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8770EF">
      <w:pPr>
        <w:spacing w:line="360" w:lineRule="auto"/>
        <w:ind w:firstLine="105" w:firstLineChars="50"/>
        <w:rPr>
          <w:sz w:val="60"/>
          <w:szCs w:val="60"/>
        </w:rPr>
      </w:pPr>
      <w:r>
        <w:drawing>
          <wp:inline distT="0" distB="0" distL="0" distR="0">
            <wp:extent cx="1689100" cy="827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3" cstate="print">
                      <a:extLst>
                        <a:ext uri="{28A0092B-C50C-407E-A947-70E740481C1C}">
                          <a14:useLocalDpi xmlns:a14="http://schemas.microsoft.com/office/drawing/2010/main" val="0"/>
                        </a:ext>
                      </a:extLst>
                    </a:blip>
                    <a:srcRect l="22680" t="29316" r="22226" b="32566"/>
                    <a:stretch>
                      <a:fillRect/>
                    </a:stretch>
                  </pic:blipFill>
                  <pic:spPr>
                    <a:xfrm>
                      <a:off x="0" y="0"/>
                      <a:ext cx="1731362" cy="848665"/>
                    </a:xfrm>
                    <a:prstGeom prst="rect">
                      <a:avLst/>
                    </a:prstGeom>
                    <a:noFill/>
                    <a:ln>
                      <a:noFill/>
                    </a:ln>
                  </pic:spPr>
                </pic:pic>
              </a:graphicData>
            </a:graphic>
          </wp:inline>
        </w:drawing>
      </w:r>
    </w:p>
    <w:p w14:paraId="04772110">
      <w:pPr>
        <w:spacing w:line="360" w:lineRule="auto"/>
        <w:ind w:firstLine="300" w:firstLineChars="50"/>
        <w:rPr>
          <w:sz w:val="60"/>
          <w:szCs w:val="60"/>
        </w:rPr>
      </w:pPr>
    </w:p>
    <w:p w14:paraId="00B90AD1">
      <w:pPr>
        <w:jc w:val="center"/>
        <w:rPr>
          <w:b/>
          <w:bCs/>
          <w:sz w:val="60"/>
          <w:szCs w:val="60"/>
        </w:rPr>
      </w:pPr>
      <w:r>
        <w:rPr>
          <w:b/>
          <w:bCs/>
          <w:sz w:val="60"/>
          <w:szCs w:val="60"/>
        </w:rPr>
        <w:t>公开招标文件</w:t>
      </w:r>
    </w:p>
    <w:p w14:paraId="328E2556">
      <w:pPr>
        <w:spacing w:line="360" w:lineRule="auto"/>
        <w:jc w:val="center"/>
        <w:rPr>
          <w:sz w:val="60"/>
          <w:szCs w:val="60"/>
        </w:rPr>
      </w:pPr>
    </w:p>
    <w:p w14:paraId="38F3E987">
      <w:pPr>
        <w:spacing w:line="360" w:lineRule="auto"/>
        <w:jc w:val="center"/>
        <w:rPr>
          <w:sz w:val="60"/>
          <w:szCs w:val="60"/>
        </w:rPr>
      </w:pPr>
    </w:p>
    <w:p w14:paraId="4B5E9C56">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项目名称：</w:t>
      </w:r>
      <w:r>
        <w:rPr>
          <w:rFonts w:hint="eastAsia"/>
          <w:bCs/>
          <w:color w:val="auto"/>
          <w:sz w:val="36"/>
          <w:szCs w:val="36"/>
          <w:lang w:eastAsia="zh-CN"/>
        </w:rPr>
        <w:t>2026年电力市场化交易服务项目（重新招标）</w:t>
      </w:r>
    </w:p>
    <w:p w14:paraId="18FCD81C">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项目编号/包号：</w:t>
      </w:r>
      <w:r>
        <w:rPr>
          <w:rFonts w:hint="eastAsia"/>
          <w:bCs/>
          <w:color w:val="auto"/>
          <w:sz w:val="36"/>
          <w:szCs w:val="36"/>
          <w:lang w:eastAsia="zh-CN"/>
        </w:rPr>
        <w:t>0747-2561SCCZNU96</w:t>
      </w:r>
    </w:p>
    <w:p w14:paraId="2ECF6121">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采 购 人：</w:t>
      </w:r>
      <w:r>
        <w:rPr>
          <w:rFonts w:hint="eastAsia"/>
          <w:bCs/>
          <w:color w:val="auto"/>
          <w:sz w:val="36"/>
          <w:szCs w:val="36"/>
          <w:lang w:eastAsia="zh-CN"/>
        </w:rPr>
        <w:t>北京市丰台区市场监督管理局</w:t>
      </w:r>
    </w:p>
    <w:p w14:paraId="59229016">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采购代理机构：</w:t>
      </w:r>
      <w:r>
        <w:rPr>
          <w:rFonts w:hint="eastAsia"/>
          <w:bCs/>
          <w:color w:val="auto"/>
          <w:sz w:val="36"/>
          <w:szCs w:val="36"/>
        </w:rPr>
        <w:t>中化商务有限公司</w:t>
      </w:r>
    </w:p>
    <w:p w14:paraId="212077AC">
      <w:pPr>
        <w:widowControl/>
        <w:jc w:val="left"/>
        <w:rPr>
          <w:b/>
          <w:bCs/>
          <w:color w:val="auto"/>
          <w:sz w:val="44"/>
        </w:rPr>
      </w:pPr>
      <w:r>
        <w:rPr>
          <w:b/>
          <w:bCs/>
          <w:color w:val="auto"/>
          <w:sz w:val="44"/>
        </w:rPr>
        <w:br w:type="page"/>
      </w:r>
    </w:p>
    <w:p w14:paraId="10567B55">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829EE17">
      <w:pPr>
        <w:spacing w:line="360" w:lineRule="auto"/>
        <w:jc w:val="center"/>
        <w:outlineLvl w:val="0"/>
        <w:rPr>
          <w:b/>
          <w:sz w:val="36"/>
          <w:szCs w:val="36"/>
        </w:rPr>
      </w:pPr>
      <w:bookmarkStart w:id="0" w:name="_Toc99301418"/>
      <w:r>
        <w:rPr>
          <w:b/>
          <w:sz w:val="36"/>
          <w:szCs w:val="36"/>
        </w:rPr>
        <w:t>目      录</w:t>
      </w:r>
      <w:bookmarkEnd w:id="0"/>
    </w:p>
    <w:p w14:paraId="46E98B5E"/>
    <w:p w14:paraId="1CA61AB0"/>
    <w:p w14:paraId="3EB719B1"/>
    <w:p w14:paraId="7F03F5F3">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2506AD0">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278F1DA">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60A46F0">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5F850DD9">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6CA029DB">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2F54CCFD">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78BA1A39">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55</w:t>
      </w:r>
      <w:r>
        <w:rPr>
          <w:rFonts w:ascii="Times New Roman" w:hAnsi="Times New Roman"/>
        </w:rPr>
        <w:fldChar w:fldCharType="end"/>
      </w:r>
      <w:r>
        <w:rPr>
          <w:rFonts w:ascii="Times New Roman" w:hAnsi="Times New Roman"/>
        </w:rPr>
        <w:fldChar w:fldCharType="end"/>
      </w:r>
    </w:p>
    <w:p w14:paraId="4CC38EF6">
      <w:pPr>
        <w:pStyle w:val="30"/>
        <w:spacing w:line="480" w:lineRule="auto"/>
        <w:rPr>
          <w:rFonts w:ascii="Times New Roman" w:hAnsi="Times New Roman" w:eastAsiaTheme="minorEastAsia"/>
          <w:b w:val="0"/>
        </w:rPr>
      </w:pPr>
      <w:r>
        <w:rPr>
          <w:rFonts w:ascii="Times New Roman" w:hAnsi="Times New Roman"/>
          <w:b w:val="0"/>
        </w:rPr>
        <w:fldChar w:fldCharType="end"/>
      </w:r>
    </w:p>
    <w:p w14:paraId="1B1AC6B6"/>
    <w:p w14:paraId="2C3FAE94">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注：采购文件条款中以</w:t>
      </w:r>
      <w:r>
        <w:rPr>
          <w:rFonts w:asciiTheme="minorEastAsia" w:hAnsiTheme="minorEastAsia" w:eastAsiaTheme="minorEastAsia"/>
          <w:sz w:val="24"/>
        </w:rPr>
        <w:t xml:space="preserve"> “■”</w:t>
      </w:r>
      <w:r>
        <w:rPr>
          <w:rFonts w:hint="eastAsia" w:asciiTheme="minorEastAsia" w:hAnsiTheme="minorEastAsia" w:eastAsiaTheme="minorEastAsia"/>
          <w:sz w:val="24"/>
        </w:rPr>
        <w:t>形式标记的内容适用于本项目，以</w:t>
      </w:r>
      <w:r>
        <w:rPr>
          <w:rFonts w:asciiTheme="minorEastAsia" w:hAnsiTheme="minorEastAsia" w:eastAsiaTheme="minorEastAsia"/>
          <w:sz w:val="24"/>
        </w:rPr>
        <w:t>“□”</w:t>
      </w:r>
      <w:r>
        <w:rPr>
          <w:rFonts w:hint="eastAsia" w:asciiTheme="minorEastAsia" w:hAnsiTheme="minorEastAsia" w:eastAsiaTheme="minorEastAsia"/>
          <w:sz w:val="24"/>
        </w:rPr>
        <w:t>形式标记的内容不适用于本项目。</w:t>
      </w:r>
    </w:p>
    <w:p w14:paraId="030F4050">
      <w:pPr>
        <w:pStyle w:val="30"/>
        <w:spacing w:line="360" w:lineRule="auto"/>
        <w:rPr>
          <w:rFonts w:ascii="Times New Roman" w:hAnsi="Times New Roman"/>
          <w:b w:val="0"/>
        </w:rPr>
      </w:pPr>
    </w:p>
    <w:p w14:paraId="66493968">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3BD6456">
      <w:pPr>
        <w:spacing w:line="360" w:lineRule="auto"/>
        <w:ind w:firstLine="640" w:firstLineChars="200"/>
        <w:rPr>
          <w:sz w:val="32"/>
          <w:szCs w:val="32"/>
        </w:rPr>
      </w:pPr>
    </w:p>
    <w:p w14:paraId="1925828B">
      <w:pPr>
        <w:pStyle w:val="3"/>
        <w:spacing w:before="0" w:line="360" w:lineRule="auto"/>
        <w:jc w:val="left"/>
        <w:rPr>
          <w:rFonts w:ascii="Times New Roman" w:hAnsi="Times New Roman" w:eastAsia="宋体"/>
          <w:sz w:val="24"/>
          <w:szCs w:val="24"/>
        </w:rPr>
      </w:pPr>
      <w:bookmarkStart w:id="2" w:name="_Toc35393621"/>
      <w:bookmarkStart w:id="3" w:name="_Toc28359002"/>
      <w:bookmarkStart w:id="4" w:name="_Toc28359079"/>
      <w:bookmarkStart w:id="5" w:name="_Toc35393790"/>
      <w:bookmarkStart w:id="6" w:name="_Hlk24379207"/>
      <w:r>
        <w:rPr>
          <w:rFonts w:ascii="Times New Roman" w:hAnsi="Times New Roman" w:eastAsia="宋体"/>
          <w:sz w:val="24"/>
          <w:szCs w:val="24"/>
        </w:rPr>
        <w:t>一、项目基本情况</w:t>
      </w:r>
      <w:bookmarkEnd w:id="2"/>
      <w:bookmarkEnd w:id="3"/>
      <w:bookmarkEnd w:id="4"/>
      <w:bookmarkEnd w:id="5"/>
    </w:p>
    <w:p w14:paraId="6E8ECD5F">
      <w:pPr>
        <w:spacing w:line="360" w:lineRule="auto"/>
        <w:ind w:firstLine="480" w:firstLineChars="200"/>
        <w:rPr>
          <w:rFonts w:hint="eastAsia" w:eastAsia="宋体"/>
          <w:color w:val="auto"/>
          <w:sz w:val="24"/>
          <w:lang w:eastAsia="zh-CN"/>
        </w:rPr>
      </w:pPr>
      <w:r>
        <w:rPr>
          <w:sz w:val="24"/>
        </w:rPr>
        <w:t>1.项目编</w:t>
      </w:r>
      <w:r>
        <w:rPr>
          <w:color w:val="auto"/>
          <w:sz w:val="24"/>
        </w:rPr>
        <w:t>号：</w:t>
      </w:r>
      <w:r>
        <w:rPr>
          <w:rFonts w:hint="eastAsia"/>
          <w:color w:val="auto"/>
          <w:sz w:val="24"/>
          <w:u w:val="single"/>
          <w:lang w:eastAsia="zh-CN"/>
        </w:rPr>
        <w:t>0747-2561SCCZNU96</w:t>
      </w:r>
    </w:p>
    <w:p w14:paraId="6A4B2BDC">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u w:val="single"/>
          <w:lang w:eastAsia="zh-CN"/>
        </w:rPr>
        <w:t>2026年电力市场化交易服务项目（重新招标）</w:t>
      </w:r>
    </w:p>
    <w:bookmarkEnd w:id="6"/>
    <w:p w14:paraId="4E14E336">
      <w:pPr>
        <w:pStyle w:val="252"/>
        <w:ind w:firstLine="480"/>
        <w:rPr>
          <w:rFonts w:hint="eastAsia"/>
          <w:color w:val="auto"/>
          <w:u w:val="single"/>
        </w:rPr>
      </w:pPr>
      <w:r>
        <w:rPr>
          <w:color w:val="auto"/>
        </w:rPr>
        <w:t>3.项目预算金额：</w:t>
      </w:r>
      <w:r>
        <w:rPr>
          <w:rFonts w:hint="eastAsia"/>
          <w:color w:val="auto"/>
          <w:u w:val="single"/>
          <w:lang w:eastAsia="zh-CN"/>
        </w:rPr>
        <w:t>210</w:t>
      </w:r>
      <w:r>
        <w:rPr>
          <w:color w:val="auto"/>
        </w:rPr>
        <w:t>万元</w:t>
      </w:r>
      <w:r>
        <w:rPr>
          <w:color w:val="auto"/>
          <w:highlight w:val="none"/>
        </w:rPr>
        <w:t>、项目最高限价（</w:t>
      </w:r>
      <w:r>
        <w:rPr>
          <w:rFonts w:hint="eastAsia"/>
          <w:color w:val="auto"/>
          <w:highlight w:val="none"/>
          <w:lang w:val="en-US" w:eastAsia="zh-CN"/>
        </w:rPr>
        <w:t>本</w:t>
      </w:r>
      <w:r>
        <w:rPr>
          <w:rFonts w:hint="eastAsia"/>
          <w:color w:val="auto"/>
          <w:lang w:val="en-US" w:eastAsia="zh-CN"/>
        </w:rPr>
        <w:t>项目结算上限</w:t>
      </w:r>
      <w:r>
        <w:rPr>
          <w:color w:val="auto"/>
        </w:rPr>
        <w:t>）：</w:t>
      </w:r>
      <w:r>
        <w:rPr>
          <w:rFonts w:hint="eastAsia"/>
          <w:color w:val="auto"/>
          <w:u w:val="single"/>
          <w:lang w:eastAsia="zh-CN"/>
        </w:rPr>
        <w:t>210</w:t>
      </w:r>
      <w:r>
        <w:rPr>
          <w:rFonts w:hint="eastAsia"/>
          <w:color w:val="auto"/>
          <w:u w:val="single"/>
        </w:rPr>
        <w:t>万元（人民币）</w:t>
      </w:r>
    </w:p>
    <w:p w14:paraId="4944DE6D">
      <w:pPr>
        <w:spacing w:line="360" w:lineRule="auto"/>
        <w:ind w:firstLine="480" w:firstLineChars="200"/>
        <w:rPr>
          <w:sz w:val="24"/>
        </w:rPr>
      </w:pPr>
    </w:p>
    <w:p w14:paraId="77E2D084">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6"/>
        <w:gridCol w:w="1701"/>
        <w:gridCol w:w="996"/>
        <w:gridCol w:w="4277"/>
      </w:tblGrid>
      <w:tr w14:paraId="0BA2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2" w:type="pct"/>
            <w:vAlign w:val="center"/>
          </w:tcPr>
          <w:p w14:paraId="42CC902C">
            <w:pPr>
              <w:jc w:val="center"/>
              <w:rPr>
                <w:rFonts w:hint="eastAsia" w:ascii="宋体" w:hAnsi="宋体" w:eastAsia="宋体" w:cs="宋体"/>
                <w:bCs/>
                <w:szCs w:val="21"/>
              </w:rPr>
            </w:pPr>
            <w:r>
              <w:rPr>
                <w:rFonts w:hint="eastAsia" w:ascii="宋体" w:hAnsi="宋体" w:eastAsia="宋体" w:cs="宋体"/>
                <w:bCs/>
                <w:szCs w:val="21"/>
              </w:rPr>
              <w:t>包号</w:t>
            </w:r>
          </w:p>
        </w:tc>
        <w:tc>
          <w:tcPr>
            <w:tcW w:w="842" w:type="pct"/>
            <w:vAlign w:val="center"/>
          </w:tcPr>
          <w:p w14:paraId="0C172C4F">
            <w:pPr>
              <w:jc w:val="center"/>
              <w:rPr>
                <w:rFonts w:hint="eastAsia" w:ascii="宋体" w:hAnsi="宋体" w:eastAsia="宋体" w:cs="宋体"/>
                <w:bCs/>
                <w:szCs w:val="21"/>
              </w:rPr>
            </w:pPr>
            <w:r>
              <w:rPr>
                <w:rFonts w:hint="eastAsia" w:ascii="宋体" w:hAnsi="宋体" w:eastAsia="宋体" w:cs="宋体"/>
                <w:bCs/>
                <w:szCs w:val="21"/>
              </w:rPr>
              <w:t>标的名称</w:t>
            </w:r>
          </w:p>
        </w:tc>
        <w:tc>
          <w:tcPr>
            <w:tcW w:w="920" w:type="pct"/>
            <w:vAlign w:val="center"/>
          </w:tcPr>
          <w:p w14:paraId="018F2CE0">
            <w:pPr>
              <w:jc w:val="center"/>
              <w:rPr>
                <w:rFonts w:hint="eastAsia" w:ascii="宋体" w:hAnsi="宋体" w:eastAsia="宋体" w:cs="宋体"/>
                <w:bCs/>
                <w:szCs w:val="21"/>
              </w:rPr>
            </w:pPr>
            <w:r>
              <w:rPr>
                <w:rFonts w:hint="eastAsia" w:ascii="宋体" w:hAnsi="宋体" w:eastAsia="宋体" w:cs="宋体"/>
                <w:bCs/>
                <w:szCs w:val="21"/>
              </w:rPr>
              <w:t>采购包</w:t>
            </w:r>
          </w:p>
          <w:p w14:paraId="1676416A">
            <w:pPr>
              <w:jc w:val="center"/>
              <w:rPr>
                <w:rFonts w:hint="eastAsia" w:ascii="宋体" w:hAnsi="宋体" w:eastAsia="宋体" w:cs="宋体"/>
                <w:bCs/>
                <w:szCs w:val="21"/>
              </w:rPr>
            </w:pPr>
            <w:r>
              <w:rPr>
                <w:rFonts w:hint="eastAsia" w:ascii="宋体" w:hAnsi="宋体" w:eastAsia="宋体" w:cs="宋体"/>
                <w:bCs/>
                <w:szCs w:val="21"/>
              </w:rPr>
              <w:t>预算金额</w:t>
            </w:r>
          </w:p>
          <w:p w14:paraId="191B9228">
            <w:pPr>
              <w:jc w:val="center"/>
              <w:rPr>
                <w:rFonts w:hint="eastAsia" w:ascii="宋体" w:hAnsi="宋体" w:eastAsia="宋体" w:cs="宋体"/>
                <w:bCs/>
                <w:szCs w:val="21"/>
              </w:rPr>
            </w:pPr>
            <w:r>
              <w:rPr>
                <w:rFonts w:hint="eastAsia" w:ascii="宋体" w:hAnsi="宋体" w:eastAsia="宋体" w:cs="宋体"/>
                <w:bCs/>
                <w:szCs w:val="21"/>
              </w:rPr>
              <w:t>（万元）</w:t>
            </w:r>
          </w:p>
        </w:tc>
        <w:tc>
          <w:tcPr>
            <w:tcW w:w="539" w:type="pct"/>
            <w:vAlign w:val="center"/>
          </w:tcPr>
          <w:p w14:paraId="05418A0E">
            <w:pPr>
              <w:jc w:val="center"/>
              <w:rPr>
                <w:rFonts w:hint="eastAsia" w:ascii="宋体" w:hAnsi="宋体" w:eastAsia="宋体" w:cs="宋体"/>
                <w:bCs/>
                <w:szCs w:val="21"/>
              </w:rPr>
            </w:pPr>
            <w:r>
              <w:rPr>
                <w:rFonts w:hint="eastAsia" w:ascii="宋体" w:hAnsi="宋体" w:eastAsia="宋体" w:cs="宋体"/>
                <w:bCs/>
                <w:szCs w:val="21"/>
              </w:rPr>
              <w:t>数量</w:t>
            </w:r>
          </w:p>
        </w:tc>
        <w:tc>
          <w:tcPr>
            <w:tcW w:w="2314" w:type="pct"/>
            <w:vAlign w:val="center"/>
          </w:tcPr>
          <w:p w14:paraId="098BC600">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5755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1756514E">
            <w:pPr>
              <w:jc w:val="center"/>
              <w:rPr>
                <w:rFonts w:hint="eastAsia" w:ascii="宋体" w:hAnsi="宋体" w:eastAsia="宋体" w:cs="宋体"/>
                <w:bCs/>
                <w:szCs w:val="21"/>
              </w:rPr>
            </w:pPr>
            <w:r>
              <w:rPr>
                <w:rFonts w:hint="eastAsia" w:ascii="宋体" w:hAnsi="宋体" w:eastAsia="宋体" w:cs="宋体"/>
                <w:bCs/>
                <w:szCs w:val="21"/>
              </w:rPr>
              <w:t>01</w:t>
            </w:r>
          </w:p>
        </w:tc>
        <w:tc>
          <w:tcPr>
            <w:tcW w:w="842" w:type="pct"/>
            <w:vAlign w:val="center"/>
          </w:tcPr>
          <w:p w14:paraId="02C84C6B">
            <w:pPr>
              <w:jc w:val="center"/>
              <w:rPr>
                <w:rFonts w:hint="eastAsia" w:ascii="宋体" w:hAnsi="宋体" w:eastAsia="宋体" w:cs="宋体"/>
                <w:bCs/>
                <w:szCs w:val="21"/>
              </w:rPr>
            </w:pPr>
            <w:r>
              <w:rPr>
                <w:rFonts w:hint="eastAsia" w:ascii="宋体" w:hAnsi="宋体" w:eastAsia="宋体" w:cs="宋体"/>
                <w:bCs/>
                <w:szCs w:val="21"/>
              </w:rPr>
              <w:t>电力市场化交易服务</w:t>
            </w:r>
          </w:p>
        </w:tc>
        <w:tc>
          <w:tcPr>
            <w:tcW w:w="920" w:type="pct"/>
            <w:vAlign w:val="center"/>
          </w:tcPr>
          <w:p w14:paraId="5D333B43">
            <w:pPr>
              <w:jc w:val="center"/>
              <w:rPr>
                <w:rFonts w:hint="eastAsia" w:ascii="宋体" w:hAnsi="宋体" w:eastAsia="宋体" w:cs="宋体"/>
                <w:bCs/>
                <w:szCs w:val="21"/>
                <w:lang w:val="en-US" w:eastAsia="zh-CN"/>
              </w:rPr>
            </w:pPr>
            <w:r>
              <w:rPr>
                <w:rFonts w:hint="eastAsia" w:ascii="宋体" w:hAnsi="宋体" w:cs="宋体"/>
                <w:bCs/>
                <w:szCs w:val="21"/>
                <w:lang w:val="en-US" w:eastAsia="zh-CN"/>
              </w:rPr>
              <w:t>210（结算上限）</w:t>
            </w:r>
          </w:p>
        </w:tc>
        <w:tc>
          <w:tcPr>
            <w:tcW w:w="539" w:type="pct"/>
            <w:vAlign w:val="center"/>
          </w:tcPr>
          <w:p w14:paraId="4FDD57F1">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w:t>
            </w:r>
          </w:p>
        </w:tc>
        <w:tc>
          <w:tcPr>
            <w:tcW w:w="2314" w:type="pct"/>
            <w:vAlign w:val="center"/>
          </w:tcPr>
          <w:p w14:paraId="40323C1D">
            <w:pPr>
              <w:jc w:val="center"/>
              <w:rPr>
                <w:rFonts w:hint="eastAsia" w:ascii="宋体" w:hAnsi="宋体" w:eastAsia="宋体" w:cs="宋体"/>
                <w:kern w:val="0"/>
                <w:szCs w:val="21"/>
              </w:rPr>
            </w:pPr>
            <w:r>
              <w:rPr>
                <w:rFonts w:hint="eastAsia" w:ascii="宋体" w:hAnsi="宋体" w:eastAsia="宋体" w:cs="宋体"/>
                <w:kern w:val="0"/>
                <w:szCs w:val="21"/>
              </w:rPr>
              <w:t>代理电力市场化交易相关工作</w:t>
            </w:r>
          </w:p>
        </w:tc>
      </w:tr>
    </w:tbl>
    <w:p w14:paraId="3EA04C41">
      <w:pPr>
        <w:spacing w:line="360" w:lineRule="auto"/>
        <w:ind w:firstLine="480" w:firstLineChars="200"/>
        <w:rPr>
          <w:color w:val="auto"/>
          <w:sz w:val="24"/>
        </w:rPr>
      </w:pPr>
      <w:r>
        <w:rPr>
          <w:rFonts w:hint="eastAsia"/>
          <w:color w:val="auto"/>
          <w:sz w:val="24"/>
        </w:rPr>
        <w:t>注：投标必须以采购包（也称为“包件”或“包”）为单位，对所投包件号中的所有内容进行投标，不允许将包件拆开投标,也不允许将几个包件合并报一个价格投标，评标、授标以包件为单位。</w:t>
      </w:r>
    </w:p>
    <w:p w14:paraId="734F9798">
      <w:pPr>
        <w:spacing w:line="360" w:lineRule="auto"/>
        <w:ind w:firstLine="480" w:firstLineChars="200"/>
        <w:rPr>
          <w:color w:val="auto"/>
          <w:sz w:val="24"/>
          <w:u w:val="single"/>
        </w:rPr>
      </w:pPr>
      <w:r>
        <w:rPr>
          <w:color w:val="auto"/>
          <w:sz w:val="24"/>
        </w:rPr>
        <w:t>5.合同履行期限：</w:t>
      </w:r>
      <w:r>
        <w:rPr>
          <w:rFonts w:hint="eastAsia"/>
          <w:color w:val="auto"/>
          <w:sz w:val="24"/>
        </w:rPr>
        <w:t>自合同签订日起至202</w:t>
      </w:r>
      <w:r>
        <w:rPr>
          <w:rFonts w:hint="eastAsia"/>
          <w:color w:val="auto"/>
          <w:sz w:val="24"/>
          <w:lang w:val="en-US" w:eastAsia="zh-CN"/>
        </w:rPr>
        <w:t>6</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31</w:t>
      </w:r>
      <w:r>
        <w:rPr>
          <w:rFonts w:hint="eastAsia"/>
          <w:color w:val="auto"/>
          <w:sz w:val="24"/>
        </w:rPr>
        <w:t>日。</w:t>
      </w:r>
    </w:p>
    <w:p w14:paraId="7D6BA1F5">
      <w:pPr>
        <w:spacing w:line="360" w:lineRule="auto"/>
        <w:ind w:firstLine="480" w:firstLineChars="200"/>
        <w:rPr>
          <w:rFonts w:hint="eastAsia" w:asciiTheme="minorEastAsia" w:hAnsiTheme="minorEastAsia" w:eastAsiaTheme="minorEastAsia"/>
          <w:color w:val="auto"/>
          <w:sz w:val="24"/>
          <w:lang w:val="en-US" w:eastAsia="zh-CN"/>
        </w:rPr>
      </w:pPr>
      <w:r>
        <w:rPr>
          <w:rFonts w:asciiTheme="minorEastAsia" w:hAnsiTheme="minorEastAsia" w:eastAsiaTheme="minorEastAsia"/>
          <w:color w:val="auto"/>
          <w:sz w:val="24"/>
        </w:rPr>
        <w:t xml:space="preserve">6.本项目是否接受联合体投标：□是  </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否。</w:t>
      </w:r>
      <w:r>
        <w:rPr>
          <w:rFonts w:hint="eastAsia" w:asciiTheme="minorEastAsia" w:hAnsiTheme="minorEastAsia" w:eastAsiaTheme="minorEastAsia"/>
          <w:color w:val="auto"/>
          <w:sz w:val="24"/>
          <w:lang w:val="en-US" w:eastAsia="zh-CN"/>
        </w:rPr>
        <w:t>3</w:t>
      </w:r>
    </w:p>
    <w:p w14:paraId="46FC7E87">
      <w:pPr>
        <w:spacing w:line="360" w:lineRule="auto"/>
        <w:ind w:firstLine="480" w:firstLineChars="200"/>
        <w:rPr>
          <w:sz w:val="24"/>
        </w:rPr>
      </w:pPr>
    </w:p>
    <w:p w14:paraId="17D5757B">
      <w:pPr>
        <w:pStyle w:val="3"/>
        <w:spacing w:before="0" w:line="360" w:lineRule="auto"/>
        <w:jc w:val="left"/>
        <w:rPr>
          <w:rFonts w:ascii="Times New Roman" w:hAnsi="Times New Roman" w:eastAsia="宋体"/>
          <w:sz w:val="24"/>
          <w:szCs w:val="24"/>
        </w:rPr>
      </w:pPr>
      <w:bookmarkStart w:id="7" w:name="_Toc28359003"/>
      <w:bookmarkStart w:id="8" w:name="_Toc28359080"/>
      <w:bookmarkStart w:id="9" w:name="_Toc35393791"/>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791B6C13">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6ED5C9DD">
      <w:pPr>
        <w:spacing w:line="360" w:lineRule="auto"/>
        <w:ind w:firstLine="480" w:firstLineChars="200"/>
        <w:rPr>
          <w:rFonts w:hint="eastAsia" w:asciiTheme="minorEastAsia" w:hAnsiTheme="minorEastAsia" w:eastAsiaTheme="minorEastAsia"/>
          <w:sz w:val="24"/>
        </w:rPr>
      </w:pPr>
      <w:bookmarkStart w:id="11" w:name="_Toc28359004"/>
      <w:bookmarkStart w:id="12" w:name="_Toc28359081"/>
      <w:r>
        <w:rPr>
          <w:rFonts w:asciiTheme="minorEastAsia" w:hAnsiTheme="minorEastAsia" w:eastAsiaTheme="minorEastAsia"/>
          <w:sz w:val="24"/>
        </w:rPr>
        <w:t>2.落实政府采购政策需满足的资格要求：</w:t>
      </w:r>
    </w:p>
    <w:p w14:paraId="4F52A021">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2.1 中小企业政策</w:t>
      </w:r>
    </w:p>
    <w:p w14:paraId="45D440AD">
      <w:pPr>
        <w:spacing w:line="360" w:lineRule="auto"/>
        <w:ind w:firstLine="480" w:firstLineChars="200"/>
        <w:rPr>
          <w:rFonts w:hint="eastAsia"/>
          <w:color w:val="FF0000"/>
        </w:rPr>
      </w:pPr>
      <w:r>
        <w:rPr>
          <w:rFonts w:hint="eastAsia" w:asciiTheme="minorEastAsia" w:hAnsiTheme="minorEastAsia" w:eastAsiaTheme="minorEastAsia"/>
          <w:sz w:val="24"/>
          <w:lang w:eastAsia="zh-CN"/>
        </w:rPr>
        <w:t>☑</w:t>
      </w:r>
      <w:r>
        <w:rPr>
          <w:rFonts w:asciiTheme="minorEastAsia" w:hAnsiTheme="minorEastAsia" w:eastAsiaTheme="minorEastAsia"/>
          <w:sz w:val="24"/>
        </w:rPr>
        <w:t>本项目不专门面向中小企业预留采购份额。</w:t>
      </w:r>
    </w:p>
    <w:p w14:paraId="25ECD3DA">
      <w:pPr>
        <w:spacing w:line="360" w:lineRule="auto"/>
        <w:ind w:firstLine="480" w:firstLineChars="200"/>
        <w:rPr>
          <w:sz w:val="24"/>
        </w:rPr>
      </w:pPr>
      <w:r>
        <w:rPr>
          <w:sz w:val="24"/>
        </w:rPr>
        <w:t>2.2 其它落实政府采购政策的资格要求（如有）</w:t>
      </w:r>
      <w:r>
        <w:rPr>
          <w:color w:val="auto"/>
          <w:sz w:val="24"/>
        </w:rPr>
        <w:t>：</w:t>
      </w:r>
      <w:r>
        <w:rPr>
          <w:rFonts w:hint="eastAsia"/>
          <w:color w:val="auto"/>
          <w:sz w:val="24"/>
          <w:u w:val="single"/>
        </w:rPr>
        <w:t xml:space="preserve">   /   </w:t>
      </w:r>
      <w:r>
        <w:rPr>
          <w:color w:val="auto"/>
          <w:sz w:val="24"/>
        </w:rPr>
        <w:t>。</w:t>
      </w:r>
    </w:p>
    <w:p w14:paraId="4A005E52">
      <w:pPr>
        <w:spacing w:line="360" w:lineRule="auto"/>
        <w:ind w:firstLine="480" w:firstLineChars="200"/>
        <w:rPr>
          <w:i/>
          <w:iCs/>
          <w:sz w:val="24"/>
          <w:u w:val="single"/>
        </w:rPr>
      </w:pPr>
      <w:r>
        <w:rPr>
          <w:sz w:val="24"/>
        </w:rPr>
        <w:t>3.本项目的特定资格要求：</w:t>
      </w:r>
    </w:p>
    <w:p w14:paraId="0FE862A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8695952">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否</w:t>
      </w:r>
    </w:p>
    <w:p w14:paraId="6F83C323">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sz w:val="24"/>
        </w:rPr>
      </w:pPr>
      <w:r>
        <w:rPr>
          <w:rFonts w:asciiTheme="minorEastAsia" w:hAnsiTheme="minorEastAsia" w:eastAsiaTheme="minorEastAsia"/>
          <w:sz w:val="24"/>
        </w:rPr>
        <w:t>□是，公益一类事业单位、使用事业编制且由财政拨款保障的群团组织，不得作为承接主体；</w:t>
      </w:r>
    </w:p>
    <w:p w14:paraId="72654940">
      <w:pPr>
        <w:tabs>
          <w:tab w:val="left" w:pos="900"/>
          <w:tab w:val="left" w:pos="1134"/>
          <w:tab w:val="left" w:pos="1589"/>
          <w:tab w:val="left" w:pos="5521"/>
        </w:tabs>
        <w:snapToGrid w:val="0"/>
        <w:spacing w:line="360" w:lineRule="auto"/>
        <w:ind w:firstLine="480" w:firstLineChars="200"/>
        <w:rPr>
          <w:sz w:val="24"/>
        </w:rPr>
      </w:pPr>
      <w:r>
        <w:rPr>
          <w:rFonts w:hint="eastAsia"/>
          <w:sz w:val="24"/>
        </w:rPr>
        <w:t>3.2 通用特定资格要求：</w:t>
      </w:r>
    </w:p>
    <w:p w14:paraId="5A6181B6">
      <w:pPr>
        <w:pStyle w:val="252"/>
        <w:ind w:firstLine="480"/>
        <w:rPr>
          <w:rFonts w:hint="eastAsia"/>
        </w:rPr>
      </w:pPr>
      <w:r>
        <w:rPr>
          <w:rFonts w:hint="eastAsia"/>
        </w:rPr>
        <w:t>（1）本项目开标日前被列入失信被执行人、重大税收违法案件当事人名单、政府采购严重违法失信行为记录名单（处罚期限尚未届满的），不得参与本项目的投标，[以“信用中国”网站（www.creditchina.gov.cn）和“中国政府采购网”（www.ccgp.gov.cn）采购代理机构评标当日的查询记录为准]；</w:t>
      </w:r>
    </w:p>
    <w:p w14:paraId="1564BBB7">
      <w:pPr>
        <w:pStyle w:val="252"/>
        <w:ind w:firstLine="480"/>
        <w:rPr>
          <w:rFonts w:hint="eastAsia"/>
        </w:rPr>
      </w:pPr>
      <w:r>
        <w:rPr>
          <w:rFonts w:hint="eastAsia"/>
        </w:rPr>
        <w:t>（</w:t>
      </w:r>
      <w:r>
        <w:t>2</w:t>
      </w:r>
      <w:r>
        <w:rPr>
          <w:rFonts w:hint="eastAsia"/>
        </w:rPr>
        <w:t>）单位负责人为同一人或者存在直接控股、管理关系的不同投标人，不得参加同一合同项下的政府采购活动；为本项目提供整体设计、规范编制或者项目管理、监理、检测等服务的供应商，</w:t>
      </w:r>
      <w:bookmarkStart w:id="13" w:name="_Hlk74070744"/>
      <w:r>
        <w:t>不得参加本项目的投标</w:t>
      </w:r>
      <w:r>
        <w:rPr>
          <w:rFonts w:hint="eastAsia"/>
        </w:rPr>
        <w:t>；</w:t>
      </w:r>
      <w:bookmarkEnd w:id="13"/>
    </w:p>
    <w:p w14:paraId="0C8CBD86">
      <w:pPr>
        <w:pStyle w:val="252"/>
        <w:ind w:firstLine="480"/>
        <w:rPr>
          <w:rFonts w:hint="eastAsia"/>
        </w:rPr>
      </w:pPr>
      <w:r>
        <w:rPr>
          <w:rFonts w:hint="eastAsia"/>
        </w:rPr>
        <w:t>（</w:t>
      </w:r>
      <w:r>
        <w:t>3</w:t>
      </w:r>
      <w:r>
        <w:rPr>
          <w:rFonts w:hint="eastAsia"/>
        </w:rPr>
        <w:t>）投标人必须通过下述第三条“获取招标文件”中规定的渠道获取了招标文件；</w:t>
      </w:r>
    </w:p>
    <w:p w14:paraId="677F8A83">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color w:val="auto"/>
          <w:sz w:val="24"/>
        </w:rPr>
        <w:t>3.</w:t>
      </w:r>
      <w:r>
        <w:rPr>
          <w:rFonts w:hint="eastAsia"/>
          <w:color w:val="auto"/>
          <w:sz w:val="24"/>
        </w:rPr>
        <w:t>3</w:t>
      </w:r>
      <w:r>
        <w:rPr>
          <w:color w:val="auto"/>
          <w:sz w:val="24"/>
        </w:rPr>
        <w:t>其他特定资格要求</w:t>
      </w:r>
      <w:r>
        <w:rPr>
          <w:rFonts w:eastAsiaTheme="minorEastAsia"/>
          <w:color w:val="auto"/>
          <w:sz w:val="24"/>
        </w:rPr>
        <w:t>：</w:t>
      </w:r>
    </w:p>
    <w:p w14:paraId="5D133472">
      <w:pPr>
        <w:pStyle w:val="252"/>
        <w:ind w:firstLine="480"/>
        <w:rPr>
          <w:rFonts w:hint="eastAsia"/>
          <w:color w:val="auto"/>
        </w:rPr>
      </w:pPr>
      <w:r>
        <w:rPr>
          <w:rFonts w:hint="eastAsia"/>
          <w:color w:val="auto"/>
        </w:rPr>
        <w:t>（1）</w:t>
      </w:r>
      <w:r>
        <w:rPr>
          <w:rFonts w:hint="eastAsia"/>
          <w:color w:val="auto"/>
          <w:lang w:eastAsia="zh-CN"/>
        </w:rPr>
        <w:t>投标人需提供国家能源局颁发的电力业务许可证（售电类）或北京电力交易中心http://pmos.sgcc.com.cn/内售电公司（提供北京电力交易中心）http://pmos.sgcc.com.cn/查询截图；</w:t>
      </w:r>
    </w:p>
    <w:bookmarkEnd w:id="11"/>
    <w:bookmarkEnd w:id="12"/>
    <w:p w14:paraId="33D6EBA0">
      <w:pPr>
        <w:pStyle w:val="3"/>
        <w:widowControl/>
        <w:spacing w:before="0" w:line="360" w:lineRule="auto"/>
        <w:jc w:val="left"/>
        <w:rPr>
          <w:rFonts w:ascii="Times New Roman" w:hAnsi="Times New Roman" w:eastAsia="宋体"/>
          <w:color w:val="auto"/>
          <w:sz w:val="24"/>
          <w:szCs w:val="24"/>
        </w:rPr>
      </w:pPr>
      <w:bookmarkStart w:id="14" w:name="_Toc35393623"/>
      <w:bookmarkStart w:id="15" w:name="_Toc35393792"/>
      <w:r>
        <w:rPr>
          <w:rFonts w:ascii="Times New Roman" w:hAnsi="Times New Roman" w:eastAsia="宋体"/>
          <w:color w:val="auto"/>
          <w:sz w:val="24"/>
          <w:szCs w:val="24"/>
        </w:rPr>
        <w:t>三、获取招标文件</w:t>
      </w:r>
      <w:bookmarkEnd w:id="14"/>
      <w:bookmarkEnd w:id="15"/>
    </w:p>
    <w:p w14:paraId="702F6B5B">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bidi="ar"/>
        </w:rPr>
        <w:t>20</w:t>
      </w:r>
      <w:r>
        <w:rPr>
          <w:rFonts w:hint="eastAsia"/>
          <w:color w:val="auto"/>
          <w:sz w:val="24"/>
          <w:lang w:val="en-US" w:eastAsia="zh-CN" w:bidi="ar"/>
        </w:rPr>
        <w:t>25</w:t>
      </w:r>
      <w:r>
        <w:rPr>
          <w:rFonts w:hint="eastAsia"/>
          <w:color w:val="auto"/>
          <w:sz w:val="24"/>
          <w:lang w:bidi="ar"/>
        </w:rPr>
        <w:t>年</w:t>
      </w:r>
      <w:r>
        <w:rPr>
          <w:rFonts w:hint="eastAsia"/>
          <w:color w:val="auto"/>
          <w:sz w:val="24"/>
          <w:lang w:val="en-US" w:eastAsia="zh-CN" w:bidi="ar"/>
        </w:rPr>
        <w:t>12</w:t>
      </w:r>
      <w:r>
        <w:rPr>
          <w:rFonts w:hint="eastAsia"/>
          <w:color w:val="auto"/>
          <w:sz w:val="24"/>
          <w:lang w:bidi="ar"/>
        </w:rPr>
        <w:t>月</w:t>
      </w:r>
      <w:r>
        <w:rPr>
          <w:rFonts w:hint="eastAsia"/>
          <w:color w:val="auto"/>
          <w:sz w:val="24"/>
          <w:lang w:val="en-US" w:eastAsia="zh-CN" w:bidi="ar"/>
        </w:rPr>
        <w:t>29</w:t>
      </w:r>
      <w:r>
        <w:rPr>
          <w:rFonts w:hint="eastAsia"/>
          <w:color w:val="auto"/>
          <w:sz w:val="24"/>
          <w:lang w:bidi="ar"/>
        </w:rPr>
        <w:t>日至20</w:t>
      </w:r>
      <w:r>
        <w:rPr>
          <w:rFonts w:hint="eastAsia"/>
          <w:color w:val="auto"/>
          <w:sz w:val="24"/>
          <w:lang w:val="en-US" w:eastAsia="zh-CN" w:bidi="ar"/>
        </w:rPr>
        <w:t>26</w:t>
      </w:r>
      <w:r>
        <w:rPr>
          <w:rFonts w:hint="eastAsia"/>
          <w:color w:val="auto"/>
          <w:sz w:val="24"/>
          <w:lang w:bidi="ar"/>
        </w:rPr>
        <w:t>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7</w:t>
      </w:r>
      <w:r>
        <w:rPr>
          <w:rFonts w:hint="eastAsia"/>
          <w:color w:val="auto"/>
          <w:sz w:val="24"/>
          <w:lang w:bidi="ar"/>
        </w:rPr>
        <w:t>日</w:t>
      </w:r>
      <w:r>
        <w:rPr>
          <w:color w:val="auto"/>
          <w:sz w:val="24"/>
          <w:lang w:bidi="ar"/>
        </w:rPr>
        <w:t>，每天上午</w:t>
      </w:r>
      <w:r>
        <w:rPr>
          <w:rFonts w:hint="eastAsia"/>
          <w:color w:val="auto"/>
          <w:sz w:val="24"/>
          <w:lang w:bidi="ar"/>
        </w:rPr>
        <w:t>08:30至12:00</w:t>
      </w:r>
      <w:r>
        <w:rPr>
          <w:color w:val="auto"/>
          <w:sz w:val="24"/>
          <w:lang w:bidi="ar"/>
        </w:rPr>
        <w:t>，</w:t>
      </w:r>
      <w:r>
        <w:rPr>
          <w:rFonts w:hint="eastAsia"/>
          <w:color w:val="auto"/>
          <w:sz w:val="24"/>
          <w:lang w:bidi="ar"/>
        </w:rPr>
        <w:t>下午12:00至17:00</w:t>
      </w:r>
      <w:r>
        <w:rPr>
          <w:color w:val="auto"/>
          <w:sz w:val="24"/>
          <w:lang w:bidi="ar"/>
        </w:rPr>
        <w:t>（北京时间，法定节假日除外）。</w:t>
      </w:r>
    </w:p>
    <w:p w14:paraId="2DCC2F94">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010A41E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w:t>
      </w:r>
      <w:bookmarkStart w:id="16" w:name="OLE_LINK5"/>
      <w:r>
        <w:rPr>
          <w:color w:val="auto"/>
          <w:sz w:val="24"/>
          <w:lang w:bidi="ar"/>
        </w:rPr>
        <w:t>http://zbcg-bjzc.zhongcy.com/bjczj-portal-site/index.html#/home</w:t>
      </w:r>
      <w:bookmarkEnd w:id="16"/>
      <w:r>
        <w:rPr>
          <w:color w:val="auto"/>
          <w:sz w:val="24"/>
          <w:lang w:bidi="ar"/>
        </w:rPr>
        <w:t>）获取电子版招标文件。</w:t>
      </w:r>
    </w:p>
    <w:p w14:paraId="0529E87C">
      <w:pPr>
        <w:widowControl/>
        <w:adjustRightInd w:val="0"/>
        <w:snapToGrid w:val="0"/>
        <w:spacing w:line="360" w:lineRule="auto"/>
        <w:ind w:firstLine="480" w:firstLineChars="200"/>
        <w:jc w:val="left"/>
        <w:rPr>
          <w:color w:val="auto"/>
          <w:sz w:val="24"/>
        </w:rPr>
      </w:pPr>
      <w:r>
        <w:rPr>
          <w:color w:val="auto"/>
          <w:sz w:val="24"/>
          <w:lang w:bidi="ar"/>
        </w:rPr>
        <w:t>4.售价：0元。</w:t>
      </w:r>
    </w:p>
    <w:p w14:paraId="49B19037">
      <w:pPr>
        <w:tabs>
          <w:tab w:val="left" w:pos="900"/>
          <w:tab w:val="left" w:pos="1980"/>
        </w:tabs>
        <w:snapToGrid w:val="0"/>
        <w:spacing w:line="360" w:lineRule="auto"/>
        <w:ind w:left="840"/>
        <w:rPr>
          <w:color w:val="auto"/>
          <w:sz w:val="24"/>
        </w:rPr>
      </w:pPr>
    </w:p>
    <w:p w14:paraId="289F71A0">
      <w:pPr>
        <w:pStyle w:val="3"/>
        <w:widowControl/>
        <w:spacing w:before="0" w:line="360" w:lineRule="auto"/>
        <w:jc w:val="left"/>
        <w:rPr>
          <w:rFonts w:ascii="Times New Roman" w:hAnsi="Times New Roman" w:eastAsia="宋体"/>
          <w:color w:val="auto"/>
          <w:sz w:val="24"/>
          <w:szCs w:val="24"/>
        </w:rPr>
      </w:pPr>
      <w:bookmarkStart w:id="17" w:name="_Toc28359005"/>
      <w:bookmarkStart w:id="18" w:name="_Toc28359082"/>
      <w:bookmarkStart w:id="19" w:name="_Toc35393793"/>
      <w:bookmarkStart w:id="20" w:name="_Toc35393624"/>
      <w:r>
        <w:rPr>
          <w:rFonts w:ascii="Times New Roman" w:hAnsi="Times New Roman" w:eastAsia="宋体"/>
          <w:color w:val="auto"/>
          <w:sz w:val="24"/>
          <w:szCs w:val="24"/>
        </w:rPr>
        <w:t>四、提交投标文件</w:t>
      </w:r>
      <w:bookmarkEnd w:id="17"/>
      <w:bookmarkEnd w:id="18"/>
      <w:r>
        <w:rPr>
          <w:rFonts w:ascii="Times New Roman" w:hAnsi="Times New Roman" w:eastAsia="宋体"/>
          <w:color w:val="auto"/>
          <w:sz w:val="24"/>
          <w:szCs w:val="24"/>
        </w:rPr>
        <w:t>截止时间、开标时间和地点</w:t>
      </w:r>
      <w:bookmarkEnd w:id="19"/>
      <w:bookmarkEnd w:id="20"/>
    </w:p>
    <w:p w14:paraId="6CB7C352">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eastAsia="zh-CN" w:bidi="ar"/>
        </w:rPr>
        <w:t>202</w:t>
      </w:r>
      <w:r>
        <w:rPr>
          <w:rFonts w:hint="eastAsia"/>
          <w:color w:val="auto"/>
          <w:sz w:val="24"/>
          <w:lang w:val="en-US" w:eastAsia="zh-CN" w:bidi="ar"/>
        </w:rPr>
        <w:t>6</w:t>
      </w:r>
      <w:r>
        <w:rPr>
          <w:rFonts w:hint="eastAsia"/>
          <w:color w:val="auto"/>
          <w:sz w:val="24"/>
          <w:lang w:eastAsia="zh-CN" w:bidi="ar"/>
        </w:rPr>
        <w:t>年</w:t>
      </w:r>
      <w:r>
        <w:rPr>
          <w:rFonts w:hint="eastAsia"/>
          <w:color w:val="auto"/>
          <w:sz w:val="24"/>
          <w:lang w:val="en-US" w:eastAsia="zh-CN" w:bidi="ar"/>
        </w:rPr>
        <w:t>1</w:t>
      </w:r>
      <w:r>
        <w:rPr>
          <w:rFonts w:hint="eastAsia"/>
          <w:color w:val="auto"/>
          <w:sz w:val="24"/>
          <w:lang w:eastAsia="zh-CN" w:bidi="ar"/>
        </w:rPr>
        <w:t>月</w:t>
      </w:r>
      <w:r>
        <w:rPr>
          <w:rFonts w:hint="eastAsia"/>
          <w:color w:val="auto"/>
          <w:sz w:val="24"/>
          <w:lang w:val="en-US" w:eastAsia="zh-CN" w:bidi="ar"/>
        </w:rPr>
        <w:t>19</w:t>
      </w:r>
      <w:r>
        <w:rPr>
          <w:rFonts w:hint="eastAsia"/>
          <w:color w:val="auto"/>
          <w:sz w:val="24"/>
          <w:lang w:eastAsia="zh-CN" w:bidi="ar"/>
        </w:rPr>
        <w:t>日</w:t>
      </w:r>
      <w:r>
        <w:rPr>
          <w:rFonts w:hint="eastAsia"/>
          <w:color w:val="auto"/>
          <w:sz w:val="24"/>
          <w:lang w:val="en-US" w:eastAsia="zh-CN" w:bidi="ar"/>
        </w:rPr>
        <w:t>9</w:t>
      </w:r>
      <w:r>
        <w:rPr>
          <w:rFonts w:hint="eastAsia"/>
          <w:color w:val="auto"/>
          <w:sz w:val="24"/>
          <w:lang w:eastAsia="zh-CN" w:bidi="ar"/>
        </w:rPr>
        <w:t>点30分</w:t>
      </w:r>
      <w:r>
        <w:rPr>
          <w:bCs/>
          <w:color w:val="auto"/>
          <w:sz w:val="24"/>
          <w:lang w:bidi="ar"/>
        </w:rPr>
        <w:t>（北京时间）</w:t>
      </w:r>
      <w:r>
        <w:rPr>
          <w:iCs/>
          <w:color w:val="auto"/>
          <w:sz w:val="24"/>
          <w:lang w:bidi="ar"/>
        </w:rPr>
        <w:t>。</w:t>
      </w:r>
    </w:p>
    <w:p w14:paraId="560C256A">
      <w:pPr>
        <w:spacing w:line="360" w:lineRule="auto"/>
        <w:ind w:firstLine="480" w:firstLineChars="200"/>
        <w:rPr>
          <w:color w:val="auto"/>
          <w:sz w:val="24"/>
          <w:lang w:val="zh-TW" w:bidi="ar"/>
        </w:rPr>
      </w:pPr>
      <w:r>
        <w:rPr>
          <w:color w:val="auto"/>
          <w:sz w:val="24"/>
          <w:lang w:bidi="ar"/>
        </w:rPr>
        <w:t>地点：</w:t>
      </w:r>
      <w:r>
        <w:rPr>
          <w:rFonts w:hint="eastAsia"/>
          <w:color w:val="auto"/>
          <w:sz w:val="24"/>
          <w:lang w:bidi="ar"/>
        </w:rPr>
        <w:t>北京市丰台区丽泽路24号平安幸福中心B座23层</w:t>
      </w:r>
      <w:r>
        <w:rPr>
          <w:rFonts w:hint="eastAsia"/>
          <w:color w:val="auto"/>
          <w:sz w:val="24"/>
          <w:lang w:val="en-US" w:eastAsia="zh-CN" w:bidi="ar"/>
        </w:rPr>
        <w:t>电子评标</w:t>
      </w:r>
      <w:r>
        <w:rPr>
          <w:rFonts w:hint="eastAsia"/>
          <w:color w:val="auto"/>
          <w:sz w:val="24"/>
          <w:lang w:bidi="ar"/>
        </w:rPr>
        <w:t>会议室</w:t>
      </w:r>
      <w:r>
        <w:rPr>
          <w:color w:val="auto"/>
          <w:sz w:val="24"/>
          <w:lang w:val="zh-TW" w:bidi="ar"/>
        </w:rPr>
        <w:t>。</w:t>
      </w:r>
    </w:p>
    <w:p w14:paraId="4072AA83">
      <w:pPr>
        <w:spacing w:line="360" w:lineRule="auto"/>
        <w:ind w:firstLine="480" w:firstLineChars="200"/>
        <w:rPr>
          <w:bCs/>
          <w:sz w:val="24"/>
          <w:u w:val="single"/>
        </w:rPr>
      </w:pPr>
    </w:p>
    <w:p w14:paraId="14A4D32A">
      <w:pPr>
        <w:pStyle w:val="3"/>
        <w:spacing w:before="0" w:line="360" w:lineRule="auto"/>
        <w:jc w:val="left"/>
        <w:rPr>
          <w:rFonts w:ascii="Times New Roman" w:hAnsi="Times New Roman" w:eastAsia="宋体"/>
          <w:sz w:val="24"/>
          <w:szCs w:val="24"/>
        </w:rPr>
      </w:pPr>
      <w:bookmarkStart w:id="21" w:name="_Toc35393625"/>
      <w:bookmarkStart w:id="22" w:name="_Toc35393794"/>
      <w:bookmarkStart w:id="23" w:name="_Toc28359084"/>
      <w:bookmarkStart w:id="24" w:name="_Toc28359007"/>
      <w:r>
        <w:rPr>
          <w:rFonts w:ascii="Times New Roman" w:hAnsi="Times New Roman" w:eastAsia="宋体"/>
          <w:sz w:val="24"/>
          <w:szCs w:val="24"/>
        </w:rPr>
        <w:t>五、公告期限</w:t>
      </w:r>
      <w:bookmarkEnd w:id="21"/>
      <w:bookmarkEnd w:id="22"/>
      <w:bookmarkEnd w:id="23"/>
      <w:bookmarkEnd w:id="24"/>
    </w:p>
    <w:p w14:paraId="471440D6">
      <w:pPr>
        <w:spacing w:line="360" w:lineRule="auto"/>
        <w:ind w:firstLine="480" w:firstLineChars="200"/>
        <w:rPr>
          <w:kern w:val="0"/>
          <w:sz w:val="24"/>
        </w:rPr>
      </w:pPr>
      <w:r>
        <w:rPr>
          <w:kern w:val="0"/>
          <w:sz w:val="24"/>
        </w:rPr>
        <w:t>自本公告发布之日起5个工作日。</w:t>
      </w:r>
    </w:p>
    <w:p w14:paraId="391A34FB">
      <w:pPr>
        <w:spacing w:line="360" w:lineRule="auto"/>
        <w:ind w:firstLine="480" w:firstLineChars="200"/>
        <w:rPr>
          <w:kern w:val="0"/>
          <w:sz w:val="24"/>
        </w:rPr>
      </w:pPr>
    </w:p>
    <w:p w14:paraId="1FB46D09">
      <w:pPr>
        <w:pStyle w:val="3"/>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76FD1EE6">
      <w:pPr>
        <w:spacing w:line="360" w:lineRule="auto"/>
        <w:ind w:firstLine="480" w:firstLineChars="200"/>
        <w:rPr>
          <w:color w:val="auto"/>
          <w:sz w:val="24"/>
        </w:rPr>
      </w:pPr>
      <w:r>
        <w:rPr>
          <w:color w:val="auto"/>
          <w:sz w:val="24"/>
        </w:rPr>
        <w:t>1.本项目需要落实的政府采购政策：</w:t>
      </w:r>
    </w:p>
    <w:p w14:paraId="0F17433E">
      <w:pPr>
        <w:spacing w:line="360" w:lineRule="auto"/>
        <w:ind w:firstLine="480" w:firstLineChars="200"/>
        <w:rPr>
          <w:color w:val="auto"/>
          <w:sz w:val="24"/>
          <w:lang w:bidi="ar"/>
        </w:rPr>
      </w:pPr>
      <w:r>
        <w:rPr>
          <w:rFonts w:hint="eastAsia"/>
          <w:color w:val="auto"/>
          <w:sz w:val="24"/>
          <w:lang w:bidi="ar"/>
        </w:rPr>
        <w:t>（1）</w:t>
      </w:r>
      <w:r>
        <w:rPr>
          <w:rFonts w:hint="eastAsia"/>
          <w:color w:val="auto"/>
          <w:sz w:val="24"/>
          <w:lang w:bidi="ar"/>
        </w:rPr>
        <w:tab/>
      </w:r>
      <w:r>
        <w:rPr>
          <w:rFonts w:hint="eastAsia"/>
          <w:color w:val="auto"/>
          <w:sz w:val="24"/>
          <w:lang w:bidi="ar"/>
        </w:rPr>
        <w:t>执行节能产品政府优先采购和强制采购制度；</w:t>
      </w:r>
    </w:p>
    <w:p w14:paraId="12EEC1C3">
      <w:pPr>
        <w:spacing w:line="360" w:lineRule="auto"/>
        <w:ind w:firstLine="480" w:firstLineChars="200"/>
        <w:rPr>
          <w:color w:val="auto"/>
          <w:sz w:val="24"/>
          <w:lang w:bidi="ar"/>
        </w:rPr>
      </w:pPr>
      <w:r>
        <w:rPr>
          <w:rFonts w:hint="eastAsia"/>
          <w:color w:val="auto"/>
          <w:sz w:val="24"/>
          <w:lang w:bidi="ar"/>
        </w:rPr>
        <w:t>（2）</w:t>
      </w:r>
      <w:r>
        <w:rPr>
          <w:rFonts w:hint="eastAsia"/>
          <w:color w:val="auto"/>
          <w:sz w:val="24"/>
          <w:lang w:bidi="ar"/>
        </w:rPr>
        <w:tab/>
      </w:r>
      <w:r>
        <w:rPr>
          <w:rFonts w:hint="eastAsia"/>
          <w:color w:val="auto"/>
          <w:sz w:val="24"/>
          <w:lang w:bidi="ar"/>
        </w:rPr>
        <w:t>执行环境标志产品政府优先采购制度；</w:t>
      </w:r>
    </w:p>
    <w:p w14:paraId="3DD24938">
      <w:pPr>
        <w:spacing w:line="360" w:lineRule="auto"/>
        <w:ind w:firstLine="480" w:firstLineChars="200"/>
        <w:rPr>
          <w:color w:val="auto"/>
          <w:sz w:val="24"/>
          <w:lang w:bidi="ar"/>
        </w:rPr>
      </w:pPr>
      <w:r>
        <w:rPr>
          <w:rFonts w:hint="eastAsia"/>
          <w:color w:val="auto"/>
          <w:sz w:val="24"/>
          <w:lang w:bidi="ar"/>
        </w:rPr>
        <w:t>（3）</w:t>
      </w:r>
      <w:r>
        <w:rPr>
          <w:rFonts w:hint="eastAsia"/>
          <w:color w:val="auto"/>
          <w:sz w:val="24"/>
          <w:lang w:bidi="ar"/>
        </w:rPr>
        <w:tab/>
      </w:r>
      <w:r>
        <w:rPr>
          <w:rFonts w:hint="eastAsia"/>
          <w:color w:val="auto"/>
          <w:sz w:val="24"/>
          <w:lang w:bidi="ar"/>
        </w:rPr>
        <w:t>执行《政府采购促进中小企业发展管理办法》；</w:t>
      </w:r>
    </w:p>
    <w:p w14:paraId="20D722B4">
      <w:pPr>
        <w:spacing w:line="360" w:lineRule="auto"/>
        <w:ind w:firstLine="480" w:firstLineChars="200"/>
        <w:rPr>
          <w:color w:val="auto"/>
          <w:sz w:val="24"/>
          <w:lang w:bidi="ar"/>
        </w:rPr>
      </w:pPr>
      <w:r>
        <w:rPr>
          <w:rFonts w:hint="eastAsia"/>
          <w:color w:val="auto"/>
          <w:sz w:val="24"/>
          <w:lang w:bidi="ar"/>
        </w:rPr>
        <w:t>（4）</w:t>
      </w:r>
      <w:r>
        <w:rPr>
          <w:rFonts w:hint="eastAsia"/>
          <w:color w:val="auto"/>
          <w:sz w:val="24"/>
          <w:lang w:bidi="ar"/>
        </w:rPr>
        <w:tab/>
      </w:r>
      <w:r>
        <w:rPr>
          <w:rFonts w:hint="eastAsia"/>
          <w:color w:val="auto"/>
          <w:sz w:val="24"/>
          <w:lang w:bidi="ar"/>
        </w:rPr>
        <w:t>执行《关于政府采购支持监狱企业发展有关问题的通知》；</w:t>
      </w:r>
    </w:p>
    <w:p w14:paraId="78ACD8C8">
      <w:pPr>
        <w:spacing w:line="360" w:lineRule="auto"/>
        <w:ind w:firstLine="480" w:firstLineChars="200"/>
        <w:rPr>
          <w:color w:val="auto"/>
          <w:sz w:val="24"/>
        </w:rPr>
      </w:pPr>
      <w:r>
        <w:rPr>
          <w:rFonts w:hint="eastAsia"/>
          <w:color w:val="auto"/>
          <w:sz w:val="24"/>
          <w:lang w:bidi="ar"/>
        </w:rPr>
        <w:t>（5）</w:t>
      </w:r>
      <w:r>
        <w:rPr>
          <w:rFonts w:hint="eastAsia"/>
          <w:color w:val="auto"/>
          <w:sz w:val="24"/>
          <w:lang w:bidi="ar"/>
        </w:rPr>
        <w:tab/>
      </w:r>
      <w:r>
        <w:rPr>
          <w:rFonts w:hint="eastAsia"/>
          <w:color w:val="auto"/>
          <w:sz w:val="24"/>
          <w:lang w:bidi="ar"/>
        </w:rPr>
        <w:t>执行《关于促进残疾人就业政府采购政策的通知》。</w:t>
      </w:r>
    </w:p>
    <w:p w14:paraId="1C1272D5">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05B937FD">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0D925C1A">
      <w:pPr>
        <w:adjustRightInd w:val="0"/>
        <w:snapToGrid w:val="0"/>
        <w:spacing w:line="360" w:lineRule="auto"/>
        <w:ind w:firstLine="480" w:firstLineChars="200"/>
        <w:rPr>
          <w:color w:val="auto"/>
          <w:sz w:val="24"/>
        </w:rPr>
      </w:pPr>
      <w:r>
        <w:rPr>
          <w:color w:val="auto"/>
          <w:sz w:val="24"/>
          <w:lang w:bidi="ar"/>
        </w:rPr>
        <w:t>电子营业执照服务热线 400-699-7000</w:t>
      </w:r>
    </w:p>
    <w:p w14:paraId="4280F247">
      <w:pPr>
        <w:adjustRightInd w:val="0"/>
        <w:snapToGrid w:val="0"/>
        <w:spacing w:line="360" w:lineRule="auto"/>
        <w:ind w:firstLine="480" w:firstLineChars="200"/>
        <w:rPr>
          <w:color w:val="auto"/>
          <w:sz w:val="24"/>
        </w:rPr>
      </w:pPr>
      <w:r>
        <w:rPr>
          <w:color w:val="auto"/>
          <w:sz w:val="24"/>
          <w:lang w:bidi="ar"/>
        </w:rPr>
        <w:t>技术支持服务热线    010-86483801</w:t>
      </w:r>
    </w:p>
    <w:p w14:paraId="5F084538">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.1办理CA数字证书或电子营业执照</w:t>
      </w:r>
    </w:p>
    <w:p w14:paraId="5F28F7D8">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0FFD1F9B">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.2注册</w:t>
      </w:r>
    </w:p>
    <w:p w14:paraId="1029A690">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78FD7345">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.3驱动、客户端下载</w:t>
      </w:r>
    </w:p>
    <w:p w14:paraId="00D17C3A">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3DFA5397">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673DCD9D">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.4 获取电子招标文件</w:t>
      </w:r>
    </w:p>
    <w:p w14:paraId="2CB90B9A">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22DBD0B0">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661D857">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.5编制电子投标文件</w:t>
      </w:r>
    </w:p>
    <w:p w14:paraId="1A8653AF">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3601C0BA">
      <w:pPr>
        <w:widowControl/>
        <w:spacing w:line="360" w:lineRule="auto"/>
        <w:ind w:firstLine="480" w:firstLineChars="200"/>
        <w:jc w:val="left"/>
        <w:rPr>
          <w:color w:val="auto"/>
          <w:sz w:val="24"/>
          <w:lang w:val="zh-TW" w:bidi="ar"/>
        </w:rPr>
      </w:pPr>
      <w:r>
        <w:rPr>
          <w:rFonts w:hint="eastAsia"/>
          <w:color w:val="auto"/>
          <w:sz w:val="24"/>
          <w:lang w:val="zh-TW" w:bidi="ar"/>
        </w:rPr>
        <w:t>2</w:t>
      </w:r>
      <w:r>
        <w:rPr>
          <w:color w:val="auto"/>
          <w:sz w:val="24"/>
          <w:lang w:val="zh-TW" w:bidi="ar"/>
        </w:rPr>
        <w:t>.6提交电子投标文件</w:t>
      </w:r>
    </w:p>
    <w:p w14:paraId="0A166CE5">
      <w:pPr>
        <w:widowControl/>
        <w:spacing w:line="360" w:lineRule="auto"/>
        <w:ind w:firstLine="480" w:firstLineChars="200"/>
        <w:jc w:val="left"/>
        <w:rPr>
          <w:color w:val="auto"/>
          <w:sz w:val="24"/>
          <w:highlight w:val="none"/>
          <w:lang w:bidi="ar"/>
        </w:rPr>
      </w:pPr>
      <w:r>
        <w:rPr>
          <w:color w:val="auto"/>
          <w:sz w:val="24"/>
          <w:lang w:bidi="ar"/>
        </w:rPr>
        <w:t>供应商应于投标截止时间前在北京市政府采购电子交易平台提交电子投标文件，上传电子投</w:t>
      </w:r>
      <w:r>
        <w:rPr>
          <w:color w:val="auto"/>
          <w:sz w:val="24"/>
          <w:highlight w:val="none"/>
          <w:lang w:bidi="ar"/>
        </w:rPr>
        <w:t>标文件过程中请保持与互联网的连接畅通。</w:t>
      </w:r>
    </w:p>
    <w:p w14:paraId="72E5D456">
      <w:pPr>
        <w:widowControl/>
        <w:spacing w:line="360" w:lineRule="auto"/>
        <w:ind w:firstLine="480" w:firstLineChars="200"/>
        <w:jc w:val="left"/>
        <w:rPr>
          <w:color w:val="auto"/>
          <w:sz w:val="24"/>
          <w:highlight w:val="none"/>
          <w:lang w:bidi="ar"/>
        </w:rPr>
      </w:pPr>
      <w:r>
        <w:rPr>
          <w:rFonts w:hint="eastAsia"/>
          <w:color w:val="auto"/>
          <w:sz w:val="24"/>
          <w:highlight w:val="none"/>
          <w:lang w:val="zh-TW" w:bidi="ar"/>
        </w:rPr>
        <w:t>2</w:t>
      </w:r>
      <w:r>
        <w:rPr>
          <w:color w:val="auto"/>
          <w:sz w:val="24"/>
          <w:highlight w:val="none"/>
          <w:lang w:val="zh-TW" w:bidi="ar"/>
        </w:rPr>
        <w:t>.7电子开标</w:t>
      </w:r>
    </w:p>
    <w:p w14:paraId="78027DDB">
      <w:pPr>
        <w:spacing w:line="360" w:lineRule="auto"/>
        <w:ind w:firstLine="480" w:firstLineChars="200"/>
        <w:rPr>
          <w:color w:val="auto"/>
          <w:sz w:val="24"/>
          <w:highlight w:val="none"/>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08562FF8">
      <w:pPr>
        <w:spacing w:line="360" w:lineRule="auto"/>
        <w:ind w:firstLine="480" w:firstLineChars="200"/>
        <w:rPr>
          <w:color w:val="auto"/>
          <w:sz w:val="24"/>
          <w:highlight w:val="none"/>
        </w:rPr>
      </w:pPr>
      <w:r>
        <w:rPr>
          <w:rFonts w:hint="eastAsia"/>
          <w:color w:val="auto"/>
          <w:sz w:val="24"/>
          <w:highlight w:val="none"/>
        </w:rPr>
        <w:t>3.</w:t>
      </w:r>
      <w:r>
        <w:rPr>
          <w:rFonts w:hint="eastAsia"/>
          <w:b/>
          <w:bCs/>
          <w:color w:val="auto"/>
          <w:sz w:val="24"/>
          <w:highlight w:val="none"/>
        </w:rPr>
        <w:t>投标人的代表须携带 CA 数字证书出席开标仪式。</w:t>
      </w:r>
      <w:r>
        <w:rPr>
          <w:rFonts w:hint="eastAsia"/>
          <w:color w:val="auto"/>
          <w:sz w:val="24"/>
          <w:highlight w:val="none"/>
        </w:rPr>
        <w:t>未携带CA数字证书造成开标现场无法解密投标文件等问题，采购人、采购代理机构不承担任何责任。投标人代表还需在开标现场递交纸质副本投标文件，纸质副本投标文件应当按照招标文件要求进行密封并在投标截止时间前递交，未密封或迟交的纸质副本投标文件，采购人、采购代理机构将拒绝在开标现场接收。纸质副本投标文件与交易平台电子投标文件不一致的，以电子投标文件为准。</w:t>
      </w:r>
    </w:p>
    <w:p w14:paraId="171A6B86">
      <w:pPr>
        <w:pStyle w:val="3"/>
        <w:spacing w:before="0" w:line="360" w:lineRule="auto"/>
        <w:jc w:val="left"/>
        <w:rPr>
          <w:rFonts w:ascii="Times New Roman" w:hAnsi="Times New Roman" w:eastAsia="宋体"/>
          <w:sz w:val="24"/>
          <w:szCs w:val="24"/>
          <w:highlight w:val="none"/>
        </w:rPr>
      </w:pPr>
      <w:bookmarkStart w:id="27" w:name="_Toc35393627"/>
      <w:bookmarkStart w:id="28" w:name="_Toc28359085"/>
      <w:bookmarkStart w:id="29" w:name="_Toc28359008"/>
      <w:bookmarkStart w:id="30" w:name="_Toc35393796"/>
      <w:r>
        <w:rPr>
          <w:rFonts w:ascii="Times New Roman" w:hAnsi="Times New Roman" w:eastAsia="宋体"/>
          <w:sz w:val="24"/>
          <w:szCs w:val="24"/>
          <w:highlight w:val="none"/>
        </w:rPr>
        <w:t>七、对本次招标提出询问，请按以下方式联系。</w:t>
      </w:r>
      <w:bookmarkEnd w:id="27"/>
      <w:bookmarkEnd w:id="28"/>
      <w:bookmarkEnd w:id="29"/>
      <w:bookmarkEnd w:id="30"/>
    </w:p>
    <w:p w14:paraId="36005F8D">
      <w:pPr>
        <w:spacing w:line="360" w:lineRule="auto"/>
        <w:ind w:left="1080" w:leftChars="371" w:hanging="301" w:hangingChars="125"/>
        <w:jc w:val="left"/>
        <w:rPr>
          <w:b/>
          <w:sz w:val="24"/>
          <w:highlight w:val="none"/>
        </w:rPr>
      </w:pPr>
      <w:r>
        <w:rPr>
          <w:b/>
          <w:sz w:val="24"/>
          <w:highlight w:val="none"/>
        </w:rPr>
        <w:t>1.采购人信息</w:t>
      </w:r>
    </w:p>
    <w:p w14:paraId="5B3BE56D">
      <w:pPr>
        <w:spacing w:line="360" w:lineRule="auto"/>
        <w:ind w:left="1079" w:leftChars="371" w:hanging="300" w:hangingChars="125"/>
        <w:jc w:val="left"/>
        <w:rPr>
          <w:rFonts w:hint="eastAsia" w:asciiTheme="minorEastAsia" w:hAnsiTheme="minorEastAsia" w:eastAsiaTheme="minorEastAsia"/>
          <w:color w:val="auto"/>
          <w:sz w:val="24"/>
          <w:highlight w:val="none"/>
          <w:lang w:eastAsia="zh-CN"/>
        </w:rPr>
      </w:pPr>
      <w:bookmarkStart w:id="31" w:name="_Toc28359086"/>
      <w:bookmarkStart w:id="32" w:name="_Toc28359009"/>
      <w:r>
        <w:rPr>
          <w:rFonts w:asciiTheme="minorEastAsia" w:hAnsiTheme="minorEastAsia" w:eastAsiaTheme="minorEastAsia"/>
          <w:color w:val="auto"/>
          <w:sz w:val="24"/>
          <w:highlight w:val="none"/>
        </w:rPr>
        <w:t>名    称：</w:t>
      </w:r>
      <w:r>
        <w:rPr>
          <w:rFonts w:hint="eastAsia" w:asciiTheme="minorEastAsia" w:hAnsiTheme="minorEastAsia" w:eastAsiaTheme="minorEastAsia"/>
          <w:color w:val="auto"/>
          <w:sz w:val="24"/>
          <w:highlight w:val="none"/>
          <w:lang w:eastAsia="zh-CN"/>
        </w:rPr>
        <w:t>北京市丰台区市场监督管理局</w:t>
      </w:r>
    </w:p>
    <w:p w14:paraId="6745491A">
      <w:pPr>
        <w:spacing w:line="360" w:lineRule="auto"/>
        <w:ind w:left="1079" w:leftChars="371" w:hanging="300" w:hangingChars="125"/>
        <w:jc w:val="left"/>
        <w:rPr>
          <w:rFonts w:hint="eastAsia" w:asciiTheme="minorEastAsia" w:hAnsiTheme="minorEastAsia" w:eastAsiaTheme="minorEastAsia"/>
          <w:color w:val="auto"/>
          <w:sz w:val="24"/>
          <w:lang w:eastAsia="zh-CN"/>
        </w:rPr>
      </w:pPr>
      <w:r>
        <w:rPr>
          <w:rFonts w:asciiTheme="minorEastAsia" w:hAnsiTheme="minorEastAsia" w:eastAsiaTheme="minorEastAsia"/>
          <w:color w:val="auto"/>
          <w:sz w:val="24"/>
        </w:rPr>
        <w:t>地    址：</w:t>
      </w:r>
      <w:r>
        <w:rPr>
          <w:rFonts w:hint="eastAsia" w:asciiTheme="minorEastAsia" w:hAnsiTheme="minorEastAsia" w:eastAsiaTheme="minorEastAsia"/>
          <w:color w:val="auto"/>
          <w:sz w:val="24"/>
        </w:rPr>
        <w:t>北京市丰台区菜户营东街乙360号</w:t>
      </w:r>
    </w:p>
    <w:p w14:paraId="636A2B1C">
      <w:pPr>
        <w:spacing w:line="360" w:lineRule="auto"/>
        <w:ind w:left="1079" w:leftChars="371" w:hanging="300" w:hangingChars="125"/>
        <w:jc w:val="left"/>
        <w:rPr>
          <w:rFonts w:hint="default" w:asciiTheme="minorEastAsia" w:hAnsiTheme="minorEastAsia" w:eastAsiaTheme="minorEastAsia"/>
          <w:color w:val="auto"/>
          <w:sz w:val="24"/>
          <w:u w:val="single"/>
          <w:lang w:val="en-US" w:eastAsia="zh-CN"/>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lang w:val="en-US" w:eastAsia="zh-CN"/>
        </w:rPr>
        <w:t>徐老师 010-</w:t>
      </w:r>
      <w:r>
        <w:rPr>
          <w:rFonts w:hint="eastAsia" w:ascii="宋体" w:hAnsi="宋体" w:eastAsia="宋体" w:cs="宋体"/>
          <w:sz w:val="28"/>
          <w:szCs w:val="28"/>
          <w:lang w:val="en-US" w:eastAsia="zh-CN"/>
        </w:rPr>
        <w:t>63469955</w:t>
      </w:r>
    </w:p>
    <w:p w14:paraId="559C1702">
      <w:pPr>
        <w:spacing w:line="360" w:lineRule="auto"/>
        <w:ind w:left="1080" w:leftChars="371" w:hanging="301" w:hangingChars="125"/>
        <w:jc w:val="left"/>
        <w:rPr>
          <w:rFonts w:hint="eastAsia"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1"/>
      <w:bookmarkEnd w:id="32"/>
    </w:p>
    <w:p w14:paraId="5F0F47A4">
      <w:pPr>
        <w:spacing w:line="360" w:lineRule="auto"/>
        <w:ind w:left="1079" w:leftChars="371" w:hanging="300" w:hangingChars="125"/>
        <w:jc w:val="left"/>
        <w:rPr>
          <w:rFonts w:hint="eastAsia" w:asciiTheme="minorEastAsia" w:hAnsiTheme="minorEastAsia" w:eastAsiaTheme="minorEastAsia"/>
          <w:color w:val="auto"/>
          <w:sz w:val="24"/>
        </w:rPr>
      </w:pPr>
      <w:bookmarkStart w:id="33" w:name="_Toc28359010"/>
      <w:bookmarkStart w:id="34" w:name="_Toc28359087"/>
      <w:r>
        <w:rPr>
          <w:rFonts w:asciiTheme="minorEastAsia" w:hAnsiTheme="minorEastAsia" w:eastAsiaTheme="minorEastAsia"/>
          <w:color w:val="auto"/>
          <w:sz w:val="24"/>
        </w:rPr>
        <w:t>名    称：</w:t>
      </w:r>
      <w:r>
        <w:rPr>
          <w:rFonts w:hint="eastAsia" w:asciiTheme="minorEastAsia" w:hAnsiTheme="minorEastAsia" w:eastAsiaTheme="minorEastAsia"/>
          <w:color w:val="auto"/>
          <w:sz w:val="24"/>
        </w:rPr>
        <w:t>中化商务有限公司</w:t>
      </w:r>
    </w:p>
    <w:p w14:paraId="4EA7D509">
      <w:pPr>
        <w:spacing w:line="360" w:lineRule="auto"/>
        <w:ind w:left="1079" w:leftChars="371" w:hanging="300" w:hangingChars="125"/>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地    址：</w:t>
      </w:r>
      <w:r>
        <w:rPr>
          <w:rFonts w:hint="eastAsia" w:asciiTheme="minorEastAsia" w:hAnsiTheme="minorEastAsia" w:eastAsiaTheme="minorEastAsia"/>
          <w:color w:val="auto"/>
          <w:sz w:val="24"/>
        </w:rPr>
        <w:t>北京市丰台区丽泽路24号平安幸福中心B座23层</w:t>
      </w:r>
    </w:p>
    <w:p w14:paraId="07057FF5">
      <w:pPr>
        <w:spacing w:line="360" w:lineRule="auto"/>
        <w:ind w:left="1079" w:leftChars="371" w:hanging="300" w:hangingChars="125"/>
        <w:jc w:val="left"/>
        <w:rPr>
          <w:rFonts w:hint="eastAsia" w:asciiTheme="minorEastAsia" w:hAnsiTheme="minorEastAsia" w:eastAsiaTheme="minorEastAsia"/>
          <w:color w:val="auto"/>
          <w:sz w:val="24"/>
          <w:u w:val="single"/>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rPr>
        <w:t>韩伟轩、王晓烨、刘畅 17710787107</w:t>
      </w:r>
    </w:p>
    <w:p w14:paraId="785DA75A">
      <w:pPr>
        <w:spacing w:line="360" w:lineRule="auto"/>
        <w:ind w:left="1080" w:leftChars="371" w:hanging="301" w:hangingChars="125"/>
        <w:jc w:val="left"/>
        <w:rPr>
          <w:rFonts w:hint="eastAsia"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33"/>
      <w:bookmarkEnd w:id="34"/>
    </w:p>
    <w:p w14:paraId="4A9C7FB7">
      <w:pPr>
        <w:spacing w:line="360" w:lineRule="auto"/>
        <w:ind w:left="1079" w:leftChars="371" w:hanging="300" w:hangingChars="125"/>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rPr>
        <w:t>韩伟轩</w:t>
      </w:r>
    </w:p>
    <w:p w14:paraId="1C5C6F94">
      <w:pPr>
        <w:spacing w:line="360" w:lineRule="auto"/>
        <w:ind w:left="1079" w:leftChars="371" w:hanging="300" w:hangingChars="125"/>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电      话：</w:t>
      </w:r>
      <w:r>
        <w:rPr>
          <w:rFonts w:hint="eastAsia" w:asciiTheme="minorEastAsia" w:hAnsiTheme="minorEastAsia" w:eastAsiaTheme="minorEastAsia"/>
          <w:color w:val="auto"/>
          <w:sz w:val="24"/>
        </w:rPr>
        <w:t>17710787107</w:t>
      </w:r>
    </w:p>
    <w:p w14:paraId="5A197A51">
      <w:pPr>
        <w:spacing w:line="360" w:lineRule="auto"/>
        <w:ind w:left="1079" w:leftChars="371" w:hanging="300" w:hangingChars="125"/>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电子邮箱：hanweixuan@sinochem.com</w:t>
      </w:r>
    </w:p>
    <w:p w14:paraId="5EFD44F9">
      <w:pPr>
        <w:spacing w:line="360" w:lineRule="auto"/>
        <w:ind w:firstLine="5880" w:firstLineChars="2450"/>
        <w:jc w:val="right"/>
        <w:rPr>
          <w:sz w:val="24"/>
        </w:rPr>
      </w:pPr>
    </w:p>
    <w:p w14:paraId="66CF2DEE">
      <w:pPr>
        <w:spacing w:line="360" w:lineRule="auto"/>
        <w:jc w:val="center"/>
        <w:outlineLvl w:val="0"/>
        <w:rPr>
          <w:b/>
          <w:sz w:val="32"/>
          <w:szCs w:val="32"/>
        </w:rPr>
      </w:pPr>
      <w:r>
        <w:rPr>
          <w:sz w:val="24"/>
        </w:rPr>
        <w:br w:type="page"/>
      </w:r>
      <w:bookmarkStart w:id="35" w:name="_Toc127161488"/>
      <w:bookmarkStart w:id="36" w:name="_Toc265228423"/>
      <w:bookmarkStart w:id="37" w:name="_Toc99301420"/>
      <w:bookmarkStart w:id="38" w:name="_Toc226965856"/>
      <w:bookmarkStart w:id="39" w:name="_Toc305158928"/>
      <w:bookmarkStart w:id="40" w:name="_Toc512937850"/>
      <w:bookmarkStart w:id="41" w:name="_Toc150774783"/>
      <w:bookmarkStart w:id="42" w:name="_Toc264969275"/>
      <w:bookmarkStart w:id="43" w:name="_Toc305158854"/>
      <w:bookmarkStart w:id="44" w:name="_Toc353873938"/>
      <w:bookmarkStart w:id="45" w:name="_Toc353825548"/>
      <w:bookmarkStart w:id="46" w:name="_Toc195842950"/>
      <w:bookmarkStart w:id="47" w:name="_Toc127151777"/>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2600BBC4">
      <w:pPr>
        <w:pStyle w:val="3"/>
        <w:tabs>
          <w:tab w:val="center" w:pos="4592"/>
          <w:tab w:val="left" w:pos="7860"/>
        </w:tabs>
        <w:spacing w:before="0" w:line="360" w:lineRule="auto"/>
        <w:rPr>
          <w:rFonts w:ascii="Times New Roman" w:hAnsi="Times New Roman" w:eastAsia="宋体"/>
          <w:sz w:val="28"/>
        </w:rPr>
      </w:pPr>
      <w:bookmarkStart w:id="48" w:name="_Toc150774619"/>
      <w:bookmarkStart w:id="49" w:name="_Toc226965709"/>
      <w:bookmarkStart w:id="50" w:name="_Toc164351613"/>
      <w:bookmarkStart w:id="51" w:name="_Toc151193689"/>
      <w:bookmarkStart w:id="52" w:name="_Toc127151720"/>
      <w:bookmarkStart w:id="53" w:name="_Toc164608788"/>
      <w:bookmarkStart w:id="54" w:name="_Toc164229360"/>
      <w:bookmarkStart w:id="55" w:name="_Toc151193833"/>
      <w:bookmarkStart w:id="56" w:name="_Toc151193617"/>
      <w:bookmarkStart w:id="57" w:name="_Toc226309763"/>
      <w:bookmarkStart w:id="58" w:name="_Toc127161433"/>
      <w:bookmarkStart w:id="59" w:name="_Toc195842884"/>
      <w:bookmarkStart w:id="60" w:name="_Toc520356144"/>
      <w:bookmarkStart w:id="61" w:name="_Toc149720812"/>
      <w:bookmarkStart w:id="62" w:name="_Toc151190146"/>
      <w:bookmarkStart w:id="63" w:name="_Toc142311021"/>
      <w:bookmarkStart w:id="64" w:name="_Toc151193761"/>
      <w:bookmarkStart w:id="65" w:name="_Toc226337215"/>
      <w:bookmarkStart w:id="66" w:name="_Toc164608633"/>
      <w:bookmarkStart w:id="67" w:name="_Toc127151519"/>
      <w:bookmarkStart w:id="68" w:name="_Toc226965792"/>
      <w:bookmarkStart w:id="69" w:name="_Toc151193907"/>
      <w:bookmarkStart w:id="70" w:name="_Toc164229214"/>
      <w:bookmarkStart w:id="71" w:name="_Toc150509270"/>
      <w:bookmarkStart w:id="72" w:name="_Toc150774724"/>
      <w:bookmarkStart w:id="73" w:name="_Toc150480757"/>
      <w:r>
        <w:rPr>
          <w:rFonts w:ascii="Times New Roman" w:hAnsi="Times New Roman" w:eastAsia="宋体"/>
          <w:sz w:val="28"/>
        </w:rPr>
        <w:t>投标人须知资料表</w:t>
      </w:r>
    </w:p>
    <w:p w14:paraId="21F21F9D">
      <w:pPr>
        <w:jc w:val="center"/>
        <w:rPr>
          <w:b/>
          <w:sz w:val="28"/>
          <w:szCs w:val="28"/>
        </w:rPr>
      </w:pPr>
    </w:p>
    <w:p w14:paraId="4DCF0C79">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B65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A91F4EF">
            <w:pPr>
              <w:jc w:val="center"/>
              <w:rPr>
                <w:b/>
                <w:bCs/>
                <w:sz w:val="24"/>
              </w:rPr>
            </w:pPr>
            <w:r>
              <w:rPr>
                <w:b/>
                <w:sz w:val="24"/>
              </w:rPr>
              <w:t>条款号</w:t>
            </w:r>
          </w:p>
        </w:tc>
        <w:tc>
          <w:tcPr>
            <w:tcW w:w="1701" w:type="dxa"/>
            <w:vAlign w:val="center"/>
          </w:tcPr>
          <w:p w14:paraId="4A75880A">
            <w:pPr>
              <w:jc w:val="center"/>
              <w:rPr>
                <w:b/>
                <w:bCs/>
                <w:sz w:val="24"/>
              </w:rPr>
            </w:pPr>
            <w:r>
              <w:rPr>
                <w:b/>
                <w:bCs/>
                <w:sz w:val="24"/>
              </w:rPr>
              <w:t>条目</w:t>
            </w:r>
          </w:p>
        </w:tc>
        <w:tc>
          <w:tcPr>
            <w:tcW w:w="7540" w:type="dxa"/>
            <w:vAlign w:val="center"/>
          </w:tcPr>
          <w:p w14:paraId="766309DA">
            <w:pPr>
              <w:jc w:val="center"/>
              <w:rPr>
                <w:b/>
                <w:bCs/>
                <w:sz w:val="24"/>
              </w:rPr>
            </w:pPr>
            <w:r>
              <w:rPr>
                <w:b/>
                <w:bCs/>
                <w:sz w:val="24"/>
              </w:rPr>
              <w:t>内容</w:t>
            </w:r>
          </w:p>
        </w:tc>
      </w:tr>
      <w:tr w14:paraId="575E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AEF86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BF99599">
            <w:pPr>
              <w:jc w:val="center"/>
              <w:rPr>
                <w:sz w:val="24"/>
              </w:rPr>
            </w:pPr>
            <w:r>
              <w:rPr>
                <w:sz w:val="24"/>
              </w:rPr>
              <w:t>项目属性</w:t>
            </w:r>
          </w:p>
        </w:tc>
        <w:tc>
          <w:tcPr>
            <w:tcW w:w="7540" w:type="dxa"/>
            <w:vAlign w:val="center"/>
          </w:tcPr>
          <w:p w14:paraId="52ED2CC7">
            <w:pPr>
              <w:jc w:val="left"/>
              <w:rPr>
                <w:rFonts w:hint="eastAsia" w:asciiTheme="minorEastAsia" w:hAnsiTheme="minorEastAsia" w:eastAsiaTheme="minorEastAsia"/>
                <w:sz w:val="24"/>
              </w:rPr>
            </w:pPr>
            <w:r>
              <w:rPr>
                <w:rFonts w:asciiTheme="minorEastAsia" w:hAnsiTheme="minorEastAsia" w:eastAsiaTheme="minorEastAsia"/>
                <w:sz w:val="24"/>
              </w:rPr>
              <w:t>项目属性：</w:t>
            </w:r>
          </w:p>
          <w:p w14:paraId="4C4E2C85">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服务</w:t>
            </w:r>
          </w:p>
          <w:p w14:paraId="2DFCFB84">
            <w:pPr>
              <w:jc w:val="left"/>
              <w:rPr>
                <w:rFonts w:hint="eastAsia" w:asciiTheme="minorEastAsia" w:hAnsiTheme="minorEastAsia" w:eastAsiaTheme="minorEastAsia"/>
                <w:sz w:val="24"/>
              </w:rPr>
            </w:pPr>
            <w:r>
              <w:rPr>
                <w:rFonts w:asciiTheme="minorEastAsia" w:hAnsiTheme="minorEastAsia" w:eastAsiaTheme="minorEastAsia"/>
                <w:sz w:val="24"/>
              </w:rPr>
              <w:t>□货物</w:t>
            </w:r>
          </w:p>
        </w:tc>
      </w:tr>
      <w:tr w14:paraId="1F41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1A067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BD76BFD">
            <w:pPr>
              <w:jc w:val="center"/>
              <w:rPr>
                <w:sz w:val="24"/>
              </w:rPr>
            </w:pPr>
            <w:r>
              <w:rPr>
                <w:sz w:val="24"/>
              </w:rPr>
              <w:t>科研仪器设备</w:t>
            </w:r>
          </w:p>
        </w:tc>
        <w:tc>
          <w:tcPr>
            <w:tcW w:w="7540" w:type="dxa"/>
            <w:vAlign w:val="center"/>
          </w:tcPr>
          <w:p w14:paraId="7BFA18F1">
            <w:pPr>
              <w:jc w:val="left"/>
              <w:rPr>
                <w:rFonts w:hint="eastAsia" w:asciiTheme="minorEastAsia" w:hAnsiTheme="minorEastAsia" w:eastAsiaTheme="minorEastAsia"/>
                <w:sz w:val="24"/>
              </w:rPr>
            </w:pPr>
            <w:r>
              <w:rPr>
                <w:rFonts w:asciiTheme="minorEastAsia" w:hAnsiTheme="minorEastAsia" w:eastAsiaTheme="minorEastAsia"/>
                <w:sz w:val="24"/>
              </w:rPr>
              <w:t>是否属于科研仪器设备采购项目：</w:t>
            </w:r>
          </w:p>
          <w:p w14:paraId="133E08EF">
            <w:pPr>
              <w:jc w:val="left"/>
              <w:rPr>
                <w:rFonts w:hint="eastAsia" w:asciiTheme="minorEastAsia" w:hAnsiTheme="minorEastAsia" w:eastAsiaTheme="minorEastAsia"/>
                <w:sz w:val="24"/>
              </w:rPr>
            </w:pPr>
            <w:r>
              <w:rPr>
                <w:rFonts w:asciiTheme="minorEastAsia" w:hAnsiTheme="minorEastAsia" w:eastAsiaTheme="minorEastAsia"/>
                <w:sz w:val="24"/>
              </w:rPr>
              <w:t>□是</w:t>
            </w:r>
          </w:p>
          <w:p w14:paraId="2F0E393B">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否</w:t>
            </w:r>
          </w:p>
        </w:tc>
      </w:tr>
      <w:tr w14:paraId="0880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B168F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159CE0C6">
            <w:pPr>
              <w:jc w:val="center"/>
              <w:rPr>
                <w:sz w:val="24"/>
              </w:rPr>
            </w:pPr>
            <w:r>
              <w:rPr>
                <w:sz w:val="24"/>
              </w:rPr>
              <w:t>核心产品</w:t>
            </w:r>
          </w:p>
        </w:tc>
        <w:tc>
          <w:tcPr>
            <w:tcW w:w="7540" w:type="dxa"/>
            <w:vAlign w:val="center"/>
          </w:tcPr>
          <w:p w14:paraId="1E930626">
            <w:pPr>
              <w:pStyle w:val="23"/>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default" w:asciiTheme="minorEastAsia" w:hAnsiTheme="minorEastAsia" w:eastAsiaTheme="minorEastAsia"/>
                <w:sz w:val="24"/>
                <w:szCs w:val="24"/>
              </w:rPr>
              <w:t>关于核心产品本项目</w:t>
            </w:r>
            <w:r>
              <w:rPr>
                <w:rFonts w:hint="eastAsia" w:asciiTheme="minorEastAsia" w:hAnsiTheme="minorEastAsia" w:eastAsiaTheme="minorEastAsia"/>
                <w:sz w:val="24"/>
                <w:szCs w:val="24"/>
                <w:u w:val="single"/>
                <w:lang w:val="en-US" w:eastAsia="zh-CN"/>
              </w:rPr>
              <w:t xml:space="preserve"> 1</w:t>
            </w:r>
            <w:r>
              <w:rPr>
                <w:rFonts w:hint="default" w:asciiTheme="minorEastAsia" w:hAnsiTheme="minorEastAsia" w:eastAsiaTheme="minorEastAsia"/>
                <w:sz w:val="24"/>
                <w:szCs w:val="24"/>
              </w:rPr>
              <w:t>包不适用。</w:t>
            </w:r>
          </w:p>
          <w:p w14:paraId="77CB70E6">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□本项目__包为单一产品采购项目。</w:t>
            </w:r>
          </w:p>
          <w:p w14:paraId="266FBAD6">
            <w:pPr>
              <w:jc w:val="left"/>
              <w:rPr>
                <w:rFonts w:hint="eastAsia" w:asciiTheme="minorEastAsia" w:hAnsiTheme="minorEastAsia" w:eastAsiaTheme="minorEastAsia"/>
                <w:sz w:val="24"/>
              </w:rPr>
            </w:pPr>
            <w:r>
              <w:rPr>
                <w:rFonts w:asciiTheme="minorEastAsia" w:hAnsiTheme="minorEastAsia" w:eastAsiaTheme="minorEastAsia"/>
                <w:sz w:val="24"/>
              </w:rPr>
              <w:t>□本项目__包为非单一产品采购项目，核心产品为：____。</w:t>
            </w:r>
          </w:p>
        </w:tc>
      </w:tr>
      <w:tr w14:paraId="38C4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606D58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795EF90">
            <w:pPr>
              <w:jc w:val="center"/>
              <w:rPr>
                <w:sz w:val="24"/>
              </w:rPr>
            </w:pPr>
            <w:r>
              <w:rPr>
                <w:sz w:val="24"/>
              </w:rPr>
              <w:t>现场考察</w:t>
            </w:r>
          </w:p>
        </w:tc>
        <w:tc>
          <w:tcPr>
            <w:tcW w:w="7540" w:type="dxa"/>
            <w:vAlign w:val="center"/>
          </w:tcPr>
          <w:p w14:paraId="6A5A40D6">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不组织</w:t>
            </w:r>
          </w:p>
          <w:p w14:paraId="3C7A792F">
            <w:pPr>
              <w:jc w:val="left"/>
              <w:rPr>
                <w:rFonts w:hint="eastAsia" w:asciiTheme="minorEastAsia" w:hAnsiTheme="minorEastAsia" w:eastAsiaTheme="minorEastAsia"/>
                <w:bCs/>
                <w:sz w:val="24"/>
              </w:rPr>
            </w:pPr>
            <w:r>
              <w:rPr>
                <w:rFonts w:asciiTheme="minorEastAsia" w:hAnsiTheme="minorEastAsia" w:eastAsiaTheme="minorEastAsia"/>
                <w:sz w:val="24"/>
              </w:rPr>
              <w:t>□组织，考察时间：__年_月_日_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51551D33">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rPr>
              <w:t>考察地点：____________。</w:t>
            </w:r>
          </w:p>
        </w:tc>
      </w:tr>
      <w:tr w14:paraId="377D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AF8BF12">
            <w:pPr>
              <w:pStyle w:val="23"/>
              <w:adjustRightInd w:val="0"/>
              <w:snapToGrid w:val="0"/>
              <w:jc w:val="center"/>
              <w:rPr>
                <w:rFonts w:hint="default" w:ascii="Times New Roman" w:hAnsi="Times New Roman"/>
                <w:sz w:val="24"/>
                <w:szCs w:val="24"/>
              </w:rPr>
            </w:pPr>
          </w:p>
        </w:tc>
        <w:tc>
          <w:tcPr>
            <w:tcW w:w="1701" w:type="dxa"/>
            <w:vAlign w:val="center"/>
          </w:tcPr>
          <w:p w14:paraId="3A59FE4D">
            <w:pPr>
              <w:jc w:val="center"/>
              <w:rPr>
                <w:sz w:val="24"/>
              </w:rPr>
            </w:pPr>
            <w:r>
              <w:rPr>
                <w:sz w:val="24"/>
              </w:rPr>
              <w:t>开标前答疑会</w:t>
            </w:r>
          </w:p>
        </w:tc>
        <w:tc>
          <w:tcPr>
            <w:tcW w:w="7540" w:type="dxa"/>
            <w:vAlign w:val="center"/>
          </w:tcPr>
          <w:p w14:paraId="7F0E6ABB">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不召开</w:t>
            </w:r>
          </w:p>
          <w:p w14:paraId="57829783">
            <w:pPr>
              <w:jc w:val="left"/>
              <w:rPr>
                <w:rFonts w:hint="eastAsia" w:asciiTheme="minorEastAsia" w:hAnsiTheme="minorEastAsia" w:eastAsiaTheme="minorEastAsia"/>
                <w:sz w:val="24"/>
              </w:rPr>
            </w:pPr>
            <w:r>
              <w:rPr>
                <w:rFonts w:asciiTheme="minorEastAsia" w:hAnsiTheme="minorEastAsia" w:eastAsiaTheme="minorEastAsia"/>
                <w:sz w:val="24"/>
              </w:rPr>
              <w:t>□召开，召开时间：__年_月_日_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292DFF67">
            <w:pPr>
              <w:jc w:val="left"/>
              <w:rPr>
                <w:rFonts w:hint="eastAsia" w:asciiTheme="minorEastAsia" w:hAnsiTheme="minorEastAsia" w:eastAsiaTheme="minorEastAsia"/>
                <w:sz w:val="24"/>
              </w:rPr>
            </w:pPr>
            <w:r>
              <w:rPr>
                <w:rFonts w:asciiTheme="minorEastAsia" w:hAnsiTheme="minorEastAsia" w:eastAsiaTheme="minorEastAsia"/>
                <w:sz w:val="24"/>
              </w:rPr>
              <w:t>召开地点：____________。</w:t>
            </w:r>
          </w:p>
        </w:tc>
      </w:tr>
      <w:tr w14:paraId="2023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9ACEA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6FF3CC3">
            <w:pPr>
              <w:jc w:val="center"/>
              <w:rPr>
                <w:sz w:val="24"/>
              </w:rPr>
            </w:pPr>
            <w:r>
              <w:rPr>
                <w:sz w:val="24"/>
              </w:rPr>
              <w:t>样品</w:t>
            </w:r>
          </w:p>
        </w:tc>
        <w:tc>
          <w:tcPr>
            <w:tcW w:w="7540" w:type="dxa"/>
            <w:vAlign w:val="center"/>
          </w:tcPr>
          <w:p w14:paraId="79C05959">
            <w:pPr>
              <w:jc w:val="left"/>
              <w:rPr>
                <w:rFonts w:hint="eastAsia" w:asciiTheme="minorEastAsia" w:hAnsiTheme="minorEastAsia" w:eastAsiaTheme="minorEastAsia"/>
                <w:sz w:val="24"/>
              </w:rPr>
            </w:pPr>
            <w:r>
              <w:rPr>
                <w:rFonts w:asciiTheme="minorEastAsia" w:hAnsiTheme="minorEastAsia" w:eastAsiaTheme="minorEastAsia"/>
                <w:sz w:val="24"/>
              </w:rPr>
              <w:t>投标样品递交：</w:t>
            </w:r>
          </w:p>
          <w:p w14:paraId="5DAE5C65">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不需要</w:t>
            </w:r>
          </w:p>
        </w:tc>
      </w:tr>
      <w:tr w14:paraId="5DF6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1CA21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69A93941">
            <w:pPr>
              <w:jc w:val="center"/>
              <w:rPr>
                <w:sz w:val="24"/>
              </w:rPr>
            </w:pPr>
            <w:r>
              <w:rPr>
                <w:sz w:val="24"/>
              </w:rPr>
              <w:t>标的所属行业</w:t>
            </w:r>
          </w:p>
        </w:tc>
        <w:tc>
          <w:tcPr>
            <w:tcW w:w="7540" w:type="dxa"/>
            <w:vAlign w:val="center"/>
          </w:tcPr>
          <w:p w14:paraId="23E3787E">
            <w:pPr>
              <w:jc w:val="left"/>
              <w:rPr>
                <w:sz w:val="24"/>
              </w:rPr>
            </w:pPr>
            <w:r>
              <w:rPr>
                <w:sz w:val="24"/>
              </w:rPr>
              <w:t>本项目采购标的对应的中小企业划分标准所属行业：</w:t>
            </w:r>
          </w:p>
          <w:tbl>
            <w:tblPr>
              <w:tblStyle w:val="42"/>
              <w:tblW w:w="47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946"/>
              <w:gridCol w:w="3300"/>
            </w:tblGrid>
            <w:tr w14:paraId="1068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 w:type="pct"/>
                  <w:tcBorders>
                    <w:top w:val="single" w:color="auto" w:sz="4" w:space="0"/>
                    <w:left w:val="single" w:color="auto" w:sz="4" w:space="0"/>
                    <w:bottom w:val="single" w:color="auto" w:sz="4" w:space="0"/>
                    <w:right w:val="single" w:color="auto" w:sz="4" w:space="0"/>
                  </w:tcBorders>
                  <w:vAlign w:val="center"/>
                </w:tcPr>
                <w:p w14:paraId="27B13C25">
                  <w:pPr>
                    <w:jc w:val="center"/>
                    <w:rPr>
                      <w:rFonts w:eastAsiaTheme="minorEastAsia"/>
                      <w:bCs/>
                      <w:sz w:val="24"/>
                    </w:rPr>
                  </w:pPr>
                  <w:r>
                    <w:rPr>
                      <w:rFonts w:eastAsiaTheme="minorEastAsia"/>
                      <w:bCs/>
                      <w:sz w:val="24"/>
                    </w:rPr>
                    <w:t>包号</w:t>
                  </w:r>
                </w:p>
              </w:tc>
              <w:tc>
                <w:tcPr>
                  <w:tcW w:w="2101" w:type="pct"/>
                  <w:tcBorders>
                    <w:top w:val="single" w:color="auto" w:sz="4" w:space="0"/>
                    <w:left w:val="single" w:color="auto" w:sz="4" w:space="0"/>
                    <w:bottom w:val="single" w:color="auto" w:sz="4" w:space="0"/>
                    <w:right w:val="single" w:color="auto" w:sz="4" w:space="0"/>
                  </w:tcBorders>
                  <w:vAlign w:val="center"/>
                </w:tcPr>
                <w:p w14:paraId="468E2990">
                  <w:pPr>
                    <w:jc w:val="center"/>
                    <w:rPr>
                      <w:rFonts w:eastAsiaTheme="minorEastAsia"/>
                      <w:bCs/>
                      <w:sz w:val="24"/>
                    </w:rPr>
                  </w:pPr>
                  <w:r>
                    <w:rPr>
                      <w:rFonts w:eastAsiaTheme="minorEastAsia"/>
                      <w:bCs/>
                      <w:sz w:val="24"/>
                    </w:rPr>
                    <w:t>标的名称</w:t>
                  </w:r>
                </w:p>
              </w:tc>
              <w:tc>
                <w:tcPr>
                  <w:tcW w:w="2354" w:type="pct"/>
                  <w:tcBorders>
                    <w:top w:val="single" w:color="auto" w:sz="4" w:space="0"/>
                    <w:left w:val="single" w:color="auto" w:sz="4" w:space="0"/>
                    <w:bottom w:val="single" w:color="auto" w:sz="4" w:space="0"/>
                    <w:right w:val="single" w:color="auto" w:sz="4" w:space="0"/>
                  </w:tcBorders>
                  <w:vAlign w:val="center"/>
                </w:tcPr>
                <w:p w14:paraId="2C4342C9">
                  <w:pPr>
                    <w:jc w:val="center"/>
                    <w:rPr>
                      <w:rFonts w:eastAsiaTheme="minorEastAsia"/>
                      <w:sz w:val="24"/>
                    </w:rPr>
                  </w:pPr>
                  <w:r>
                    <w:rPr>
                      <w:rFonts w:eastAsiaTheme="minorEastAsia"/>
                      <w:sz w:val="24"/>
                    </w:rPr>
                    <w:t>中小企业划分标准所属行业</w:t>
                  </w:r>
                </w:p>
              </w:tc>
            </w:tr>
            <w:tr w14:paraId="056B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 w:type="pct"/>
                  <w:tcBorders>
                    <w:top w:val="single" w:color="auto" w:sz="4" w:space="0"/>
                    <w:left w:val="single" w:color="auto" w:sz="4" w:space="0"/>
                    <w:bottom w:val="single" w:color="auto" w:sz="4" w:space="0"/>
                    <w:right w:val="single" w:color="auto" w:sz="4" w:space="0"/>
                  </w:tcBorders>
                  <w:vAlign w:val="center"/>
                </w:tcPr>
                <w:p w14:paraId="0534B5B2">
                  <w:pPr>
                    <w:jc w:val="center"/>
                    <w:rPr>
                      <w:rFonts w:hint="eastAsia" w:eastAsiaTheme="minorEastAsia"/>
                      <w:bCs/>
                      <w:sz w:val="24"/>
                      <w:lang w:val="en-US" w:eastAsia="zh-CN"/>
                    </w:rPr>
                  </w:pPr>
                  <w:r>
                    <w:rPr>
                      <w:rFonts w:hint="eastAsia" w:eastAsiaTheme="minorEastAsia"/>
                      <w:bCs/>
                      <w:sz w:val="24"/>
                      <w:lang w:val="en-US" w:eastAsia="zh-CN"/>
                    </w:rPr>
                    <w:t>1</w:t>
                  </w:r>
                </w:p>
              </w:tc>
              <w:tc>
                <w:tcPr>
                  <w:tcW w:w="2101" w:type="pct"/>
                  <w:tcBorders>
                    <w:top w:val="single" w:color="auto" w:sz="4" w:space="0"/>
                    <w:left w:val="single" w:color="auto" w:sz="4" w:space="0"/>
                    <w:bottom w:val="single" w:color="auto" w:sz="4" w:space="0"/>
                    <w:right w:val="single" w:color="auto" w:sz="4" w:space="0"/>
                  </w:tcBorders>
                  <w:vAlign w:val="center"/>
                </w:tcPr>
                <w:p w14:paraId="5FFB4FB2">
                  <w:pPr>
                    <w:jc w:val="center"/>
                    <w:rPr>
                      <w:rFonts w:eastAsiaTheme="minorEastAsia"/>
                      <w:bCs/>
                      <w:sz w:val="24"/>
                    </w:rPr>
                  </w:pPr>
                  <w:r>
                    <w:rPr>
                      <w:rFonts w:hint="eastAsia" w:eastAsiaTheme="minorEastAsia"/>
                      <w:bCs/>
                      <w:sz w:val="24"/>
                    </w:rPr>
                    <w:t>电力市场化交易服务项目</w:t>
                  </w:r>
                </w:p>
              </w:tc>
              <w:tc>
                <w:tcPr>
                  <w:tcW w:w="2354" w:type="pct"/>
                  <w:tcBorders>
                    <w:top w:val="single" w:color="auto" w:sz="4" w:space="0"/>
                    <w:left w:val="single" w:color="auto" w:sz="4" w:space="0"/>
                    <w:bottom w:val="single" w:color="auto" w:sz="4" w:space="0"/>
                    <w:right w:val="single" w:color="auto" w:sz="4" w:space="0"/>
                  </w:tcBorders>
                  <w:vAlign w:val="center"/>
                </w:tcPr>
                <w:p w14:paraId="3264EA66">
                  <w:pPr>
                    <w:jc w:val="center"/>
                    <w:rPr>
                      <w:rFonts w:eastAsiaTheme="minorEastAsia"/>
                      <w:kern w:val="0"/>
                      <w:sz w:val="24"/>
                    </w:rPr>
                  </w:pPr>
                  <w:r>
                    <w:rPr>
                      <w:rFonts w:hint="eastAsia" w:eastAsiaTheme="minorEastAsia"/>
                      <w:kern w:val="0"/>
                      <w:sz w:val="24"/>
                    </w:rPr>
                    <w:t>租赁和商务服务业</w:t>
                  </w:r>
                </w:p>
              </w:tc>
            </w:tr>
          </w:tbl>
          <w:p w14:paraId="22844D5B">
            <w:pPr>
              <w:jc w:val="left"/>
              <w:rPr>
                <w:sz w:val="24"/>
              </w:rPr>
            </w:pPr>
          </w:p>
        </w:tc>
      </w:tr>
      <w:tr w14:paraId="2B9E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7D6BAA0">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233DB385">
            <w:pPr>
              <w:jc w:val="center"/>
              <w:rPr>
                <w:sz w:val="24"/>
              </w:rPr>
            </w:pPr>
            <w:r>
              <w:rPr>
                <w:sz w:val="24"/>
              </w:rPr>
              <w:t>投标报价</w:t>
            </w:r>
          </w:p>
        </w:tc>
        <w:tc>
          <w:tcPr>
            <w:tcW w:w="7540" w:type="dxa"/>
            <w:vAlign w:val="center"/>
          </w:tcPr>
          <w:p w14:paraId="4611621B">
            <w:pPr>
              <w:jc w:val="left"/>
              <w:rPr>
                <w:rFonts w:hint="eastAsia" w:asciiTheme="minorEastAsia" w:hAnsiTheme="minorEastAsia" w:eastAsiaTheme="minorEastAsia"/>
                <w:color w:val="auto"/>
                <w:sz w:val="24"/>
              </w:rPr>
            </w:pPr>
            <w:r>
              <w:rPr>
                <w:rFonts w:asciiTheme="minorEastAsia" w:hAnsiTheme="minorEastAsia" w:eastAsiaTheme="minorEastAsia"/>
                <w:sz w:val="24"/>
              </w:rPr>
              <w:t>投</w:t>
            </w:r>
            <w:r>
              <w:rPr>
                <w:rFonts w:asciiTheme="minorEastAsia" w:hAnsiTheme="minorEastAsia" w:eastAsiaTheme="minorEastAsia"/>
                <w:color w:val="auto"/>
                <w:sz w:val="24"/>
              </w:rPr>
              <w:t>标报价的特殊规定：</w:t>
            </w:r>
          </w:p>
          <w:p w14:paraId="57959CF9">
            <w:pPr>
              <w:jc w:val="left"/>
              <w:rPr>
                <w:rFonts w:hint="eastAsia" w:asciiTheme="minorEastAsia" w:hAnsiTheme="minorEastAsia" w:eastAsiaTheme="minorEastAsia"/>
                <w:color w:val="auto"/>
                <w:sz w:val="24"/>
              </w:rPr>
            </w:pPr>
          </w:p>
          <w:p w14:paraId="646FC8AB">
            <w:pPr>
              <w:jc w:val="left"/>
              <w:rPr>
                <w:rFonts w:hint="eastAsia" w:asciiTheme="minorEastAsia" w:hAnsiTheme="minorEastAsia" w:eastAsiaTheme="minorEastAsia"/>
                <w:b/>
                <w:bCs/>
                <w:color w:val="auto"/>
                <w:sz w:val="24"/>
              </w:rPr>
            </w:pPr>
            <w:r>
              <w:rPr>
                <w:rFonts w:hint="eastAsia" w:asciiTheme="minorEastAsia" w:hAnsiTheme="minorEastAsia" w:eastAsiaTheme="minorEastAsia"/>
                <w:color w:val="auto"/>
                <w:sz w:val="24"/>
              </w:rPr>
              <w:t>本项目采用</w:t>
            </w:r>
            <w:r>
              <w:rPr>
                <w:rFonts w:hint="eastAsia" w:asciiTheme="minorEastAsia" w:hAnsiTheme="minorEastAsia" w:eastAsiaTheme="minorEastAsia"/>
                <w:b/>
                <w:bCs/>
                <w:color w:val="auto"/>
                <w:sz w:val="24"/>
              </w:rPr>
              <w:t>固定单价（全费用综合单价）报价方式</w:t>
            </w:r>
          </w:p>
          <w:p w14:paraId="38C8540E">
            <w:pPr>
              <w:jc w:val="left"/>
              <w:rPr>
                <w:rFonts w:hint="eastAsia" w:asciiTheme="minorEastAsia" w:hAnsiTheme="minorEastAsia" w:eastAsiaTheme="minorEastAsia"/>
                <w:b/>
                <w:bCs/>
                <w:color w:val="auto"/>
                <w:sz w:val="24"/>
              </w:rPr>
            </w:pPr>
          </w:p>
          <w:p w14:paraId="091F7EA2">
            <w:pPr>
              <w:jc w:val="left"/>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绿色电力固定价格套餐单价（单位元/千瓦时）</w:t>
            </w:r>
          </w:p>
          <w:p w14:paraId="2F3C6CB4">
            <w:pPr>
              <w:jc w:val="left"/>
              <w:rPr>
                <w:rFonts w:hint="eastAsia" w:asciiTheme="minorEastAsia" w:hAnsiTheme="minorEastAsia" w:eastAsiaTheme="minorEastAsia"/>
                <w:color w:val="auto"/>
                <w:sz w:val="24"/>
              </w:rPr>
            </w:pPr>
          </w:p>
          <w:p w14:paraId="2E67D7D2">
            <w:pPr>
              <w:jc w:val="left"/>
              <w:rPr>
                <w:rFonts w:hint="eastAsia" w:asciiTheme="minorEastAsia" w:hAnsiTheme="minorEastAsia" w:eastAsiaTheme="minorEastAsia"/>
                <w:color w:val="EE0000"/>
                <w:sz w:val="24"/>
              </w:rPr>
            </w:pPr>
            <w:r>
              <w:rPr>
                <w:rFonts w:hint="eastAsia" w:asciiTheme="minorEastAsia" w:hAnsiTheme="minorEastAsia" w:eastAsiaTheme="minorEastAsia"/>
                <w:color w:val="auto"/>
                <w:sz w:val="24"/>
              </w:rPr>
              <w:t>采购人就本合同约定内容将不再支付投标报价以外的费用。因投标发生的费用缺漏项将是投标人的风险，投标人将无条件给予</w:t>
            </w:r>
            <w:r>
              <w:rPr>
                <w:rFonts w:hint="eastAsia" w:asciiTheme="minorEastAsia" w:hAnsiTheme="minorEastAsia" w:eastAsiaTheme="minorEastAsia"/>
                <w:sz w:val="24"/>
              </w:rPr>
              <w:t>补充完备，且投标价不变，否则其投标将被否决。</w:t>
            </w:r>
          </w:p>
        </w:tc>
      </w:tr>
      <w:tr w14:paraId="16BF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9107BF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0210A90">
            <w:pPr>
              <w:jc w:val="center"/>
              <w:rPr>
                <w:sz w:val="24"/>
              </w:rPr>
            </w:pPr>
            <w:r>
              <w:rPr>
                <w:sz w:val="24"/>
              </w:rPr>
              <w:t>投标保证金</w:t>
            </w:r>
          </w:p>
        </w:tc>
        <w:tc>
          <w:tcPr>
            <w:tcW w:w="7540" w:type="dxa"/>
            <w:vAlign w:val="center"/>
          </w:tcPr>
          <w:p w14:paraId="033FEB51">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投标保证金金额：</w:t>
            </w:r>
          </w:p>
          <w:p w14:paraId="079D3608">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01包：</w:t>
            </w:r>
            <w:r>
              <w:rPr>
                <w:rFonts w:hint="eastAsia" w:asciiTheme="minorEastAsia" w:hAnsiTheme="minorEastAsia" w:eastAsiaTheme="minorEastAsia"/>
                <w:sz w:val="24"/>
                <w:u w:val="single"/>
                <w:lang w:val="en-US" w:eastAsia="zh-CN"/>
              </w:rPr>
              <w:t>20000.00元</w:t>
            </w:r>
            <w:r>
              <w:rPr>
                <w:rFonts w:hint="default" w:asciiTheme="minorEastAsia" w:hAnsiTheme="minorEastAsia" w:eastAsiaTheme="minorEastAsia"/>
                <w:sz w:val="24"/>
                <w:szCs w:val="24"/>
              </w:rPr>
              <w:t>；</w:t>
            </w:r>
          </w:p>
          <w:p w14:paraId="6BDE5D86">
            <w:pPr>
              <w:jc w:val="left"/>
              <w:rPr>
                <w:rFonts w:hint="eastAsia" w:asciiTheme="minorEastAsia" w:hAnsiTheme="minorEastAsia" w:eastAsiaTheme="minorEastAsia"/>
                <w:sz w:val="24"/>
              </w:rPr>
            </w:pPr>
            <w:r>
              <w:rPr>
                <w:rFonts w:asciiTheme="minorEastAsia" w:hAnsiTheme="minorEastAsia" w:eastAsiaTheme="minorEastAsia"/>
                <w:sz w:val="24"/>
              </w:rPr>
              <w:t>投标保证金收</w:t>
            </w:r>
            <w:bookmarkStart w:id="74" w:name="OLE_LINK2"/>
            <w:r>
              <w:rPr>
                <w:rFonts w:asciiTheme="minorEastAsia" w:hAnsiTheme="minorEastAsia" w:eastAsiaTheme="minorEastAsia"/>
                <w:sz w:val="24"/>
              </w:rPr>
              <w:t>受</w:t>
            </w:r>
            <w:bookmarkEnd w:id="74"/>
            <w:r>
              <w:rPr>
                <w:rFonts w:asciiTheme="minorEastAsia" w:hAnsiTheme="minorEastAsia" w:eastAsiaTheme="minorEastAsia"/>
                <w:sz w:val="24"/>
              </w:rPr>
              <w:t>人信息：</w:t>
            </w:r>
          </w:p>
          <w:p w14:paraId="37C371A7">
            <w:pPr>
              <w:jc w:val="left"/>
              <w:rPr>
                <w:rFonts w:hint="eastAsia" w:asciiTheme="minorEastAsia" w:hAnsiTheme="minorEastAsia" w:eastAsiaTheme="minorEastAsia"/>
                <w:sz w:val="24"/>
              </w:rPr>
            </w:pPr>
            <w:r>
              <w:rPr>
                <w:rFonts w:hint="eastAsia" w:asciiTheme="minorEastAsia" w:hAnsiTheme="minorEastAsia" w:eastAsiaTheme="minorEastAsia"/>
                <w:sz w:val="24"/>
              </w:rPr>
              <w:t>收</w:t>
            </w:r>
            <w:r>
              <w:rPr>
                <w:rFonts w:asciiTheme="minorEastAsia" w:hAnsiTheme="minorEastAsia" w:eastAsiaTheme="minorEastAsia"/>
                <w:sz w:val="24"/>
              </w:rPr>
              <w:t>受</w:t>
            </w:r>
            <w:r>
              <w:rPr>
                <w:rFonts w:hint="eastAsia" w:asciiTheme="minorEastAsia" w:hAnsiTheme="minorEastAsia" w:eastAsiaTheme="minorEastAsia"/>
                <w:sz w:val="24"/>
              </w:rPr>
              <w:t>人名称（户名）：中化商务有限公司</w:t>
            </w:r>
          </w:p>
          <w:p w14:paraId="7F2B1B9E">
            <w:pPr>
              <w:jc w:val="left"/>
              <w:rPr>
                <w:rFonts w:hint="eastAsia" w:asciiTheme="minorEastAsia" w:hAnsiTheme="minorEastAsia" w:eastAsiaTheme="minorEastAsia"/>
                <w:sz w:val="24"/>
              </w:rPr>
            </w:pPr>
            <w:r>
              <w:rPr>
                <w:rFonts w:hint="eastAsia" w:asciiTheme="minorEastAsia" w:hAnsiTheme="minorEastAsia" w:eastAsiaTheme="minorEastAsia"/>
                <w:sz w:val="24"/>
              </w:rPr>
              <w:t>开户行：招商银行北京分行</w:t>
            </w:r>
          </w:p>
          <w:p w14:paraId="4F3CA1DF">
            <w:pPr>
              <w:jc w:val="left"/>
              <w:rPr>
                <w:rFonts w:hint="eastAsia" w:asciiTheme="minorEastAsia" w:hAnsiTheme="minorEastAsia" w:eastAsiaTheme="minorEastAsia"/>
                <w:sz w:val="24"/>
              </w:rPr>
            </w:pPr>
            <w:r>
              <w:rPr>
                <w:rFonts w:hint="eastAsia" w:asciiTheme="minorEastAsia" w:hAnsiTheme="minorEastAsia" w:eastAsiaTheme="minorEastAsia"/>
                <w:sz w:val="24"/>
              </w:rPr>
              <w:t>账号：虚拟子账号，获取方法如下。</w:t>
            </w:r>
          </w:p>
          <w:p w14:paraId="02C86853">
            <w:pPr>
              <w:jc w:val="left"/>
              <w:rPr>
                <w:rFonts w:hint="eastAsia" w:asciiTheme="minorEastAsia" w:hAnsiTheme="minorEastAsia" w:eastAsiaTheme="minorEastAsia"/>
                <w:sz w:val="24"/>
              </w:rPr>
            </w:pPr>
            <w:bookmarkStart w:id="75" w:name="OLE_LINK4"/>
            <w:r>
              <w:rPr>
                <w:rFonts w:hint="eastAsia" w:asciiTheme="minorEastAsia" w:hAnsiTheme="minorEastAsia" w:eastAsiaTheme="minorEastAsia"/>
                <w:sz w:val="24"/>
              </w:rPr>
              <w:t>登录中化商务电子招投标平台(ebid.sinochemitc.com)，未在中化商务电子招投标平台注册的供应商须先进行该平台注册，已注册供应商无需重复注册。登录后点击[公告信息]菜单，搜索到本项目后，点击[查看</w:t>
            </w:r>
            <w:r>
              <w:rPr>
                <w:rFonts w:asciiTheme="minorEastAsia" w:hAnsiTheme="minorEastAsia" w:eastAsiaTheme="minorEastAsia"/>
                <w:sz w:val="24"/>
              </w:rPr>
              <w:t>]</w:t>
            </w:r>
            <w:r>
              <w:rPr>
                <w:rFonts w:hint="eastAsia" w:asciiTheme="minorEastAsia" w:hAnsiTheme="minorEastAsia" w:eastAsiaTheme="minorEastAsia"/>
                <w:sz w:val="24"/>
              </w:rPr>
              <w:t>-[参与项目]填写相应信息后提交并完成相关操作</w:t>
            </w:r>
            <w:bookmarkEnd w:id="75"/>
            <w:r>
              <w:rPr>
                <w:rFonts w:hint="eastAsia" w:asciiTheme="minorEastAsia" w:hAnsiTheme="minorEastAsia" w:eastAsiaTheme="minorEastAsia"/>
                <w:sz w:val="24"/>
              </w:rPr>
              <w:t>（该操作过程仅作为获取保证金账号的前置操作，完全免费）。随后，点击[我的投标项目] 菜单，找到本项目后，点击[投标]节点-[递交保证金]按钮，选择[虚拟子账号]方式后，可查看具体的虚拟子账号信息，并于投标文件递交截止时间前将投标保证金汇至此虚拟子账户。</w:t>
            </w:r>
            <w:r>
              <w:rPr>
                <w:rFonts w:hint="eastAsia" w:asciiTheme="minorEastAsia" w:hAnsiTheme="minorEastAsia" w:eastAsiaTheme="minorEastAsia"/>
                <w:b/>
                <w:bCs/>
                <w:sz w:val="24"/>
              </w:rPr>
              <w:t>各供应商各包件保证金子账号不同，请留意。</w:t>
            </w:r>
            <w:r>
              <w:rPr>
                <w:rFonts w:hint="eastAsia" w:asciiTheme="minorEastAsia" w:hAnsiTheme="minorEastAsia" w:eastAsiaTheme="minorEastAsia"/>
                <w:sz w:val="24"/>
              </w:rPr>
              <w:t>中化商务电子招投标平台(ebid.sinochemitc.com)有关保证金操作</w:t>
            </w:r>
            <w:bookmarkStart w:id="76" w:name="_Hlk204169574"/>
            <w:r>
              <w:rPr>
                <w:rFonts w:hint="eastAsia" w:asciiTheme="minorEastAsia" w:hAnsiTheme="minorEastAsia" w:eastAsiaTheme="minorEastAsia"/>
                <w:sz w:val="24"/>
              </w:rPr>
              <w:t>可在主页点击在线客服，输入关键字“如何缴纳保证金”进行询问。</w:t>
            </w:r>
            <w:r>
              <w:rPr>
                <w:rFonts w:asciiTheme="minorEastAsia" w:hAnsiTheme="minorEastAsia" w:eastAsiaTheme="minorEastAsia"/>
                <w:b/>
                <w:bCs/>
                <w:sz w:val="24"/>
              </w:rPr>
              <w:br w:type="textWrapping"/>
            </w:r>
            <w:bookmarkEnd w:id="76"/>
            <w:r>
              <w:rPr>
                <w:rFonts w:hint="eastAsia" w:asciiTheme="minorEastAsia" w:hAnsiTheme="minorEastAsia" w:eastAsiaTheme="minorEastAsia"/>
                <w:sz w:val="24"/>
              </w:rPr>
              <w:t>注意：投标保证金形式为电汇转账之外的其它形式的投标人，仍需按上述步骤进行操作，但在缴纳形式处选择[保函等]形式，并上传电子版附件。中化商务电子招投标平台递交保证金操作完毕后，投保人还应按投标人须知第12.3和12.4条有关规定进行</w:t>
            </w:r>
            <w:r>
              <w:rPr>
                <w:sz w:val="24"/>
                <w:lang w:bidi="ar"/>
              </w:rPr>
              <w:t>北京市政府采购电子交易平台</w:t>
            </w:r>
            <w:r>
              <w:rPr>
                <w:rFonts w:hint="eastAsia" w:asciiTheme="minorEastAsia" w:hAnsiTheme="minorEastAsia" w:eastAsiaTheme="minorEastAsia"/>
                <w:sz w:val="24"/>
              </w:rPr>
              <w:t>相应操作。</w:t>
            </w:r>
          </w:p>
        </w:tc>
      </w:tr>
      <w:tr w14:paraId="4596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14E93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2045EA8B">
            <w:pPr>
              <w:jc w:val="center"/>
              <w:rPr>
                <w:sz w:val="24"/>
              </w:rPr>
            </w:pPr>
          </w:p>
        </w:tc>
        <w:tc>
          <w:tcPr>
            <w:tcW w:w="7540" w:type="dxa"/>
            <w:vAlign w:val="center"/>
          </w:tcPr>
          <w:p w14:paraId="0824BF5F">
            <w:pPr>
              <w:jc w:val="left"/>
              <w:rPr>
                <w:rFonts w:hint="eastAsia" w:asciiTheme="minorEastAsia" w:hAnsiTheme="minorEastAsia" w:eastAsiaTheme="minorEastAsia"/>
                <w:sz w:val="24"/>
              </w:rPr>
            </w:pPr>
            <w:r>
              <w:rPr>
                <w:rFonts w:asciiTheme="minorEastAsia" w:hAnsiTheme="minorEastAsia" w:eastAsiaTheme="minorEastAsia"/>
                <w:sz w:val="24"/>
              </w:rPr>
              <w:t>投标保证金可以不予退还的其他情形：</w:t>
            </w:r>
          </w:p>
          <w:p w14:paraId="01DC5743">
            <w:pPr>
              <w:jc w:val="left"/>
              <w:rPr>
                <w:rFonts w:hint="eastAsia" w:asciiTheme="minorEastAsia" w:hAnsiTheme="minorEastAsia" w:eastAsiaTheme="minorEastAsia"/>
                <w:sz w:val="24"/>
              </w:rPr>
            </w:pPr>
            <w:r>
              <w:rPr>
                <w:rFonts w:asciiTheme="minorEastAsia" w:hAnsiTheme="minorEastAsia" w:eastAsiaTheme="minorEastAsia"/>
                <w:sz w:val="24"/>
              </w:rPr>
              <w:sym w:font="Wingdings 2" w:char="F0A2"/>
            </w:r>
            <w:r>
              <w:rPr>
                <w:rFonts w:asciiTheme="minorEastAsia" w:hAnsiTheme="minorEastAsia" w:eastAsiaTheme="minorEastAsia"/>
                <w:sz w:val="24"/>
              </w:rPr>
              <w:t>无</w:t>
            </w:r>
          </w:p>
          <w:p w14:paraId="477C7FEC">
            <w:pPr>
              <w:pStyle w:val="23"/>
              <w:adjustRightInd w:val="0"/>
              <w:snapToGrid w:val="0"/>
              <w:rPr>
                <w:rFonts w:asciiTheme="minorEastAsia" w:hAnsiTheme="minorEastAsia" w:eastAsiaTheme="minorEastAsia"/>
                <w:sz w:val="24"/>
                <w:szCs w:val="24"/>
              </w:rPr>
            </w:pPr>
            <w:r>
              <w:rPr>
                <w:rFonts w:asciiTheme="minorEastAsia" w:hAnsiTheme="minorEastAsia" w:eastAsiaTheme="minorEastAsia"/>
                <w:sz w:val="24"/>
              </w:rPr>
              <w:t>□</w:t>
            </w:r>
            <w:r>
              <w:rPr>
                <w:rFonts w:hint="default" w:asciiTheme="minorEastAsia" w:hAnsiTheme="minorEastAsia" w:eastAsiaTheme="minorEastAsia"/>
                <w:sz w:val="24"/>
              </w:rPr>
              <w:t>有，具体情形：_____。</w:t>
            </w:r>
          </w:p>
        </w:tc>
      </w:tr>
      <w:tr w14:paraId="2731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E48D7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5572EC41">
            <w:pPr>
              <w:jc w:val="center"/>
              <w:rPr>
                <w:sz w:val="24"/>
              </w:rPr>
            </w:pPr>
            <w:r>
              <w:rPr>
                <w:sz w:val="24"/>
              </w:rPr>
              <w:t>投标有效期</w:t>
            </w:r>
          </w:p>
        </w:tc>
        <w:tc>
          <w:tcPr>
            <w:tcW w:w="7540" w:type="dxa"/>
            <w:vAlign w:val="center"/>
          </w:tcPr>
          <w:p w14:paraId="1CA41F29">
            <w:pPr>
              <w:jc w:val="left"/>
              <w:rPr>
                <w:rFonts w:hint="eastAsia" w:asciiTheme="minorEastAsia" w:hAnsiTheme="minorEastAsia" w:eastAsiaTheme="minorEastAsia"/>
                <w:sz w:val="24"/>
              </w:rPr>
            </w:pPr>
            <w:r>
              <w:rPr>
                <w:rFonts w:asciiTheme="minorEastAsia" w:hAnsiTheme="minorEastAsia" w:eastAsiaTheme="minorEastAsia"/>
                <w:sz w:val="24"/>
              </w:rPr>
              <w:t>自提交投标文件的截止之日起算</w:t>
            </w:r>
            <w:r>
              <w:rPr>
                <w:rFonts w:hint="eastAsia" w:asciiTheme="minorEastAsia" w:hAnsiTheme="minorEastAsia" w:eastAsiaTheme="minorEastAsia"/>
                <w:sz w:val="24"/>
              </w:rPr>
              <w:t>90</w:t>
            </w:r>
            <w:r>
              <w:rPr>
                <w:rFonts w:asciiTheme="minorEastAsia" w:hAnsiTheme="minorEastAsia" w:eastAsiaTheme="minorEastAsia"/>
                <w:sz w:val="24"/>
              </w:rPr>
              <w:t>日历天。</w:t>
            </w:r>
          </w:p>
        </w:tc>
      </w:tr>
      <w:tr w14:paraId="160B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D1CA5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24B3D29E">
            <w:pPr>
              <w:jc w:val="center"/>
              <w:rPr>
                <w:sz w:val="24"/>
              </w:rPr>
            </w:pPr>
            <w:r>
              <w:rPr>
                <w:sz w:val="24"/>
              </w:rPr>
              <w:t>解密时间</w:t>
            </w:r>
          </w:p>
        </w:tc>
        <w:tc>
          <w:tcPr>
            <w:tcW w:w="7540" w:type="dxa"/>
            <w:vAlign w:val="center"/>
          </w:tcPr>
          <w:p w14:paraId="21EB410D">
            <w:pPr>
              <w:jc w:val="left"/>
              <w:rPr>
                <w:rFonts w:hint="eastAsia" w:asciiTheme="minorEastAsia" w:hAnsiTheme="minorEastAsia" w:eastAsiaTheme="minorEastAsia"/>
                <w:sz w:val="24"/>
                <w:u w:val="single"/>
              </w:rPr>
            </w:pPr>
            <w:r>
              <w:rPr>
                <w:rFonts w:asciiTheme="minorEastAsia" w:hAnsiTheme="minorEastAsia" w:eastAsiaTheme="minorEastAsia"/>
                <w:sz w:val="24"/>
              </w:rPr>
              <w:t>解密时间：</w:t>
            </w:r>
            <w:r>
              <w:rPr>
                <w:rFonts w:hint="eastAsia" w:asciiTheme="minorEastAsia" w:hAnsiTheme="minorEastAsia" w:eastAsiaTheme="minorEastAsia"/>
                <w:sz w:val="24"/>
                <w:u w:val="single"/>
                <w:lang w:val="en-US" w:eastAsia="zh-CN"/>
              </w:rPr>
              <w:t>10</w:t>
            </w:r>
            <w:r>
              <w:rPr>
                <w:rFonts w:asciiTheme="minorEastAsia" w:hAnsiTheme="minorEastAsia" w:eastAsiaTheme="minorEastAsia"/>
                <w:sz w:val="24"/>
              </w:rPr>
              <w:t>分钟</w:t>
            </w:r>
          </w:p>
        </w:tc>
      </w:tr>
      <w:tr w14:paraId="0EBC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6673A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25048C4">
            <w:pPr>
              <w:jc w:val="center"/>
              <w:rPr>
                <w:color w:val="auto"/>
                <w:sz w:val="24"/>
              </w:rPr>
            </w:pPr>
            <w:r>
              <w:rPr>
                <w:color w:val="auto"/>
                <w:sz w:val="24"/>
              </w:rPr>
              <w:t>确定中标人</w:t>
            </w:r>
          </w:p>
        </w:tc>
        <w:tc>
          <w:tcPr>
            <w:tcW w:w="7540" w:type="dxa"/>
            <w:vAlign w:val="center"/>
          </w:tcPr>
          <w:p w14:paraId="7F8F95D0">
            <w:pPr>
              <w:pStyle w:val="23"/>
              <w:adjustRightInd w:val="0"/>
              <w:snapToGrid w:val="0"/>
              <w:rPr>
                <w:rFonts w:asciiTheme="minorEastAsia" w:hAnsiTheme="minorEastAsia" w:eastAsiaTheme="minorEastAsia"/>
                <w:color w:val="auto"/>
                <w:sz w:val="24"/>
              </w:rPr>
            </w:pPr>
            <w:r>
              <w:rPr>
                <w:rFonts w:hint="default" w:asciiTheme="minorEastAsia" w:hAnsiTheme="minorEastAsia" w:eastAsiaTheme="minorEastAsia"/>
                <w:color w:val="auto"/>
                <w:sz w:val="24"/>
              </w:rPr>
              <w:t>中标候选人并列的，采购人是否委托评标委员会确定中标人：</w:t>
            </w:r>
          </w:p>
          <w:p w14:paraId="4E384596">
            <w:pPr>
              <w:pStyle w:val="23"/>
              <w:adjustRightInd w:val="0"/>
              <w:snapToGrid w:val="0"/>
              <w:rPr>
                <w:rFonts w:asciiTheme="minorEastAsia" w:hAnsiTheme="minorEastAsia" w:eastAsiaTheme="minorEastAsia"/>
                <w:color w:val="auto"/>
                <w:sz w:val="24"/>
              </w:rPr>
            </w:pPr>
            <w:r>
              <w:rPr>
                <w:rFonts w:asciiTheme="minorEastAsia" w:hAnsiTheme="minorEastAsia" w:eastAsiaTheme="minorEastAsia"/>
                <w:color w:val="auto"/>
                <w:sz w:val="24"/>
              </w:rPr>
              <w:sym w:font="Wingdings 2" w:char="F0A2"/>
            </w:r>
            <w:r>
              <w:rPr>
                <w:rFonts w:hint="default" w:asciiTheme="minorEastAsia" w:hAnsiTheme="minorEastAsia" w:eastAsiaTheme="minorEastAsia"/>
                <w:color w:val="auto"/>
                <w:sz w:val="24"/>
              </w:rPr>
              <w:t>否</w:t>
            </w:r>
          </w:p>
          <w:p w14:paraId="37269B59">
            <w:pPr>
              <w:pStyle w:val="23"/>
              <w:adjustRightInd w:val="0"/>
              <w:snapToGrid w:val="0"/>
              <w:rPr>
                <w:rFonts w:asciiTheme="minorEastAsia" w:hAnsiTheme="minorEastAsia" w:eastAsiaTheme="minorEastAsia"/>
                <w:color w:val="auto"/>
                <w:sz w:val="24"/>
              </w:rPr>
            </w:pPr>
            <w:r>
              <w:rPr>
                <w:rFonts w:hint="default" w:asciiTheme="minorEastAsia" w:hAnsiTheme="minorEastAsia" w:eastAsiaTheme="minorEastAsia"/>
                <w:color w:val="auto"/>
                <w:sz w:val="24"/>
              </w:rPr>
              <w:t>□是</w:t>
            </w:r>
          </w:p>
          <w:p w14:paraId="14CBC4E0">
            <w:pPr>
              <w:pStyle w:val="23"/>
              <w:adjustRightInd w:val="0"/>
              <w:snapToGrid w:val="0"/>
              <w:rPr>
                <w:rFonts w:asciiTheme="minorEastAsia" w:hAnsiTheme="minorEastAsia" w:eastAsiaTheme="minorEastAsia"/>
                <w:color w:val="auto"/>
              </w:rPr>
            </w:pPr>
            <w:r>
              <w:rPr>
                <w:rFonts w:hint="default" w:asciiTheme="minorEastAsia" w:hAnsiTheme="minorEastAsia" w:eastAsiaTheme="minorEastAsia"/>
                <w:color w:val="auto"/>
                <w:sz w:val="24"/>
              </w:rPr>
              <w:t>中标候选人并列的，按照以下方式确定中标人：</w:t>
            </w:r>
            <w:r>
              <w:rPr>
                <w:rFonts w:hint="default" w:asciiTheme="minorEastAsia" w:hAnsiTheme="minorEastAsia" w:eastAsiaTheme="minorEastAsia"/>
                <w:color w:val="auto"/>
              </w:rPr>
              <w:t xml:space="preserve"> </w:t>
            </w:r>
          </w:p>
          <w:p w14:paraId="7F0EED52">
            <w:pPr>
              <w:pStyle w:val="23"/>
              <w:adjustRightInd w:val="0"/>
              <w:snapToGrid w:val="0"/>
              <w:rPr>
                <w:rFonts w:asciiTheme="minorEastAsia" w:hAnsiTheme="minorEastAsia" w:eastAsiaTheme="minorEastAsia"/>
                <w:color w:val="auto"/>
                <w:sz w:val="24"/>
              </w:rPr>
            </w:pPr>
            <w:r>
              <w:rPr>
                <w:rFonts w:asciiTheme="minorEastAsia" w:hAnsiTheme="minorEastAsia" w:eastAsiaTheme="minorEastAsia"/>
                <w:color w:val="auto"/>
                <w:sz w:val="24"/>
              </w:rPr>
              <w:sym w:font="Wingdings 2" w:char="F0A2"/>
            </w:r>
            <w:r>
              <w:rPr>
                <w:rFonts w:hint="default" w:asciiTheme="minorEastAsia" w:hAnsiTheme="minorEastAsia" w:eastAsiaTheme="minorEastAsia"/>
                <w:color w:val="auto"/>
                <w:sz w:val="24"/>
              </w:rPr>
              <w:t>得分且投标报价均相同的，以</w:t>
            </w:r>
            <w:r>
              <w:rPr>
                <w:rFonts w:asciiTheme="minorEastAsia" w:hAnsiTheme="minorEastAsia" w:eastAsiaTheme="minorEastAsia"/>
                <w:color w:val="auto"/>
                <w:sz w:val="24"/>
                <w:u w:val="single"/>
              </w:rPr>
              <w:t>技术部分</w:t>
            </w:r>
            <w:r>
              <w:rPr>
                <w:rFonts w:hint="default" w:asciiTheme="minorEastAsia" w:hAnsiTheme="minorEastAsia" w:eastAsiaTheme="minorEastAsia"/>
                <w:color w:val="auto"/>
                <w:sz w:val="24"/>
              </w:rPr>
              <w:t>得分高者为中标人</w:t>
            </w:r>
            <w:r>
              <w:rPr>
                <w:rFonts w:asciiTheme="minorEastAsia" w:hAnsiTheme="minorEastAsia" w:eastAsiaTheme="minorEastAsia"/>
                <w:color w:val="auto"/>
                <w:sz w:val="24"/>
              </w:rPr>
              <w:t>，若该部分得分仍相同，则随机抽取</w:t>
            </w:r>
          </w:p>
          <w:p w14:paraId="1128BCCD">
            <w:pPr>
              <w:jc w:val="left"/>
              <w:rPr>
                <w:rFonts w:hint="eastAsia" w:asciiTheme="minorEastAsia" w:hAnsiTheme="minorEastAsia" w:eastAsiaTheme="minorEastAsia"/>
                <w:color w:val="auto"/>
                <w:sz w:val="24"/>
                <w:u w:val="single"/>
              </w:rPr>
            </w:pPr>
            <w:r>
              <w:rPr>
                <w:rFonts w:asciiTheme="minorEastAsia" w:hAnsiTheme="minorEastAsia" w:eastAsiaTheme="minorEastAsia"/>
                <w:color w:val="auto"/>
                <w:sz w:val="24"/>
              </w:rPr>
              <w:t>□随机抽取</w:t>
            </w:r>
          </w:p>
        </w:tc>
      </w:tr>
      <w:tr w14:paraId="3AA6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E8980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3A5AE625">
            <w:pPr>
              <w:jc w:val="center"/>
              <w:rPr>
                <w:sz w:val="24"/>
              </w:rPr>
            </w:pPr>
            <w:r>
              <w:rPr>
                <w:sz w:val="24"/>
              </w:rPr>
              <w:t>分包</w:t>
            </w:r>
          </w:p>
        </w:tc>
        <w:tc>
          <w:tcPr>
            <w:tcW w:w="7540" w:type="dxa"/>
            <w:vAlign w:val="center"/>
          </w:tcPr>
          <w:p w14:paraId="02EE56CD">
            <w:pPr>
              <w:jc w:val="left"/>
              <w:rPr>
                <w:rFonts w:hint="eastAsia" w:asciiTheme="minorEastAsia" w:hAnsiTheme="minorEastAsia" w:eastAsiaTheme="minorEastAsia"/>
                <w:sz w:val="24"/>
              </w:rPr>
            </w:pPr>
            <w:r>
              <w:rPr>
                <w:rFonts w:asciiTheme="minorEastAsia" w:hAnsiTheme="minorEastAsia" w:eastAsiaTheme="minorEastAsia"/>
                <w:sz w:val="24"/>
              </w:rPr>
              <w:t xml:space="preserve">本项目的非主体、非关键性工作是否允许分包： </w:t>
            </w:r>
          </w:p>
          <w:p w14:paraId="172F7D65">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不允许</w:t>
            </w:r>
          </w:p>
          <w:p w14:paraId="7C7030A5">
            <w:pPr>
              <w:jc w:val="left"/>
              <w:rPr>
                <w:rFonts w:hint="eastAsia" w:asciiTheme="minorEastAsia" w:hAnsiTheme="minorEastAsia" w:eastAsiaTheme="minorEastAsia"/>
                <w:sz w:val="24"/>
              </w:rPr>
            </w:pPr>
            <w:r>
              <w:rPr>
                <w:rFonts w:asciiTheme="minorEastAsia" w:hAnsiTheme="minorEastAsia" w:eastAsiaTheme="minorEastAsia"/>
                <w:sz w:val="24"/>
              </w:rPr>
              <w:t>□允许，具体要求：</w:t>
            </w:r>
          </w:p>
          <w:p w14:paraId="5DC913FB">
            <w:pPr>
              <w:jc w:val="left"/>
              <w:rPr>
                <w:rFonts w:hint="eastAsia" w:asciiTheme="minorEastAsia" w:hAnsiTheme="minorEastAsia" w:eastAsiaTheme="minorEastAsia"/>
                <w:sz w:val="24"/>
              </w:rPr>
            </w:pPr>
            <w:r>
              <w:rPr>
                <w:rFonts w:asciiTheme="minorEastAsia" w:hAnsiTheme="minorEastAsia" w:eastAsiaTheme="minorEastAsia"/>
                <w:sz w:val="24"/>
              </w:rPr>
              <w:t>（1）可以分包履行的具体内容：_____；</w:t>
            </w:r>
          </w:p>
          <w:p w14:paraId="52E86B84">
            <w:pPr>
              <w:jc w:val="left"/>
              <w:rPr>
                <w:rFonts w:hint="eastAsia" w:asciiTheme="minorEastAsia" w:hAnsiTheme="minorEastAsia" w:eastAsiaTheme="minorEastAsia"/>
                <w:sz w:val="24"/>
              </w:rPr>
            </w:pPr>
            <w:r>
              <w:rPr>
                <w:rFonts w:asciiTheme="minorEastAsia" w:hAnsiTheme="minorEastAsia" w:eastAsiaTheme="minorEastAsia"/>
                <w:sz w:val="24"/>
              </w:rPr>
              <w:t>（2）允许分包的金额或者比例：_____；</w:t>
            </w:r>
          </w:p>
          <w:p w14:paraId="6056672B">
            <w:pPr>
              <w:jc w:val="left"/>
              <w:rPr>
                <w:rFonts w:hint="eastAsia" w:asciiTheme="minorEastAsia" w:hAnsiTheme="minorEastAsia" w:eastAsiaTheme="minorEastAsia"/>
                <w:sz w:val="24"/>
                <w:u w:val="single"/>
              </w:rPr>
            </w:pPr>
            <w:r>
              <w:rPr>
                <w:rFonts w:asciiTheme="minorEastAsia" w:hAnsiTheme="minorEastAsia" w:eastAsiaTheme="minorEastAsia"/>
                <w:sz w:val="24"/>
              </w:rPr>
              <w:t>（3）其他要求：_____。</w:t>
            </w:r>
          </w:p>
        </w:tc>
      </w:tr>
      <w:tr w14:paraId="4B09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AD90A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338BCF66">
            <w:pPr>
              <w:jc w:val="center"/>
              <w:rPr>
                <w:color w:val="auto"/>
                <w:sz w:val="24"/>
              </w:rPr>
            </w:pPr>
            <w:r>
              <w:rPr>
                <w:color w:val="auto"/>
                <w:sz w:val="24"/>
              </w:rPr>
              <w:t>政采贷</w:t>
            </w:r>
          </w:p>
        </w:tc>
        <w:tc>
          <w:tcPr>
            <w:tcW w:w="7540" w:type="dxa"/>
            <w:vAlign w:val="center"/>
          </w:tcPr>
          <w:p w14:paraId="128A5D2A">
            <w:pPr>
              <w:jc w:val="left"/>
              <w:rPr>
                <w:rFonts w:hint="eastAsia"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w:t>
            </w:r>
            <w:bookmarkStart w:id="77" w:name="OLE_LINK1"/>
            <w:r>
              <w:rPr>
                <w:rFonts w:asciiTheme="minorEastAsia" w:hAnsiTheme="minorEastAsia" w:eastAsiaTheme="minorEastAsia"/>
                <w:color w:val="auto"/>
                <w:kern w:val="0"/>
                <w:sz w:val="24"/>
              </w:rPr>
              <w:t>关于推进政府采购合同线上融资有关工作的通知</w:t>
            </w:r>
            <w:bookmarkEnd w:id="77"/>
            <w:r>
              <w:rPr>
                <w:rFonts w:asciiTheme="minorEastAsia" w:hAnsiTheme="minorEastAsia" w:eastAsiaTheme="minorEastAsia"/>
                <w:color w:val="auto"/>
                <w:kern w:val="0"/>
                <w:sz w:val="24"/>
              </w:rPr>
              <w:t>》（京财采购〔2023〕637号）。有需求的供应商，可按上述通知要求办理“政采贷”。</w:t>
            </w:r>
          </w:p>
        </w:tc>
      </w:tr>
      <w:tr w14:paraId="03DD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F88DC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8F2DACF">
            <w:pPr>
              <w:jc w:val="center"/>
              <w:rPr>
                <w:color w:val="auto"/>
                <w:sz w:val="24"/>
              </w:rPr>
            </w:pPr>
            <w:r>
              <w:rPr>
                <w:color w:val="auto"/>
                <w:sz w:val="24"/>
              </w:rPr>
              <w:t>询问</w:t>
            </w:r>
          </w:p>
        </w:tc>
        <w:tc>
          <w:tcPr>
            <w:tcW w:w="7540" w:type="dxa"/>
            <w:vAlign w:val="center"/>
          </w:tcPr>
          <w:p w14:paraId="1C4E7EA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rPr>
              <w:t>可通过下方第26.3条中载明的联系方式在投标截止时间以前向采购人或采购代理机构提出询问，形式不限。</w:t>
            </w:r>
          </w:p>
        </w:tc>
      </w:tr>
      <w:tr w14:paraId="7C41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14EE8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04D334D3">
            <w:pPr>
              <w:jc w:val="center"/>
              <w:rPr>
                <w:color w:val="auto"/>
                <w:sz w:val="24"/>
              </w:rPr>
            </w:pPr>
            <w:r>
              <w:rPr>
                <w:color w:val="auto"/>
                <w:sz w:val="24"/>
              </w:rPr>
              <w:t>联系方式</w:t>
            </w:r>
          </w:p>
        </w:tc>
        <w:tc>
          <w:tcPr>
            <w:tcW w:w="7540" w:type="dxa"/>
            <w:vAlign w:val="center"/>
          </w:tcPr>
          <w:p w14:paraId="29828C5A">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01CC0275">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公共采购事业部 韩伟轩</w:t>
            </w:r>
            <w:r>
              <w:rPr>
                <w:rFonts w:asciiTheme="minorEastAsia" w:hAnsiTheme="minorEastAsia" w:eastAsiaTheme="minorEastAsia"/>
                <w:color w:val="auto"/>
                <w:sz w:val="24"/>
              </w:rPr>
              <w:t>；</w:t>
            </w:r>
          </w:p>
          <w:p w14:paraId="4D16A120">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rPr>
              <w:t>010-83923568</w:t>
            </w:r>
            <w:r>
              <w:rPr>
                <w:rFonts w:asciiTheme="minorEastAsia" w:hAnsiTheme="minorEastAsia" w:eastAsiaTheme="minorEastAsia"/>
                <w:color w:val="auto"/>
                <w:sz w:val="24"/>
              </w:rPr>
              <w:t>；</w:t>
            </w:r>
          </w:p>
          <w:p w14:paraId="730464D5">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通讯地址：</w:t>
            </w:r>
            <w:r>
              <w:rPr>
                <w:rFonts w:asciiTheme="minorEastAsia" w:hAnsiTheme="minorEastAsia" w:eastAsiaTheme="minorEastAsia"/>
                <w:color w:val="auto"/>
                <w:sz w:val="24"/>
              </w:rPr>
              <w:br w:type="textWrapping"/>
            </w:r>
            <w:r>
              <w:rPr>
                <w:rFonts w:hint="eastAsia" w:asciiTheme="minorEastAsia" w:hAnsiTheme="minorEastAsia" w:eastAsiaTheme="minorEastAsia"/>
                <w:color w:val="auto"/>
                <w:sz w:val="24"/>
              </w:rPr>
              <w:t>邮寄/送达地址：北京市丰台区丽泽路24号平安幸福中心B座23层（邮编100073）</w:t>
            </w:r>
            <w:r>
              <w:rPr>
                <w:rFonts w:asciiTheme="minorEastAsia" w:hAnsiTheme="minorEastAsia" w:eastAsiaTheme="minorEastAsia"/>
                <w:color w:val="auto"/>
                <w:sz w:val="24"/>
              </w:rPr>
              <w:t>。</w:t>
            </w:r>
            <w:r>
              <w:rPr>
                <w:rFonts w:asciiTheme="minorEastAsia" w:hAnsiTheme="minorEastAsia" w:eastAsiaTheme="minorEastAsia"/>
                <w:color w:val="auto"/>
                <w:sz w:val="24"/>
              </w:rPr>
              <w:br w:type="textWrapping"/>
            </w:r>
            <w:r>
              <w:rPr>
                <w:rFonts w:hint="eastAsia" w:asciiTheme="minorEastAsia" w:hAnsiTheme="minorEastAsia" w:eastAsiaTheme="minorEastAsia"/>
                <w:color w:val="auto"/>
                <w:sz w:val="24"/>
              </w:rPr>
              <w:t>电子邮箱地址：hanweixuan@sinochem.com</w:t>
            </w:r>
          </w:p>
        </w:tc>
      </w:tr>
      <w:tr w14:paraId="3863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F5A627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54BEA2F">
            <w:pPr>
              <w:jc w:val="center"/>
              <w:rPr>
                <w:color w:val="auto"/>
                <w:sz w:val="24"/>
              </w:rPr>
            </w:pPr>
            <w:r>
              <w:rPr>
                <w:color w:val="auto"/>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9A7C75">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收费对象：</w:t>
            </w:r>
          </w:p>
          <w:p w14:paraId="27A3BB3D">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中标人</w:t>
            </w:r>
          </w:p>
          <w:p w14:paraId="632BBA6B">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收费标准：</w:t>
            </w:r>
          </w:p>
          <w:p w14:paraId="2760C1B6">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以</w:t>
            </w:r>
            <w:r>
              <w:rPr>
                <w:rFonts w:hint="eastAsia" w:asciiTheme="minorEastAsia" w:hAnsiTheme="minorEastAsia" w:eastAsiaTheme="minorEastAsia"/>
                <w:color w:val="auto"/>
                <w:sz w:val="24"/>
                <w:lang w:val="en-US" w:eastAsia="zh-CN"/>
              </w:rPr>
              <w:t>预算</w:t>
            </w:r>
            <w:r>
              <w:rPr>
                <w:rFonts w:asciiTheme="minorEastAsia" w:hAnsiTheme="minorEastAsia" w:eastAsiaTheme="minorEastAsia"/>
                <w:color w:val="auto"/>
                <w:sz w:val="24"/>
              </w:rPr>
              <w:t>金额为基数，</w:t>
            </w:r>
            <w:r>
              <w:rPr>
                <w:rFonts w:hint="eastAsia" w:asciiTheme="minorEastAsia" w:hAnsiTheme="minorEastAsia" w:eastAsiaTheme="minorEastAsia"/>
                <w:color w:val="auto"/>
                <w:sz w:val="24"/>
              </w:rPr>
              <w:t>参</w:t>
            </w:r>
            <w:r>
              <w:rPr>
                <w:rFonts w:asciiTheme="minorEastAsia" w:hAnsiTheme="minorEastAsia" w:eastAsiaTheme="minorEastAsia"/>
                <w:color w:val="auto"/>
                <w:sz w:val="24"/>
              </w:rPr>
              <w:t>照</w:t>
            </w:r>
            <w:r>
              <w:rPr>
                <w:rFonts w:hint="eastAsia" w:asciiTheme="minorEastAsia" w:hAnsiTheme="minorEastAsia" w:eastAsiaTheme="minorEastAsia"/>
                <w:color w:val="auto"/>
                <w:sz w:val="24"/>
              </w:rPr>
              <w:t>原</w:t>
            </w:r>
            <w:r>
              <w:rPr>
                <w:rFonts w:asciiTheme="minorEastAsia" w:hAnsiTheme="minorEastAsia" w:eastAsiaTheme="minorEastAsia"/>
                <w:color w:val="auto"/>
                <w:sz w:val="24"/>
              </w:rPr>
              <w:t>计价格[2002]1980号、发改办价格[2003]857号文件规定的服务费标准向</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缴纳</w:t>
            </w:r>
            <w:r>
              <w:rPr>
                <w:rFonts w:hint="eastAsia" w:asciiTheme="minorEastAsia" w:hAnsiTheme="minorEastAsia" w:eastAsiaTheme="minorEastAsia"/>
                <w:color w:val="auto"/>
                <w:sz w:val="24"/>
              </w:rPr>
              <w:t>招标</w:t>
            </w:r>
            <w:r>
              <w:rPr>
                <w:rFonts w:asciiTheme="minorEastAsia" w:hAnsiTheme="minorEastAsia" w:eastAsiaTheme="minorEastAsia"/>
                <w:color w:val="auto"/>
                <w:sz w:val="24"/>
              </w:rPr>
              <w:t>代理服务费</w:t>
            </w:r>
            <w:r>
              <w:rPr>
                <w:rFonts w:hint="eastAsia" w:asciiTheme="minorEastAsia" w:hAnsiTheme="minorEastAsia" w:eastAsiaTheme="minorEastAsia"/>
                <w:color w:val="auto"/>
                <w:sz w:val="24"/>
              </w:rPr>
              <w:t>，的收费标准具体如下：</w:t>
            </w:r>
          </w:p>
          <w:tbl>
            <w:tblPr>
              <w:tblStyle w:val="42"/>
              <w:tblW w:w="6500" w:type="dxa"/>
              <w:jc w:val="center"/>
              <w:tblLayout w:type="fixed"/>
              <w:tblCellMar>
                <w:top w:w="0" w:type="dxa"/>
                <w:left w:w="108" w:type="dxa"/>
                <w:bottom w:w="0" w:type="dxa"/>
                <w:right w:w="108" w:type="dxa"/>
              </w:tblCellMar>
            </w:tblPr>
            <w:tblGrid>
              <w:gridCol w:w="2126"/>
              <w:gridCol w:w="1458"/>
              <w:gridCol w:w="1458"/>
              <w:gridCol w:w="1458"/>
            </w:tblGrid>
            <w:tr w14:paraId="4F63AEA2">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noWrap/>
                  <w:vAlign w:val="center"/>
                </w:tcPr>
                <w:p w14:paraId="31C46D39">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计算区间</w:t>
                  </w:r>
                </w:p>
                <w:p w14:paraId="5072A252">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（万元人民币）</w:t>
                  </w:r>
                </w:p>
              </w:tc>
              <w:tc>
                <w:tcPr>
                  <w:tcW w:w="4374" w:type="dxa"/>
                  <w:gridSpan w:val="3"/>
                  <w:tcBorders>
                    <w:top w:val="single" w:color="auto" w:sz="8" w:space="0"/>
                    <w:left w:val="nil"/>
                    <w:bottom w:val="single" w:color="auto" w:sz="4" w:space="0"/>
                    <w:right w:val="single" w:color="auto" w:sz="4" w:space="0"/>
                  </w:tcBorders>
                  <w:noWrap/>
                  <w:vAlign w:val="center"/>
                </w:tcPr>
                <w:p w14:paraId="77A14FE2">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收费标准</w:t>
                  </w:r>
                </w:p>
              </w:tc>
            </w:tr>
            <w:tr w14:paraId="4E282F98">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vAlign w:val="center"/>
                </w:tcPr>
                <w:p w14:paraId="50A1B0EC">
                  <w:pPr>
                    <w:jc w:val="left"/>
                    <w:rPr>
                      <w:rFonts w:hint="eastAsia" w:asciiTheme="minorEastAsia" w:hAnsiTheme="minorEastAsia" w:eastAsiaTheme="minorEastAsia"/>
                      <w:color w:val="auto"/>
                      <w:sz w:val="24"/>
                    </w:rPr>
                  </w:pPr>
                </w:p>
              </w:tc>
              <w:tc>
                <w:tcPr>
                  <w:tcW w:w="1458" w:type="dxa"/>
                  <w:tcBorders>
                    <w:top w:val="nil"/>
                    <w:left w:val="nil"/>
                    <w:bottom w:val="single" w:color="auto" w:sz="4" w:space="0"/>
                    <w:right w:val="single" w:color="auto" w:sz="4" w:space="0"/>
                  </w:tcBorders>
                  <w:noWrap/>
                  <w:vAlign w:val="center"/>
                </w:tcPr>
                <w:p w14:paraId="5A21F254">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货物</w:t>
                  </w:r>
                </w:p>
              </w:tc>
              <w:tc>
                <w:tcPr>
                  <w:tcW w:w="1458" w:type="dxa"/>
                  <w:tcBorders>
                    <w:top w:val="nil"/>
                    <w:left w:val="nil"/>
                    <w:bottom w:val="single" w:color="auto" w:sz="4" w:space="0"/>
                    <w:right w:val="single" w:color="auto" w:sz="4" w:space="0"/>
                  </w:tcBorders>
                  <w:noWrap/>
                  <w:vAlign w:val="center"/>
                </w:tcPr>
                <w:p w14:paraId="2C4EB80B">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服务</w:t>
                  </w:r>
                </w:p>
              </w:tc>
              <w:tc>
                <w:tcPr>
                  <w:tcW w:w="1458" w:type="dxa"/>
                  <w:tcBorders>
                    <w:top w:val="nil"/>
                    <w:left w:val="nil"/>
                    <w:bottom w:val="single" w:color="auto" w:sz="4" w:space="0"/>
                    <w:right w:val="single" w:color="auto" w:sz="4" w:space="0"/>
                  </w:tcBorders>
                  <w:noWrap/>
                  <w:vAlign w:val="center"/>
                </w:tcPr>
                <w:p w14:paraId="4E202A38">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工程</w:t>
                  </w:r>
                </w:p>
              </w:tc>
            </w:tr>
            <w:tr w14:paraId="1202E0F4">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vAlign w:val="bottom"/>
                </w:tcPr>
                <w:p w14:paraId="4A5FEA27">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w:t>
                  </w:r>
                  <w:r>
                    <w:rPr>
                      <w:rFonts w:hint="eastAsia" w:asciiTheme="minorEastAsia" w:hAnsiTheme="minorEastAsia" w:eastAsiaTheme="minorEastAsia"/>
                      <w:color w:val="auto"/>
                      <w:sz w:val="24"/>
                    </w:rPr>
                    <w:t>以下</w:t>
                  </w:r>
                </w:p>
              </w:tc>
              <w:tc>
                <w:tcPr>
                  <w:tcW w:w="1458" w:type="dxa"/>
                  <w:tcBorders>
                    <w:top w:val="nil"/>
                    <w:left w:val="nil"/>
                    <w:bottom w:val="single" w:color="auto" w:sz="4" w:space="0"/>
                    <w:right w:val="single" w:color="auto" w:sz="4" w:space="0"/>
                  </w:tcBorders>
                  <w:vAlign w:val="bottom"/>
                </w:tcPr>
                <w:p w14:paraId="3D2575F4">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1.50%</w:t>
                  </w:r>
                </w:p>
              </w:tc>
              <w:tc>
                <w:tcPr>
                  <w:tcW w:w="1458" w:type="dxa"/>
                  <w:tcBorders>
                    <w:top w:val="nil"/>
                    <w:left w:val="nil"/>
                    <w:bottom w:val="single" w:color="auto" w:sz="4" w:space="0"/>
                    <w:right w:val="single" w:color="auto" w:sz="4" w:space="0"/>
                  </w:tcBorders>
                  <w:vAlign w:val="bottom"/>
                </w:tcPr>
                <w:p w14:paraId="6BA4F741">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1.50%</w:t>
                  </w:r>
                </w:p>
              </w:tc>
              <w:tc>
                <w:tcPr>
                  <w:tcW w:w="1458" w:type="dxa"/>
                  <w:tcBorders>
                    <w:top w:val="nil"/>
                    <w:left w:val="nil"/>
                    <w:bottom w:val="single" w:color="auto" w:sz="4" w:space="0"/>
                    <w:right w:val="single" w:color="auto" w:sz="4" w:space="0"/>
                  </w:tcBorders>
                  <w:vAlign w:val="bottom"/>
                </w:tcPr>
                <w:p w14:paraId="41D089EB">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w:t>
                  </w:r>
                </w:p>
              </w:tc>
            </w:tr>
            <w:tr w14:paraId="2EFE9F23">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vAlign w:val="bottom"/>
                </w:tcPr>
                <w:p w14:paraId="37D22F97">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100~500</w:t>
                  </w:r>
                </w:p>
              </w:tc>
              <w:tc>
                <w:tcPr>
                  <w:tcW w:w="1458" w:type="dxa"/>
                  <w:tcBorders>
                    <w:top w:val="nil"/>
                    <w:left w:val="nil"/>
                    <w:bottom w:val="single" w:color="auto" w:sz="4" w:space="0"/>
                    <w:right w:val="single" w:color="auto" w:sz="4" w:space="0"/>
                  </w:tcBorders>
                  <w:vAlign w:val="bottom"/>
                </w:tcPr>
                <w:p w14:paraId="0014597D">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1.10%</w:t>
                  </w:r>
                </w:p>
              </w:tc>
              <w:tc>
                <w:tcPr>
                  <w:tcW w:w="1458" w:type="dxa"/>
                  <w:tcBorders>
                    <w:top w:val="nil"/>
                    <w:left w:val="nil"/>
                    <w:bottom w:val="single" w:color="auto" w:sz="4" w:space="0"/>
                    <w:right w:val="single" w:color="auto" w:sz="4" w:space="0"/>
                  </w:tcBorders>
                  <w:vAlign w:val="bottom"/>
                </w:tcPr>
                <w:p w14:paraId="0308DDD6">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0.80%</w:t>
                  </w:r>
                </w:p>
              </w:tc>
              <w:tc>
                <w:tcPr>
                  <w:tcW w:w="1458" w:type="dxa"/>
                  <w:tcBorders>
                    <w:top w:val="nil"/>
                    <w:left w:val="nil"/>
                    <w:bottom w:val="single" w:color="auto" w:sz="4" w:space="0"/>
                    <w:right w:val="single" w:color="auto" w:sz="4" w:space="0"/>
                  </w:tcBorders>
                  <w:vAlign w:val="bottom"/>
                </w:tcPr>
                <w:p w14:paraId="66B43F74">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0.70%</w:t>
                  </w:r>
                </w:p>
              </w:tc>
            </w:tr>
            <w:tr w14:paraId="5AE4F2E1">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vAlign w:val="bottom"/>
                </w:tcPr>
                <w:p w14:paraId="614DC803">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500~1000</w:t>
                  </w:r>
                </w:p>
              </w:tc>
              <w:tc>
                <w:tcPr>
                  <w:tcW w:w="1458" w:type="dxa"/>
                  <w:tcBorders>
                    <w:top w:val="nil"/>
                    <w:left w:val="nil"/>
                    <w:bottom w:val="single" w:color="auto" w:sz="4" w:space="0"/>
                    <w:right w:val="single" w:color="auto" w:sz="4" w:space="0"/>
                  </w:tcBorders>
                  <w:vAlign w:val="bottom"/>
                </w:tcPr>
                <w:p w14:paraId="3AAFBDC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0.80%</w:t>
                  </w:r>
                </w:p>
              </w:tc>
              <w:tc>
                <w:tcPr>
                  <w:tcW w:w="1458" w:type="dxa"/>
                  <w:tcBorders>
                    <w:top w:val="nil"/>
                    <w:left w:val="nil"/>
                    <w:bottom w:val="single" w:color="auto" w:sz="4" w:space="0"/>
                    <w:right w:val="single" w:color="auto" w:sz="4" w:space="0"/>
                  </w:tcBorders>
                  <w:vAlign w:val="bottom"/>
                </w:tcPr>
                <w:p w14:paraId="2C079744">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0.45%</w:t>
                  </w:r>
                </w:p>
              </w:tc>
              <w:tc>
                <w:tcPr>
                  <w:tcW w:w="1458" w:type="dxa"/>
                  <w:tcBorders>
                    <w:top w:val="nil"/>
                    <w:left w:val="nil"/>
                    <w:bottom w:val="single" w:color="auto" w:sz="4" w:space="0"/>
                    <w:right w:val="single" w:color="auto" w:sz="4" w:space="0"/>
                  </w:tcBorders>
                  <w:vAlign w:val="bottom"/>
                </w:tcPr>
                <w:p w14:paraId="5A4A0D4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0.55%</w:t>
                  </w:r>
                </w:p>
              </w:tc>
            </w:tr>
            <w:tr w14:paraId="1D089A63">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vAlign w:val="bottom"/>
                </w:tcPr>
                <w:p w14:paraId="69A215B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1000~5000</w:t>
                  </w:r>
                </w:p>
              </w:tc>
              <w:tc>
                <w:tcPr>
                  <w:tcW w:w="1458" w:type="dxa"/>
                  <w:tcBorders>
                    <w:top w:val="nil"/>
                    <w:left w:val="nil"/>
                    <w:bottom w:val="single" w:color="auto" w:sz="4" w:space="0"/>
                    <w:right w:val="single" w:color="auto" w:sz="4" w:space="0"/>
                  </w:tcBorders>
                  <w:vAlign w:val="bottom"/>
                </w:tcPr>
                <w:p w14:paraId="5AA9EA7C">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0.50%</w:t>
                  </w:r>
                </w:p>
              </w:tc>
              <w:tc>
                <w:tcPr>
                  <w:tcW w:w="1458" w:type="dxa"/>
                  <w:tcBorders>
                    <w:top w:val="nil"/>
                    <w:left w:val="nil"/>
                    <w:bottom w:val="single" w:color="auto" w:sz="4" w:space="0"/>
                    <w:right w:val="single" w:color="auto" w:sz="4" w:space="0"/>
                  </w:tcBorders>
                  <w:vAlign w:val="bottom"/>
                </w:tcPr>
                <w:p w14:paraId="27F314F6">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0.25%</w:t>
                  </w:r>
                </w:p>
              </w:tc>
              <w:tc>
                <w:tcPr>
                  <w:tcW w:w="1458" w:type="dxa"/>
                  <w:tcBorders>
                    <w:top w:val="nil"/>
                    <w:left w:val="nil"/>
                    <w:bottom w:val="single" w:color="auto" w:sz="4" w:space="0"/>
                    <w:right w:val="single" w:color="auto" w:sz="4" w:space="0"/>
                  </w:tcBorders>
                  <w:vAlign w:val="bottom"/>
                </w:tcPr>
                <w:p w14:paraId="60D74CA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0.35%</w:t>
                  </w:r>
                </w:p>
              </w:tc>
            </w:tr>
            <w:tr w14:paraId="3DE8B988">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vAlign w:val="bottom"/>
                </w:tcPr>
                <w:p w14:paraId="2EA47C68">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5000~10000</w:t>
                  </w:r>
                </w:p>
              </w:tc>
              <w:tc>
                <w:tcPr>
                  <w:tcW w:w="1458" w:type="dxa"/>
                  <w:tcBorders>
                    <w:top w:val="nil"/>
                    <w:left w:val="nil"/>
                    <w:bottom w:val="single" w:color="auto" w:sz="4" w:space="0"/>
                    <w:right w:val="single" w:color="auto" w:sz="4" w:space="0"/>
                  </w:tcBorders>
                  <w:vAlign w:val="bottom"/>
                </w:tcPr>
                <w:p w14:paraId="395739A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0.25%</w:t>
                  </w:r>
                </w:p>
              </w:tc>
              <w:tc>
                <w:tcPr>
                  <w:tcW w:w="1458" w:type="dxa"/>
                  <w:tcBorders>
                    <w:top w:val="nil"/>
                    <w:left w:val="nil"/>
                    <w:bottom w:val="single" w:color="auto" w:sz="4" w:space="0"/>
                    <w:right w:val="single" w:color="auto" w:sz="4" w:space="0"/>
                  </w:tcBorders>
                  <w:vAlign w:val="bottom"/>
                </w:tcPr>
                <w:p w14:paraId="49151E46">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0.10%</w:t>
                  </w:r>
                </w:p>
              </w:tc>
              <w:tc>
                <w:tcPr>
                  <w:tcW w:w="1458" w:type="dxa"/>
                  <w:tcBorders>
                    <w:top w:val="nil"/>
                    <w:left w:val="nil"/>
                    <w:bottom w:val="single" w:color="auto" w:sz="4" w:space="0"/>
                    <w:right w:val="single" w:color="auto" w:sz="4" w:space="0"/>
                  </w:tcBorders>
                  <w:vAlign w:val="bottom"/>
                </w:tcPr>
                <w:p w14:paraId="48913587">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0.20%</w:t>
                  </w:r>
                </w:p>
              </w:tc>
            </w:tr>
            <w:tr w14:paraId="12086732">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5E38BE61">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10000~100000</w:t>
                  </w:r>
                </w:p>
              </w:tc>
              <w:tc>
                <w:tcPr>
                  <w:tcW w:w="1458" w:type="dxa"/>
                  <w:tcBorders>
                    <w:top w:val="single" w:color="auto" w:sz="4" w:space="0"/>
                    <w:left w:val="nil"/>
                    <w:bottom w:val="single" w:color="auto" w:sz="4" w:space="0"/>
                    <w:right w:val="single" w:color="auto" w:sz="4" w:space="0"/>
                  </w:tcBorders>
                  <w:vAlign w:val="bottom"/>
                </w:tcPr>
                <w:p w14:paraId="789B7953">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0.05%</w:t>
                  </w:r>
                </w:p>
              </w:tc>
              <w:tc>
                <w:tcPr>
                  <w:tcW w:w="1458" w:type="dxa"/>
                  <w:tcBorders>
                    <w:top w:val="single" w:color="auto" w:sz="4" w:space="0"/>
                    <w:left w:val="nil"/>
                    <w:bottom w:val="single" w:color="auto" w:sz="4" w:space="0"/>
                    <w:right w:val="single" w:color="auto" w:sz="4" w:space="0"/>
                  </w:tcBorders>
                  <w:vAlign w:val="bottom"/>
                </w:tcPr>
                <w:p w14:paraId="06EFB9F8">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0.05%</w:t>
                  </w:r>
                </w:p>
              </w:tc>
              <w:tc>
                <w:tcPr>
                  <w:tcW w:w="1458" w:type="dxa"/>
                  <w:tcBorders>
                    <w:top w:val="single" w:color="auto" w:sz="4" w:space="0"/>
                    <w:left w:val="nil"/>
                    <w:bottom w:val="single" w:color="auto" w:sz="4" w:space="0"/>
                    <w:right w:val="single" w:color="auto" w:sz="4" w:space="0"/>
                  </w:tcBorders>
                  <w:vAlign w:val="bottom"/>
                </w:tcPr>
                <w:p w14:paraId="401BE3E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0.05%</w:t>
                  </w:r>
                </w:p>
              </w:tc>
            </w:tr>
            <w:tr w14:paraId="1067240A">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05100F58">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100000</w:t>
                  </w:r>
                  <w:r>
                    <w:rPr>
                      <w:rFonts w:hint="eastAsia" w:asciiTheme="minorEastAsia" w:hAnsiTheme="minorEastAsia" w:eastAsiaTheme="minorEastAsia"/>
                      <w:color w:val="auto"/>
                      <w:sz w:val="24"/>
                    </w:rPr>
                    <w:t>以上</w:t>
                  </w:r>
                </w:p>
              </w:tc>
              <w:tc>
                <w:tcPr>
                  <w:tcW w:w="1458" w:type="dxa"/>
                  <w:tcBorders>
                    <w:top w:val="single" w:color="auto" w:sz="4" w:space="0"/>
                    <w:left w:val="nil"/>
                    <w:bottom w:val="single" w:color="auto" w:sz="4" w:space="0"/>
                    <w:right w:val="single" w:color="auto" w:sz="4" w:space="0"/>
                  </w:tcBorders>
                  <w:vAlign w:val="bottom"/>
                </w:tcPr>
                <w:p w14:paraId="36D98951">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0.01%</w:t>
                  </w:r>
                </w:p>
              </w:tc>
              <w:tc>
                <w:tcPr>
                  <w:tcW w:w="1458" w:type="dxa"/>
                  <w:tcBorders>
                    <w:top w:val="single" w:color="auto" w:sz="4" w:space="0"/>
                    <w:left w:val="nil"/>
                    <w:bottom w:val="single" w:color="auto" w:sz="4" w:space="0"/>
                    <w:right w:val="single" w:color="auto" w:sz="4" w:space="0"/>
                  </w:tcBorders>
                  <w:vAlign w:val="bottom"/>
                </w:tcPr>
                <w:p w14:paraId="19E259E3">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0.01%</w:t>
                  </w:r>
                </w:p>
              </w:tc>
              <w:tc>
                <w:tcPr>
                  <w:tcW w:w="1458" w:type="dxa"/>
                  <w:tcBorders>
                    <w:top w:val="single" w:color="auto" w:sz="4" w:space="0"/>
                    <w:left w:val="nil"/>
                    <w:bottom w:val="single" w:color="auto" w:sz="4" w:space="0"/>
                    <w:right w:val="single" w:color="auto" w:sz="4" w:space="0"/>
                  </w:tcBorders>
                  <w:vAlign w:val="bottom"/>
                </w:tcPr>
                <w:p w14:paraId="7B61916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0.01%</w:t>
                  </w:r>
                </w:p>
              </w:tc>
            </w:tr>
            <w:tr w14:paraId="0C9C6DA8">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vAlign w:val="bottom"/>
                </w:tcPr>
                <w:p w14:paraId="1AA44234">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以货物类项目中标金额800万元为例：</w:t>
                  </w:r>
                </w:p>
                <w:p w14:paraId="23903BB3">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服务费金额=100万元×1.5%+400万元×1.1%+300万元×0.8%=8.3万元</w:t>
                  </w:r>
                </w:p>
              </w:tc>
            </w:tr>
          </w:tbl>
          <w:p w14:paraId="4321A448">
            <w:pPr>
              <w:jc w:val="left"/>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注：</w:t>
            </w:r>
            <w:r>
              <w:rPr>
                <w:rFonts w:asciiTheme="minorEastAsia" w:hAnsiTheme="minorEastAsia" w:eastAsiaTheme="minorEastAsia"/>
                <w:b/>
                <w:bCs/>
                <w:color w:val="auto"/>
                <w:sz w:val="24"/>
              </w:rPr>
              <w:t>供应商需同时提供</w:t>
            </w:r>
            <w:r>
              <w:rPr>
                <w:rFonts w:hint="eastAsia" w:asciiTheme="minorEastAsia" w:hAnsiTheme="minorEastAsia" w:eastAsiaTheme="minorEastAsia"/>
                <w:b/>
                <w:bCs/>
                <w:color w:val="auto"/>
                <w:sz w:val="24"/>
              </w:rPr>
              <w:t>开票</w:t>
            </w:r>
            <w:r>
              <w:rPr>
                <w:rFonts w:asciiTheme="minorEastAsia" w:hAnsiTheme="minorEastAsia" w:eastAsiaTheme="minorEastAsia"/>
                <w:b/>
                <w:bCs/>
                <w:color w:val="auto"/>
                <w:sz w:val="24"/>
              </w:rPr>
              <w:t>详细信息（见</w:t>
            </w:r>
            <w:r>
              <w:rPr>
                <w:rFonts w:hint="eastAsia" w:asciiTheme="minorEastAsia" w:hAnsiTheme="minorEastAsia" w:eastAsiaTheme="minorEastAsia"/>
                <w:b/>
                <w:bCs/>
                <w:color w:val="auto"/>
                <w:sz w:val="24"/>
              </w:rPr>
              <w:t>第七章投标人开票信息表</w:t>
            </w:r>
            <w:r>
              <w:rPr>
                <w:rFonts w:asciiTheme="minorEastAsia" w:hAnsiTheme="minorEastAsia" w:eastAsiaTheme="minorEastAsia"/>
                <w:b/>
                <w:bCs/>
                <w:color w:val="auto"/>
                <w:sz w:val="24"/>
              </w:rPr>
              <w:t>）。</w:t>
            </w:r>
          </w:p>
          <w:p w14:paraId="66CABC13">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rPr>
              <w:t>中标后</w:t>
            </w:r>
            <w:r>
              <w:rPr>
                <w:rFonts w:asciiTheme="minorEastAsia" w:hAnsiTheme="minorEastAsia" w:eastAsiaTheme="minorEastAsia"/>
                <w:color w:val="auto"/>
                <w:sz w:val="24"/>
              </w:rPr>
              <w:t>。</w:t>
            </w:r>
          </w:p>
        </w:tc>
      </w:tr>
      <w:tr w14:paraId="2B4A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4C7286">
            <w:pPr>
              <w:pStyle w:val="23"/>
              <w:adjustRightInd w:val="0"/>
              <w:snapToGrid w:val="0"/>
              <w:jc w:val="center"/>
              <w:rPr>
                <w:rFonts w:hint="default" w:ascii="Times New Roman" w:hAnsi="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C470814">
            <w:pPr>
              <w:jc w:val="center"/>
              <w:rPr>
                <w:sz w:val="24"/>
              </w:rPr>
            </w:pPr>
          </w:p>
        </w:tc>
        <w:tc>
          <w:tcPr>
            <w:tcW w:w="7540" w:type="dxa"/>
            <w:tcBorders>
              <w:top w:val="single" w:color="auto" w:sz="4" w:space="0"/>
              <w:left w:val="single" w:color="auto" w:sz="4" w:space="0"/>
              <w:bottom w:val="single" w:color="auto" w:sz="4" w:space="0"/>
              <w:right w:val="single" w:color="auto" w:sz="4" w:space="0"/>
            </w:tcBorders>
            <w:vAlign w:val="center"/>
          </w:tcPr>
          <w:p w14:paraId="63088FF5">
            <w:pPr>
              <w:jc w:val="left"/>
              <w:rPr>
                <w:rFonts w:asciiTheme="minorEastAsia" w:hAnsiTheme="minorEastAsia" w:eastAsiaTheme="minorEastAsia"/>
                <w:b/>
                <w:bCs/>
                <w:sz w:val="24"/>
              </w:rPr>
            </w:pPr>
            <w:r>
              <w:rPr>
                <w:rFonts w:hint="eastAsia" w:asciiTheme="minorEastAsia" w:hAnsiTheme="minorEastAsia" w:eastAsiaTheme="minorEastAsia"/>
                <w:b/>
                <w:bCs/>
                <w:sz w:val="24"/>
              </w:rPr>
              <w:t>以下为补充条款</w:t>
            </w:r>
          </w:p>
        </w:tc>
      </w:tr>
      <w:tr w14:paraId="2286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8A147D5">
            <w:pPr>
              <w:pStyle w:val="23"/>
              <w:adjustRightInd w:val="0"/>
              <w:snapToGrid w:val="0"/>
              <w:jc w:val="center"/>
              <w:rPr>
                <w:rFonts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1D1A7511">
            <w:pPr>
              <w:jc w:val="center"/>
              <w:rPr>
                <w:sz w:val="24"/>
              </w:rPr>
            </w:pPr>
            <w:r>
              <w:rPr>
                <w:rFonts w:hint="eastAsia"/>
                <w:sz w:val="24"/>
              </w:rPr>
              <w:t>项目编号说明</w:t>
            </w:r>
          </w:p>
        </w:tc>
        <w:tc>
          <w:tcPr>
            <w:tcW w:w="7540" w:type="dxa"/>
            <w:tcBorders>
              <w:top w:val="single" w:color="auto" w:sz="4" w:space="0"/>
              <w:left w:val="single" w:color="auto" w:sz="4" w:space="0"/>
              <w:bottom w:val="single" w:color="auto" w:sz="4" w:space="0"/>
              <w:right w:val="single" w:color="auto" w:sz="4" w:space="0"/>
            </w:tcBorders>
            <w:vAlign w:val="center"/>
          </w:tcPr>
          <w:p w14:paraId="0E09783D">
            <w:pPr>
              <w:jc w:val="left"/>
              <w:rPr>
                <w:rFonts w:hint="eastAsia" w:asciiTheme="minorEastAsia" w:hAnsiTheme="minorEastAsia" w:eastAsiaTheme="minorEastAsia"/>
                <w:sz w:val="24"/>
              </w:rPr>
            </w:pPr>
            <w:r>
              <w:rPr>
                <w:rFonts w:hint="eastAsia" w:asciiTheme="minorEastAsia" w:hAnsiTheme="minorEastAsia" w:eastAsiaTheme="minorEastAsia"/>
                <w:sz w:val="24"/>
              </w:rPr>
              <w:t>本招标文件中给出的项目编号为代理机构项目编号，北京市政府采购电子交易平台中给出的项目编号（即招标公告中的项目编号）也属于有效编号，投标人在制作投标文件和投标过程中使用上述项目编号中的任意一个均有效。</w:t>
            </w:r>
          </w:p>
        </w:tc>
      </w:tr>
      <w:tr w14:paraId="1286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752F114">
            <w:pPr>
              <w:pStyle w:val="23"/>
              <w:adjustRightInd w:val="0"/>
              <w:snapToGrid w:val="0"/>
              <w:jc w:val="center"/>
              <w:rPr>
                <w:rFonts w:ascii="Times New Roman" w:hAnsi="Times New Roman"/>
                <w:color w:val="auto"/>
                <w:sz w:val="24"/>
                <w:szCs w:val="24"/>
              </w:rPr>
            </w:pPr>
            <w:r>
              <w:rPr>
                <w:rFonts w:ascii="Times New Roman" w:hAnsi="Times New Roman"/>
                <w:color w:val="auto"/>
                <w:sz w:val="24"/>
                <w:szCs w:val="24"/>
              </w:rPr>
              <w:t>29</w:t>
            </w:r>
          </w:p>
        </w:tc>
        <w:tc>
          <w:tcPr>
            <w:tcW w:w="1701" w:type="dxa"/>
            <w:tcBorders>
              <w:top w:val="single" w:color="auto" w:sz="4" w:space="0"/>
              <w:left w:val="single" w:color="auto" w:sz="4" w:space="0"/>
              <w:bottom w:val="single" w:color="auto" w:sz="4" w:space="0"/>
              <w:right w:val="single" w:color="auto" w:sz="4" w:space="0"/>
            </w:tcBorders>
            <w:vAlign w:val="center"/>
          </w:tcPr>
          <w:p w14:paraId="666159C8">
            <w:pPr>
              <w:jc w:val="center"/>
              <w:rPr>
                <w:color w:val="auto"/>
                <w:sz w:val="24"/>
              </w:rPr>
            </w:pPr>
            <w:r>
              <w:rPr>
                <w:rFonts w:hint="eastAsia"/>
                <w:color w:val="auto"/>
                <w:sz w:val="24"/>
              </w:rPr>
              <w:t>参加开标仪式有关要求</w:t>
            </w:r>
          </w:p>
        </w:tc>
        <w:tc>
          <w:tcPr>
            <w:tcW w:w="7540" w:type="dxa"/>
            <w:tcBorders>
              <w:top w:val="single" w:color="auto" w:sz="4" w:space="0"/>
              <w:left w:val="single" w:color="auto" w:sz="4" w:space="0"/>
              <w:bottom w:val="single" w:color="auto" w:sz="4" w:space="0"/>
              <w:right w:val="single" w:color="auto" w:sz="4" w:space="0"/>
            </w:tcBorders>
            <w:vAlign w:val="center"/>
          </w:tcPr>
          <w:p w14:paraId="797711F4">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1、参加开标仪式的投标人的代表应确保携带加密投标文件相对应的数字 CA 证书，投标人应在招标文件规定的时间内对投标文件进行解密，因非系统原因导致的解密失败，视为投标无效。</w:t>
            </w:r>
          </w:p>
          <w:p w14:paraId="33A485A4">
            <w:pPr>
              <w:jc w:val="left"/>
              <w:rPr>
                <w:rFonts w:hint="eastAsia" w:asciiTheme="minorEastAsia" w:hAnsiTheme="minorEastAsia" w:eastAsiaTheme="minorEastAsia"/>
                <w:b/>
                <w:bCs/>
                <w:color w:val="auto"/>
                <w:sz w:val="24"/>
              </w:rPr>
            </w:pPr>
            <w:r>
              <w:rPr>
                <w:rFonts w:hint="eastAsia" w:asciiTheme="minorEastAsia" w:hAnsiTheme="minorEastAsia" w:eastAsiaTheme="minorEastAsia"/>
                <w:color w:val="auto"/>
                <w:sz w:val="24"/>
              </w:rPr>
              <w:t>2、以支票、汇票、本票、金融机构、担保机构出具的纸质保函等形式提交投标保证金的，应在投标截止时间前将原件提交至采购代理机构。上述保证金原件的包装袋上应写明：投标项目名称、项目编号、包件号、包件名称、投标人名称和“投标保证金原件”字样。该包装必须密封，</w:t>
            </w:r>
            <w:r>
              <w:rPr>
                <w:rFonts w:hint="eastAsia"/>
                <w:color w:val="auto"/>
                <w:sz w:val="24"/>
              </w:rPr>
              <w:t>并在投标截止时间前递交</w:t>
            </w:r>
            <w:r>
              <w:rPr>
                <w:rFonts w:hint="eastAsia" w:asciiTheme="minorEastAsia" w:hAnsiTheme="minorEastAsia" w:eastAsiaTheme="minorEastAsia"/>
                <w:color w:val="auto"/>
                <w:sz w:val="24"/>
              </w:rPr>
              <w:t>至开标现场。</w:t>
            </w:r>
            <w:r>
              <w:rPr>
                <w:rFonts w:hint="eastAsia"/>
                <w:color w:val="auto"/>
                <w:sz w:val="24"/>
              </w:rPr>
              <w:t>未密封或迟交的保证金原件，采购人、采购代理机构将拒绝接收。</w:t>
            </w:r>
            <w:r>
              <w:rPr>
                <w:rFonts w:hint="eastAsia" w:asciiTheme="minorEastAsia" w:hAnsiTheme="minorEastAsia" w:eastAsiaTheme="minorEastAsia"/>
                <w:color w:val="auto"/>
                <w:sz w:val="24"/>
              </w:rPr>
              <w:t>（此项不适用于以电汇转账方式和电子保函形式递交保证金的投标人）</w:t>
            </w:r>
          </w:p>
        </w:tc>
      </w:tr>
      <w:tr w14:paraId="3F4E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BA0A5F4">
            <w:pPr>
              <w:pStyle w:val="23"/>
              <w:adjustRightInd w:val="0"/>
              <w:snapToGrid w:val="0"/>
              <w:jc w:val="center"/>
              <w:rPr>
                <w:rFonts w:ascii="Times New Roman" w:hAnsi="Times New Roman"/>
                <w:color w:val="auto"/>
                <w:sz w:val="24"/>
                <w:szCs w:val="24"/>
              </w:rPr>
            </w:pPr>
            <w:r>
              <w:rPr>
                <w:rFonts w:ascii="Times New Roman" w:hAnsi="Times New Roman"/>
                <w:color w:val="auto"/>
                <w:sz w:val="24"/>
                <w:szCs w:val="24"/>
              </w:rPr>
              <w:t>30</w:t>
            </w:r>
          </w:p>
        </w:tc>
        <w:tc>
          <w:tcPr>
            <w:tcW w:w="1701" w:type="dxa"/>
            <w:tcBorders>
              <w:top w:val="single" w:color="auto" w:sz="4" w:space="0"/>
              <w:left w:val="single" w:color="auto" w:sz="4" w:space="0"/>
              <w:bottom w:val="single" w:color="auto" w:sz="4" w:space="0"/>
              <w:right w:val="single" w:color="auto" w:sz="4" w:space="0"/>
            </w:tcBorders>
            <w:vAlign w:val="center"/>
          </w:tcPr>
          <w:p w14:paraId="61A8B46A">
            <w:pPr>
              <w:jc w:val="center"/>
              <w:rPr>
                <w:color w:val="auto"/>
                <w:sz w:val="24"/>
              </w:rPr>
            </w:pPr>
            <w:r>
              <w:rPr>
                <w:rFonts w:hint="eastAsia"/>
                <w:color w:val="auto"/>
                <w:sz w:val="24"/>
              </w:rPr>
              <w:t>纸质版副本投标文件要求</w:t>
            </w:r>
          </w:p>
        </w:tc>
        <w:tc>
          <w:tcPr>
            <w:tcW w:w="7540" w:type="dxa"/>
            <w:tcBorders>
              <w:top w:val="single" w:color="auto" w:sz="4" w:space="0"/>
              <w:left w:val="single" w:color="auto" w:sz="4" w:space="0"/>
              <w:bottom w:val="single" w:color="auto" w:sz="4" w:space="0"/>
              <w:right w:val="single" w:color="auto" w:sz="4" w:space="0"/>
            </w:tcBorders>
            <w:vAlign w:val="center"/>
          </w:tcPr>
          <w:p w14:paraId="0FFF1E72">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1、需要提供投标文件纸质副本供采购人和评标委员会参考，具体份数要求：副本2份。若电子文件与纸制参考文件不符，以电子文件为准。</w:t>
            </w:r>
          </w:p>
          <w:p w14:paraId="756539DE">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2、纸质副本投标文件建议采用电子投标文件的纸质打印版本，纸质副本投标文件的装订形式，封面格式、盖章签署等均不做任何要求。</w:t>
            </w:r>
          </w:p>
          <w:p w14:paraId="1A89FD66">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纸质副本投标文件的包装袋上应写明：投标项目名称、项目编号、包件号、包件名称、投标人名称和“副本”字样。放有投标文件其它组成部分或投标文件分册装订有多个包装等情况的，除均应按上述规定标记外，还应尽量注明包装袋内的内容（例如 “上册”、“下册”、“图纸”或“附件”等）。包装袋的格式和数量不限。</w:t>
            </w:r>
          </w:p>
          <w:p w14:paraId="5D306C19">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4、纸质副本投标文件的所有包装必须密封，</w:t>
            </w:r>
            <w:r>
              <w:rPr>
                <w:rFonts w:hint="eastAsia"/>
                <w:color w:val="auto"/>
                <w:sz w:val="24"/>
              </w:rPr>
              <w:t>并在投标截止时间前递交</w:t>
            </w:r>
            <w:r>
              <w:rPr>
                <w:rFonts w:hint="eastAsia" w:asciiTheme="minorEastAsia" w:hAnsiTheme="minorEastAsia" w:eastAsiaTheme="minorEastAsia"/>
                <w:color w:val="auto"/>
                <w:sz w:val="24"/>
              </w:rPr>
              <w:t>递交至开标现场。</w:t>
            </w:r>
            <w:r>
              <w:rPr>
                <w:rFonts w:hint="eastAsia"/>
                <w:color w:val="auto"/>
                <w:sz w:val="24"/>
              </w:rPr>
              <w:t>未密封或迟交的纸质副本投标文件，采购人、采购代理机构将拒绝在开标现场接收。</w:t>
            </w:r>
          </w:p>
        </w:tc>
      </w:tr>
    </w:tbl>
    <w:p w14:paraId="3FACE141">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4FD022A8">
      <w:pPr>
        <w:spacing w:before="240" w:beforeLines="100" w:after="240" w:afterLines="100"/>
        <w:jc w:val="center"/>
        <w:rPr>
          <w:b/>
          <w:sz w:val="28"/>
          <w:szCs w:val="28"/>
        </w:rPr>
      </w:pPr>
      <w:bookmarkStart w:id="78" w:name="_Toc265228355"/>
      <w:bookmarkStart w:id="79" w:name="_Toc226337213"/>
      <w:bookmarkStart w:id="80" w:name="_Toc150480755"/>
      <w:bookmarkStart w:id="81" w:name="_Toc353825542"/>
      <w:bookmarkStart w:id="82" w:name="_Toc195842882"/>
      <w:bookmarkStart w:id="83" w:name="_Toc305158785"/>
      <w:bookmarkStart w:id="84" w:name="_Toc353873932"/>
      <w:bookmarkStart w:id="85" w:name="_Toc264969207"/>
      <w:bookmarkStart w:id="86" w:name="_Toc226965790"/>
      <w:bookmarkStart w:id="87" w:name="_Toc150774722"/>
      <w:bookmarkStart w:id="88" w:name="_Toc127151517"/>
      <w:bookmarkStart w:id="89" w:name="_Toc305158859"/>
      <w:bookmarkStart w:id="90" w:name="_Toc142311019"/>
      <w:bookmarkStart w:id="91" w:name="_Toc353873662"/>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AFDF745">
      <w:pPr>
        <w:pStyle w:val="3"/>
        <w:tabs>
          <w:tab w:val="center" w:pos="4592"/>
          <w:tab w:val="left" w:pos="7860"/>
        </w:tabs>
        <w:spacing w:before="0" w:line="360" w:lineRule="auto"/>
        <w:jc w:val="left"/>
        <w:rPr>
          <w:rFonts w:ascii="Times New Roman" w:hAnsi="Times New Roman" w:eastAsia="宋体"/>
          <w:sz w:val="28"/>
        </w:rPr>
      </w:pPr>
      <w:bookmarkStart w:id="92" w:name="_Toc127151518"/>
      <w:bookmarkStart w:id="93" w:name="_Toc520356143"/>
      <w:r>
        <w:rPr>
          <w:rFonts w:ascii="Times New Roman" w:hAnsi="Times New Roman" w:eastAsia="宋体"/>
          <w:sz w:val="28"/>
        </w:rPr>
        <w:tab/>
      </w:r>
      <w:bookmarkStart w:id="94" w:name="_Toc150480756"/>
      <w:bookmarkStart w:id="95" w:name="_Toc150774723"/>
      <w:bookmarkStart w:id="96" w:name="_Toc226309762"/>
      <w:bookmarkStart w:id="97" w:name="_Toc305158860"/>
      <w:bookmarkStart w:id="98" w:name="_Toc226337214"/>
      <w:bookmarkStart w:id="99" w:name="_Toc305158786"/>
      <w:bookmarkStart w:id="100" w:name="_Toc151193616"/>
      <w:bookmarkStart w:id="101" w:name="_Toc195842883"/>
      <w:bookmarkStart w:id="102" w:name="_Toc151193760"/>
      <w:bookmarkStart w:id="103" w:name="_Toc151190145"/>
      <w:bookmarkStart w:id="104" w:name="_Toc151193832"/>
      <w:bookmarkStart w:id="105" w:name="_Toc151193906"/>
      <w:bookmarkStart w:id="106" w:name="_Toc151193688"/>
      <w:bookmarkStart w:id="107" w:name="_Toc150774618"/>
      <w:bookmarkStart w:id="108" w:name="_Toc226965791"/>
      <w:bookmarkStart w:id="109" w:name="_Toc265228356"/>
      <w:bookmarkStart w:id="110" w:name="_Toc264969208"/>
      <w:bookmarkStart w:id="111" w:name="_Toc226965708"/>
      <w:bookmarkStart w:id="112" w:name="_Toc142311020"/>
      <w:bookmarkStart w:id="113" w:name="_Toc150509269"/>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0610F099">
      <w:pPr>
        <w:numPr>
          <w:ilvl w:val="0"/>
          <w:numId w:val="9"/>
        </w:numPr>
        <w:tabs>
          <w:tab w:val="left" w:pos="360"/>
          <w:tab w:val="clear" w:pos="900"/>
        </w:tabs>
        <w:snapToGrid w:val="0"/>
        <w:spacing w:line="360" w:lineRule="auto"/>
        <w:ind w:left="357" w:hanging="357"/>
        <w:outlineLvl w:val="1"/>
        <w:rPr>
          <w:sz w:val="24"/>
        </w:rPr>
      </w:pPr>
      <w:bookmarkStart w:id="114" w:name="_Toc305158861"/>
      <w:bookmarkStart w:id="115" w:name="_Toc305158787"/>
      <w:bookmarkStart w:id="116" w:name="_Toc264969209"/>
      <w:bookmarkStart w:id="117" w:name="_Toc265228357"/>
      <w:r>
        <w:rPr>
          <w:sz w:val="24"/>
        </w:rPr>
        <w:t>采购人、采购代理机构、投标人</w:t>
      </w:r>
      <w:bookmarkEnd w:id="114"/>
      <w:bookmarkEnd w:id="115"/>
      <w:bookmarkEnd w:id="116"/>
      <w:bookmarkEnd w:id="117"/>
      <w:r>
        <w:rPr>
          <w:sz w:val="24"/>
        </w:rPr>
        <w:t>、联合体</w:t>
      </w:r>
    </w:p>
    <w:p w14:paraId="42250464">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97F0C59">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46AB5B57">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0D1626A">
      <w:pPr>
        <w:numPr>
          <w:ilvl w:val="0"/>
          <w:numId w:val="9"/>
        </w:numPr>
        <w:tabs>
          <w:tab w:val="left" w:pos="360"/>
          <w:tab w:val="clear" w:pos="900"/>
        </w:tabs>
        <w:snapToGrid w:val="0"/>
        <w:spacing w:line="360" w:lineRule="auto"/>
        <w:ind w:left="357" w:hanging="357"/>
        <w:outlineLvl w:val="1"/>
        <w:rPr>
          <w:sz w:val="24"/>
        </w:rPr>
      </w:pPr>
      <w:bookmarkStart w:id="118" w:name="_Toc127151520"/>
      <w:bookmarkStart w:id="119" w:name="_Toc142311022"/>
      <w:bookmarkStart w:id="120" w:name="_Toc150774725"/>
      <w:bookmarkStart w:id="121" w:name="_Toc164608789"/>
      <w:bookmarkStart w:id="122" w:name="_Toc164608634"/>
      <w:bookmarkStart w:id="123" w:name="_Toc149720813"/>
      <w:bookmarkStart w:id="124" w:name="_Toc226965710"/>
      <w:bookmarkStart w:id="125" w:name="_Toc164351614"/>
      <w:bookmarkStart w:id="126" w:name="_Toc151190147"/>
      <w:bookmarkStart w:id="127" w:name="_Toc150480758"/>
      <w:bookmarkStart w:id="128" w:name="_Toc226965793"/>
      <w:bookmarkStart w:id="129" w:name="_Toc151193908"/>
      <w:bookmarkStart w:id="130" w:name="_Toc164229361"/>
      <w:bookmarkStart w:id="131" w:name="_Toc305158788"/>
      <w:bookmarkStart w:id="132" w:name="_Toc151193762"/>
      <w:bookmarkStart w:id="133" w:name="_Toc151193690"/>
      <w:bookmarkStart w:id="134" w:name="_Toc150509271"/>
      <w:bookmarkStart w:id="135" w:name="_Toc164229215"/>
      <w:bookmarkStart w:id="136" w:name="_Toc226309764"/>
      <w:bookmarkStart w:id="137" w:name="_Toc150774620"/>
      <w:bookmarkStart w:id="138" w:name="_Toc305158862"/>
      <w:bookmarkStart w:id="139" w:name="_Toc127161434"/>
      <w:bookmarkStart w:id="140" w:name="_Toc265228358"/>
      <w:bookmarkStart w:id="141" w:name="_Toc151193618"/>
      <w:bookmarkStart w:id="142" w:name="_Toc127151721"/>
      <w:bookmarkStart w:id="143" w:name="_Toc226337216"/>
      <w:bookmarkStart w:id="144" w:name="_Toc151193834"/>
      <w:bookmarkStart w:id="145" w:name="_Toc264969210"/>
      <w:bookmarkStart w:id="146" w:name="_Toc195842885"/>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4D8E4217">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00F1E4C4">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78CC2C28">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2CA8F9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09F0B66B">
      <w:pPr>
        <w:numPr>
          <w:ilvl w:val="0"/>
          <w:numId w:val="9"/>
        </w:numPr>
        <w:tabs>
          <w:tab w:val="left" w:pos="360"/>
        </w:tabs>
        <w:snapToGrid w:val="0"/>
        <w:spacing w:line="360" w:lineRule="auto"/>
        <w:ind w:left="357" w:hanging="357"/>
        <w:outlineLvl w:val="1"/>
        <w:rPr>
          <w:sz w:val="24"/>
        </w:rPr>
      </w:pPr>
      <w:r>
        <w:rPr>
          <w:sz w:val="24"/>
        </w:rPr>
        <w:t>现场考察、开标前答疑会</w:t>
      </w:r>
    </w:p>
    <w:p w14:paraId="11719BFD">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305158790"/>
      <w:bookmarkStart w:id="148" w:name="_Toc151193692"/>
      <w:bookmarkStart w:id="149" w:name="_Toc151193836"/>
      <w:bookmarkStart w:id="150" w:name="_Toc305158864"/>
      <w:bookmarkStart w:id="151" w:name="_Toc151193910"/>
      <w:bookmarkStart w:id="152" w:name="_Toc127151522"/>
      <w:bookmarkStart w:id="153" w:name="_Toc151193764"/>
      <w:bookmarkStart w:id="154" w:name="_Toc264969212"/>
      <w:bookmarkStart w:id="155" w:name="_Toc151193620"/>
      <w:bookmarkStart w:id="156" w:name="_Toc150774622"/>
      <w:bookmarkStart w:id="157" w:name="_Toc195842887"/>
      <w:bookmarkStart w:id="158" w:name="_Toc150774727"/>
      <w:bookmarkStart w:id="159" w:name="_Toc226337218"/>
      <w:bookmarkStart w:id="160" w:name="_Toc520356146"/>
      <w:bookmarkStart w:id="161" w:name="_Toc265228360"/>
      <w:bookmarkStart w:id="162" w:name="_Toc150509273"/>
      <w:bookmarkStart w:id="163" w:name="_Toc226965795"/>
      <w:bookmarkStart w:id="164" w:name="_Toc226309766"/>
      <w:bookmarkStart w:id="165" w:name="_Toc226965712"/>
      <w:bookmarkStart w:id="166" w:name="_Toc151190149"/>
      <w:bookmarkStart w:id="167" w:name="_Toc150480760"/>
      <w:bookmarkStart w:id="168" w:name="_Toc142311024"/>
    </w:p>
    <w:p w14:paraId="6444744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3F411E2">
      <w:pPr>
        <w:numPr>
          <w:ilvl w:val="0"/>
          <w:numId w:val="9"/>
        </w:numPr>
        <w:tabs>
          <w:tab w:val="left" w:pos="360"/>
        </w:tabs>
        <w:snapToGrid w:val="0"/>
        <w:spacing w:line="360" w:lineRule="auto"/>
        <w:ind w:left="357" w:hanging="357"/>
        <w:outlineLvl w:val="1"/>
        <w:rPr>
          <w:sz w:val="24"/>
        </w:rPr>
      </w:pPr>
      <w:r>
        <w:rPr>
          <w:sz w:val="24"/>
        </w:rPr>
        <w:t>样品</w:t>
      </w:r>
    </w:p>
    <w:p w14:paraId="0F5F3536">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606745E">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2C599E">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86003B3">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4B2F1F35">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5DF17B9">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1DF2F9F9">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94CD9ED">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10F1548">
      <w:pPr>
        <w:numPr>
          <w:ilvl w:val="2"/>
          <w:numId w:val="9"/>
        </w:numPr>
        <w:snapToGrid w:val="0"/>
        <w:spacing w:line="360" w:lineRule="auto"/>
        <w:rPr>
          <w:sz w:val="24"/>
        </w:rPr>
      </w:pPr>
      <w:r>
        <w:rPr>
          <w:sz w:val="24"/>
        </w:rPr>
        <w:t>中小企业定义：</w:t>
      </w:r>
    </w:p>
    <w:p w14:paraId="20CF72B0">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9B56958">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F976630">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74B05D8">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B992B11">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1EEA05">
      <w:pPr>
        <w:pStyle w:val="72"/>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FB9D83">
      <w:pPr>
        <w:pStyle w:val="72"/>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CD555C">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2E9947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7B83E40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ADD02B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C215EA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65143C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BB0C9EA">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C5A6956">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CAC553B">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788AB5">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EA4AF95">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7B8C841">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5671F04">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0E7F23F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6B354695">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4DEF698">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2618C628">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F193FD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54C4751">
      <w:pPr>
        <w:numPr>
          <w:ilvl w:val="2"/>
          <w:numId w:val="9"/>
        </w:numPr>
        <w:snapToGrid w:val="0"/>
        <w:spacing w:line="360" w:lineRule="auto"/>
        <w:rPr>
          <w:sz w:val="24"/>
        </w:rPr>
      </w:pPr>
      <w:r>
        <w:rPr>
          <w:sz w:val="24"/>
        </w:rPr>
        <w:t>本项目是否专门面向中小企业预留采购份额见第一章《投标邀请》。</w:t>
      </w:r>
    </w:p>
    <w:p w14:paraId="5D7B6C8E">
      <w:pPr>
        <w:numPr>
          <w:ilvl w:val="2"/>
          <w:numId w:val="9"/>
        </w:numPr>
        <w:snapToGrid w:val="0"/>
        <w:spacing w:line="360" w:lineRule="auto"/>
        <w:rPr>
          <w:sz w:val="24"/>
        </w:rPr>
      </w:pPr>
      <w:r>
        <w:rPr>
          <w:sz w:val="24"/>
        </w:rPr>
        <w:t>采购标的对应的中小企业划分标准所属行业见《投标人须知资料表》。</w:t>
      </w:r>
    </w:p>
    <w:p w14:paraId="7EF34102">
      <w:pPr>
        <w:numPr>
          <w:ilvl w:val="2"/>
          <w:numId w:val="9"/>
        </w:numPr>
        <w:snapToGrid w:val="0"/>
        <w:spacing w:line="360" w:lineRule="auto"/>
        <w:rPr>
          <w:sz w:val="24"/>
        </w:rPr>
      </w:pPr>
      <w:r>
        <w:rPr>
          <w:sz w:val="24"/>
        </w:rPr>
        <w:t>小微企业价格评审优惠的政策调整：见第四章《评标程序、评标方法和评标标准》。</w:t>
      </w:r>
    </w:p>
    <w:p w14:paraId="4915DDE3">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DF3AA7A">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BE06E4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A30B965">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75C06FB">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205E032">
      <w:pPr>
        <w:numPr>
          <w:ilvl w:val="1"/>
          <w:numId w:val="9"/>
        </w:numPr>
        <w:tabs>
          <w:tab w:val="left" w:pos="1080"/>
          <w:tab w:val="left" w:pos="2014"/>
        </w:tabs>
        <w:snapToGrid w:val="0"/>
        <w:spacing w:line="360" w:lineRule="auto"/>
        <w:ind w:left="1080" w:hanging="720"/>
        <w:rPr>
          <w:sz w:val="24"/>
        </w:rPr>
      </w:pPr>
      <w:r>
        <w:rPr>
          <w:sz w:val="24"/>
        </w:rPr>
        <w:t>正版软件</w:t>
      </w:r>
    </w:p>
    <w:p w14:paraId="13E6BC79">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2AD64B">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33CA6272">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80CA151">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3400B4B2">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401FDA4">
      <w:pPr>
        <w:numPr>
          <w:ilvl w:val="1"/>
          <w:numId w:val="9"/>
        </w:numPr>
        <w:tabs>
          <w:tab w:val="left" w:pos="1080"/>
          <w:tab w:val="left" w:pos="2014"/>
        </w:tabs>
        <w:snapToGrid w:val="0"/>
        <w:spacing w:line="360" w:lineRule="auto"/>
        <w:ind w:left="1080" w:hanging="720"/>
        <w:rPr>
          <w:sz w:val="24"/>
        </w:rPr>
      </w:pPr>
      <w:r>
        <w:rPr>
          <w:sz w:val="24"/>
        </w:rPr>
        <w:t>采购需求标准</w:t>
      </w:r>
    </w:p>
    <w:p w14:paraId="23A01227">
      <w:pPr>
        <w:numPr>
          <w:ilvl w:val="2"/>
          <w:numId w:val="9"/>
        </w:numPr>
        <w:tabs>
          <w:tab w:val="left" w:pos="2014"/>
        </w:tabs>
        <w:snapToGrid w:val="0"/>
        <w:spacing w:line="360" w:lineRule="auto"/>
        <w:rPr>
          <w:sz w:val="24"/>
        </w:rPr>
      </w:pPr>
      <w:r>
        <w:rPr>
          <w:sz w:val="24"/>
        </w:rPr>
        <w:t>商品包装、快递包装政府采购需求标准（试行）</w:t>
      </w:r>
    </w:p>
    <w:p w14:paraId="439DCC9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38A2995">
      <w:pPr>
        <w:numPr>
          <w:ilvl w:val="2"/>
          <w:numId w:val="9"/>
        </w:numPr>
        <w:tabs>
          <w:tab w:val="left" w:pos="2014"/>
        </w:tabs>
        <w:snapToGrid w:val="0"/>
        <w:spacing w:line="360" w:lineRule="auto"/>
        <w:rPr>
          <w:sz w:val="24"/>
        </w:rPr>
      </w:pPr>
      <w:bookmarkStart w:id="169" w:name="_Hlk164953935"/>
      <w:r>
        <w:rPr>
          <w:sz w:val="24"/>
        </w:rPr>
        <w:t xml:space="preserve">其他政府采购需求标准 </w:t>
      </w:r>
    </w:p>
    <w:bookmarkEnd w:id="169"/>
    <w:p w14:paraId="6706E52A">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22C1814">
      <w:pPr>
        <w:numPr>
          <w:ilvl w:val="0"/>
          <w:numId w:val="9"/>
        </w:numPr>
        <w:tabs>
          <w:tab w:val="left" w:pos="360"/>
        </w:tabs>
        <w:snapToGrid w:val="0"/>
        <w:spacing w:line="360" w:lineRule="auto"/>
        <w:ind w:left="357" w:hanging="357"/>
        <w:outlineLvl w:val="1"/>
        <w:rPr>
          <w:sz w:val="24"/>
        </w:rPr>
      </w:pPr>
      <w:r>
        <w:rPr>
          <w:sz w:val="24"/>
        </w:rPr>
        <w:t>投标费用</w:t>
      </w:r>
    </w:p>
    <w:p w14:paraId="72E511FE">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13967FB">
      <w:pPr>
        <w:tabs>
          <w:tab w:val="left" w:pos="1080"/>
        </w:tabs>
        <w:snapToGrid w:val="0"/>
        <w:spacing w:line="360" w:lineRule="auto"/>
        <w:ind w:left="1080"/>
        <w:rPr>
          <w:sz w:val="28"/>
        </w:rPr>
      </w:pPr>
      <w:bookmarkStart w:id="171" w:name="_1.8_计量单位"/>
      <w:bookmarkEnd w:id="171"/>
    </w:p>
    <w:p w14:paraId="3860FD0B">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4C6ADD2">
      <w:pPr>
        <w:numPr>
          <w:ilvl w:val="0"/>
          <w:numId w:val="9"/>
        </w:numPr>
        <w:tabs>
          <w:tab w:val="left" w:pos="360"/>
        </w:tabs>
        <w:snapToGrid w:val="0"/>
        <w:spacing w:line="360" w:lineRule="auto"/>
        <w:ind w:left="357" w:hanging="357"/>
        <w:outlineLvl w:val="1"/>
        <w:rPr>
          <w:sz w:val="24"/>
        </w:rPr>
      </w:pPr>
      <w:bookmarkStart w:id="172" w:name="_Toc150774728"/>
      <w:bookmarkStart w:id="173" w:name="_Toc164229218"/>
      <w:bookmarkStart w:id="174" w:name="_Toc151193911"/>
      <w:bookmarkStart w:id="175" w:name="_Toc305158865"/>
      <w:bookmarkStart w:id="176" w:name="_Toc151190150"/>
      <w:bookmarkStart w:id="177" w:name="_Toc150774623"/>
      <w:bookmarkStart w:id="178" w:name="_Toc226309767"/>
      <w:bookmarkStart w:id="179" w:name="_Toc164229364"/>
      <w:bookmarkStart w:id="180" w:name="_Toc265228361"/>
      <w:bookmarkStart w:id="181" w:name="_Toc305158791"/>
      <w:bookmarkStart w:id="182" w:name="_Toc151193765"/>
      <w:bookmarkStart w:id="183" w:name="_Toc127151724"/>
      <w:bookmarkStart w:id="184" w:name="_Toc142311025"/>
      <w:bookmarkStart w:id="185" w:name="_Toc149720816"/>
      <w:bookmarkStart w:id="186" w:name="_Toc151193693"/>
      <w:bookmarkStart w:id="187" w:name="_Toc164351617"/>
      <w:bookmarkStart w:id="188" w:name="_Toc164608637"/>
      <w:bookmarkStart w:id="189" w:name="_Toc164608792"/>
      <w:bookmarkStart w:id="190" w:name="_Toc150480761"/>
      <w:bookmarkStart w:id="191" w:name="_Toc151193837"/>
      <w:bookmarkStart w:id="192" w:name="_Toc150509274"/>
      <w:bookmarkStart w:id="193" w:name="_Toc151193621"/>
      <w:bookmarkStart w:id="194" w:name="_Toc195842888"/>
      <w:bookmarkStart w:id="195" w:name="_Toc226337219"/>
      <w:bookmarkStart w:id="196" w:name="_Toc226965713"/>
      <w:bookmarkStart w:id="197" w:name="_Toc226965796"/>
      <w:bookmarkStart w:id="198" w:name="_Toc520356147"/>
      <w:bookmarkStart w:id="199" w:name="_Toc127161437"/>
      <w:bookmarkStart w:id="200" w:name="_Toc264969213"/>
      <w:bookmarkStart w:id="201" w:name="_Toc127151523"/>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74A3E731">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63C8C841">
      <w:pPr>
        <w:numPr>
          <w:ilvl w:val="0"/>
          <w:numId w:val="11"/>
        </w:numPr>
        <w:tabs>
          <w:tab w:val="left" w:pos="1980"/>
          <w:tab w:val="left" w:pos="2520"/>
        </w:tabs>
        <w:snapToGrid w:val="0"/>
        <w:spacing w:line="360" w:lineRule="auto"/>
        <w:ind w:left="1440" w:firstLine="5"/>
        <w:rPr>
          <w:sz w:val="24"/>
        </w:rPr>
      </w:pPr>
      <w:r>
        <w:rPr>
          <w:sz w:val="24"/>
        </w:rPr>
        <w:t>投标邀请</w:t>
      </w:r>
    </w:p>
    <w:p w14:paraId="50F37116">
      <w:pPr>
        <w:numPr>
          <w:ilvl w:val="0"/>
          <w:numId w:val="11"/>
        </w:numPr>
        <w:tabs>
          <w:tab w:val="left" w:pos="1980"/>
          <w:tab w:val="left" w:pos="2520"/>
        </w:tabs>
        <w:snapToGrid w:val="0"/>
        <w:spacing w:line="360" w:lineRule="auto"/>
        <w:ind w:left="1440" w:firstLine="5"/>
        <w:rPr>
          <w:sz w:val="24"/>
        </w:rPr>
      </w:pPr>
      <w:r>
        <w:rPr>
          <w:sz w:val="24"/>
        </w:rPr>
        <w:t>投标人须知</w:t>
      </w:r>
    </w:p>
    <w:p w14:paraId="342A22A9">
      <w:pPr>
        <w:numPr>
          <w:ilvl w:val="0"/>
          <w:numId w:val="11"/>
        </w:numPr>
        <w:tabs>
          <w:tab w:val="left" w:pos="1980"/>
          <w:tab w:val="left" w:pos="2520"/>
        </w:tabs>
        <w:snapToGrid w:val="0"/>
        <w:spacing w:line="360" w:lineRule="auto"/>
        <w:ind w:left="1440" w:firstLine="5"/>
        <w:rPr>
          <w:sz w:val="24"/>
        </w:rPr>
      </w:pPr>
      <w:r>
        <w:rPr>
          <w:sz w:val="24"/>
        </w:rPr>
        <w:t>资格审查</w:t>
      </w:r>
    </w:p>
    <w:p w14:paraId="610CC6A4">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441B8A0">
      <w:pPr>
        <w:numPr>
          <w:ilvl w:val="0"/>
          <w:numId w:val="11"/>
        </w:numPr>
        <w:tabs>
          <w:tab w:val="left" w:pos="1980"/>
          <w:tab w:val="left" w:pos="2520"/>
        </w:tabs>
        <w:snapToGrid w:val="0"/>
        <w:spacing w:line="360" w:lineRule="auto"/>
        <w:ind w:left="1440" w:firstLine="5"/>
        <w:rPr>
          <w:sz w:val="24"/>
        </w:rPr>
      </w:pPr>
      <w:r>
        <w:rPr>
          <w:sz w:val="24"/>
        </w:rPr>
        <w:t>采购需求</w:t>
      </w:r>
    </w:p>
    <w:p w14:paraId="01B52494">
      <w:pPr>
        <w:numPr>
          <w:ilvl w:val="0"/>
          <w:numId w:val="11"/>
        </w:numPr>
        <w:tabs>
          <w:tab w:val="left" w:pos="1980"/>
          <w:tab w:val="left" w:pos="2520"/>
        </w:tabs>
        <w:snapToGrid w:val="0"/>
        <w:spacing w:line="360" w:lineRule="auto"/>
        <w:ind w:left="1440" w:firstLine="5"/>
        <w:rPr>
          <w:sz w:val="24"/>
        </w:rPr>
      </w:pPr>
      <w:r>
        <w:rPr>
          <w:sz w:val="24"/>
        </w:rPr>
        <w:t>拟签订的合同文本</w:t>
      </w:r>
    </w:p>
    <w:p w14:paraId="64BFF35B">
      <w:pPr>
        <w:numPr>
          <w:ilvl w:val="0"/>
          <w:numId w:val="11"/>
        </w:numPr>
        <w:tabs>
          <w:tab w:val="left" w:pos="1980"/>
          <w:tab w:val="left" w:pos="2520"/>
        </w:tabs>
        <w:snapToGrid w:val="0"/>
        <w:spacing w:line="360" w:lineRule="auto"/>
        <w:ind w:left="1440" w:firstLine="5"/>
        <w:rPr>
          <w:sz w:val="24"/>
        </w:rPr>
      </w:pPr>
      <w:r>
        <w:rPr>
          <w:sz w:val="24"/>
        </w:rPr>
        <w:t>投标文件格式</w:t>
      </w:r>
    </w:p>
    <w:p w14:paraId="596DBB67">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2E48A52">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6C36305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61C5A6A">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BA2C31A">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35642A3">
      <w:pPr>
        <w:tabs>
          <w:tab w:val="left" w:pos="1080"/>
          <w:tab w:val="left" w:pos="1561"/>
        </w:tabs>
        <w:snapToGrid w:val="0"/>
        <w:spacing w:line="360" w:lineRule="auto"/>
        <w:ind w:left="1080"/>
        <w:rPr>
          <w:sz w:val="28"/>
        </w:rPr>
      </w:pPr>
      <w:bookmarkStart w:id="202" w:name="_Toc516367020"/>
      <w:bookmarkStart w:id="203" w:name="_Toc150480764"/>
      <w:bookmarkStart w:id="204" w:name="_Toc150509277"/>
      <w:bookmarkStart w:id="205" w:name="_Toc195842891"/>
      <w:bookmarkStart w:id="206" w:name="_Toc305158794"/>
      <w:bookmarkStart w:id="207" w:name="_Toc150774731"/>
      <w:bookmarkStart w:id="208" w:name="_Toc264969216"/>
      <w:bookmarkStart w:id="209" w:name="_Toc151193624"/>
      <w:bookmarkStart w:id="210" w:name="_Toc142311028"/>
      <w:bookmarkStart w:id="211" w:name="_Toc520356150"/>
      <w:bookmarkStart w:id="212" w:name="_Toc305158868"/>
      <w:bookmarkStart w:id="213" w:name="_Toc226965799"/>
      <w:bookmarkStart w:id="214" w:name="_Toc127151526"/>
      <w:bookmarkStart w:id="215" w:name="_Toc226965716"/>
      <w:bookmarkStart w:id="216" w:name="_Toc151193914"/>
      <w:bookmarkStart w:id="217" w:name="_Toc151193840"/>
      <w:bookmarkStart w:id="218" w:name="_Toc151193768"/>
      <w:bookmarkStart w:id="219" w:name="_Toc226337222"/>
      <w:bookmarkStart w:id="220" w:name="_Toc265228364"/>
      <w:bookmarkStart w:id="221" w:name="_Toc151193696"/>
      <w:bookmarkStart w:id="222" w:name="_Toc150774626"/>
      <w:bookmarkStart w:id="223" w:name="_Toc226309770"/>
      <w:bookmarkStart w:id="224" w:name="_Toc151190153"/>
    </w:p>
    <w:p w14:paraId="60A8C742">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6843326">
      <w:pPr>
        <w:numPr>
          <w:ilvl w:val="0"/>
          <w:numId w:val="9"/>
        </w:numPr>
        <w:tabs>
          <w:tab w:val="left" w:pos="360"/>
        </w:tabs>
        <w:snapToGrid w:val="0"/>
        <w:spacing w:line="360" w:lineRule="auto"/>
        <w:ind w:left="357" w:hanging="357"/>
        <w:outlineLvl w:val="1"/>
        <w:rPr>
          <w:sz w:val="24"/>
        </w:rPr>
      </w:pPr>
      <w:bookmarkStart w:id="225" w:name="_Toc150774732"/>
      <w:bookmarkStart w:id="226" w:name="_Toc127151728"/>
      <w:bookmarkStart w:id="227" w:name="_Toc142311029"/>
      <w:bookmarkStart w:id="228" w:name="_Toc520356151"/>
      <w:bookmarkStart w:id="229" w:name="_Toc151193625"/>
      <w:bookmarkStart w:id="230" w:name="_Toc151193841"/>
      <w:bookmarkStart w:id="231" w:name="_Toc151193769"/>
      <w:bookmarkStart w:id="232" w:name="_Toc305158795"/>
      <w:bookmarkStart w:id="233" w:name="_Toc151193915"/>
      <w:bookmarkStart w:id="234" w:name="_Toc164608796"/>
      <w:bookmarkStart w:id="235" w:name="_Toc226965717"/>
      <w:bookmarkStart w:id="236" w:name="_Toc226337223"/>
      <w:bookmarkStart w:id="237" w:name="_Toc264969217"/>
      <w:bookmarkStart w:id="238" w:name="_Toc226965800"/>
      <w:bookmarkStart w:id="239" w:name="_Toc150509278"/>
      <w:bookmarkStart w:id="240" w:name="_Toc150480765"/>
      <w:bookmarkStart w:id="241" w:name="_Toc195842892"/>
      <w:bookmarkStart w:id="242" w:name="_Toc226309771"/>
      <w:bookmarkStart w:id="243" w:name="_Toc164229222"/>
      <w:bookmarkStart w:id="244" w:name="_Toc164229368"/>
      <w:bookmarkStart w:id="245" w:name="_Toc127151527"/>
      <w:bookmarkStart w:id="246" w:name="_Toc164608641"/>
      <w:bookmarkStart w:id="247" w:name="_Toc151190154"/>
      <w:bookmarkStart w:id="248" w:name="_Toc149720820"/>
      <w:bookmarkStart w:id="249" w:name="_Toc150774627"/>
      <w:bookmarkStart w:id="250" w:name="_Toc265228365"/>
      <w:bookmarkStart w:id="251" w:name="_Toc305158869"/>
      <w:bookmarkStart w:id="252" w:name="_Toc516367021"/>
      <w:bookmarkStart w:id="253" w:name="_Toc164351621"/>
      <w:bookmarkStart w:id="254" w:name="_Toc151193697"/>
      <w:bookmarkStart w:id="255" w:name="_Toc127161441"/>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285AC050">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9E50198">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8AD9694">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BCC2FF">
      <w:pPr>
        <w:numPr>
          <w:ilvl w:val="0"/>
          <w:numId w:val="9"/>
        </w:numPr>
        <w:tabs>
          <w:tab w:val="left" w:pos="360"/>
        </w:tabs>
        <w:snapToGrid w:val="0"/>
        <w:spacing w:line="360" w:lineRule="auto"/>
        <w:ind w:left="357" w:hanging="357"/>
        <w:outlineLvl w:val="1"/>
        <w:rPr>
          <w:sz w:val="24"/>
        </w:rPr>
      </w:pPr>
      <w:bookmarkStart w:id="256" w:name="_Ref467306676"/>
      <w:bookmarkStart w:id="257" w:name="_Ref467306195"/>
      <w:bookmarkStart w:id="258" w:name="_Toc516367022"/>
      <w:bookmarkStart w:id="259" w:name="_Toc226337224"/>
      <w:bookmarkStart w:id="260" w:name="_Toc150774733"/>
      <w:bookmarkStart w:id="261" w:name="_Toc164608797"/>
      <w:bookmarkStart w:id="262" w:name="_Toc520356152"/>
      <w:bookmarkStart w:id="263" w:name="_Toc305158796"/>
      <w:bookmarkStart w:id="264" w:name="_Toc164608642"/>
      <w:bookmarkStart w:id="265" w:name="_Toc226965801"/>
      <w:bookmarkStart w:id="266" w:name="_Toc164229369"/>
      <w:bookmarkStart w:id="267" w:name="_Toc195842893"/>
      <w:bookmarkStart w:id="268" w:name="_Toc151193842"/>
      <w:bookmarkStart w:id="269" w:name="_Toc127151528"/>
      <w:bookmarkStart w:id="270" w:name="_Toc226965718"/>
      <w:bookmarkStart w:id="271" w:name="_Toc151193770"/>
      <w:bookmarkStart w:id="272" w:name="_Toc164229223"/>
      <w:bookmarkStart w:id="273" w:name="_Toc150480766"/>
      <w:bookmarkStart w:id="274" w:name="_Toc226309772"/>
      <w:bookmarkStart w:id="275" w:name="_Toc151193916"/>
      <w:bookmarkStart w:id="276" w:name="_Toc151190155"/>
      <w:bookmarkStart w:id="277" w:name="_Toc151193626"/>
      <w:bookmarkStart w:id="278" w:name="_Toc142311030"/>
      <w:bookmarkStart w:id="279" w:name="_Toc149720821"/>
      <w:bookmarkStart w:id="280" w:name="_Toc264969218"/>
      <w:bookmarkStart w:id="281" w:name="_Toc265228366"/>
      <w:bookmarkStart w:id="282" w:name="_Toc305158870"/>
      <w:bookmarkStart w:id="283" w:name="_Toc151193698"/>
      <w:bookmarkStart w:id="284" w:name="_Toc150509279"/>
      <w:bookmarkStart w:id="285" w:name="_Toc127161442"/>
      <w:bookmarkStart w:id="286" w:name="_Toc164351622"/>
      <w:bookmarkStart w:id="287" w:name="_Toc150774628"/>
      <w:bookmarkStart w:id="288" w:name="_Toc127151729"/>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8C8FB9D">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43C277A1">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0D298E9">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3ACAADF">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EFD30EA">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2544F25D">
      <w:pPr>
        <w:numPr>
          <w:ilvl w:val="0"/>
          <w:numId w:val="9"/>
        </w:numPr>
        <w:tabs>
          <w:tab w:val="left" w:pos="360"/>
        </w:tabs>
        <w:snapToGrid w:val="0"/>
        <w:spacing w:line="360" w:lineRule="auto"/>
        <w:ind w:left="357" w:hanging="357"/>
        <w:outlineLvl w:val="1"/>
        <w:rPr>
          <w:sz w:val="24"/>
        </w:rPr>
      </w:pPr>
      <w:bookmarkStart w:id="290" w:name="_Toc151193700"/>
      <w:bookmarkStart w:id="291" w:name="_Toc150774630"/>
      <w:bookmarkStart w:id="292" w:name="_Toc164229225"/>
      <w:bookmarkStart w:id="293" w:name="_Toc164229371"/>
      <w:bookmarkStart w:id="294" w:name="_Toc164608799"/>
      <w:bookmarkStart w:id="295" w:name="_Toc151190157"/>
      <w:bookmarkStart w:id="296" w:name="_Toc151193628"/>
      <w:bookmarkStart w:id="297" w:name="_Toc150480768"/>
      <w:bookmarkStart w:id="298" w:name="_Toc151193918"/>
      <w:bookmarkStart w:id="299" w:name="_Toc150774735"/>
      <w:bookmarkStart w:id="300" w:name="_Toc127161444"/>
      <w:bookmarkStart w:id="301" w:name="_Toc164351624"/>
      <w:bookmarkStart w:id="302" w:name="_Toc151193772"/>
      <w:bookmarkStart w:id="303" w:name="_Toc149720823"/>
      <w:bookmarkStart w:id="304" w:name="_Toc151193844"/>
      <w:bookmarkStart w:id="305" w:name="_Toc164608644"/>
      <w:bookmarkStart w:id="306" w:name="_Toc150509281"/>
      <w:bookmarkStart w:id="307" w:name="_Toc127151731"/>
      <w:bookmarkStart w:id="308" w:name="_Toc195842895"/>
      <w:bookmarkStart w:id="309" w:name="_Toc142311032"/>
      <w:bookmarkStart w:id="310" w:name="_Toc127151530"/>
      <w:bookmarkStart w:id="311" w:name="_Toc520356155"/>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E434484">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209DDDBD">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CAB97CD">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CFFF06F">
      <w:pPr>
        <w:numPr>
          <w:ilvl w:val="2"/>
          <w:numId w:val="9"/>
        </w:numPr>
        <w:snapToGrid w:val="0"/>
        <w:spacing w:line="360" w:lineRule="auto"/>
        <w:rPr>
          <w:sz w:val="24"/>
        </w:rPr>
      </w:pPr>
      <w:r>
        <w:rPr>
          <w:sz w:val="24"/>
        </w:rPr>
        <w:t xml:space="preserve">按照招标文件要求完成本项目的全部相关费用。 </w:t>
      </w:r>
    </w:p>
    <w:p w14:paraId="2FDC4362">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4D6DA17">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0CB7FCE">
      <w:pPr>
        <w:numPr>
          <w:ilvl w:val="0"/>
          <w:numId w:val="9"/>
        </w:numPr>
        <w:tabs>
          <w:tab w:val="left" w:pos="360"/>
        </w:tabs>
        <w:snapToGrid w:val="0"/>
        <w:spacing w:line="360" w:lineRule="auto"/>
        <w:ind w:left="357" w:hanging="357"/>
        <w:outlineLvl w:val="1"/>
        <w:rPr>
          <w:sz w:val="24"/>
        </w:rPr>
      </w:pPr>
      <w:bookmarkStart w:id="312" w:name="_Toc151190158"/>
      <w:bookmarkStart w:id="313" w:name="_Toc164608800"/>
      <w:bookmarkStart w:id="314" w:name="_Toc151193919"/>
      <w:bookmarkStart w:id="315" w:name="_Toc164229372"/>
      <w:bookmarkStart w:id="316" w:name="_Toc195842896"/>
      <w:bookmarkStart w:id="317" w:name="_Toc142311033"/>
      <w:bookmarkStart w:id="318" w:name="_Toc151193773"/>
      <w:bookmarkStart w:id="319" w:name="_Toc151193701"/>
      <w:bookmarkStart w:id="320" w:name="_Toc520356156"/>
      <w:bookmarkStart w:id="321" w:name="_Toc265228369"/>
      <w:bookmarkStart w:id="322" w:name="_Toc305158799"/>
      <w:bookmarkStart w:id="323" w:name="_Toc226337227"/>
      <w:bookmarkStart w:id="324" w:name="_Toc127151531"/>
      <w:bookmarkStart w:id="325" w:name="_Toc226309775"/>
      <w:bookmarkStart w:id="326" w:name="_Toc226965804"/>
      <w:bookmarkStart w:id="327" w:name="_Toc305158873"/>
      <w:bookmarkStart w:id="328" w:name="_Toc150509282"/>
      <w:bookmarkStart w:id="329" w:name="_Toc150774736"/>
      <w:bookmarkStart w:id="330" w:name="_Toc226965721"/>
      <w:bookmarkStart w:id="331" w:name="_Ref467306513"/>
      <w:bookmarkStart w:id="332" w:name="_Toc151193845"/>
      <w:bookmarkStart w:id="333" w:name="_Toc164608645"/>
      <w:bookmarkStart w:id="334" w:name="_Toc264969221"/>
      <w:bookmarkStart w:id="335" w:name="_Toc164229226"/>
      <w:bookmarkStart w:id="336" w:name="_Toc127161445"/>
      <w:bookmarkStart w:id="337" w:name="_Toc149720824"/>
      <w:bookmarkStart w:id="338" w:name="_Toc151193629"/>
      <w:bookmarkStart w:id="339" w:name="_Toc150480769"/>
      <w:bookmarkStart w:id="340" w:name="_Toc150774631"/>
      <w:bookmarkStart w:id="341" w:name="_Toc164351625"/>
      <w:bookmarkStart w:id="342" w:name="_Toc127151732"/>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BCF8D2F">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2388377B">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7B9D36F">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70EDE441">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w:t>
      </w:r>
      <w:bookmarkStart w:id="345" w:name="OLE_LINK3"/>
      <w:r>
        <w:rPr>
          <w:rFonts w:hint="eastAsia"/>
          <w:sz w:val="24"/>
        </w:rPr>
        <w:t>电子交易平台</w:t>
      </w:r>
      <w:bookmarkEnd w:id="345"/>
      <w:r>
        <w:rPr>
          <w:rFonts w:hint="eastAsia"/>
          <w:sz w:val="24"/>
        </w:rPr>
        <w:t>上传“</w:t>
      </w:r>
      <w:r>
        <w:rPr>
          <w:color w:val="000000"/>
          <w:sz w:val="24"/>
          <w:szCs w:val="20"/>
        </w:rPr>
        <w:t>投标保证金凭证/交款单据电子件</w:t>
      </w:r>
      <w:r>
        <w:rPr>
          <w:rFonts w:hint="eastAsia"/>
          <w:sz w:val="24"/>
        </w:rPr>
        <w:t>”。</w:t>
      </w:r>
    </w:p>
    <w:p w14:paraId="1D945B4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418AE99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29F789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792A62DA">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2581AF9">
      <w:pPr>
        <w:numPr>
          <w:ilvl w:val="2"/>
          <w:numId w:val="9"/>
        </w:numPr>
        <w:snapToGrid w:val="0"/>
        <w:spacing w:line="360" w:lineRule="auto"/>
        <w:rPr>
          <w:sz w:val="24"/>
        </w:rPr>
      </w:pPr>
      <w:r>
        <w:rPr>
          <w:sz w:val="24"/>
        </w:rPr>
        <w:t>中标人的投标保证金，自采购合同签订之日起5个工作日内退还中标人；</w:t>
      </w:r>
    </w:p>
    <w:p w14:paraId="2CA37583">
      <w:pPr>
        <w:numPr>
          <w:ilvl w:val="2"/>
          <w:numId w:val="9"/>
        </w:numPr>
        <w:snapToGrid w:val="0"/>
        <w:spacing w:line="360" w:lineRule="auto"/>
        <w:rPr>
          <w:sz w:val="24"/>
        </w:rPr>
      </w:pPr>
      <w:r>
        <w:rPr>
          <w:sz w:val="24"/>
        </w:rPr>
        <w:t>未中标投标人的投标保证金，自中标通知书发出之日起5个工作日内退还未中标人；</w:t>
      </w:r>
    </w:p>
    <w:p w14:paraId="26D439ED">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24B5AE2B">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0D52334D">
      <w:pPr>
        <w:numPr>
          <w:ilvl w:val="2"/>
          <w:numId w:val="9"/>
        </w:numPr>
        <w:snapToGrid w:val="0"/>
        <w:spacing w:line="360" w:lineRule="auto"/>
        <w:rPr>
          <w:sz w:val="24"/>
        </w:rPr>
      </w:pPr>
      <w:r>
        <w:rPr>
          <w:sz w:val="24"/>
        </w:rPr>
        <w:t>投标有效期内投标人撤销投标文件的；</w:t>
      </w:r>
    </w:p>
    <w:p w14:paraId="015A8CBF">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2FDC00BF">
      <w:pPr>
        <w:numPr>
          <w:ilvl w:val="0"/>
          <w:numId w:val="9"/>
        </w:numPr>
        <w:tabs>
          <w:tab w:val="left" w:pos="360"/>
        </w:tabs>
        <w:snapToGrid w:val="0"/>
        <w:spacing w:line="360" w:lineRule="auto"/>
        <w:ind w:left="357" w:hanging="357"/>
        <w:outlineLvl w:val="1"/>
        <w:rPr>
          <w:sz w:val="24"/>
        </w:rPr>
      </w:pPr>
      <w:bookmarkStart w:id="346" w:name="_Toc164608801"/>
      <w:bookmarkStart w:id="347" w:name="_Toc264969222"/>
      <w:bookmarkStart w:id="348" w:name="_Toc150774737"/>
      <w:bookmarkStart w:id="349" w:name="_Toc226337228"/>
      <w:bookmarkStart w:id="350" w:name="_Toc164608646"/>
      <w:bookmarkStart w:id="351" w:name="_Toc226965722"/>
      <w:bookmarkStart w:id="352" w:name="_Toc151193630"/>
      <w:bookmarkStart w:id="353" w:name="_Toc142311034"/>
      <w:bookmarkStart w:id="354" w:name="_Toc151193702"/>
      <w:bookmarkStart w:id="355" w:name="_Toc150774632"/>
      <w:bookmarkStart w:id="356" w:name="_Toc151193774"/>
      <w:bookmarkStart w:id="357" w:name="_Toc226965805"/>
      <w:bookmarkStart w:id="358" w:name="_Toc305158800"/>
      <w:bookmarkStart w:id="359" w:name="_Toc151193846"/>
      <w:bookmarkStart w:id="360" w:name="_Toc127151733"/>
      <w:bookmarkStart w:id="361" w:name="_Toc151190159"/>
      <w:bookmarkStart w:id="362" w:name="_Toc164229227"/>
      <w:bookmarkStart w:id="363" w:name="_Toc150480770"/>
      <w:bookmarkStart w:id="364" w:name="_Toc164351626"/>
      <w:bookmarkStart w:id="365" w:name="_Toc265228370"/>
      <w:bookmarkStart w:id="366" w:name="_Toc127151532"/>
      <w:bookmarkStart w:id="367" w:name="_Toc150509283"/>
      <w:bookmarkStart w:id="368" w:name="_Toc164229373"/>
      <w:bookmarkStart w:id="369" w:name="_Toc520356157"/>
      <w:bookmarkStart w:id="370" w:name="_Toc127161446"/>
      <w:bookmarkStart w:id="371" w:name="_Toc226309776"/>
      <w:bookmarkStart w:id="372" w:name="_Toc149720825"/>
      <w:bookmarkStart w:id="373" w:name="_Toc151193920"/>
      <w:bookmarkStart w:id="374" w:name="_Toc305158874"/>
      <w:bookmarkStart w:id="375" w:name="_Toc195842897"/>
      <w:r>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3D2A63B2">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90C9079">
      <w:pPr>
        <w:numPr>
          <w:ilvl w:val="0"/>
          <w:numId w:val="9"/>
        </w:numPr>
        <w:tabs>
          <w:tab w:val="left" w:pos="360"/>
        </w:tabs>
        <w:snapToGrid w:val="0"/>
        <w:spacing w:line="360" w:lineRule="auto"/>
        <w:ind w:left="357" w:hanging="357"/>
        <w:outlineLvl w:val="1"/>
        <w:rPr>
          <w:sz w:val="24"/>
        </w:rPr>
      </w:pPr>
      <w:bookmarkStart w:id="376" w:name="_Toc142311035"/>
      <w:bookmarkStart w:id="377" w:name="_Toc305158875"/>
      <w:bookmarkStart w:id="378" w:name="_Toc195842898"/>
      <w:bookmarkStart w:id="379" w:name="_Toc151190160"/>
      <w:bookmarkStart w:id="380" w:name="_Toc151193631"/>
      <w:bookmarkStart w:id="381" w:name="_Toc149720826"/>
      <w:bookmarkStart w:id="382" w:name="_Toc164229228"/>
      <w:bookmarkStart w:id="383" w:name="_Toc164608647"/>
      <w:bookmarkStart w:id="384" w:name="_Toc151193921"/>
      <w:bookmarkStart w:id="385" w:name="_Toc305158801"/>
      <w:bookmarkStart w:id="386" w:name="_Toc151193847"/>
      <w:bookmarkStart w:id="387" w:name="_Toc226337229"/>
      <w:bookmarkStart w:id="388" w:name="_Toc150509284"/>
      <w:bookmarkStart w:id="389" w:name="_Toc151193775"/>
      <w:bookmarkStart w:id="390" w:name="_Toc150774633"/>
      <w:bookmarkStart w:id="391" w:name="_Toc226965723"/>
      <w:bookmarkStart w:id="392" w:name="_Toc127161447"/>
      <w:bookmarkStart w:id="393" w:name="_Toc150480771"/>
      <w:bookmarkStart w:id="394" w:name="_Toc226309777"/>
      <w:bookmarkStart w:id="395" w:name="_Toc150774738"/>
      <w:bookmarkStart w:id="396" w:name="_Toc127151533"/>
      <w:bookmarkStart w:id="397" w:name="_Toc226965806"/>
      <w:bookmarkStart w:id="398" w:name="_Toc127151734"/>
      <w:bookmarkStart w:id="399" w:name="_Toc265228371"/>
      <w:bookmarkStart w:id="400" w:name="_Toc151193703"/>
      <w:bookmarkStart w:id="401" w:name="_Toc520356158"/>
      <w:bookmarkStart w:id="402" w:name="_Toc264969223"/>
      <w:bookmarkStart w:id="403" w:name="_Toc164229374"/>
      <w:bookmarkStart w:id="404" w:name="_Toc164608802"/>
      <w:bookmarkStart w:id="405" w:name="_Toc164351627"/>
      <w:r>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、盖章</w:t>
      </w:r>
    </w:p>
    <w:p w14:paraId="38454DF0">
      <w:pPr>
        <w:numPr>
          <w:ilvl w:val="1"/>
          <w:numId w:val="9"/>
        </w:numPr>
        <w:tabs>
          <w:tab w:val="left" w:pos="1080"/>
          <w:tab w:val="left" w:pos="2014"/>
        </w:tabs>
        <w:snapToGrid w:val="0"/>
        <w:spacing w:line="360" w:lineRule="auto"/>
        <w:ind w:left="1077" w:hanging="720"/>
        <w:rPr>
          <w:sz w:val="24"/>
        </w:rPr>
      </w:pPr>
      <w:bookmarkStart w:id="406" w:name="_Toc150509285"/>
      <w:bookmarkStart w:id="407" w:name="_Toc265228372"/>
      <w:bookmarkStart w:id="408" w:name="_Toc142311036"/>
      <w:bookmarkStart w:id="409" w:name="_Toc151193848"/>
      <w:bookmarkStart w:id="410" w:name="_Toc226337230"/>
      <w:bookmarkStart w:id="411" w:name="_Toc226965807"/>
      <w:bookmarkStart w:id="412" w:name="_Toc520356159"/>
      <w:bookmarkStart w:id="413" w:name="_Toc305158876"/>
      <w:bookmarkStart w:id="414" w:name="_Toc151193632"/>
      <w:bookmarkStart w:id="415" w:name="_Toc151193704"/>
      <w:bookmarkStart w:id="416" w:name="_Toc127151534"/>
      <w:bookmarkStart w:id="417" w:name="_Toc195842899"/>
      <w:bookmarkStart w:id="418" w:name="_Toc226309778"/>
      <w:bookmarkStart w:id="419" w:name="_Toc151190161"/>
      <w:bookmarkStart w:id="420" w:name="_Toc150774634"/>
      <w:bookmarkStart w:id="421" w:name="_Toc305158802"/>
      <w:bookmarkStart w:id="422" w:name="_Toc151193776"/>
      <w:bookmarkStart w:id="423" w:name="_Toc226965724"/>
      <w:bookmarkStart w:id="424" w:name="_Toc150480772"/>
      <w:bookmarkStart w:id="425" w:name="_Toc151193922"/>
      <w:bookmarkStart w:id="426" w:name="_Toc264969224"/>
      <w:bookmarkStart w:id="427" w:name="_Toc15077473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B8C96AE">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F1FC0D2">
      <w:pPr>
        <w:tabs>
          <w:tab w:val="left" w:pos="900"/>
          <w:tab w:val="left" w:pos="1080"/>
        </w:tabs>
        <w:snapToGrid w:val="0"/>
        <w:spacing w:line="360" w:lineRule="auto"/>
        <w:ind w:left="357"/>
      </w:pPr>
    </w:p>
    <w:p w14:paraId="17A12BFB">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40448EB">
      <w:pPr>
        <w:numPr>
          <w:ilvl w:val="0"/>
          <w:numId w:val="9"/>
        </w:numPr>
        <w:tabs>
          <w:tab w:val="left" w:pos="360"/>
        </w:tabs>
        <w:snapToGrid w:val="0"/>
        <w:spacing w:line="360" w:lineRule="auto"/>
        <w:ind w:left="357" w:hanging="357"/>
        <w:outlineLvl w:val="1"/>
        <w:rPr>
          <w:sz w:val="24"/>
        </w:rPr>
      </w:pPr>
      <w:bookmarkStart w:id="428" w:name="_Toc264969225"/>
      <w:bookmarkStart w:id="429" w:name="_Toc305158877"/>
      <w:bookmarkStart w:id="430" w:name="_Toc164229230"/>
      <w:bookmarkStart w:id="431" w:name="_Toc127161449"/>
      <w:bookmarkStart w:id="432" w:name="_Toc226337231"/>
      <w:bookmarkStart w:id="433" w:name="_Toc265228373"/>
      <w:bookmarkStart w:id="434" w:name="_Toc195842900"/>
      <w:bookmarkStart w:id="435" w:name="_Toc151190162"/>
      <w:bookmarkStart w:id="436" w:name="_Toc151193633"/>
      <w:bookmarkStart w:id="437" w:name="_Toc226965725"/>
      <w:bookmarkStart w:id="438" w:name="_Toc164608804"/>
      <w:bookmarkStart w:id="439" w:name="_Toc142311037"/>
      <w:bookmarkStart w:id="440" w:name="_Toc164608649"/>
      <w:bookmarkStart w:id="441" w:name="_Toc164229376"/>
      <w:bookmarkStart w:id="442" w:name="_Toc151193849"/>
      <w:bookmarkStart w:id="443" w:name="_Toc226309779"/>
      <w:bookmarkStart w:id="444" w:name="_Toc150480773"/>
      <w:bookmarkStart w:id="445" w:name="_Toc127151535"/>
      <w:bookmarkStart w:id="446" w:name="_Toc305158803"/>
      <w:bookmarkStart w:id="447" w:name="_Toc149720828"/>
      <w:bookmarkStart w:id="448" w:name="_Toc127151736"/>
      <w:bookmarkStart w:id="449" w:name="_Toc150774740"/>
      <w:bookmarkStart w:id="450" w:name="_Toc520356160"/>
      <w:bookmarkStart w:id="451" w:name="_Toc151193923"/>
      <w:bookmarkStart w:id="452" w:name="_Toc151193705"/>
      <w:bookmarkStart w:id="453" w:name="_Toc151193777"/>
      <w:bookmarkStart w:id="454" w:name="_Toc150509286"/>
      <w:bookmarkStart w:id="455" w:name="_Toc150774635"/>
      <w:bookmarkStart w:id="456" w:name="_Toc226965808"/>
      <w:bookmarkStart w:id="457" w:name="_Toc164351629"/>
      <w:r>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rPr>
        <w:t>提交</w:t>
      </w:r>
    </w:p>
    <w:p w14:paraId="3C882961">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DA18569">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7FB47F0">
      <w:pPr>
        <w:numPr>
          <w:ilvl w:val="0"/>
          <w:numId w:val="9"/>
        </w:numPr>
        <w:tabs>
          <w:tab w:val="left" w:pos="360"/>
        </w:tabs>
        <w:snapToGrid w:val="0"/>
        <w:spacing w:line="360" w:lineRule="auto"/>
        <w:ind w:left="357" w:hanging="357"/>
        <w:outlineLvl w:val="1"/>
        <w:rPr>
          <w:sz w:val="24"/>
        </w:rPr>
      </w:pPr>
      <w:bookmarkStart w:id="458" w:name="_Toc151193924"/>
      <w:bookmarkStart w:id="459" w:name="_Toc150509287"/>
      <w:bookmarkStart w:id="460" w:name="_Toc195842901"/>
      <w:bookmarkStart w:id="461" w:name="_Toc127151536"/>
      <w:bookmarkStart w:id="462" w:name="_Toc150774636"/>
      <w:bookmarkStart w:id="463" w:name="_Toc151193706"/>
      <w:bookmarkStart w:id="464" w:name="_Toc164229231"/>
      <w:bookmarkStart w:id="465" w:name="_Toc151193778"/>
      <w:bookmarkStart w:id="466" w:name="_Toc151193850"/>
      <w:bookmarkStart w:id="467" w:name="_Toc127151737"/>
      <w:bookmarkStart w:id="468" w:name="_Toc151190163"/>
      <w:bookmarkStart w:id="469" w:name="_Toc164608650"/>
      <w:bookmarkStart w:id="470" w:name="_Toc305158878"/>
      <w:bookmarkStart w:id="471" w:name="_Toc305158804"/>
      <w:bookmarkStart w:id="472" w:name="_Toc164351630"/>
      <w:bookmarkStart w:id="473" w:name="_Toc150480774"/>
      <w:bookmarkStart w:id="474" w:name="_Toc520356161"/>
      <w:bookmarkStart w:id="475" w:name="_Toc226309780"/>
      <w:bookmarkStart w:id="476" w:name="_Toc150774741"/>
      <w:bookmarkStart w:id="477" w:name="_Toc149720829"/>
      <w:bookmarkStart w:id="478" w:name="_Toc265228374"/>
      <w:bookmarkStart w:id="479" w:name="_Toc164229377"/>
      <w:bookmarkStart w:id="480" w:name="_Toc151193634"/>
      <w:bookmarkStart w:id="481" w:name="_Toc164608805"/>
      <w:bookmarkStart w:id="482" w:name="_Toc127161450"/>
      <w:bookmarkStart w:id="483" w:name="_Toc226965809"/>
      <w:bookmarkStart w:id="484" w:name="_Toc226337232"/>
      <w:bookmarkStart w:id="485" w:name="_Toc264969226"/>
      <w:bookmarkStart w:id="486" w:name="_Toc226965726"/>
      <w:bookmarkStart w:id="487" w:name="_Toc142311038"/>
      <w:r>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rPr>
        <w:t>时间</w:t>
      </w:r>
    </w:p>
    <w:p w14:paraId="4516B5FD">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2E0669A4">
      <w:pPr>
        <w:numPr>
          <w:ilvl w:val="0"/>
          <w:numId w:val="9"/>
        </w:numPr>
        <w:tabs>
          <w:tab w:val="left" w:pos="360"/>
        </w:tabs>
        <w:snapToGrid w:val="0"/>
        <w:spacing w:line="360" w:lineRule="auto"/>
        <w:ind w:left="357" w:hanging="357"/>
        <w:outlineLvl w:val="1"/>
        <w:rPr>
          <w:sz w:val="24"/>
        </w:rPr>
      </w:pPr>
      <w:bookmarkStart w:id="488" w:name="_Toc151193635"/>
      <w:bookmarkStart w:id="489" w:name="_Toc164229378"/>
      <w:bookmarkStart w:id="490" w:name="_Toc226309781"/>
      <w:bookmarkStart w:id="491" w:name="_Toc127161451"/>
      <w:bookmarkStart w:id="492" w:name="_Toc127151738"/>
      <w:bookmarkStart w:id="493" w:name="_Toc164229232"/>
      <w:bookmarkStart w:id="494" w:name="_Toc127151537"/>
      <w:bookmarkStart w:id="495" w:name="_Toc195842902"/>
      <w:bookmarkStart w:id="496" w:name="_Toc151193779"/>
      <w:bookmarkStart w:id="497" w:name="_Toc150509288"/>
      <w:bookmarkStart w:id="498" w:name="_Toc164351631"/>
      <w:bookmarkStart w:id="499" w:name="_Toc226337233"/>
      <w:bookmarkStart w:id="500" w:name="_Toc520356162"/>
      <w:bookmarkStart w:id="501" w:name="_Toc265228375"/>
      <w:bookmarkStart w:id="502" w:name="_Toc149720830"/>
      <w:bookmarkStart w:id="503" w:name="_Toc150774742"/>
      <w:bookmarkStart w:id="504" w:name="_Toc164608806"/>
      <w:bookmarkStart w:id="505" w:name="_Toc150774637"/>
      <w:bookmarkStart w:id="506" w:name="_Toc150480775"/>
      <w:bookmarkStart w:id="507" w:name="_Toc264969227"/>
      <w:bookmarkStart w:id="508" w:name="_Toc305158879"/>
      <w:bookmarkStart w:id="509" w:name="_Toc151193925"/>
      <w:bookmarkStart w:id="510" w:name="_Toc164608651"/>
      <w:bookmarkStart w:id="511" w:name="_Toc226965810"/>
      <w:bookmarkStart w:id="512" w:name="_Toc305158805"/>
      <w:bookmarkStart w:id="513" w:name="_Toc151190164"/>
      <w:bookmarkStart w:id="514" w:name="_Toc226965727"/>
      <w:bookmarkStart w:id="515" w:name="_Toc151193707"/>
      <w:bookmarkStart w:id="516" w:name="_Toc142311039"/>
      <w:bookmarkStart w:id="517" w:name="_Toc151193851"/>
      <w:r>
        <w:rPr>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405EFD7F">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BCBEEEA">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CDC086C">
      <w:pPr>
        <w:spacing w:line="360" w:lineRule="auto"/>
        <w:rPr>
          <w:sz w:val="24"/>
        </w:rPr>
      </w:pPr>
    </w:p>
    <w:p w14:paraId="1EEB5CD7">
      <w:pPr>
        <w:pStyle w:val="3"/>
        <w:spacing w:before="0" w:line="360" w:lineRule="auto"/>
        <w:rPr>
          <w:rFonts w:ascii="Times New Roman" w:hAnsi="Times New Roman" w:eastAsia="宋体"/>
          <w:sz w:val="28"/>
        </w:rPr>
      </w:pPr>
      <w:bookmarkStart w:id="518" w:name="_Toc151190165"/>
      <w:bookmarkStart w:id="519" w:name="_Toc127151538"/>
      <w:bookmarkStart w:id="520" w:name="_Toc226965811"/>
      <w:bookmarkStart w:id="521" w:name="_Toc151193852"/>
      <w:bookmarkStart w:id="522" w:name="_Toc151193708"/>
      <w:bookmarkStart w:id="523" w:name="_Toc195842903"/>
      <w:bookmarkStart w:id="524" w:name="_Toc226337234"/>
      <w:bookmarkStart w:id="525" w:name="_Toc150509289"/>
      <w:bookmarkStart w:id="526" w:name="_Toc151193926"/>
      <w:bookmarkStart w:id="527" w:name="_Toc305158806"/>
      <w:bookmarkStart w:id="528" w:name="_Toc150774743"/>
      <w:bookmarkStart w:id="529" w:name="_Toc520356163"/>
      <w:bookmarkStart w:id="530" w:name="_Toc264969228"/>
      <w:bookmarkStart w:id="531" w:name="_Toc150774638"/>
      <w:bookmarkStart w:id="532" w:name="_Toc265228376"/>
      <w:bookmarkStart w:id="533" w:name="_Toc142311040"/>
      <w:bookmarkStart w:id="534" w:name="_Toc150480776"/>
      <w:bookmarkStart w:id="535" w:name="_Toc305158880"/>
      <w:bookmarkStart w:id="536" w:name="_Toc226965728"/>
      <w:bookmarkStart w:id="537" w:name="_Toc151193780"/>
      <w:bookmarkStart w:id="538" w:name="_Toc151193636"/>
      <w:bookmarkStart w:id="539" w:name="_Toc226309782"/>
      <w:r>
        <w:rPr>
          <w:rFonts w:ascii="Times New Roman" w:hAnsi="Times New Roman" w:eastAsia="宋体"/>
          <w:sz w:val="28"/>
        </w:rPr>
        <w:t>五   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18DD6DE3">
      <w:pPr>
        <w:numPr>
          <w:ilvl w:val="0"/>
          <w:numId w:val="9"/>
        </w:numPr>
        <w:tabs>
          <w:tab w:val="left" w:pos="360"/>
        </w:tabs>
        <w:snapToGrid w:val="0"/>
        <w:spacing w:line="360" w:lineRule="auto"/>
        <w:ind w:left="357" w:hanging="357"/>
        <w:outlineLvl w:val="1"/>
        <w:rPr>
          <w:sz w:val="24"/>
        </w:rPr>
      </w:pPr>
      <w:bookmarkStart w:id="540" w:name="_Toc151193709"/>
      <w:bookmarkStart w:id="541" w:name="_Toc164229380"/>
      <w:bookmarkStart w:id="542" w:name="_Toc195842904"/>
      <w:bookmarkStart w:id="543" w:name="_Toc226965729"/>
      <w:bookmarkStart w:id="544" w:name="_Toc149720832"/>
      <w:bookmarkStart w:id="545" w:name="_Toc164608808"/>
      <w:bookmarkStart w:id="546" w:name="_Toc151193637"/>
      <w:bookmarkStart w:id="547" w:name="_Toc164229234"/>
      <w:bookmarkStart w:id="548" w:name="_Toc264969229"/>
      <w:bookmarkStart w:id="549" w:name="_Toc164608653"/>
      <w:bookmarkStart w:id="550" w:name="_Toc127151740"/>
      <w:bookmarkStart w:id="551" w:name="_Toc150509290"/>
      <w:bookmarkStart w:id="552" w:name="_Toc226337235"/>
      <w:bookmarkStart w:id="553" w:name="_Toc305158807"/>
      <w:bookmarkStart w:id="554" w:name="_Toc226309783"/>
      <w:bookmarkStart w:id="555" w:name="_Toc150480777"/>
      <w:bookmarkStart w:id="556" w:name="_Toc127151539"/>
      <w:bookmarkStart w:id="557" w:name="_Toc151190166"/>
      <w:bookmarkStart w:id="558" w:name="_Toc150774639"/>
      <w:bookmarkStart w:id="559" w:name="_Toc151193781"/>
      <w:bookmarkStart w:id="560" w:name="_Toc265228377"/>
      <w:bookmarkStart w:id="561" w:name="_Toc151193927"/>
      <w:bookmarkStart w:id="562" w:name="_Toc226965812"/>
      <w:bookmarkStart w:id="563" w:name="_Toc305158881"/>
      <w:bookmarkStart w:id="564" w:name="_Toc150774744"/>
      <w:bookmarkStart w:id="565" w:name="_Toc164351633"/>
      <w:bookmarkStart w:id="566" w:name="_Toc520356164"/>
      <w:bookmarkStart w:id="567" w:name="_Toc127161453"/>
      <w:bookmarkStart w:id="568" w:name="_Toc142311041"/>
      <w:bookmarkStart w:id="569" w:name="_Toc151193853"/>
      <w:r>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A4EA667">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99F8A4B">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0" w:name="_Hlk167284562"/>
      <w:r>
        <w:rPr>
          <w:sz w:val="24"/>
        </w:rPr>
        <w:t>《投标人须知资料表》</w:t>
      </w:r>
      <w:bookmarkEnd w:id="570"/>
      <w:r>
        <w:rPr>
          <w:sz w:val="24"/>
        </w:rPr>
        <w:t>规定的时间内对投标文件进行解密，因非系统原因导致的解密失败，视为</w:t>
      </w:r>
      <w:r>
        <w:rPr>
          <w:b/>
          <w:sz w:val="24"/>
        </w:rPr>
        <w:t>投标无效</w:t>
      </w:r>
      <w:r>
        <w:rPr>
          <w:sz w:val="24"/>
        </w:rPr>
        <w:t>。</w:t>
      </w:r>
    </w:p>
    <w:p w14:paraId="7EFBABB5">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1" w:name="_Toc520356165"/>
      <w:r>
        <w:rPr>
          <w:sz w:val="24"/>
        </w:rPr>
        <w:t>。</w:t>
      </w:r>
      <w:bookmarkStart w:id="572" w:name="_Hlk143533942"/>
      <w:r>
        <w:rPr>
          <w:sz w:val="24"/>
        </w:rPr>
        <w:t>投标人未在规定时间内提出疑义或确认一览表的，视同认可开标结果。</w:t>
      </w:r>
      <w:bookmarkEnd w:id="572"/>
    </w:p>
    <w:p w14:paraId="652E472E">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DCCEE69">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3126850C">
      <w:pPr>
        <w:numPr>
          <w:ilvl w:val="0"/>
          <w:numId w:val="9"/>
        </w:numPr>
        <w:tabs>
          <w:tab w:val="left" w:pos="360"/>
        </w:tabs>
        <w:snapToGrid w:val="0"/>
        <w:spacing w:line="360" w:lineRule="auto"/>
        <w:ind w:left="357" w:hanging="357"/>
        <w:outlineLvl w:val="1"/>
        <w:rPr>
          <w:sz w:val="24"/>
        </w:rPr>
      </w:pPr>
      <w:r>
        <w:rPr>
          <w:sz w:val="24"/>
        </w:rPr>
        <w:t>资格审查</w:t>
      </w:r>
    </w:p>
    <w:p w14:paraId="4A37C801">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1"/>
    <w:p w14:paraId="160D36CD">
      <w:pPr>
        <w:numPr>
          <w:ilvl w:val="0"/>
          <w:numId w:val="9"/>
        </w:numPr>
        <w:tabs>
          <w:tab w:val="left" w:pos="360"/>
        </w:tabs>
        <w:snapToGrid w:val="0"/>
        <w:spacing w:line="360" w:lineRule="auto"/>
        <w:ind w:left="357" w:hanging="357"/>
        <w:outlineLvl w:val="1"/>
        <w:rPr>
          <w:sz w:val="24"/>
        </w:rPr>
      </w:pPr>
      <w:bookmarkStart w:id="573" w:name="_Toc127151540"/>
      <w:bookmarkStart w:id="574" w:name="_Toc164229381"/>
      <w:bookmarkStart w:id="575" w:name="_Toc164608654"/>
      <w:bookmarkStart w:id="576" w:name="_Toc226337236"/>
      <w:bookmarkStart w:id="577" w:name="_Toc226309784"/>
      <w:bookmarkStart w:id="578" w:name="_Toc265228378"/>
      <w:bookmarkStart w:id="579" w:name="_Toc150774640"/>
      <w:bookmarkStart w:id="580" w:name="_Toc305158882"/>
      <w:bookmarkStart w:id="581" w:name="_Toc150509291"/>
      <w:bookmarkStart w:id="582" w:name="_Toc151193782"/>
      <w:bookmarkStart w:id="583" w:name="_Toc150774745"/>
      <w:bookmarkStart w:id="584" w:name="_Toc151193710"/>
      <w:bookmarkStart w:id="585" w:name="_Toc127151741"/>
      <w:bookmarkStart w:id="586" w:name="_Toc150480778"/>
      <w:bookmarkStart w:id="587" w:name="_Toc151193854"/>
      <w:bookmarkStart w:id="588" w:name="_Toc142311042"/>
      <w:bookmarkStart w:id="589" w:name="_Toc305158808"/>
      <w:bookmarkStart w:id="590" w:name="_Toc164229235"/>
      <w:bookmarkStart w:id="591" w:name="_Toc164608809"/>
      <w:bookmarkStart w:id="592" w:name="_Toc226965730"/>
      <w:bookmarkStart w:id="593" w:name="_Toc149720833"/>
      <w:bookmarkStart w:id="594" w:name="_Toc151193638"/>
      <w:bookmarkStart w:id="595" w:name="_Toc151193928"/>
      <w:bookmarkStart w:id="596" w:name="_Toc195842905"/>
      <w:bookmarkStart w:id="597" w:name="_Toc226965813"/>
      <w:bookmarkStart w:id="598" w:name="_Toc127161454"/>
      <w:bookmarkStart w:id="599" w:name="_Toc264969230"/>
      <w:bookmarkStart w:id="600" w:name="_Toc164351634"/>
      <w:bookmarkStart w:id="601" w:name="_Toc151190167"/>
      <w:r>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37BC14F6">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2" w:name="_Toc520356166"/>
    </w:p>
    <w:p w14:paraId="51CEBA7D">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14:paraId="00776EF9">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15428828">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4FE50EDF">
      <w:pPr>
        <w:tabs>
          <w:tab w:val="left" w:pos="360"/>
          <w:tab w:val="left" w:pos="1080"/>
        </w:tabs>
        <w:snapToGrid w:val="0"/>
        <w:spacing w:line="360" w:lineRule="auto"/>
        <w:ind w:left="1080"/>
        <w:rPr>
          <w:sz w:val="24"/>
        </w:rPr>
      </w:pPr>
    </w:p>
    <w:p w14:paraId="58BC33A9">
      <w:pPr>
        <w:pStyle w:val="3"/>
        <w:spacing w:before="0" w:line="360" w:lineRule="auto"/>
        <w:rPr>
          <w:rFonts w:ascii="Times New Roman" w:hAnsi="Times New Roman" w:eastAsia="宋体"/>
          <w:sz w:val="28"/>
        </w:rPr>
      </w:pPr>
      <w:bookmarkStart w:id="604" w:name="_Toc226309789"/>
      <w:bookmarkStart w:id="605" w:name="_Toc150509296"/>
      <w:bookmarkStart w:id="606" w:name="_Toc305158813"/>
      <w:bookmarkStart w:id="607" w:name="_Toc151193715"/>
      <w:bookmarkStart w:id="608" w:name="_Toc226337241"/>
      <w:bookmarkStart w:id="609" w:name="_Toc151190172"/>
      <w:bookmarkStart w:id="610" w:name="_Toc142311047"/>
      <w:bookmarkStart w:id="611" w:name="_Toc226965735"/>
      <w:bookmarkStart w:id="612" w:name="_Toc151193643"/>
      <w:bookmarkStart w:id="613" w:name="_Toc264969235"/>
      <w:bookmarkStart w:id="614" w:name="_Toc150774750"/>
      <w:bookmarkStart w:id="615" w:name="_Toc150774645"/>
      <w:bookmarkStart w:id="616" w:name="_Toc226965818"/>
      <w:bookmarkStart w:id="617" w:name="_Toc265228383"/>
      <w:bookmarkStart w:id="618" w:name="_Toc195842910"/>
      <w:bookmarkStart w:id="619" w:name="_Toc127151545"/>
      <w:bookmarkStart w:id="620" w:name="_Toc305158887"/>
      <w:bookmarkStart w:id="621" w:name="_Toc150480783"/>
      <w:bookmarkStart w:id="622" w:name="_Toc151193787"/>
      <w:bookmarkStart w:id="623" w:name="_Toc151193859"/>
      <w:bookmarkStart w:id="624" w:name="_Toc151193933"/>
      <w:r>
        <w:rPr>
          <w:rFonts w:ascii="Times New Roman" w:hAnsi="Times New Roman" w:eastAsia="宋体"/>
          <w:sz w:val="28"/>
        </w:rPr>
        <w:t xml:space="preserve">六   </w:t>
      </w:r>
      <w:bookmarkEnd w:id="603"/>
      <w:r>
        <w:rPr>
          <w:rFonts w:ascii="Times New Roman" w:hAnsi="Times New Roman" w:eastAsia="宋体"/>
          <w:sz w:val="28"/>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127151547"/>
      <w:bookmarkStart w:id="626" w:name="_Toc305158815"/>
      <w:bookmarkStart w:id="627" w:name="_Toc127161461"/>
      <w:bookmarkStart w:id="628" w:name="_Toc164608661"/>
      <w:bookmarkStart w:id="629" w:name="_Toc151190174"/>
      <w:bookmarkStart w:id="630" w:name="_Toc226337243"/>
      <w:bookmarkStart w:id="631" w:name="_Toc150774752"/>
      <w:bookmarkStart w:id="632" w:name="_Toc127151748"/>
      <w:bookmarkStart w:id="633" w:name="_Toc195842912"/>
      <w:bookmarkStart w:id="634" w:name="_Toc151193717"/>
      <w:bookmarkStart w:id="635" w:name="_Toc164229388"/>
      <w:bookmarkStart w:id="636" w:name="_Toc164229242"/>
      <w:bookmarkStart w:id="637" w:name="_Toc305158889"/>
      <w:bookmarkStart w:id="638" w:name="_Toc151193861"/>
      <w:bookmarkStart w:id="639" w:name="_Toc142311049"/>
      <w:bookmarkStart w:id="640" w:name="_Toc164608816"/>
      <w:bookmarkStart w:id="641" w:name="_Toc151193645"/>
      <w:bookmarkStart w:id="642" w:name="_Toc150774647"/>
      <w:bookmarkStart w:id="643" w:name="_Toc151193935"/>
      <w:bookmarkStart w:id="644" w:name="_Toc150509298"/>
      <w:bookmarkStart w:id="645" w:name="_Toc150480785"/>
      <w:bookmarkStart w:id="646" w:name="_Toc264969237"/>
      <w:bookmarkStart w:id="647" w:name="_Toc226965737"/>
      <w:bookmarkStart w:id="648" w:name="_Toc164351641"/>
      <w:bookmarkStart w:id="649" w:name="_Toc226309791"/>
      <w:bookmarkStart w:id="650" w:name="_Toc149720840"/>
      <w:bookmarkStart w:id="651" w:name="_Toc226965820"/>
      <w:bookmarkStart w:id="652" w:name="_Toc265228385"/>
      <w:bookmarkStart w:id="653" w:name="_Toc151193789"/>
    </w:p>
    <w:p w14:paraId="5C56A48D">
      <w:pPr>
        <w:numPr>
          <w:ilvl w:val="0"/>
          <w:numId w:val="9"/>
        </w:numPr>
        <w:tabs>
          <w:tab w:val="left" w:pos="360"/>
        </w:tabs>
        <w:snapToGrid w:val="0"/>
        <w:spacing w:line="360" w:lineRule="auto"/>
        <w:ind w:left="357" w:hanging="357"/>
        <w:outlineLvl w:val="1"/>
        <w:rPr>
          <w:sz w:val="24"/>
        </w:rPr>
      </w:pPr>
      <w:r>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6988ACF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30069BA">
      <w:pPr>
        <w:numPr>
          <w:ilvl w:val="0"/>
          <w:numId w:val="9"/>
        </w:numPr>
        <w:tabs>
          <w:tab w:val="left" w:pos="360"/>
        </w:tabs>
        <w:snapToGrid w:val="0"/>
        <w:spacing w:line="360" w:lineRule="auto"/>
        <w:ind w:left="357" w:hanging="357"/>
        <w:outlineLvl w:val="1"/>
        <w:rPr>
          <w:sz w:val="24"/>
        </w:rPr>
      </w:pPr>
      <w:bookmarkStart w:id="654" w:name="_Toc305158817"/>
      <w:bookmarkStart w:id="655" w:name="_Toc305158891"/>
      <w:bookmarkStart w:id="656" w:name="_Toc226337245"/>
      <w:bookmarkStart w:id="657" w:name="_Toc151193719"/>
      <w:bookmarkStart w:id="658" w:name="_Toc150509300"/>
      <w:bookmarkStart w:id="659" w:name="_Toc195842914"/>
      <w:bookmarkStart w:id="660" w:name="_Toc164608663"/>
      <w:bookmarkStart w:id="661" w:name="_Toc127151549"/>
      <w:bookmarkStart w:id="662" w:name="_Toc264969239"/>
      <w:bookmarkStart w:id="663" w:name="_Toc164608818"/>
      <w:bookmarkStart w:id="664" w:name="_Toc127161463"/>
      <w:bookmarkStart w:id="665" w:name="_Toc150774649"/>
      <w:bookmarkStart w:id="666" w:name="_Toc150774754"/>
      <w:bookmarkStart w:id="667" w:name="_Toc226965739"/>
      <w:bookmarkStart w:id="668" w:name="_Toc164229390"/>
      <w:bookmarkStart w:id="669" w:name="_Toc127151750"/>
      <w:bookmarkStart w:id="670" w:name="_Toc151193863"/>
      <w:bookmarkStart w:id="671" w:name="_Toc151193647"/>
      <w:bookmarkStart w:id="672" w:name="_Toc149720842"/>
      <w:bookmarkStart w:id="673" w:name="_Toc226965822"/>
      <w:bookmarkStart w:id="674" w:name="_Toc164351643"/>
      <w:bookmarkStart w:id="675" w:name="_Toc150480787"/>
      <w:bookmarkStart w:id="676" w:name="_Toc151190176"/>
      <w:bookmarkStart w:id="677" w:name="_Toc151193791"/>
      <w:bookmarkStart w:id="678" w:name="_Toc151193937"/>
      <w:bookmarkStart w:id="679" w:name="_Toc265228387"/>
      <w:bookmarkStart w:id="680" w:name="_Toc142311051"/>
      <w:bookmarkStart w:id="681" w:name="_Toc226309793"/>
      <w:bookmarkStart w:id="682" w:name="_Toc164229244"/>
      <w:bookmarkStart w:id="683" w:name="_Ref467307090"/>
      <w:bookmarkStart w:id="684" w:name="_Toc520356176"/>
      <w:bookmarkStart w:id="685" w:name="_Ref467306425"/>
      <w:r>
        <w:rPr>
          <w:sz w:val="24"/>
        </w:rPr>
        <w:t>中标公告与中标通知书</w:t>
      </w:r>
      <w:bookmarkEnd w:id="654"/>
      <w:bookmarkEnd w:id="655"/>
    </w:p>
    <w:p w14:paraId="589D0708">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08B88325">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5034F28">
      <w:pPr>
        <w:numPr>
          <w:ilvl w:val="0"/>
          <w:numId w:val="9"/>
        </w:numPr>
        <w:tabs>
          <w:tab w:val="left" w:pos="360"/>
        </w:tabs>
        <w:snapToGrid w:val="0"/>
        <w:spacing w:line="360" w:lineRule="auto"/>
        <w:ind w:left="357" w:hanging="357"/>
        <w:outlineLvl w:val="1"/>
        <w:rPr>
          <w:sz w:val="24"/>
        </w:rPr>
      </w:pPr>
      <w:r>
        <w:rPr>
          <w:sz w:val="24"/>
        </w:rPr>
        <w:t>废标</w:t>
      </w:r>
    </w:p>
    <w:p w14:paraId="428947EF">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1545C0B6">
      <w:pPr>
        <w:numPr>
          <w:ilvl w:val="2"/>
          <w:numId w:val="9"/>
        </w:numPr>
        <w:snapToGrid w:val="0"/>
        <w:spacing w:line="360" w:lineRule="auto"/>
        <w:rPr>
          <w:sz w:val="24"/>
        </w:rPr>
      </w:pPr>
      <w:r>
        <w:rPr>
          <w:sz w:val="24"/>
        </w:rPr>
        <w:t>符合专业条件的供应商或者对招标文件作实质响应的供应商不足三家的；</w:t>
      </w:r>
    </w:p>
    <w:p w14:paraId="02BFFAB0">
      <w:pPr>
        <w:numPr>
          <w:ilvl w:val="2"/>
          <w:numId w:val="9"/>
        </w:numPr>
        <w:snapToGrid w:val="0"/>
        <w:spacing w:line="360" w:lineRule="auto"/>
        <w:rPr>
          <w:sz w:val="24"/>
        </w:rPr>
      </w:pPr>
      <w:r>
        <w:rPr>
          <w:sz w:val="24"/>
        </w:rPr>
        <w:t>出现影响采购公正的违法、违规行为的；</w:t>
      </w:r>
    </w:p>
    <w:p w14:paraId="309D9FE8">
      <w:pPr>
        <w:numPr>
          <w:ilvl w:val="2"/>
          <w:numId w:val="9"/>
        </w:numPr>
        <w:snapToGrid w:val="0"/>
        <w:spacing w:line="360" w:lineRule="auto"/>
        <w:rPr>
          <w:sz w:val="24"/>
        </w:rPr>
      </w:pPr>
      <w:r>
        <w:rPr>
          <w:sz w:val="24"/>
        </w:rPr>
        <w:t>投标人的报价均超过了采购预算，采购人不能支付的；</w:t>
      </w:r>
    </w:p>
    <w:p w14:paraId="6CFD20AD">
      <w:pPr>
        <w:numPr>
          <w:ilvl w:val="2"/>
          <w:numId w:val="9"/>
        </w:numPr>
        <w:snapToGrid w:val="0"/>
        <w:spacing w:line="360" w:lineRule="auto"/>
        <w:rPr>
          <w:sz w:val="24"/>
        </w:rPr>
      </w:pPr>
      <w:r>
        <w:rPr>
          <w:sz w:val="24"/>
        </w:rPr>
        <w:t>因重大变故，采购任务取消的。</w:t>
      </w:r>
    </w:p>
    <w:p w14:paraId="51C7AF86">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2519E1A6">
      <w:pPr>
        <w:numPr>
          <w:ilvl w:val="0"/>
          <w:numId w:val="9"/>
        </w:numPr>
        <w:tabs>
          <w:tab w:val="left" w:pos="360"/>
        </w:tabs>
        <w:snapToGrid w:val="0"/>
        <w:spacing w:line="360" w:lineRule="auto"/>
        <w:ind w:left="357" w:hanging="357"/>
        <w:outlineLvl w:val="1"/>
        <w:rPr>
          <w:sz w:val="24"/>
        </w:rPr>
      </w:pPr>
      <w:bookmarkStart w:id="686" w:name="_Toc226965740"/>
      <w:bookmarkStart w:id="687" w:name="_Toc164608819"/>
      <w:bookmarkStart w:id="688" w:name="_Toc164608664"/>
      <w:bookmarkStart w:id="689" w:name="_Toc151193938"/>
      <w:bookmarkStart w:id="690" w:name="_Toc151193648"/>
      <w:bookmarkStart w:id="691" w:name="_Toc265228388"/>
      <w:bookmarkStart w:id="692" w:name="_Toc305158892"/>
      <w:bookmarkStart w:id="693" w:name="_Toc151193792"/>
      <w:bookmarkStart w:id="694" w:name="_Toc150509301"/>
      <w:bookmarkStart w:id="695" w:name="_Toc151193720"/>
      <w:bookmarkStart w:id="696" w:name="_Toc195842915"/>
      <w:bookmarkStart w:id="697" w:name="_Toc226309794"/>
      <w:bookmarkStart w:id="698" w:name="_Ref467307204"/>
      <w:bookmarkStart w:id="699" w:name="_Toc226965823"/>
      <w:bookmarkStart w:id="700" w:name="_Toc150480788"/>
      <w:bookmarkStart w:id="701" w:name="_Ref467306978"/>
      <w:bookmarkStart w:id="702" w:name="_Toc226337246"/>
      <w:bookmarkStart w:id="703" w:name="_Toc150774650"/>
      <w:bookmarkStart w:id="704" w:name="_Toc164229245"/>
      <w:bookmarkStart w:id="705" w:name="_Toc127151550"/>
      <w:bookmarkStart w:id="706" w:name="_Ref467306377"/>
      <w:bookmarkStart w:id="707" w:name="_Toc164229391"/>
      <w:bookmarkStart w:id="708" w:name="_Ref467307062"/>
      <w:bookmarkStart w:id="709" w:name="_Toc151193864"/>
      <w:bookmarkStart w:id="710" w:name="_Toc305158818"/>
      <w:bookmarkStart w:id="711" w:name="_Toc127151751"/>
      <w:bookmarkStart w:id="712" w:name="_Toc142311052"/>
      <w:bookmarkStart w:id="713" w:name="_Toc149720843"/>
      <w:bookmarkStart w:id="714" w:name="_Toc151190177"/>
      <w:bookmarkStart w:id="715" w:name="_Toc264969240"/>
      <w:bookmarkStart w:id="716" w:name="_Toc164351644"/>
      <w:bookmarkStart w:id="717" w:name="_Toc150774755"/>
      <w:bookmarkStart w:id="718" w:name="_Toc520356175"/>
      <w:bookmarkStart w:id="719" w:name="_Toc127161464"/>
      <w:r>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973E535">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6956AA29">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0061BE8">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29B26C0">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6C4681F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6E6271B">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3"/>
    <w:bookmarkEnd w:id="684"/>
    <w:bookmarkEnd w:id="685"/>
    <w:p w14:paraId="46F19416">
      <w:pPr>
        <w:numPr>
          <w:ilvl w:val="0"/>
          <w:numId w:val="9"/>
        </w:numPr>
        <w:tabs>
          <w:tab w:val="left" w:pos="360"/>
        </w:tabs>
        <w:snapToGrid w:val="0"/>
        <w:spacing w:line="360" w:lineRule="auto"/>
        <w:ind w:left="357" w:hanging="357"/>
        <w:outlineLvl w:val="1"/>
        <w:rPr>
          <w:sz w:val="24"/>
        </w:rPr>
      </w:pPr>
      <w:r>
        <w:rPr>
          <w:sz w:val="24"/>
        </w:rPr>
        <w:t>询问与质疑</w:t>
      </w:r>
    </w:p>
    <w:p w14:paraId="28D9CF41">
      <w:pPr>
        <w:numPr>
          <w:ilvl w:val="1"/>
          <w:numId w:val="9"/>
        </w:numPr>
        <w:tabs>
          <w:tab w:val="left" w:pos="1080"/>
          <w:tab w:val="left" w:pos="2014"/>
        </w:tabs>
        <w:snapToGrid w:val="0"/>
        <w:spacing w:line="360" w:lineRule="auto"/>
        <w:ind w:left="1077" w:hanging="720"/>
        <w:rPr>
          <w:sz w:val="24"/>
        </w:rPr>
      </w:pPr>
      <w:r>
        <w:rPr>
          <w:sz w:val="24"/>
        </w:rPr>
        <w:t>询问</w:t>
      </w:r>
    </w:p>
    <w:p w14:paraId="34F35275">
      <w:pPr>
        <w:numPr>
          <w:ilvl w:val="2"/>
          <w:numId w:val="9"/>
        </w:numPr>
        <w:snapToGrid w:val="0"/>
        <w:spacing w:line="360" w:lineRule="auto"/>
        <w:rPr>
          <w:sz w:val="24"/>
        </w:rPr>
      </w:pPr>
      <w:bookmarkStart w:id="72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0"/>
    </w:p>
    <w:p w14:paraId="7A1CC2CA">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3D319200">
      <w:pPr>
        <w:numPr>
          <w:ilvl w:val="1"/>
          <w:numId w:val="9"/>
        </w:numPr>
        <w:tabs>
          <w:tab w:val="left" w:pos="1080"/>
          <w:tab w:val="left" w:pos="2014"/>
        </w:tabs>
        <w:snapToGrid w:val="0"/>
        <w:spacing w:line="360" w:lineRule="auto"/>
        <w:ind w:left="1077" w:hanging="720"/>
        <w:rPr>
          <w:sz w:val="24"/>
        </w:rPr>
      </w:pPr>
      <w:r>
        <w:rPr>
          <w:sz w:val="24"/>
        </w:rPr>
        <w:t>质疑</w:t>
      </w:r>
    </w:p>
    <w:p w14:paraId="14D591E5">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381E072">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3BD2ED8">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49A14C1">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3DF20BE">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0245E44">
      <w:pPr>
        <w:numPr>
          <w:ilvl w:val="0"/>
          <w:numId w:val="9"/>
        </w:numPr>
        <w:tabs>
          <w:tab w:val="left" w:pos="360"/>
        </w:tabs>
        <w:snapToGrid w:val="0"/>
        <w:spacing w:line="360" w:lineRule="auto"/>
        <w:ind w:left="357" w:hanging="357"/>
        <w:outlineLvl w:val="1"/>
        <w:rPr>
          <w:sz w:val="24"/>
        </w:rPr>
      </w:pPr>
      <w:r>
        <w:rPr>
          <w:sz w:val="24"/>
        </w:rPr>
        <w:t>代理费</w:t>
      </w:r>
    </w:p>
    <w:p w14:paraId="7AFC0F4B">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64A3DF9">
      <w:pPr>
        <w:tabs>
          <w:tab w:val="left" w:pos="360"/>
          <w:tab w:val="left" w:pos="1080"/>
        </w:tabs>
        <w:snapToGrid w:val="0"/>
        <w:spacing w:line="360" w:lineRule="auto"/>
        <w:ind w:left="360"/>
        <w:rPr>
          <w:sz w:val="24"/>
        </w:rPr>
      </w:pPr>
    </w:p>
    <w:p w14:paraId="3EEBB666">
      <w:pPr>
        <w:spacing w:line="360" w:lineRule="auto"/>
        <w:jc w:val="center"/>
        <w:outlineLvl w:val="0"/>
        <w:rPr>
          <w:b/>
          <w:sz w:val="36"/>
          <w:szCs w:val="36"/>
        </w:rPr>
      </w:pPr>
      <w:bookmarkStart w:id="721" w:name="_Toc305158896"/>
      <w:bookmarkStart w:id="722" w:name="_Toc150480792"/>
      <w:bookmarkStart w:id="723" w:name="_Toc353825544"/>
      <w:bookmarkStart w:id="724" w:name="_Toc142311056"/>
      <w:bookmarkStart w:id="725" w:name="_Toc127151554"/>
      <w:bookmarkStart w:id="726" w:name="_Toc226965827"/>
      <w:bookmarkStart w:id="727" w:name="_Toc150774759"/>
      <w:bookmarkStart w:id="728" w:name="_Toc226337250"/>
      <w:bookmarkStart w:id="729" w:name="_Toc353873934"/>
      <w:bookmarkStart w:id="730" w:name="_Toc265228392"/>
      <w:bookmarkStart w:id="731" w:name="_Toc264969244"/>
      <w:bookmarkStart w:id="732" w:name="_Toc305158822"/>
      <w:bookmarkStart w:id="733" w:name="_Toc353873664"/>
      <w:r>
        <w:rPr>
          <w:sz w:val="24"/>
        </w:rPr>
        <w:br w:type="page"/>
      </w:r>
      <w:bookmarkStart w:id="734" w:name="_Toc99301421"/>
      <w:r>
        <w:rPr>
          <w:b/>
          <w:sz w:val="36"/>
          <w:szCs w:val="36"/>
        </w:rPr>
        <w:t xml:space="preserve">第三章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rPr>
        <w:t>资格审查</w:t>
      </w:r>
      <w:bookmarkEnd w:id="734"/>
      <w:bookmarkStart w:id="735" w:name="_Toc487900382"/>
    </w:p>
    <w:p w14:paraId="68D32D14">
      <w:pPr>
        <w:tabs>
          <w:tab w:val="left" w:pos="360"/>
          <w:tab w:val="left" w:pos="900"/>
        </w:tabs>
        <w:snapToGrid w:val="0"/>
        <w:spacing w:line="360" w:lineRule="auto"/>
        <w:jc w:val="center"/>
        <w:outlineLvl w:val="1"/>
        <w:rPr>
          <w:b/>
          <w:sz w:val="24"/>
        </w:rPr>
      </w:pPr>
      <w:bookmarkStart w:id="736" w:name="_Toc99301422"/>
      <w:r>
        <w:rPr>
          <w:b/>
          <w:sz w:val="24"/>
        </w:rPr>
        <w:t>一、资格审查程序</w:t>
      </w:r>
      <w:bookmarkEnd w:id="736"/>
    </w:p>
    <w:p w14:paraId="76DFE5B4">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90CDB28">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49D82498">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7FBD425">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3710A7C">
      <w:pPr>
        <w:widowControl/>
        <w:jc w:val="left"/>
        <w:rPr>
          <w:sz w:val="24"/>
        </w:rPr>
      </w:pPr>
    </w:p>
    <w:p w14:paraId="54382618">
      <w:pPr>
        <w:tabs>
          <w:tab w:val="left" w:pos="360"/>
          <w:tab w:val="left" w:pos="900"/>
        </w:tabs>
        <w:snapToGrid w:val="0"/>
        <w:spacing w:line="360" w:lineRule="auto"/>
        <w:jc w:val="center"/>
        <w:outlineLvl w:val="1"/>
        <w:rPr>
          <w:b/>
          <w:sz w:val="24"/>
        </w:rPr>
      </w:pPr>
      <w:bookmarkStart w:id="737" w:name="_Hlk143693557"/>
      <w:r>
        <w:rPr>
          <w:b/>
          <w:sz w:val="24"/>
        </w:rPr>
        <w:t>二、资格审查要求</w:t>
      </w:r>
      <w:bookmarkEnd w:id="737"/>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73A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CEDF490">
            <w:pPr>
              <w:tabs>
                <w:tab w:val="left" w:pos="1080"/>
              </w:tabs>
              <w:snapToGrid w:val="0"/>
              <w:jc w:val="center"/>
              <w:rPr>
                <w:b/>
                <w:sz w:val="24"/>
              </w:rPr>
            </w:pPr>
            <w:bookmarkStart w:id="738" w:name="_Hlt487972895"/>
            <w:bookmarkEnd w:id="738"/>
            <w:bookmarkStart w:id="739" w:name="_Hlk143693460"/>
            <w:r>
              <w:rPr>
                <w:b/>
                <w:sz w:val="24"/>
              </w:rPr>
              <w:t>序号</w:t>
            </w:r>
          </w:p>
        </w:tc>
        <w:tc>
          <w:tcPr>
            <w:tcW w:w="1067" w:type="pct"/>
            <w:vAlign w:val="center"/>
          </w:tcPr>
          <w:p w14:paraId="5FF18725">
            <w:pPr>
              <w:tabs>
                <w:tab w:val="left" w:pos="1080"/>
              </w:tabs>
              <w:snapToGrid w:val="0"/>
              <w:jc w:val="center"/>
              <w:rPr>
                <w:b/>
                <w:sz w:val="24"/>
              </w:rPr>
            </w:pPr>
            <w:r>
              <w:rPr>
                <w:b/>
                <w:sz w:val="24"/>
              </w:rPr>
              <w:t>审查因素</w:t>
            </w:r>
          </w:p>
        </w:tc>
        <w:tc>
          <w:tcPr>
            <w:tcW w:w="2596" w:type="pct"/>
            <w:vAlign w:val="center"/>
          </w:tcPr>
          <w:p w14:paraId="4A366564">
            <w:pPr>
              <w:tabs>
                <w:tab w:val="left" w:pos="1080"/>
              </w:tabs>
              <w:snapToGrid w:val="0"/>
              <w:jc w:val="center"/>
              <w:rPr>
                <w:b/>
                <w:sz w:val="24"/>
              </w:rPr>
            </w:pPr>
            <w:r>
              <w:rPr>
                <w:b/>
                <w:sz w:val="24"/>
              </w:rPr>
              <w:t>审查内容</w:t>
            </w:r>
          </w:p>
        </w:tc>
        <w:tc>
          <w:tcPr>
            <w:tcW w:w="882" w:type="pct"/>
            <w:vAlign w:val="center"/>
          </w:tcPr>
          <w:p w14:paraId="573249AA">
            <w:pPr>
              <w:tabs>
                <w:tab w:val="left" w:pos="1080"/>
              </w:tabs>
              <w:snapToGrid w:val="0"/>
              <w:jc w:val="center"/>
              <w:rPr>
                <w:b/>
                <w:sz w:val="24"/>
              </w:rPr>
            </w:pPr>
            <w:r>
              <w:rPr>
                <w:b/>
                <w:sz w:val="24"/>
              </w:rPr>
              <w:t>格式要求</w:t>
            </w:r>
          </w:p>
        </w:tc>
      </w:tr>
      <w:tr w14:paraId="1D99D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4B248C">
            <w:pPr>
              <w:tabs>
                <w:tab w:val="left" w:pos="1080"/>
              </w:tabs>
              <w:snapToGrid w:val="0"/>
              <w:jc w:val="center"/>
              <w:rPr>
                <w:sz w:val="24"/>
              </w:rPr>
            </w:pPr>
            <w:r>
              <w:rPr>
                <w:sz w:val="24"/>
              </w:rPr>
              <w:t>1</w:t>
            </w:r>
          </w:p>
        </w:tc>
        <w:tc>
          <w:tcPr>
            <w:tcW w:w="1067" w:type="pct"/>
            <w:vAlign w:val="center"/>
          </w:tcPr>
          <w:p w14:paraId="4B2427C6">
            <w:pPr>
              <w:tabs>
                <w:tab w:val="left" w:pos="1080"/>
              </w:tabs>
              <w:snapToGrid w:val="0"/>
              <w:rPr>
                <w:sz w:val="24"/>
              </w:rPr>
            </w:pPr>
            <w:r>
              <w:rPr>
                <w:sz w:val="24"/>
              </w:rPr>
              <w:t>满足《中华人民共和国政府采购法》第二十二条规定</w:t>
            </w:r>
          </w:p>
        </w:tc>
        <w:tc>
          <w:tcPr>
            <w:tcW w:w="2596" w:type="pct"/>
            <w:vAlign w:val="center"/>
          </w:tcPr>
          <w:p w14:paraId="3E2B6588">
            <w:pPr>
              <w:tabs>
                <w:tab w:val="left" w:pos="1080"/>
              </w:tabs>
              <w:snapToGrid w:val="0"/>
              <w:rPr>
                <w:sz w:val="24"/>
              </w:rPr>
            </w:pPr>
            <w:r>
              <w:rPr>
                <w:sz w:val="24"/>
              </w:rPr>
              <w:t>具体规定见第一章《投标邀请》</w:t>
            </w:r>
          </w:p>
        </w:tc>
        <w:tc>
          <w:tcPr>
            <w:tcW w:w="882" w:type="pct"/>
            <w:vAlign w:val="center"/>
          </w:tcPr>
          <w:p w14:paraId="0EBEF443">
            <w:pPr>
              <w:tabs>
                <w:tab w:val="left" w:pos="1080"/>
              </w:tabs>
              <w:snapToGrid w:val="0"/>
              <w:rPr>
                <w:sz w:val="24"/>
              </w:rPr>
            </w:pPr>
          </w:p>
        </w:tc>
      </w:tr>
      <w:tr w14:paraId="0163A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568CB2">
            <w:pPr>
              <w:tabs>
                <w:tab w:val="left" w:pos="1080"/>
              </w:tabs>
              <w:snapToGrid w:val="0"/>
              <w:jc w:val="center"/>
              <w:rPr>
                <w:sz w:val="24"/>
              </w:rPr>
            </w:pPr>
            <w:r>
              <w:rPr>
                <w:sz w:val="24"/>
              </w:rPr>
              <w:t>1-1</w:t>
            </w:r>
          </w:p>
        </w:tc>
        <w:tc>
          <w:tcPr>
            <w:tcW w:w="1067" w:type="pct"/>
            <w:vAlign w:val="center"/>
          </w:tcPr>
          <w:p w14:paraId="6CC1704B">
            <w:pPr>
              <w:tabs>
                <w:tab w:val="left" w:pos="1080"/>
              </w:tabs>
              <w:snapToGrid w:val="0"/>
              <w:rPr>
                <w:sz w:val="24"/>
              </w:rPr>
            </w:pPr>
            <w:r>
              <w:rPr>
                <w:sz w:val="24"/>
              </w:rPr>
              <w:t>营业执照等证明文件</w:t>
            </w:r>
          </w:p>
        </w:tc>
        <w:tc>
          <w:tcPr>
            <w:tcW w:w="2596" w:type="pct"/>
            <w:vAlign w:val="center"/>
          </w:tcPr>
          <w:p w14:paraId="29654123">
            <w:pPr>
              <w:tabs>
                <w:tab w:val="left" w:pos="1080"/>
              </w:tabs>
              <w:snapToGrid w:val="0"/>
              <w:rPr>
                <w:sz w:val="24"/>
              </w:rPr>
            </w:pPr>
            <w:r>
              <w:rPr>
                <w:sz w:val="24"/>
              </w:rPr>
              <w:t>投标人为企业（包括合伙企业）的，应提供有效的“营业执照”；</w:t>
            </w:r>
          </w:p>
          <w:p w14:paraId="55BC6B0C">
            <w:pPr>
              <w:tabs>
                <w:tab w:val="left" w:pos="1080"/>
              </w:tabs>
              <w:snapToGrid w:val="0"/>
              <w:rPr>
                <w:sz w:val="24"/>
              </w:rPr>
            </w:pPr>
            <w:r>
              <w:rPr>
                <w:sz w:val="24"/>
              </w:rPr>
              <w:t>投标人为事业单位的，应提供有效的“事业单位法人证书”；</w:t>
            </w:r>
          </w:p>
          <w:p w14:paraId="55A00BA7">
            <w:pPr>
              <w:tabs>
                <w:tab w:val="left" w:pos="1080"/>
              </w:tabs>
              <w:snapToGrid w:val="0"/>
              <w:rPr>
                <w:sz w:val="24"/>
              </w:rPr>
            </w:pPr>
            <w:r>
              <w:rPr>
                <w:sz w:val="24"/>
              </w:rPr>
              <w:t>投标人是非企业机构的，应提供有效的“执业许可证”、“登记证书”等证明文件；</w:t>
            </w:r>
          </w:p>
          <w:p w14:paraId="1E2EA1C2">
            <w:pPr>
              <w:tabs>
                <w:tab w:val="left" w:pos="1080"/>
              </w:tabs>
              <w:snapToGrid w:val="0"/>
              <w:rPr>
                <w:sz w:val="24"/>
              </w:rPr>
            </w:pPr>
            <w:r>
              <w:rPr>
                <w:sz w:val="24"/>
              </w:rPr>
              <w:t>投标人是个体工商户的，应提供有效的“个体工商户营业执照”；</w:t>
            </w:r>
          </w:p>
          <w:p w14:paraId="3A8F6FC1">
            <w:pPr>
              <w:tabs>
                <w:tab w:val="left" w:pos="1080"/>
              </w:tabs>
              <w:snapToGrid w:val="0"/>
              <w:rPr>
                <w:color w:val="000000"/>
                <w:sz w:val="24"/>
              </w:rPr>
            </w:pPr>
            <w:r>
              <w:rPr>
                <w:sz w:val="24"/>
              </w:rPr>
              <w:t>投标人是自然人的，应提供有效的自然人身份证明。</w:t>
            </w:r>
          </w:p>
        </w:tc>
        <w:tc>
          <w:tcPr>
            <w:tcW w:w="882" w:type="pct"/>
            <w:vAlign w:val="center"/>
          </w:tcPr>
          <w:p w14:paraId="18BC2AEA">
            <w:pPr>
              <w:tabs>
                <w:tab w:val="left" w:pos="1080"/>
              </w:tabs>
              <w:snapToGrid w:val="0"/>
              <w:rPr>
                <w:sz w:val="24"/>
              </w:rPr>
            </w:pPr>
            <w:r>
              <w:rPr>
                <w:sz w:val="24"/>
              </w:rPr>
              <w:t>提供证明文件的电子件或电子证照</w:t>
            </w:r>
          </w:p>
        </w:tc>
      </w:tr>
      <w:tr w14:paraId="638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D00A4D">
            <w:pPr>
              <w:tabs>
                <w:tab w:val="left" w:pos="1080"/>
              </w:tabs>
              <w:snapToGrid w:val="0"/>
              <w:jc w:val="center"/>
              <w:rPr>
                <w:sz w:val="24"/>
              </w:rPr>
            </w:pPr>
            <w:r>
              <w:rPr>
                <w:sz w:val="24"/>
              </w:rPr>
              <w:t>1-2</w:t>
            </w:r>
          </w:p>
        </w:tc>
        <w:tc>
          <w:tcPr>
            <w:tcW w:w="1067" w:type="pct"/>
            <w:vAlign w:val="center"/>
          </w:tcPr>
          <w:p w14:paraId="4E3A8634">
            <w:pPr>
              <w:tabs>
                <w:tab w:val="left" w:pos="1080"/>
              </w:tabs>
              <w:snapToGrid w:val="0"/>
              <w:rPr>
                <w:sz w:val="24"/>
              </w:rPr>
            </w:pPr>
            <w:r>
              <w:rPr>
                <w:sz w:val="24"/>
              </w:rPr>
              <w:t>投标人资格声明书</w:t>
            </w:r>
          </w:p>
        </w:tc>
        <w:tc>
          <w:tcPr>
            <w:tcW w:w="2596" w:type="pct"/>
            <w:vAlign w:val="center"/>
          </w:tcPr>
          <w:p w14:paraId="2BEA5EE7">
            <w:pPr>
              <w:tabs>
                <w:tab w:val="left" w:pos="1080"/>
              </w:tabs>
              <w:snapToGrid w:val="0"/>
              <w:rPr>
                <w:sz w:val="24"/>
              </w:rPr>
            </w:pPr>
            <w:r>
              <w:rPr>
                <w:sz w:val="24"/>
              </w:rPr>
              <w:t>提供了符合招标文件要求的《投标人资格声明书》。</w:t>
            </w:r>
          </w:p>
        </w:tc>
        <w:tc>
          <w:tcPr>
            <w:tcW w:w="882" w:type="pct"/>
            <w:vAlign w:val="center"/>
          </w:tcPr>
          <w:p w14:paraId="495EEF61">
            <w:pPr>
              <w:tabs>
                <w:tab w:val="left" w:pos="1080"/>
              </w:tabs>
              <w:snapToGrid w:val="0"/>
              <w:rPr>
                <w:sz w:val="24"/>
              </w:rPr>
            </w:pPr>
            <w:r>
              <w:rPr>
                <w:sz w:val="24"/>
              </w:rPr>
              <w:t>格式见《投标文件格式》</w:t>
            </w:r>
          </w:p>
        </w:tc>
      </w:tr>
      <w:tr w14:paraId="380D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0A5903">
            <w:pPr>
              <w:tabs>
                <w:tab w:val="left" w:pos="1080"/>
              </w:tabs>
              <w:snapToGrid w:val="0"/>
              <w:jc w:val="center"/>
              <w:rPr>
                <w:sz w:val="24"/>
              </w:rPr>
            </w:pPr>
            <w:r>
              <w:rPr>
                <w:sz w:val="24"/>
              </w:rPr>
              <w:t>1-3</w:t>
            </w:r>
          </w:p>
        </w:tc>
        <w:tc>
          <w:tcPr>
            <w:tcW w:w="1067" w:type="pct"/>
            <w:vAlign w:val="center"/>
          </w:tcPr>
          <w:p w14:paraId="06279B14">
            <w:pPr>
              <w:tabs>
                <w:tab w:val="left" w:pos="1080"/>
              </w:tabs>
              <w:snapToGrid w:val="0"/>
              <w:rPr>
                <w:sz w:val="24"/>
              </w:rPr>
            </w:pPr>
            <w:r>
              <w:rPr>
                <w:sz w:val="24"/>
              </w:rPr>
              <w:t>投标人信用记录</w:t>
            </w:r>
          </w:p>
        </w:tc>
        <w:tc>
          <w:tcPr>
            <w:tcW w:w="2596" w:type="pct"/>
            <w:vAlign w:val="center"/>
          </w:tcPr>
          <w:p w14:paraId="170B281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8D44F48">
            <w:pPr>
              <w:tabs>
                <w:tab w:val="left" w:pos="900"/>
                <w:tab w:val="left" w:pos="1980"/>
              </w:tabs>
              <w:snapToGrid w:val="0"/>
              <w:rPr>
                <w:sz w:val="24"/>
              </w:rPr>
            </w:pPr>
            <w:r>
              <w:rPr>
                <w:sz w:val="24"/>
              </w:rPr>
              <w:t>截止时点：投标截止时间以后、资格审查阶段采购人或采购代理机构的实际查询时间；</w:t>
            </w:r>
          </w:p>
          <w:p w14:paraId="48C8C0C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316E85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0B0C167">
            <w:pPr>
              <w:tabs>
                <w:tab w:val="left" w:pos="1080"/>
              </w:tabs>
              <w:snapToGrid w:val="0"/>
              <w:rPr>
                <w:sz w:val="24"/>
              </w:rPr>
            </w:pPr>
            <w:r>
              <w:rPr>
                <w:sz w:val="24"/>
              </w:rPr>
              <w:t>无须投标人提供，由采购人或采购代理机构查询。</w:t>
            </w:r>
          </w:p>
        </w:tc>
      </w:tr>
      <w:tr w14:paraId="35C87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767CE6">
            <w:pPr>
              <w:tabs>
                <w:tab w:val="left" w:pos="1080"/>
              </w:tabs>
              <w:snapToGrid w:val="0"/>
              <w:jc w:val="center"/>
              <w:rPr>
                <w:sz w:val="24"/>
              </w:rPr>
            </w:pPr>
            <w:r>
              <w:rPr>
                <w:sz w:val="24"/>
              </w:rPr>
              <w:t>1-4</w:t>
            </w:r>
          </w:p>
        </w:tc>
        <w:tc>
          <w:tcPr>
            <w:tcW w:w="1067" w:type="pct"/>
            <w:vAlign w:val="center"/>
          </w:tcPr>
          <w:p w14:paraId="7AF40244">
            <w:pPr>
              <w:tabs>
                <w:tab w:val="left" w:pos="1080"/>
              </w:tabs>
              <w:snapToGrid w:val="0"/>
              <w:rPr>
                <w:sz w:val="24"/>
              </w:rPr>
            </w:pPr>
            <w:r>
              <w:rPr>
                <w:sz w:val="24"/>
              </w:rPr>
              <w:t>法律、行政法规规定的其他条件</w:t>
            </w:r>
          </w:p>
        </w:tc>
        <w:tc>
          <w:tcPr>
            <w:tcW w:w="2596" w:type="pct"/>
            <w:vAlign w:val="center"/>
          </w:tcPr>
          <w:p w14:paraId="0F7D584C">
            <w:pPr>
              <w:tabs>
                <w:tab w:val="left" w:pos="1080"/>
              </w:tabs>
              <w:snapToGrid w:val="0"/>
              <w:rPr>
                <w:sz w:val="24"/>
              </w:rPr>
            </w:pPr>
            <w:r>
              <w:rPr>
                <w:sz w:val="24"/>
              </w:rPr>
              <w:t>法律、行政法规规定的其他条件</w:t>
            </w:r>
          </w:p>
        </w:tc>
        <w:tc>
          <w:tcPr>
            <w:tcW w:w="882" w:type="pct"/>
            <w:vAlign w:val="center"/>
          </w:tcPr>
          <w:p w14:paraId="518406C5">
            <w:pPr>
              <w:tabs>
                <w:tab w:val="left" w:pos="1080"/>
              </w:tabs>
              <w:snapToGrid w:val="0"/>
              <w:jc w:val="center"/>
              <w:rPr>
                <w:sz w:val="24"/>
              </w:rPr>
            </w:pPr>
            <w:r>
              <w:rPr>
                <w:sz w:val="24"/>
              </w:rPr>
              <w:t>/</w:t>
            </w:r>
          </w:p>
        </w:tc>
      </w:tr>
      <w:tr w14:paraId="64F3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FC440E">
            <w:pPr>
              <w:tabs>
                <w:tab w:val="left" w:pos="1080"/>
              </w:tabs>
              <w:snapToGrid w:val="0"/>
              <w:jc w:val="center"/>
              <w:rPr>
                <w:sz w:val="24"/>
              </w:rPr>
            </w:pPr>
            <w:r>
              <w:rPr>
                <w:sz w:val="24"/>
              </w:rPr>
              <w:t>2</w:t>
            </w:r>
          </w:p>
        </w:tc>
        <w:tc>
          <w:tcPr>
            <w:tcW w:w="1067" w:type="pct"/>
            <w:vAlign w:val="center"/>
          </w:tcPr>
          <w:p w14:paraId="6AC6E5FB">
            <w:pPr>
              <w:tabs>
                <w:tab w:val="left" w:pos="1080"/>
              </w:tabs>
              <w:snapToGrid w:val="0"/>
              <w:rPr>
                <w:sz w:val="24"/>
              </w:rPr>
            </w:pPr>
            <w:r>
              <w:rPr>
                <w:sz w:val="24"/>
              </w:rPr>
              <w:t>落实政府采购政策需满足的资格要求</w:t>
            </w:r>
          </w:p>
        </w:tc>
        <w:tc>
          <w:tcPr>
            <w:tcW w:w="2596" w:type="pct"/>
            <w:vAlign w:val="center"/>
          </w:tcPr>
          <w:p w14:paraId="7C20E090">
            <w:pPr>
              <w:tabs>
                <w:tab w:val="left" w:pos="1080"/>
              </w:tabs>
              <w:snapToGrid w:val="0"/>
              <w:rPr>
                <w:sz w:val="24"/>
              </w:rPr>
            </w:pPr>
            <w:r>
              <w:rPr>
                <w:sz w:val="24"/>
              </w:rPr>
              <w:t>具体要求见第一章《投标邀请》</w:t>
            </w:r>
          </w:p>
        </w:tc>
        <w:tc>
          <w:tcPr>
            <w:tcW w:w="882" w:type="pct"/>
            <w:vAlign w:val="center"/>
          </w:tcPr>
          <w:p w14:paraId="7CDB619E">
            <w:pPr>
              <w:tabs>
                <w:tab w:val="left" w:pos="1080"/>
              </w:tabs>
              <w:snapToGrid w:val="0"/>
              <w:rPr>
                <w:sz w:val="24"/>
              </w:rPr>
            </w:pPr>
          </w:p>
        </w:tc>
      </w:tr>
      <w:tr w14:paraId="6676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A1F7E8">
            <w:pPr>
              <w:tabs>
                <w:tab w:val="left" w:pos="1080"/>
              </w:tabs>
              <w:snapToGrid w:val="0"/>
              <w:jc w:val="center"/>
              <w:rPr>
                <w:sz w:val="24"/>
              </w:rPr>
            </w:pPr>
            <w:r>
              <w:rPr>
                <w:sz w:val="24"/>
              </w:rPr>
              <w:t>2-1</w:t>
            </w:r>
          </w:p>
        </w:tc>
        <w:tc>
          <w:tcPr>
            <w:tcW w:w="1067" w:type="pct"/>
            <w:vAlign w:val="center"/>
          </w:tcPr>
          <w:p w14:paraId="32E23717">
            <w:pPr>
              <w:tabs>
                <w:tab w:val="left" w:pos="1080"/>
              </w:tabs>
              <w:snapToGrid w:val="0"/>
              <w:rPr>
                <w:sz w:val="24"/>
              </w:rPr>
            </w:pPr>
            <w:r>
              <w:rPr>
                <w:sz w:val="24"/>
              </w:rPr>
              <w:t>中小企业政策证明文件</w:t>
            </w:r>
          </w:p>
        </w:tc>
        <w:tc>
          <w:tcPr>
            <w:tcW w:w="2596" w:type="pct"/>
            <w:vAlign w:val="center"/>
          </w:tcPr>
          <w:p w14:paraId="404051A2">
            <w:pPr>
              <w:tabs>
                <w:tab w:val="left" w:pos="1080"/>
              </w:tabs>
              <w:snapToGrid w:val="0"/>
              <w:rPr>
                <w:sz w:val="24"/>
              </w:rPr>
            </w:pPr>
            <w:r>
              <w:rPr>
                <w:sz w:val="24"/>
              </w:rPr>
              <w:t>具体要求见第一章《投标邀请》</w:t>
            </w:r>
          </w:p>
        </w:tc>
        <w:tc>
          <w:tcPr>
            <w:tcW w:w="882" w:type="pct"/>
            <w:vAlign w:val="center"/>
          </w:tcPr>
          <w:p w14:paraId="30308E57">
            <w:pPr>
              <w:tabs>
                <w:tab w:val="left" w:pos="1080"/>
              </w:tabs>
              <w:snapToGrid w:val="0"/>
              <w:rPr>
                <w:sz w:val="24"/>
              </w:rPr>
            </w:pPr>
          </w:p>
        </w:tc>
      </w:tr>
      <w:tr w14:paraId="7E4B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69B6CF">
            <w:pPr>
              <w:tabs>
                <w:tab w:val="left" w:pos="1080"/>
              </w:tabs>
              <w:snapToGrid w:val="0"/>
              <w:jc w:val="center"/>
              <w:rPr>
                <w:sz w:val="24"/>
              </w:rPr>
            </w:pPr>
            <w:r>
              <w:rPr>
                <w:sz w:val="24"/>
              </w:rPr>
              <w:t>2-1-1</w:t>
            </w:r>
          </w:p>
        </w:tc>
        <w:tc>
          <w:tcPr>
            <w:tcW w:w="1067" w:type="pct"/>
            <w:vAlign w:val="center"/>
          </w:tcPr>
          <w:p w14:paraId="6B57AB5C">
            <w:pPr>
              <w:tabs>
                <w:tab w:val="left" w:pos="1080"/>
              </w:tabs>
              <w:snapToGrid w:val="0"/>
              <w:rPr>
                <w:sz w:val="24"/>
              </w:rPr>
            </w:pPr>
            <w:r>
              <w:rPr>
                <w:sz w:val="24"/>
              </w:rPr>
              <w:t>中小企业证明文件</w:t>
            </w:r>
          </w:p>
        </w:tc>
        <w:tc>
          <w:tcPr>
            <w:tcW w:w="2596" w:type="pct"/>
            <w:vAlign w:val="center"/>
          </w:tcPr>
          <w:p w14:paraId="345A641C">
            <w:pPr>
              <w:tabs>
                <w:tab w:val="left" w:pos="1080"/>
              </w:tabs>
              <w:snapToGrid w:val="0"/>
              <w:rPr>
                <w:sz w:val="24"/>
              </w:rPr>
            </w:pPr>
            <w:r>
              <w:rPr>
                <w:sz w:val="24"/>
              </w:rPr>
              <w:t>当本项目（包）涉及预留份额专门面向中小企业采购，此时建议在《资格证明文件》中提供。</w:t>
            </w:r>
          </w:p>
          <w:p w14:paraId="73F932D5">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478D0059">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2307EC8">
            <w:pPr>
              <w:tabs>
                <w:tab w:val="left" w:pos="1080"/>
              </w:tabs>
              <w:snapToGrid w:val="0"/>
              <w:rPr>
                <w:sz w:val="24"/>
              </w:rPr>
            </w:pPr>
            <w:r>
              <w:rPr>
                <w:sz w:val="24"/>
              </w:rPr>
              <w:t>格式见《投标文件格式》</w:t>
            </w:r>
          </w:p>
        </w:tc>
      </w:tr>
      <w:tr w14:paraId="29C5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3C21F1">
            <w:pPr>
              <w:tabs>
                <w:tab w:val="left" w:pos="1080"/>
              </w:tabs>
              <w:snapToGrid w:val="0"/>
              <w:jc w:val="center"/>
              <w:rPr>
                <w:sz w:val="24"/>
              </w:rPr>
            </w:pPr>
            <w:r>
              <w:rPr>
                <w:sz w:val="24"/>
              </w:rPr>
              <w:t>2-1-2</w:t>
            </w:r>
          </w:p>
        </w:tc>
        <w:tc>
          <w:tcPr>
            <w:tcW w:w="1067" w:type="pct"/>
            <w:vAlign w:val="center"/>
          </w:tcPr>
          <w:p w14:paraId="6C0073A3">
            <w:pPr>
              <w:tabs>
                <w:tab w:val="left" w:pos="1080"/>
              </w:tabs>
              <w:snapToGrid w:val="0"/>
              <w:rPr>
                <w:sz w:val="24"/>
              </w:rPr>
            </w:pPr>
            <w:r>
              <w:rPr>
                <w:sz w:val="24"/>
              </w:rPr>
              <w:t>拟分包情况说明及分包意向协议</w:t>
            </w:r>
          </w:p>
        </w:tc>
        <w:tc>
          <w:tcPr>
            <w:tcW w:w="2596" w:type="pct"/>
            <w:vAlign w:val="center"/>
          </w:tcPr>
          <w:p w14:paraId="017A357A">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F1D8ED3">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F906C29">
            <w:pPr>
              <w:tabs>
                <w:tab w:val="left" w:pos="1080"/>
              </w:tabs>
              <w:snapToGrid w:val="0"/>
              <w:rPr>
                <w:sz w:val="24"/>
              </w:rPr>
            </w:pPr>
            <w:r>
              <w:rPr>
                <w:sz w:val="24"/>
              </w:rPr>
              <w:t>格式见《投标文件格式》</w:t>
            </w:r>
          </w:p>
        </w:tc>
      </w:tr>
      <w:tr w14:paraId="1A630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1298C2">
            <w:pPr>
              <w:tabs>
                <w:tab w:val="left" w:pos="1080"/>
              </w:tabs>
              <w:snapToGrid w:val="0"/>
              <w:jc w:val="center"/>
              <w:rPr>
                <w:sz w:val="24"/>
              </w:rPr>
            </w:pPr>
            <w:r>
              <w:rPr>
                <w:sz w:val="24"/>
              </w:rPr>
              <w:t>2-2</w:t>
            </w:r>
          </w:p>
        </w:tc>
        <w:tc>
          <w:tcPr>
            <w:tcW w:w="1067" w:type="pct"/>
            <w:vAlign w:val="center"/>
          </w:tcPr>
          <w:p w14:paraId="3C895E7F">
            <w:pPr>
              <w:tabs>
                <w:tab w:val="left" w:pos="1080"/>
              </w:tabs>
              <w:snapToGrid w:val="0"/>
              <w:rPr>
                <w:sz w:val="24"/>
              </w:rPr>
            </w:pPr>
            <w:r>
              <w:rPr>
                <w:sz w:val="24"/>
              </w:rPr>
              <w:t>其它落实政府采购政策的资格要求</w:t>
            </w:r>
          </w:p>
        </w:tc>
        <w:tc>
          <w:tcPr>
            <w:tcW w:w="2596" w:type="pct"/>
            <w:vAlign w:val="center"/>
          </w:tcPr>
          <w:p w14:paraId="6DE38493">
            <w:pPr>
              <w:tabs>
                <w:tab w:val="left" w:pos="1080"/>
              </w:tabs>
              <w:snapToGrid w:val="0"/>
              <w:rPr>
                <w:sz w:val="24"/>
              </w:rPr>
            </w:pPr>
            <w:r>
              <w:rPr>
                <w:sz w:val="24"/>
              </w:rPr>
              <w:t>如有，见第一章《投标邀请》</w:t>
            </w:r>
          </w:p>
        </w:tc>
        <w:tc>
          <w:tcPr>
            <w:tcW w:w="882" w:type="pct"/>
            <w:vAlign w:val="center"/>
          </w:tcPr>
          <w:p w14:paraId="44A25122">
            <w:pPr>
              <w:tabs>
                <w:tab w:val="left" w:pos="1080"/>
              </w:tabs>
              <w:snapToGrid w:val="0"/>
              <w:rPr>
                <w:sz w:val="24"/>
              </w:rPr>
            </w:pPr>
            <w:r>
              <w:rPr>
                <w:sz w:val="24"/>
              </w:rPr>
              <w:t>提供证明文件的电子件或电子证照</w:t>
            </w:r>
          </w:p>
        </w:tc>
      </w:tr>
      <w:tr w14:paraId="52CE4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4B4D05">
            <w:pPr>
              <w:tabs>
                <w:tab w:val="left" w:pos="1080"/>
              </w:tabs>
              <w:snapToGrid w:val="0"/>
              <w:jc w:val="center"/>
              <w:rPr>
                <w:sz w:val="24"/>
              </w:rPr>
            </w:pPr>
            <w:r>
              <w:rPr>
                <w:sz w:val="24"/>
              </w:rPr>
              <w:t>3</w:t>
            </w:r>
          </w:p>
        </w:tc>
        <w:tc>
          <w:tcPr>
            <w:tcW w:w="1067" w:type="pct"/>
            <w:vAlign w:val="center"/>
          </w:tcPr>
          <w:p w14:paraId="63991853">
            <w:pPr>
              <w:tabs>
                <w:tab w:val="left" w:pos="1080"/>
              </w:tabs>
              <w:snapToGrid w:val="0"/>
              <w:rPr>
                <w:sz w:val="24"/>
              </w:rPr>
            </w:pPr>
            <w:r>
              <w:rPr>
                <w:sz w:val="24"/>
              </w:rPr>
              <w:t>本项目的特定资格要求</w:t>
            </w:r>
          </w:p>
        </w:tc>
        <w:tc>
          <w:tcPr>
            <w:tcW w:w="2596" w:type="pct"/>
            <w:vAlign w:val="center"/>
          </w:tcPr>
          <w:p w14:paraId="7EC2CE67">
            <w:pPr>
              <w:tabs>
                <w:tab w:val="left" w:pos="1080"/>
              </w:tabs>
              <w:snapToGrid w:val="0"/>
              <w:rPr>
                <w:sz w:val="24"/>
              </w:rPr>
            </w:pPr>
            <w:r>
              <w:rPr>
                <w:sz w:val="24"/>
              </w:rPr>
              <w:t>如有，见第一章《投标邀请》</w:t>
            </w:r>
          </w:p>
        </w:tc>
        <w:tc>
          <w:tcPr>
            <w:tcW w:w="882" w:type="pct"/>
            <w:vAlign w:val="center"/>
          </w:tcPr>
          <w:p w14:paraId="293B0BE4">
            <w:pPr>
              <w:tabs>
                <w:tab w:val="left" w:pos="1080"/>
              </w:tabs>
              <w:snapToGrid w:val="0"/>
              <w:rPr>
                <w:sz w:val="24"/>
              </w:rPr>
            </w:pPr>
          </w:p>
        </w:tc>
      </w:tr>
      <w:tr w14:paraId="6F55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699F1">
            <w:pPr>
              <w:tabs>
                <w:tab w:val="left" w:pos="1080"/>
              </w:tabs>
              <w:snapToGrid w:val="0"/>
              <w:jc w:val="center"/>
              <w:rPr>
                <w:sz w:val="24"/>
              </w:rPr>
            </w:pPr>
            <w:r>
              <w:rPr>
                <w:sz w:val="24"/>
              </w:rPr>
              <w:t>3-1</w:t>
            </w:r>
          </w:p>
        </w:tc>
        <w:tc>
          <w:tcPr>
            <w:tcW w:w="1067" w:type="pct"/>
            <w:vAlign w:val="center"/>
          </w:tcPr>
          <w:p w14:paraId="53FEF94C">
            <w:pPr>
              <w:tabs>
                <w:tab w:val="left" w:pos="1080"/>
              </w:tabs>
              <w:snapToGrid w:val="0"/>
              <w:rPr>
                <w:sz w:val="24"/>
              </w:rPr>
            </w:pPr>
            <w:r>
              <w:rPr>
                <w:sz w:val="24"/>
              </w:rPr>
              <w:t>本项目对于联合体的要求</w:t>
            </w:r>
          </w:p>
        </w:tc>
        <w:tc>
          <w:tcPr>
            <w:tcW w:w="2596" w:type="pct"/>
            <w:vAlign w:val="center"/>
          </w:tcPr>
          <w:p w14:paraId="21592A06">
            <w:pPr>
              <w:tabs>
                <w:tab w:val="left" w:pos="1080"/>
              </w:tabs>
              <w:snapToGrid w:val="0"/>
              <w:rPr>
                <w:sz w:val="24"/>
              </w:rPr>
            </w:pPr>
            <w:r>
              <w:rPr>
                <w:sz w:val="24"/>
              </w:rPr>
              <w:t>本项目不接受联合体投标时，投标人不得为联合体。</w:t>
            </w:r>
          </w:p>
        </w:tc>
        <w:tc>
          <w:tcPr>
            <w:tcW w:w="882" w:type="pct"/>
            <w:vAlign w:val="center"/>
          </w:tcPr>
          <w:p w14:paraId="147C5C78">
            <w:pPr>
              <w:tabs>
                <w:tab w:val="left" w:pos="1080"/>
              </w:tabs>
              <w:snapToGrid w:val="0"/>
              <w:rPr>
                <w:sz w:val="24"/>
              </w:rPr>
            </w:pPr>
            <w:r>
              <w:rPr>
                <w:sz w:val="24"/>
              </w:rPr>
              <w:t>提供《联合协议》原件的电子件</w:t>
            </w:r>
          </w:p>
          <w:p w14:paraId="481A021B">
            <w:pPr>
              <w:tabs>
                <w:tab w:val="left" w:pos="1080"/>
              </w:tabs>
              <w:snapToGrid w:val="0"/>
              <w:rPr>
                <w:sz w:val="24"/>
              </w:rPr>
            </w:pPr>
            <w:r>
              <w:rPr>
                <w:sz w:val="24"/>
              </w:rPr>
              <w:t>格式见《投标文件格式》</w:t>
            </w:r>
          </w:p>
        </w:tc>
      </w:tr>
      <w:tr w14:paraId="5638C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FE09AE">
            <w:pPr>
              <w:tabs>
                <w:tab w:val="left" w:pos="1080"/>
              </w:tabs>
              <w:snapToGrid w:val="0"/>
              <w:jc w:val="center"/>
              <w:rPr>
                <w:sz w:val="24"/>
              </w:rPr>
            </w:pPr>
            <w:r>
              <w:rPr>
                <w:sz w:val="24"/>
              </w:rPr>
              <w:t>3-2</w:t>
            </w:r>
          </w:p>
        </w:tc>
        <w:tc>
          <w:tcPr>
            <w:tcW w:w="1067" w:type="pct"/>
            <w:vAlign w:val="center"/>
          </w:tcPr>
          <w:p w14:paraId="3A69D71E">
            <w:pPr>
              <w:tabs>
                <w:tab w:val="left" w:pos="1080"/>
              </w:tabs>
              <w:snapToGrid w:val="0"/>
              <w:rPr>
                <w:sz w:val="24"/>
              </w:rPr>
            </w:pPr>
            <w:r>
              <w:rPr>
                <w:sz w:val="24"/>
              </w:rPr>
              <w:t>政府购买服务承接主体的要求</w:t>
            </w:r>
          </w:p>
        </w:tc>
        <w:tc>
          <w:tcPr>
            <w:tcW w:w="2596" w:type="pct"/>
            <w:vAlign w:val="center"/>
          </w:tcPr>
          <w:p w14:paraId="3F49BA4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2EB0357">
            <w:pPr>
              <w:tabs>
                <w:tab w:val="left" w:pos="1080"/>
              </w:tabs>
              <w:snapToGrid w:val="0"/>
              <w:jc w:val="center"/>
              <w:rPr>
                <w:sz w:val="24"/>
              </w:rPr>
            </w:pPr>
            <w:r>
              <w:rPr>
                <w:sz w:val="24"/>
              </w:rPr>
              <w:t>格式见《投标文件格式》</w:t>
            </w:r>
            <w:r>
              <w:rPr>
                <w:rFonts w:hint="eastAsia"/>
                <w:sz w:val="24"/>
              </w:rPr>
              <w:t>“1-2 投标人资格声明书”</w:t>
            </w:r>
          </w:p>
        </w:tc>
      </w:tr>
      <w:tr w14:paraId="3C632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10119F8B">
            <w:pPr>
              <w:tabs>
                <w:tab w:val="left" w:pos="1080"/>
              </w:tabs>
              <w:snapToGrid w:val="0"/>
              <w:jc w:val="center"/>
              <w:rPr>
                <w:sz w:val="24"/>
              </w:rPr>
            </w:pPr>
            <w:r>
              <w:rPr>
                <w:sz w:val="24"/>
              </w:rPr>
              <w:t>3-3</w:t>
            </w:r>
          </w:p>
        </w:tc>
        <w:tc>
          <w:tcPr>
            <w:tcW w:w="1067" w:type="pct"/>
            <w:vAlign w:val="center"/>
          </w:tcPr>
          <w:p w14:paraId="72193BA8">
            <w:pPr>
              <w:tabs>
                <w:tab w:val="left" w:pos="1080"/>
              </w:tabs>
              <w:snapToGrid w:val="0"/>
              <w:rPr>
                <w:sz w:val="24"/>
              </w:rPr>
            </w:pPr>
            <w:r>
              <w:rPr>
                <w:sz w:val="24"/>
              </w:rPr>
              <w:t>其他特定资格要求</w:t>
            </w:r>
          </w:p>
        </w:tc>
        <w:tc>
          <w:tcPr>
            <w:tcW w:w="2596" w:type="pct"/>
            <w:vAlign w:val="center"/>
          </w:tcPr>
          <w:p w14:paraId="5FCBCA4A">
            <w:pPr>
              <w:tabs>
                <w:tab w:val="left" w:pos="1080"/>
              </w:tabs>
              <w:snapToGrid w:val="0"/>
              <w:rPr>
                <w:sz w:val="24"/>
              </w:rPr>
            </w:pPr>
            <w:r>
              <w:rPr>
                <w:color w:val="000000"/>
                <w:sz w:val="24"/>
              </w:rPr>
              <w:t>如有，见</w:t>
            </w:r>
            <w:r>
              <w:rPr>
                <w:sz w:val="24"/>
              </w:rPr>
              <w:t>第一章《投标邀请》</w:t>
            </w:r>
          </w:p>
          <w:p w14:paraId="65E626A1">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30CA9627">
            <w:pPr>
              <w:tabs>
                <w:tab w:val="left" w:pos="1080"/>
              </w:tabs>
              <w:snapToGrid w:val="0"/>
              <w:rPr>
                <w:sz w:val="24"/>
              </w:rPr>
            </w:pPr>
            <w:r>
              <w:rPr>
                <w:sz w:val="24"/>
              </w:rPr>
              <w:t>提供证明文件的电子件或电子证照</w:t>
            </w:r>
          </w:p>
        </w:tc>
      </w:tr>
      <w:tr w14:paraId="1252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B1AF51">
            <w:pPr>
              <w:tabs>
                <w:tab w:val="left" w:pos="1080"/>
              </w:tabs>
              <w:snapToGrid w:val="0"/>
              <w:jc w:val="center"/>
              <w:rPr>
                <w:sz w:val="24"/>
              </w:rPr>
            </w:pPr>
            <w:r>
              <w:rPr>
                <w:sz w:val="24"/>
              </w:rPr>
              <w:t>4</w:t>
            </w:r>
          </w:p>
        </w:tc>
        <w:tc>
          <w:tcPr>
            <w:tcW w:w="1067" w:type="pct"/>
            <w:vAlign w:val="center"/>
          </w:tcPr>
          <w:p w14:paraId="4DA0F944">
            <w:pPr>
              <w:tabs>
                <w:tab w:val="left" w:pos="1080"/>
              </w:tabs>
              <w:snapToGrid w:val="0"/>
              <w:rPr>
                <w:sz w:val="24"/>
              </w:rPr>
            </w:pPr>
            <w:r>
              <w:rPr>
                <w:sz w:val="24"/>
              </w:rPr>
              <w:t>投标保证金</w:t>
            </w:r>
          </w:p>
        </w:tc>
        <w:tc>
          <w:tcPr>
            <w:tcW w:w="2596" w:type="pct"/>
            <w:vAlign w:val="center"/>
          </w:tcPr>
          <w:p w14:paraId="2D30C49C">
            <w:pPr>
              <w:tabs>
                <w:tab w:val="left" w:pos="1080"/>
              </w:tabs>
              <w:snapToGrid w:val="0"/>
              <w:rPr>
                <w:sz w:val="24"/>
              </w:rPr>
            </w:pPr>
            <w:r>
              <w:rPr>
                <w:color w:val="000000"/>
                <w:kern w:val="0"/>
                <w:sz w:val="24"/>
              </w:rPr>
              <w:t>按照招标文件的规定提交投标保证金。</w:t>
            </w:r>
          </w:p>
        </w:tc>
        <w:tc>
          <w:tcPr>
            <w:tcW w:w="882" w:type="pct"/>
            <w:vAlign w:val="center"/>
          </w:tcPr>
          <w:p w14:paraId="0973364C">
            <w:pPr>
              <w:tabs>
                <w:tab w:val="left" w:pos="1080"/>
              </w:tabs>
              <w:snapToGrid w:val="0"/>
              <w:rPr>
                <w:sz w:val="24"/>
              </w:rPr>
            </w:pPr>
          </w:p>
        </w:tc>
      </w:tr>
      <w:tr w14:paraId="7D522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87E36D">
            <w:pPr>
              <w:tabs>
                <w:tab w:val="left" w:pos="1080"/>
              </w:tabs>
              <w:snapToGrid w:val="0"/>
              <w:jc w:val="center"/>
              <w:rPr>
                <w:sz w:val="24"/>
              </w:rPr>
            </w:pPr>
            <w:r>
              <w:rPr>
                <w:sz w:val="24"/>
              </w:rPr>
              <w:t>5</w:t>
            </w:r>
          </w:p>
        </w:tc>
        <w:tc>
          <w:tcPr>
            <w:tcW w:w="1067" w:type="pct"/>
            <w:vAlign w:val="center"/>
          </w:tcPr>
          <w:p w14:paraId="5EB2AE7D">
            <w:pPr>
              <w:tabs>
                <w:tab w:val="left" w:pos="1080"/>
              </w:tabs>
              <w:snapToGrid w:val="0"/>
              <w:rPr>
                <w:sz w:val="24"/>
              </w:rPr>
            </w:pPr>
            <w:r>
              <w:rPr>
                <w:sz w:val="24"/>
              </w:rPr>
              <w:t>获取招标文件</w:t>
            </w:r>
          </w:p>
        </w:tc>
        <w:tc>
          <w:tcPr>
            <w:tcW w:w="2596" w:type="pct"/>
            <w:vAlign w:val="center"/>
          </w:tcPr>
          <w:p w14:paraId="6DC48443">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277783D1">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7D970C48">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5"/>
      <w:bookmarkEnd w:id="739"/>
    </w:tbl>
    <w:p w14:paraId="0B953F3D">
      <w:pPr>
        <w:widowControl/>
        <w:jc w:val="left"/>
        <w:rPr>
          <w:sz w:val="24"/>
        </w:rPr>
      </w:pPr>
      <w:bookmarkStart w:id="740" w:name="_Hlt487900425"/>
      <w:bookmarkEnd w:id="740"/>
      <w:bookmarkStart w:id="741" w:name="_Hlt522424701"/>
      <w:bookmarkEnd w:id="741"/>
      <w:bookmarkStart w:id="742" w:name="_Toc353873940"/>
      <w:bookmarkStart w:id="743" w:name="_Toc226965858"/>
      <w:bookmarkStart w:id="744" w:name="_Toc353825550"/>
      <w:bookmarkStart w:id="745" w:name="_Toc127161490"/>
      <w:bookmarkStart w:id="746" w:name="_Toc127151779"/>
      <w:r>
        <w:rPr>
          <w:sz w:val="24"/>
        </w:rPr>
        <w:br w:type="page"/>
      </w:r>
    </w:p>
    <w:p w14:paraId="0AB5B54D">
      <w:pPr>
        <w:spacing w:line="360" w:lineRule="auto"/>
        <w:jc w:val="center"/>
        <w:outlineLvl w:val="0"/>
        <w:rPr>
          <w:b/>
          <w:sz w:val="36"/>
          <w:szCs w:val="36"/>
        </w:rPr>
      </w:pPr>
      <w:bookmarkStart w:id="747" w:name="_Toc99301423"/>
      <w:r>
        <w:rPr>
          <w:b/>
          <w:sz w:val="36"/>
          <w:szCs w:val="36"/>
        </w:rPr>
        <w:t xml:space="preserve">第四章   </w:t>
      </w:r>
      <w:bookmarkEnd w:id="742"/>
      <w:bookmarkEnd w:id="743"/>
      <w:bookmarkEnd w:id="744"/>
      <w:bookmarkEnd w:id="745"/>
      <w:bookmarkEnd w:id="746"/>
      <w:bookmarkStart w:id="748" w:name="_Hlt164229061"/>
      <w:bookmarkEnd w:id="748"/>
      <w:r>
        <w:rPr>
          <w:b/>
          <w:sz w:val="36"/>
          <w:szCs w:val="36"/>
        </w:rPr>
        <w:t>评标程序、评标方法和评标标准</w:t>
      </w:r>
      <w:bookmarkEnd w:id="747"/>
    </w:p>
    <w:p w14:paraId="5C1C51B7">
      <w:pPr>
        <w:tabs>
          <w:tab w:val="left" w:pos="360"/>
          <w:tab w:val="left" w:pos="900"/>
        </w:tabs>
        <w:snapToGrid w:val="0"/>
        <w:spacing w:line="360" w:lineRule="auto"/>
        <w:jc w:val="center"/>
        <w:outlineLvl w:val="1"/>
        <w:rPr>
          <w:b/>
        </w:rPr>
      </w:pPr>
      <w:r>
        <w:rPr>
          <w:b/>
          <w:sz w:val="24"/>
        </w:rPr>
        <w:t>一、评标方法</w:t>
      </w:r>
    </w:p>
    <w:p w14:paraId="4AD4F431">
      <w:pPr>
        <w:numPr>
          <w:ilvl w:val="0"/>
          <w:numId w:val="13"/>
        </w:numPr>
        <w:tabs>
          <w:tab w:val="left" w:pos="360"/>
        </w:tabs>
        <w:snapToGrid w:val="0"/>
        <w:spacing w:line="360" w:lineRule="auto"/>
        <w:outlineLvl w:val="1"/>
        <w:rPr>
          <w:sz w:val="24"/>
        </w:rPr>
      </w:pPr>
      <w:bookmarkStart w:id="749" w:name="_Toc150480779"/>
      <w:bookmarkStart w:id="750" w:name="_Toc150774641"/>
      <w:bookmarkStart w:id="751" w:name="_Toc151190168"/>
      <w:bookmarkStart w:id="752" w:name="_Toc142311043"/>
      <w:bookmarkStart w:id="753" w:name="_Toc164229382"/>
      <w:bookmarkStart w:id="754" w:name="_Toc151193711"/>
      <w:bookmarkStart w:id="755" w:name="_Toc151193929"/>
      <w:bookmarkStart w:id="756" w:name="_Toc164229236"/>
      <w:bookmarkStart w:id="757" w:name="_Toc151193855"/>
      <w:bookmarkStart w:id="758" w:name="_Toc127151541"/>
      <w:bookmarkStart w:id="759" w:name="_Toc151193639"/>
      <w:bookmarkStart w:id="760" w:name="_Toc164608810"/>
      <w:bookmarkStart w:id="761" w:name="_Toc127161455"/>
      <w:bookmarkStart w:id="762" w:name="_Toc226965731"/>
      <w:bookmarkStart w:id="763" w:name="_Toc265228379"/>
      <w:bookmarkStart w:id="764" w:name="_Toc305158883"/>
      <w:bookmarkStart w:id="765" w:name="_Toc305158809"/>
      <w:bookmarkStart w:id="766" w:name="_Toc226965814"/>
      <w:bookmarkStart w:id="767" w:name="_Toc226309785"/>
      <w:bookmarkStart w:id="768" w:name="_Toc149720834"/>
      <w:bookmarkStart w:id="769" w:name="_Toc150774746"/>
      <w:bookmarkStart w:id="770" w:name="_Toc127151742"/>
      <w:bookmarkStart w:id="771" w:name="_Toc226337237"/>
      <w:bookmarkStart w:id="772" w:name="_Toc151193783"/>
      <w:bookmarkStart w:id="773" w:name="_Toc195842906"/>
      <w:bookmarkStart w:id="774" w:name="_Toc264969231"/>
      <w:bookmarkStart w:id="775" w:name="_Toc150509292"/>
      <w:bookmarkStart w:id="776" w:name="_Toc164351635"/>
      <w:bookmarkStart w:id="777" w:name="_Toc164608655"/>
      <w:bookmarkStart w:id="778" w:name="_Toc353873941"/>
      <w:bookmarkStart w:id="779" w:name="_Toc353825551"/>
      <w:bookmarkStart w:id="780" w:name="_Toc127151555"/>
      <w:bookmarkStart w:id="781" w:name="_Toc142311057"/>
      <w:bookmarkStart w:id="782" w:name="_Toc353825545"/>
      <w:bookmarkStart w:id="783" w:name="_Toc195842920"/>
      <w:bookmarkStart w:id="784" w:name="_Toc305158897"/>
      <w:bookmarkStart w:id="785" w:name="_Toc150480793"/>
      <w:bookmarkStart w:id="786" w:name="_Toc264969245"/>
      <w:bookmarkStart w:id="787" w:name="_Toc265228393"/>
      <w:bookmarkStart w:id="788" w:name="_Toc353873665"/>
      <w:bookmarkStart w:id="789" w:name="_Toc226965828"/>
      <w:bookmarkStart w:id="790" w:name="_Toc150774760"/>
      <w:bookmarkStart w:id="791" w:name="_Toc353873935"/>
      <w:bookmarkStart w:id="792" w:name="_Toc226337251"/>
      <w:bookmarkStart w:id="793" w:name="_Toc305158823"/>
      <w:r>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384C1BBB">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4" w:name="_Toc520356167"/>
    </w:p>
    <w:p w14:paraId="50D6AD8A">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sz w:val="24"/>
        </w:rPr>
        <w:t>要求的，</w:t>
      </w:r>
      <w:r>
        <w:rPr>
          <w:b/>
          <w:sz w:val="24"/>
        </w:rPr>
        <w:t>投标无效</w:t>
      </w:r>
      <w:r>
        <w:rPr>
          <w:sz w:val="24"/>
        </w:rPr>
        <w:t>。</w:t>
      </w:r>
    </w:p>
    <w:p w14:paraId="76B48DE3">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9F9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611FF118">
            <w:pPr>
              <w:widowControl/>
              <w:jc w:val="center"/>
              <w:rPr>
                <w:b/>
                <w:color w:val="000000"/>
                <w:kern w:val="0"/>
                <w:sz w:val="24"/>
              </w:rPr>
            </w:pPr>
            <w:r>
              <w:rPr>
                <w:b/>
                <w:color w:val="000000"/>
                <w:kern w:val="0"/>
                <w:sz w:val="24"/>
              </w:rPr>
              <w:t>序号</w:t>
            </w:r>
          </w:p>
        </w:tc>
        <w:tc>
          <w:tcPr>
            <w:tcW w:w="976" w:type="pct"/>
            <w:vAlign w:val="center"/>
          </w:tcPr>
          <w:p w14:paraId="229ACEE8">
            <w:pPr>
              <w:widowControl/>
              <w:jc w:val="center"/>
              <w:rPr>
                <w:b/>
                <w:color w:val="000000"/>
                <w:kern w:val="0"/>
                <w:sz w:val="24"/>
              </w:rPr>
            </w:pPr>
            <w:r>
              <w:rPr>
                <w:b/>
                <w:color w:val="000000"/>
                <w:kern w:val="0"/>
                <w:sz w:val="24"/>
              </w:rPr>
              <w:t>审查因素</w:t>
            </w:r>
          </w:p>
        </w:tc>
        <w:tc>
          <w:tcPr>
            <w:tcW w:w="3620" w:type="pct"/>
            <w:vAlign w:val="center"/>
          </w:tcPr>
          <w:p w14:paraId="7F4E7E8D">
            <w:pPr>
              <w:widowControl/>
              <w:jc w:val="center"/>
              <w:rPr>
                <w:b/>
                <w:color w:val="000000"/>
                <w:kern w:val="0"/>
                <w:sz w:val="24"/>
              </w:rPr>
            </w:pPr>
            <w:r>
              <w:rPr>
                <w:b/>
                <w:color w:val="000000"/>
                <w:kern w:val="0"/>
                <w:sz w:val="24"/>
              </w:rPr>
              <w:t>审查内容</w:t>
            </w:r>
          </w:p>
        </w:tc>
      </w:tr>
      <w:tr w14:paraId="7576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27C977E">
            <w:pPr>
              <w:widowControl/>
              <w:jc w:val="center"/>
              <w:rPr>
                <w:color w:val="000000"/>
                <w:kern w:val="0"/>
                <w:sz w:val="24"/>
              </w:rPr>
            </w:pPr>
            <w:r>
              <w:rPr>
                <w:color w:val="000000"/>
                <w:kern w:val="0"/>
                <w:sz w:val="24"/>
              </w:rPr>
              <w:t>1</w:t>
            </w:r>
          </w:p>
        </w:tc>
        <w:tc>
          <w:tcPr>
            <w:tcW w:w="976" w:type="pct"/>
            <w:vAlign w:val="center"/>
          </w:tcPr>
          <w:p w14:paraId="1E44E5FD">
            <w:pPr>
              <w:widowControl/>
              <w:jc w:val="left"/>
              <w:rPr>
                <w:color w:val="000000"/>
                <w:kern w:val="0"/>
                <w:sz w:val="24"/>
              </w:rPr>
            </w:pPr>
            <w:r>
              <w:rPr>
                <w:color w:val="000000"/>
                <w:kern w:val="0"/>
                <w:sz w:val="24"/>
              </w:rPr>
              <w:t>授权委托书</w:t>
            </w:r>
          </w:p>
        </w:tc>
        <w:tc>
          <w:tcPr>
            <w:tcW w:w="3620" w:type="pct"/>
            <w:vAlign w:val="center"/>
          </w:tcPr>
          <w:p w14:paraId="66E6095F">
            <w:pPr>
              <w:widowControl/>
              <w:jc w:val="left"/>
              <w:rPr>
                <w:color w:val="000000"/>
                <w:kern w:val="0"/>
                <w:sz w:val="24"/>
              </w:rPr>
            </w:pPr>
            <w:r>
              <w:rPr>
                <w:color w:val="000000"/>
                <w:kern w:val="0"/>
                <w:sz w:val="24"/>
              </w:rPr>
              <w:t>按招标文件要求提供授权委托书；</w:t>
            </w:r>
          </w:p>
        </w:tc>
      </w:tr>
      <w:tr w14:paraId="2698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E3B3D2D">
            <w:pPr>
              <w:widowControl/>
              <w:jc w:val="center"/>
              <w:rPr>
                <w:color w:val="000000"/>
                <w:kern w:val="0"/>
                <w:sz w:val="24"/>
              </w:rPr>
            </w:pPr>
            <w:r>
              <w:rPr>
                <w:color w:val="000000"/>
                <w:kern w:val="0"/>
                <w:sz w:val="24"/>
              </w:rPr>
              <w:t>2</w:t>
            </w:r>
          </w:p>
        </w:tc>
        <w:tc>
          <w:tcPr>
            <w:tcW w:w="976" w:type="pct"/>
            <w:vAlign w:val="center"/>
          </w:tcPr>
          <w:p w14:paraId="737B3698">
            <w:pPr>
              <w:widowControl/>
              <w:jc w:val="left"/>
              <w:rPr>
                <w:color w:val="000000"/>
                <w:kern w:val="0"/>
                <w:sz w:val="24"/>
              </w:rPr>
            </w:pPr>
            <w:r>
              <w:rPr>
                <w:color w:val="000000"/>
                <w:kern w:val="0"/>
                <w:sz w:val="24"/>
              </w:rPr>
              <w:t>投标完整性</w:t>
            </w:r>
          </w:p>
        </w:tc>
        <w:tc>
          <w:tcPr>
            <w:tcW w:w="3620" w:type="pct"/>
            <w:vAlign w:val="center"/>
          </w:tcPr>
          <w:p w14:paraId="2022CBD5">
            <w:pPr>
              <w:widowControl/>
              <w:jc w:val="left"/>
              <w:rPr>
                <w:color w:val="000000"/>
                <w:kern w:val="0"/>
                <w:sz w:val="24"/>
              </w:rPr>
            </w:pPr>
            <w:r>
              <w:rPr>
                <w:sz w:val="24"/>
              </w:rPr>
              <w:t>未将一个采购包中的内容拆分投标；</w:t>
            </w:r>
          </w:p>
        </w:tc>
      </w:tr>
      <w:tr w14:paraId="1BB7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5ECA7E0">
            <w:pPr>
              <w:widowControl/>
              <w:jc w:val="center"/>
              <w:rPr>
                <w:color w:val="000000"/>
                <w:kern w:val="0"/>
                <w:sz w:val="24"/>
              </w:rPr>
            </w:pPr>
            <w:r>
              <w:rPr>
                <w:color w:val="000000"/>
                <w:kern w:val="0"/>
                <w:sz w:val="24"/>
              </w:rPr>
              <w:t>3</w:t>
            </w:r>
          </w:p>
        </w:tc>
        <w:tc>
          <w:tcPr>
            <w:tcW w:w="976" w:type="pct"/>
            <w:vAlign w:val="center"/>
          </w:tcPr>
          <w:p w14:paraId="533A0C26">
            <w:pPr>
              <w:widowControl/>
              <w:jc w:val="left"/>
              <w:rPr>
                <w:color w:val="000000"/>
                <w:kern w:val="0"/>
                <w:sz w:val="24"/>
              </w:rPr>
            </w:pPr>
            <w:r>
              <w:rPr>
                <w:color w:val="000000"/>
                <w:kern w:val="0"/>
                <w:sz w:val="24"/>
              </w:rPr>
              <w:t>投标报价</w:t>
            </w:r>
          </w:p>
        </w:tc>
        <w:tc>
          <w:tcPr>
            <w:tcW w:w="3620" w:type="pct"/>
            <w:vAlign w:val="center"/>
          </w:tcPr>
          <w:p w14:paraId="724DC727">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7B76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F3B5A2E">
            <w:pPr>
              <w:widowControl/>
              <w:jc w:val="center"/>
              <w:rPr>
                <w:color w:val="000000"/>
                <w:kern w:val="0"/>
                <w:sz w:val="24"/>
              </w:rPr>
            </w:pPr>
            <w:r>
              <w:rPr>
                <w:color w:val="000000"/>
                <w:kern w:val="0"/>
                <w:sz w:val="24"/>
              </w:rPr>
              <w:t>4</w:t>
            </w:r>
          </w:p>
        </w:tc>
        <w:tc>
          <w:tcPr>
            <w:tcW w:w="976" w:type="pct"/>
            <w:vAlign w:val="center"/>
          </w:tcPr>
          <w:p w14:paraId="0190032E">
            <w:pPr>
              <w:widowControl/>
              <w:jc w:val="left"/>
              <w:rPr>
                <w:color w:val="000000"/>
                <w:kern w:val="0"/>
                <w:sz w:val="24"/>
              </w:rPr>
            </w:pPr>
            <w:r>
              <w:rPr>
                <w:color w:val="000000"/>
                <w:kern w:val="0"/>
                <w:sz w:val="24"/>
              </w:rPr>
              <w:t>报价唯一性</w:t>
            </w:r>
          </w:p>
        </w:tc>
        <w:tc>
          <w:tcPr>
            <w:tcW w:w="3620" w:type="pct"/>
            <w:vAlign w:val="center"/>
          </w:tcPr>
          <w:p w14:paraId="6ABB093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039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BBC307E">
            <w:pPr>
              <w:widowControl/>
              <w:jc w:val="center"/>
              <w:rPr>
                <w:color w:val="000000"/>
                <w:kern w:val="0"/>
                <w:sz w:val="24"/>
              </w:rPr>
            </w:pPr>
            <w:r>
              <w:rPr>
                <w:color w:val="000000"/>
                <w:kern w:val="0"/>
                <w:sz w:val="24"/>
              </w:rPr>
              <w:t>5</w:t>
            </w:r>
          </w:p>
        </w:tc>
        <w:tc>
          <w:tcPr>
            <w:tcW w:w="976" w:type="pct"/>
            <w:vAlign w:val="center"/>
          </w:tcPr>
          <w:p w14:paraId="26876CB2">
            <w:pPr>
              <w:widowControl/>
              <w:jc w:val="left"/>
              <w:rPr>
                <w:color w:val="000000"/>
                <w:kern w:val="0"/>
                <w:sz w:val="24"/>
              </w:rPr>
            </w:pPr>
            <w:r>
              <w:rPr>
                <w:color w:val="000000"/>
                <w:kern w:val="0"/>
                <w:sz w:val="24"/>
              </w:rPr>
              <w:t>投标有效期</w:t>
            </w:r>
          </w:p>
        </w:tc>
        <w:tc>
          <w:tcPr>
            <w:tcW w:w="3620" w:type="pct"/>
            <w:vAlign w:val="center"/>
          </w:tcPr>
          <w:p w14:paraId="765E252D">
            <w:pPr>
              <w:widowControl/>
              <w:jc w:val="left"/>
              <w:rPr>
                <w:color w:val="000000"/>
                <w:kern w:val="0"/>
                <w:sz w:val="24"/>
              </w:rPr>
            </w:pPr>
            <w:r>
              <w:rPr>
                <w:color w:val="000000"/>
                <w:kern w:val="0"/>
                <w:sz w:val="24"/>
              </w:rPr>
              <w:t>投标文件中承诺的投标有效期满足招标文件中载明的投标有效期的；</w:t>
            </w:r>
          </w:p>
        </w:tc>
      </w:tr>
      <w:tr w14:paraId="012D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1BA9B6B">
            <w:pPr>
              <w:widowControl/>
              <w:jc w:val="center"/>
              <w:rPr>
                <w:color w:val="000000"/>
                <w:kern w:val="0"/>
                <w:sz w:val="24"/>
              </w:rPr>
            </w:pPr>
            <w:r>
              <w:rPr>
                <w:color w:val="000000"/>
                <w:kern w:val="0"/>
                <w:sz w:val="24"/>
              </w:rPr>
              <w:t>6</w:t>
            </w:r>
          </w:p>
        </w:tc>
        <w:tc>
          <w:tcPr>
            <w:tcW w:w="976" w:type="pct"/>
            <w:vAlign w:val="center"/>
          </w:tcPr>
          <w:p w14:paraId="0D238805">
            <w:pPr>
              <w:widowControl/>
              <w:jc w:val="left"/>
              <w:rPr>
                <w:color w:val="000000"/>
                <w:kern w:val="0"/>
                <w:sz w:val="24"/>
              </w:rPr>
            </w:pPr>
            <w:r>
              <w:rPr>
                <w:color w:val="000000"/>
                <w:kern w:val="0"/>
                <w:sz w:val="24"/>
              </w:rPr>
              <w:t>实质性格式</w:t>
            </w:r>
          </w:p>
        </w:tc>
        <w:tc>
          <w:tcPr>
            <w:tcW w:w="3620" w:type="pct"/>
            <w:vAlign w:val="center"/>
          </w:tcPr>
          <w:p w14:paraId="0E084956">
            <w:pPr>
              <w:widowControl/>
              <w:jc w:val="left"/>
              <w:rPr>
                <w:color w:val="000000"/>
                <w:kern w:val="0"/>
                <w:sz w:val="24"/>
              </w:rPr>
            </w:pPr>
            <w:r>
              <w:rPr>
                <w:kern w:val="0"/>
                <w:sz w:val="24"/>
              </w:rPr>
              <w:t>标记为“实质性格式”的文件均按招标文件要求提供且签署、盖章的；</w:t>
            </w:r>
          </w:p>
        </w:tc>
      </w:tr>
      <w:tr w14:paraId="25D7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3619BD6">
            <w:pPr>
              <w:widowControl/>
              <w:jc w:val="center"/>
              <w:rPr>
                <w:color w:val="000000"/>
                <w:kern w:val="0"/>
                <w:sz w:val="24"/>
              </w:rPr>
            </w:pPr>
            <w:r>
              <w:rPr>
                <w:color w:val="000000"/>
                <w:kern w:val="0"/>
                <w:sz w:val="24"/>
              </w:rPr>
              <w:t>7</w:t>
            </w:r>
          </w:p>
        </w:tc>
        <w:tc>
          <w:tcPr>
            <w:tcW w:w="976" w:type="pct"/>
            <w:vAlign w:val="center"/>
          </w:tcPr>
          <w:p w14:paraId="6C3B36EB">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34F9B9F8">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90F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2C2B68B">
            <w:pPr>
              <w:widowControl/>
              <w:jc w:val="center"/>
              <w:rPr>
                <w:color w:val="000000"/>
                <w:kern w:val="0"/>
                <w:sz w:val="24"/>
              </w:rPr>
            </w:pPr>
            <w:r>
              <w:rPr>
                <w:color w:val="000000"/>
                <w:kern w:val="0"/>
                <w:sz w:val="24"/>
              </w:rPr>
              <w:t>8</w:t>
            </w:r>
          </w:p>
        </w:tc>
        <w:tc>
          <w:tcPr>
            <w:tcW w:w="976" w:type="pct"/>
            <w:vAlign w:val="center"/>
          </w:tcPr>
          <w:p w14:paraId="4683FC35">
            <w:pPr>
              <w:widowControl/>
              <w:jc w:val="left"/>
              <w:rPr>
                <w:color w:val="000000"/>
                <w:kern w:val="0"/>
                <w:sz w:val="24"/>
              </w:rPr>
            </w:pPr>
            <w:r>
              <w:rPr>
                <w:sz w:val="24"/>
              </w:rPr>
              <w:t>拟分包情况说明（如有）</w:t>
            </w:r>
          </w:p>
        </w:tc>
        <w:tc>
          <w:tcPr>
            <w:tcW w:w="3620" w:type="pct"/>
            <w:vAlign w:val="center"/>
          </w:tcPr>
          <w:p w14:paraId="1EEAC985">
            <w:pPr>
              <w:widowControl/>
              <w:jc w:val="left"/>
              <w:rPr>
                <w:color w:val="000000"/>
                <w:kern w:val="0"/>
                <w:sz w:val="24"/>
              </w:rPr>
            </w:pPr>
            <w:r>
              <w:rPr>
                <w:sz w:val="24"/>
              </w:rPr>
              <w:t>如本项目（包）非因“落实政府采购政策”亦允许分包，且供应商拟进行分包时，必须提供；否则无须提供；</w:t>
            </w:r>
          </w:p>
        </w:tc>
      </w:tr>
      <w:tr w14:paraId="7472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7DF5739">
            <w:pPr>
              <w:widowControl/>
              <w:jc w:val="center"/>
              <w:rPr>
                <w:color w:val="000000"/>
                <w:kern w:val="0"/>
                <w:sz w:val="24"/>
              </w:rPr>
            </w:pPr>
            <w:r>
              <w:rPr>
                <w:color w:val="000000"/>
                <w:kern w:val="0"/>
                <w:sz w:val="24"/>
              </w:rPr>
              <w:t>9</w:t>
            </w:r>
          </w:p>
        </w:tc>
        <w:tc>
          <w:tcPr>
            <w:tcW w:w="976" w:type="pct"/>
            <w:vAlign w:val="center"/>
          </w:tcPr>
          <w:p w14:paraId="384722C3">
            <w:pPr>
              <w:widowControl/>
              <w:jc w:val="left"/>
              <w:rPr>
                <w:color w:val="000000"/>
                <w:kern w:val="0"/>
                <w:sz w:val="24"/>
              </w:rPr>
            </w:pPr>
            <w:r>
              <w:rPr>
                <w:color w:val="000000"/>
                <w:kern w:val="0"/>
                <w:sz w:val="24"/>
              </w:rPr>
              <w:t>分包其他要求（如有）</w:t>
            </w:r>
          </w:p>
        </w:tc>
        <w:tc>
          <w:tcPr>
            <w:tcW w:w="3620" w:type="pct"/>
            <w:vAlign w:val="center"/>
          </w:tcPr>
          <w:p w14:paraId="11EDEC18">
            <w:pPr>
              <w:widowControl/>
              <w:jc w:val="left"/>
              <w:rPr>
                <w:sz w:val="24"/>
              </w:rPr>
            </w:pPr>
            <w:r>
              <w:rPr>
                <w:sz w:val="24"/>
              </w:rPr>
              <w:t>分包履行的内容、金额或者比例未超出《投标人须知资料表》中的规定；</w:t>
            </w:r>
          </w:p>
          <w:p w14:paraId="6C9F610C">
            <w:pPr>
              <w:widowControl/>
              <w:jc w:val="left"/>
              <w:rPr>
                <w:color w:val="000000"/>
                <w:kern w:val="0"/>
                <w:sz w:val="24"/>
              </w:rPr>
            </w:pPr>
            <w:r>
              <w:rPr>
                <w:sz w:val="24"/>
              </w:rPr>
              <w:t>分包承担主体具备《投标人须知资料表》载明的资质条件且提供了资质证书电子件（如有）；</w:t>
            </w:r>
          </w:p>
        </w:tc>
      </w:tr>
      <w:tr w14:paraId="2BE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20EAF5E">
            <w:pPr>
              <w:widowControl/>
              <w:jc w:val="center"/>
              <w:rPr>
                <w:color w:val="000000"/>
                <w:kern w:val="0"/>
                <w:sz w:val="24"/>
              </w:rPr>
            </w:pPr>
            <w:r>
              <w:rPr>
                <w:color w:val="000000"/>
                <w:kern w:val="0"/>
                <w:sz w:val="24"/>
              </w:rPr>
              <w:t>10</w:t>
            </w:r>
          </w:p>
        </w:tc>
        <w:tc>
          <w:tcPr>
            <w:tcW w:w="976" w:type="pct"/>
            <w:vAlign w:val="center"/>
          </w:tcPr>
          <w:p w14:paraId="73BFB045">
            <w:pPr>
              <w:widowControl/>
              <w:jc w:val="left"/>
              <w:rPr>
                <w:color w:val="000000"/>
                <w:kern w:val="0"/>
                <w:sz w:val="24"/>
              </w:rPr>
            </w:pPr>
            <w:r>
              <w:rPr>
                <w:color w:val="000000"/>
                <w:kern w:val="0"/>
                <w:sz w:val="24"/>
              </w:rPr>
              <w:t>报价的修正（如有）</w:t>
            </w:r>
          </w:p>
        </w:tc>
        <w:tc>
          <w:tcPr>
            <w:tcW w:w="3620" w:type="pct"/>
            <w:vAlign w:val="center"/>
          </w:tcPr>
          <w:p w14:paraId="62866AC8">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1C4E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B768E11">
            <w:pPr>
              <w:widowControl/>
              <w:jc w:val="center"/>
              <w:rPr>
                <w:color w:val="000000"/>
                <w:kern w:val="0"/>
                <w:sz w:val="24"/>
              </w:rPr>
            </w:pPr>
            <w:r>
              <w:rPr>
                <w:color w:val="000000"/>
                <w:kern w:val="0"/>
                <w:sz w:val="24"/>
              </w:rPr>
              <w:t>11</w:t>
            </w:r>
          </w:p>
        </w:tc>
        <w:tc>
          <w:tcPr>
            <w:tcW w:w="976" w:type="pct"/>
            <w:vAlign w:val="center"/>
          </w:tcPr>
          <w:p w14:paraId="53A3D55D">
            <w:pPr>
              <w:widowControl/>
              <w:jc w:val="left"/>
              <w:rPr>
                <w:color w:val="000000"/>
                <w:kern w:val="0"/>
                <w:sz w:val="24"/>
              </w:rPr>
            </w:pPr>
            <w:r>
              <w:rPr>
                <w:color w:val="000000"/>
                <w:kern w:val="0"/>
                <w:sz w:val="24"/>
              </w:rPr>
              <w:t>报价合理性</w:t>
            </w:r>
          </w:p>
        </w:tc>
        <w:tc>
          <w:tcPr>
            <w:tcW w:w="3620" w:type="pct"/>
            <w:vAlign w:val="center"/>
          </w:tcPr>
          <w:p w14:paraId="07239E6B">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2B3E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A4DAA0C">
            <w:pPr>
              <w:widowControl/>
              <w:jc w:val="center"/>
              <w:rPr>
                <w:color w:val="000000"/>
                <w:kern w:val="0"/>
                <w:sz w:val="24"/>
              </w:rPr>
            </w:pPr>
            <w:r>
              <w:rPr>
                <w:color w:val="000000"/>
                <w:kern w:val="0"/>
                <w:sz w:val="24"/>
              </w:rPr>
              <w:t>12</w:t>
            </w:r>
          </w:p>
        </w:tc>
        <w:tc>
          <w:tcPr>
            <w:tcW w:w="976" w:type="pct"/>
            <w:vAlign w:val="center"/>
          </w:tcPr>
          <w:p w14:paraId="5FC1C0EC">
            <w:pPr>
              <w:widowControl/>
              <w:jc w:val="left"/>
              <w:rPr>
                <w:color w:val="000000"/>
                <w:kern w:val="0"/>
                <w:sz w:val="24"/>
              </w:rPr>
            </w:pPr>
            <w:r>
              <w:rPr>
                <w:color w:val="000000"/>
                <w:kern w:val="0"/>
                <w:sz w:val="24"/>
              </w:rPr>
              <w:t>进口产品</w:t>
            </w:r>
          </w:p>
          <w:p w14:paraId="11696DD4">
            <w:pPr>
              <w:widowControl/>
              <w:jc w:val="left"/>
              <w:rPr>
                <w:color w:val="000000"/>
                <w:kern w:val="0"/>
                <w:sz w:val="24"/>
              </w:rPr>
            </w:pPr>
            <w:r>
              <w:rPr>
                <w:color w:val="000000"/>
                <w:kern w:val="0"/>
                <w:sz w:val="24"/>
              </w:rPr>
              <w:t>（如有）</w:t>
            </w:r>
          </w:p>
        </w:tc>
        <w:tc>
          <w:tcPr>
            <w:tcW w:w="3620" w:type="pct"/>
            <w:vAlign w:val="center"/>
          </w:tcPr>
          <w:p w14:paraId="36505F54">
            <w:pPr>
              <w:widowControl/>
              <w:jc w:val="left"/>
              <w:rPr>
                <w:color w:val="000000"/>
                <w:kern w:val="0"/>
                <w:sz w:val="24"/>
              </w:rPr>
            </w:pPr>
            <w:r>
              <w:rPr>
                <w:sz w:val="24"/>
              </w:rPr>
              <w:t>招标文件不接受进口产品投标的内容时，投标人所投产品不含进口产品；</w:t>
            </w:r>
          </w:p>
        </w:tc>
      </w:tr>
      <w:tr w14:paraId="6058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A7018A0">
            <w:pPr>
              <w:widowControl/>
              <w:jc w:val="center"/>
              <w:rPr>
                <w:color w:val="000000"/>
                <w:kern w:val="0"/>
                <w:sz w:val="24"/>
              </w:rPr>
            </w:pPr>
            <w:r>
              <w:rPr>
                <w:color w:val="000000"/>
                <w:kern w:val="0"/>
                <w:sz w:val="24"/>
              </w:rPr>
              <w:t>13</w:t>
            </w:r>
          </w:p>
        </w:tc>
        <w:tc>
          <w:tcPr>
            <w:tcW w:w="976" w:type="pct"/>
            <w:vAlign w:val="center"/>
          </w:tcPr>
          <w:p w14:paraId="627133FF">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75EC856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672E6821">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21C036A">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379F8D8B">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6159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8F73BF4">
            <w:pPr>
              <w:widowControl/>
              <w:jc w:val="center"/>
              <w:rPr>
                <w:color w:val="000000"/>
                <w:kern w:val="0"/>
                <w:sz w:val="24"/>
              </w:rPr>
            </w:pPr>
            <w:r>
              <w:rPr>
                <w:color w:val="000000"/>
                <w:kern w:val="0"/>
                <w:sz w:val="24"/>
              </w:rPr>
              <w:t>14</w:t>
            </w:r>
          </w:p>
        </w:tc>
        <w:tc>
          <w:tcPr>
            <w:tcW w:w="976" w:type="pct"/>
            <w:vAlign w:val="center"/>
          </w:tcPr>
          <w:p w14:paraId="7D6F3DAD">
            <w:pPr>
              <w:widowControl/>
              <w:jc w:val="left"/>
              <w:rPr>
                <w:color w:val="000000"/>
                <w:kern w:val="0"/>
                <w:sz w:val="24"/>
              </w:rPr>
            </w:pPr>
            <w:r>
              <w:rPr>
                <w:color w:val="000000"/>
                <w:kern w:val="0"/>
                <w:sz w:val="24"/>
              </w:rPr>
              <w:t>公平竞争</w:t>
            </w:r>
          </w:p>
        </w:tc>
        <w:tc>
          <w:tcPr>
            <w:tcW w:w="3620" w:type="pct"/>
            <w:vAlign w:val="center"/>
          </w:tcPr>
          <w:p w14:paraId="23CAF4AF">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C70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7BB6BF9">
            <w:pPr>
              <w:widowControl/>
              <w:jc w:val="center"/>
              <w:rPr>
                <w:color w:val="000000"/>
                <w:kern w:val="0"/>
                <w:sz w:val="24"/>
              </w:rPr>
            </w:pPr>
            <w:r>
              <w:rPr>
                <w:color w:val="000000"/>
                <w:kern w:val="0"/>
                <w:sz w:val="24"/>
              </w:rPr>
              <w:t>15</w:t>
            </w:r>
          </w:p>
        </w:tc>
        <w:tc>
          <w:tcPr>
            <w:tcW w:w="976" w:type="pct"/>
            <w:vAlign w:val="center"/>
          </w:tcPr>
          <w:p w14:paraId="4D556E80">
            <w:pPr>
              <w:widowControl/>
              <w:jc w:val="left"/>
              <w:rPr>
                <w:color w:val="000000"/>
                <w:kern w:val="0"/>
                <w:sz w:val="24"/>
              </w:rPr>
            </w:pPr>
            <w:r>
              <w:rPr>
                <w:color w:val="000000"/>
                <w:kern w:val="0"/>
                <w:sz w:val="24"/>
              </w:rPr>
              <w:t>串通投标</w:t>
            </w:r>
          </w:p>
        </w:tc>
        <w:tc>
          <w:tcPr>
            <w:tcW w:w="3620" w:type="pct"/>
            <w:vAlign w:val="center"/>
          </w:tcPr>
          <w:p w14:paraId="3EB8950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E40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87CADDE">
            <w:pPr>
              <w:widowControl/>
              <w:jc w:val="center"/>
              <w:rPr>
                <w:color w:val="000000"/>
                <w:kern w:val="0"/>
                <w:sz w:val="24"/>
              </w:rPr>
            </w:pPr>
            <w:r>
              <w:rPr>
                <w:color w:val="000000"/>
                <w:kern w:val="0"/>
                <w:sz w:val="24"/>
              </w:rPr>
              <w:t>16</w:t>
            </w:r>
          </w:p>
        </w:tc>
        <w:tc>
          <w:tcPr>
            <w:tcW w:w="976" w:type="pct"/>
            <w:vAlign w:val="center"/>
          </w:tcPr>
          <w:p w14:paraId="1073CCDF">
            <w:pPr>
              <w:widowControl/>
              <w:jc w:val="left"/>
              <w:rPr>
                <w:color w:val="000000"/>
                <w:kern w:val="0"/>
                <w:sz w:val="24"/>
              </w:rPr>
            </w:pPr>
            <w:r>
              <w:rPr>
                <w:color w:val="000000"/>
                <w:kern w:val="0"/>
                <w:sz w:val="24"/>
              </w:rPr>
              <w:t>附加条件</w:t>
            </w:r>
          </w:p>
        </w:tc>
        <w:tc>
          <w:tcPr>
            <w:tcW w:w="3620" w:type="pct"/>
            <w:vAlign w:val="center"/>
          </w:tcPr>
          <w:p w14:paraId="67FDC308">
            <w:pPr>
              <w:widowControl/>
              <w:jc w:val="left"/>
              <w:rPr>
                <w:color w:val="000000"/>
                <w:kern w:val="0"/>
                <w:sz w:val="24"/>
              </w:rPr>
            </w:pPr>
            <w:r>
              <w:rPr>
                <w:color w:val="000000"/>
                <w:kern w:val="0"/>
                <w:sz w:val="24"/>
              </w:rPr>
              <w:t>投标文件未含有采购人不能接受的附加条件的；</w:t>
            </w:r>
          </w:p>
        </w:tc>
      </w:tr>
      <w:tr w14:paraId="10E4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275F6A7">
            <w:pPr>
              <w:widowControl/>
              <w:jc w:val="center"/>
              <w:rPr>
                <w:color w:val="000000"/>
                <w:kern w:val="0"/>
                <w:sz w:val="24"/>
              </w:rPr>
            </w:pPr>
            <w:r>
              <w:rPr>
                <w:color w:val="000000"/>
                <w:kern w:val="0"/>
                <w:sz w:val="24"/>
              </w:rPr>
              <w:t>17</w:t>
            </w:r>
          </w:p>
        </w:tc>
        <w:tc>
          <w:tcPr>
            <w:tcW w:w="976" w:type="pct"/>
            <w:vAlign w:val="center"/>
          </w:tcPr>
          <w:p w14:paraId="67BB9273">
            <w:pPr>
              <w:widowControl/>
              <w:jc w:val="left"/>
              <w:rPr>
                <w:color w:val="000000"/>
                <w:kern w:val="0"/>
                <w:sz w:val="24"/>
              </w:rPr>
            </w:pPr>
            <w:r>
              <w:rPr>
                <w:color w:val="000000"/>
                <w:kern w:val="0"/>
                <w:sz w:val="24"/>
              </w:rPr>
              <w:t>其他无效情形</w:t>
            </w:r>
          </w:p>
        </w:tc>
        <w:tc>
          <w:tcPr>
            <w:tcW w:w="3620" w:type="pct"/>
            <w:vAlign w:val="center"/>
          </w:tcPr>
          <w:p w14:paraId="7D6A472D">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5A291835">
      <w:pPr>
        <w:numPr>
          <w:ilvl w:val="0"/>
          <w:numId w:val="14"/>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5286EAB7">
      <w:pPr>
        <w:numPr>
          <w:ilvl w:val="0"/>
          <w:numId w:val="13"/>
        </w:numPr>
        <w:tabs>
          <w:tab w:val="left" w:pos="360"/>
        </w:tabs>
        <w:snapToGrid w:val="0"/>
        <w:spacing w:line="360" w:lineRule="auto"/>
        <w:outlineLvl w:val="1"/>
        <w:rPr>
          <w:sz w:val="24"/>
        </w:rPr>
      </w:pPr>
      <w:r>
        <w:rPr>
          <w:sz w:val="24"/>
        </w:rPr>
        <w:t>投标文件有关事项的澄清或者说明</w:t>
      </w:r>
    </w:p>
    <w:p w14:paraId="59062D3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000000"/>
          <w:sz w:val="24"/>
          <w:szCs w:val="20"/>
        </w:rPr>
        <w:t>若投标人为事业单位或其他组织或分支机构，可为单位负责人</w:t>
      </w:r>
      <w:bookmarkEnd w:id="795"/>
      <w:r>
        <w:rPr>
          <w:sz w:val="24"/>
        </w:rPr>
        <w:t>）或其授权的代表签字。投标人的澄清、说明或者补正不得超出投标文件的范围或者改变投标文件的实质性内容。澄清文件将作为投标文件内容的一部分。</w:t>
      </w:r>
    </w:p>
    <w:p w14:paraId="2C0DD9BB">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6BE296BB">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AD25F82">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0FEC38C1">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9C65FF9">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rPr>
      </w:pPr>
      <w:r>
        <w:rPr>
          <w:rFonts w:asciiTheme="minorEastAsia" w:hAnsiTheme="minorEastAsia" w:eastAsiaTheme="minorEastAsia"/>
          <w:sz w:val="24"/>
        </w:rPr>
        <w:sym w:font="Wingdings 2" w:char="F0A2"/>
      </w:r>
      <w:r>
        <w:rPr>
          <w:rFonts w:asciiTheme="minorEastAsia" w:hAnsiTheme="minorEastAsia" w:eastAsiaTheme="minorEastAsia"/>
          <w:sz w:val="24"/>
        </w:rPr>
        <w:t>有，具体规定为：</w:t>
      </w:r>
    </w:p>
    <w:p w14:paraId="101CA675">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olor w:val="auto"/>
          <w:sz w:val="24"/>
          <w:u w:val="single"/>
        </w:rPr>
      </w:pPr>
      <w:r>
        <w:rPr>
          <w:rFonts w:hint="eastAsia" w:asciiTheme="minorEastAsia" w:hAnsiTheme="minorEastAsia" w:eastAsiaTheme="minorEastAsia"/>
          <w:sz w:val="24"/>
          <w:u w:val="single"/>
        </w:rPr>
        <w:t>（1）公开唱出的开标一览</w:t>
      </w:r>
      <w:r>
        <w:rPr>
          <w:rFonts w:hint="eastAsia" w:asciiTheme="minorEastAsia" w:hAnsiTheme="minorEastAsia" w:eastAsiaTheme="minorEastAsia"/>
          <w:color w:val="auto"/>
          <w:sz w:val="24"/>
          <w:u w:val="single"/>
        </w:rPr>
        <w:t>表投标总价与投标文件中相应内容不一致的，以公开唱出的开标一览表为准；</w:t>
      </w:r>
    </w:p>
    <w:p w14:paraId="24204FBB">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（2）公开唱出的开标一览表大写金额和小写金额不一致的，以大写金额为准；</w:t>
      </w:r>
    </w:p>
    <w:p w14:paraId="54C505FF">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（3）分项报价表中汇总金额与公开唱出的价格不一致，以公开唱出的开标一览表的总价为准，并修改单价。</w:t>
      </w:r>
    </w:p>
    <w:p w14:paraId="45ABA14E">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修正后的报价按照本须知22条的规定经投标人确认后产生约束力，投标人不确认的，其</w:t>
      </w:r>
      <w:r>
        <w:rPr>
          <w:rFonts w:hint="eastAsia" w:asciiTheme="minorEastAsia" w:hAnsiTheme="minorEastAsia" w:eastAsiaTheme="minorEastAsia"/>
          <w:b/>
          <w:bCs/>
          <w:color w:val="auto"/>
          <w:sz w:val="24"/>
          <w:u w:val="single"/>
        </w:rPr>
        <w:t>投标无效。</w:t>
      </w:r>
    </w:p>
    <w:p w14:paraId="1A71812A">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rPr>
      </w:pPr>
      <w:r>
        <w:rPr>
          <w:rFonts w:asciiTheme="minorEastAsia" w:hAnsiTheme="minorEastAsia" w:eastAsiaTheme="minorEastAsia"/>
          <w:sz w:val="24"/>
        </w:rPr>
        <w:t>□无，按下述2.4.2-2.4.8项规定修正。</w:t>
      </w:r>
    </w:p>
    <w:p w14:paraId="6C25DD28">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E0B7F20">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DFC80E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AD2BB9A">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3A1444BD">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2F46AF69">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37D1A96">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70F5199">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44FBB7E5">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10</w:t>
      </w:r>
      <w:r>
        <w:rPr>
          <w:sz w:val="24"/>
          <w:u w:val="single"/>
        </w:rPr>
        <w:t>%</w:t>
      </w:r>
      <w:r>
        <w:rPr>
          <w:sz w:val="24"/>
        </w:rPr>
        <w:t>的扣除，用扣除后的价格参加评审。</w:t>
      </w:r>
    </w:p>
    <w:p w14:paraId="1AE3D461">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4</w:t>
      </w:r>
      <w:r>
        <w:rPr>
          <w:sz w:val="24"/>
          <w:u w:val="single"/>
        </w:rPr>
        <w:t>%</w:t>
      </w:r>
      <w:r>
        <w:rPr>
          <w:sz w:val="24"/>
        </w:rPr>
        <w:t>的扣除，用扣除后的价格参加评审。</w:t>
      </w:r>
    </w:p>
    <w:p w14:paraId="24CD551D">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144C257">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F5F490E">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6EB45869">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F04E64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9492241">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78BD32C">
      <w:pPr>
        <w:numPr>
          <w:ilvl w:val="0"/>
          <w:numId w:val="13"/>
        </w:numPr>
        <w:tabs>
          <w:tab w:val="left" w:pos="360"/>
        </w:tabs>
        <w:snapToGrid w:val="0"/>
        <w:spacing w:line="360" w:lineRule="auto"/>
        <w:outlineLvl w:val="1"/>
        <w:rPr>
          <w:sz w:val="24"/>
        </w:rPr>
      </w:pPr>
      <w:r>
        <w:rPr>
          <w:sz w:val="24"/>
        </w:rPr>
        <w:t>投标文件的比较和评价</w:t>
      </w:r>
      <w:bookmarkEnd w:id="778"/>
      <w:bookmarkEnd w:id="779"/>
    </w:p>
    <w:p w14:paraId="16CD17F5">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47B3A80">
      <w:pPr>
        <w:numPr>
          <w:ilvl w:val="1"/>
          <w:numId w:val="13"/>
        </w:numPr>
        <w:tabs>
          <w:tab w:val="left" w:pos="1080"/>
        </w:tabs>
        <w:snapToGrid w:val="0"/>
        <w:spacing w:line="360" w:lineRule="auto"/>
        <w:ind w:left="1077" w:hanging="720"/>
        <w:rPr>
          <w:sz w:val="24"/>
        </w:rPr>
      </w:pPr>
      <w:r>
        <w:rPr>
          <w:sz w:val="24"/>
        </w:rPr>
        <w:t>评标方法和评标标准</w:t>
      </w:r>
    </w:p>
    <w:p w14:paraId="245F0DDE">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2FCDA6FF">
      <w:pPr>
        <w:tabs>
          <w:tab w:val="left" w:pos="900"/>
          <w:tab w:val="left" w:pos="1589"/>
          <w:tab w:val="left" w:pos="1701"/>
        </w:tabs>
        <w:snapToGrid w:val="0"/>
        <w:spacing w:line="360" w:lineRule="auto"/>
        <w:ind w:left="1985"/>
        <w:rPr>
          <w:rFonts w:hint="eastAsia" w:asciiTheme="minorEastAsia" w:hAnsiTheme="minorEastAsia" w:eastAsiaTheme="minorEastAsia"/>
          <w:sz w:val="24"/>
        </w:rPr>
      </w:pPr>
      <w:r>
        <w:rPr>
          <w:rFonts w:asciiTheme="minorEastAsia" w:hAnsiTheme="minorEastAsia" w:eastAsiaTheme="minorEastAsia"/>
          <w:color w:val="EE0000"/>
          <w:sz w:val="24"/>
        </w:rPr>
        <w:sym w:font="Wingdings 2" w:char="F0A2"/>
      </w:r>
      <w:r>
        <w:rPr>
          <w:rFonts w:asciiTheme="minorEastAsia" w:hAnsiTheme="minorEastAsia" w:eastAsiaTheme="minorEastAsia"/>
          <w:color w:val="EE0000"/>
          <w:sz w:val="24"/>
        </w:rPr>
        <w:t>综合评分法，</w:t>
      </w:r>
      <w:r>
        <w:rPr>
          <w:rFonts w:asciiTheme="minorEastAsia" w:hAnsiTheme="minorEastAsia" w:eastAsiaTheme="minorEastAsia"/>
          <w:sz w:val="24"/>
        </w:rPr>
        <w:t>指投标文件满足招标文件全部实质性要求，且按照评审因素的量化指标评审得分最高的投标人为中标候选人的评标方法，见《评标标准》，招标文件中没有规定的评标标准不得作为评审的依据。</w:t>
      </w:r>
    </w:p>
    <w:p w14:paraId="081B3508">
      <w:pPr>
        <w:tabs>
          <w:tab w:val="left" w:pos="900"/>
          <w:tab w:val="left" w:pos="1589"/>
          <w:tab w:val="left" w:pos="1701"/>
        </w:tabs>
        <w:snapToGrid w:val="0"/>
        <w:spacing w:line="360" w:lineRule="auto"/>
        <w:ind w:left="1985"/>
        <w:rPr>
          <w:rFonts w:hint="eastAsia" w:asciiTheme="minorEastAsia" w:hAnsiTheme="minorEastAsia" w:eastAsiaTheme="minorEastAsia"/>
          <w:sz w:val="24"/>
        </w:rPr>
      </w:pPr>
      <w:r>
        <w:rPr>
          <w:rFonts w:asciiTheme="minorEastAsia" w:hAnsiTheme="minorEastAsia" w:eastAsiaTheme="minorEastAsia"/>
          <w:sz w:val="24"/>
        </w:rPr>
        <w:t>□最低评标价法，指投标文件满足招标文件全部实质性要求，且投标报价最低的投标人为中标候选人的评标方法。</w:t>
      </w:r>
    </w:p>
    <w:p w14:paraId="5FFCF298">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87F768A">
      <w:pPr>
        <w:tabs>
          <w:tab w:val="left" w:pos="1080"/>
          <w:tab w:val="left" w:pos="1589"/>
          <w:tab w:val="left" w:pos="2035"/>
        </w:tabs>
        <w:snapToGrid w:val="0"/>
        <w:spacing w:line="360" w:lineRule="auto"/>
        <w:ind w:left="2035"/>
        <w:rPr>
          <w:rFonts w:hint="eastAsia" w:asciiTheme="minorEastAsia" w:hAnsiTheme="minorEastAsia" w:eastAsiaTheme="minorEastAsia"/>
          <w:color w:val="EE0000"/>
          <w:sz w:val="24"/>
        </w:rPr>
      </w:pPr>
      <w:r>
        <w:rPr>
          <w:rFonts w:asciiTheme="minorEastAsia" w:hAnsiTheme="minorEastAsia" w:eastAsiaTheme="minorEastAsia"/>
          <w:color w:val="EE0000"/>
          <w:sz w:val="24"/>
        </w:rPr>
        <w:t>□随机抽取</w:t>
      </w:r>
    </w:p>
    <w:p w14:paraId="13114C06">
      <w:pPr>
        <w:tabs>
          <w:tab w:val="left" w:pos="1080"/>
          <w:tab w:val="left" w:pos="1589"/>
          <w:tab w:val="left" w:pos="2035"/>
        </w:tabs>
        <w:snapToGrid w:val="0"/>
        <w:spacing w:line="360" w:lineRule="auto"/>
        <w:ind w:left="2035"/>
        <w:rPr>
          <w:rFonts w:hint="eastAsia" w:asciiTheme="minorEastAsia" w:hAnsiTheme="minorEastAsia" w:eastAsiaTheme="minorEastAsia"/>
          <w:color w:val="EE0000"/>
          <w:sz w:val="24"/>
          <w:u w:val="single"/>
        </w:rPr>
      </w:pPr>
      <w:r>
        <w:rPr>
          <w:rFonts w:asciiTheme="minorEastAsia" w:hAnsiTheme="minorEastAsia" w:eastAsiaTheme="minorEastAsia"/>
          <w:color w:val="EE0000"/>
          <w:sz w:val="24"/>
        </w:rPr>
        <w:t>□其他方式，具体要求：_____</w:t>
      </w:r>
    </w:p>
    <w:p w14:paraId="36AE184D">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lang w:val="en-US" w:eastAsia="zh-CN"/>
        </w:rPr>
        <w:t>/</w:t>
      </w:r>
      <w:r>
        <w:rPr>
          <w:sz w:val="24"/>
        </w:rPr>
        <w:t>__。</w:t>
      </w:r>
    </w:p>
    <w:p w14:paraId="6A485091">
      <w:pPr>
        <w:numPr>
          <w:ilvl w:val="0"/>
          <w:numId w:val="13"/>
        </w:numPr>
        <w:tabs>
          <w:tab w:val="left" w:pos="360"/>
        </w:tabs>
        <w:snapToGrid w:val="0"/>
        <w:spacing w:line="360" w:lineRule="auto"/>
        <w:outlineLvl w:val="1"/>
        <w:rPr>
          <w:sz w:val="24"/>
        </w:rPr>
      </w:pPr>
      <w:r>
        <w:rPr>
          <w:sz w:val="24"/>
        </w:rPr>
        <w:t>确定</w:t>
      </w:r>
      <w:bookmarkStart w:id="796" w:name="_Toc151193934"/>
      <w:bookmarkStart w:id="797" w:name="_Toc127161460"/>
      <w:bookmarkStart w:id="798" w:name="_Toc127151747"/>
      <w:bookmarkStart w:id="799" w:name="_Toc264969236"/>
      <w:bookmarkStart w:id="800" w:name="_Toc142311048"/>
      <w:bookmarkStart w:id="801" w:name="_Toc149720839"/>
      <w:bookmarkStart w:id="802" w:name="_Toc151193860"/>
      <w:bookmarkStart w:id="803" w:name="_Toc226965736"/>
      <w:bookmarkStart w:id="804" w:name="_Toc520356170"/>
      <w:bookmarkStart w:id="805" w:name="_Toc226337242"/>
      <w:bookmarkStart w:id="806" w:name="_Toc164608660"/>
      <w:bookmarkStart w:id="807" w:name="_Toc151193716"/>
      <w:bookmarkStart w:id="808" w:name="_Toc164229241"/>
      <w:bookmarkStart w:id="809" w:name="_Toc226309790"/>
      <w:bookmarkStart w:id="810" w:name="_Toc265228384"/>
      <w:bookmarkStart w:id="811" w:name="_Toc226965819"/>
      <w:bookmarkStart w:id="812" w:name="_Toc150480784"/>
      <w:bookmarkStart w:id="813" w:name="_Toc151193644"/>
      <w:bookmarkStart w:id="814" w:name="_Toc151190173"/>
      <w:bookmarkStart w:id="815" w:name="_Toc164351640"/>
      <w:bookmarkStart w:id="816" w:name="_Toc305158814"/>
      <w:bookmarkStart w:id="817" w:name="_Toc150774751"/>
      <w:bookmarkStart w:id="818" w:name="_Toc127151546"/>
      <w:bookmarkStart w:id="819" w:name="_Toc164608815"/>
      <w:bookmarkStart w:id="820" w:name="_Toc150774646"/>
      <w:bookmarkStart w:id="821" w:name="_Toc151193788"/>
      <w:bookmarkStart w:id="822" w:name="_Ref467307010"/>
      <w:bookmarkStart w:id="823" w:name="_Toc164229387"/>
      <w:bookmarkStart w:id="824" w:name="_Toc150509297"/>
      <w:bookmarkStart w:id="825" w:name="_Toc305158888"/>
      <w:bookmarkStart w:id="826" w:name="_Toc195842911"/>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2C94D6B5">
      <w:pPr>
        <w:numPr>
          <w:ilvl w:val="1"/>
          <w:numId w:val="13"/>
        </w:numPr>
        <w:tabs>
          <w:tab w:val="left" w:pos="1080"/>
        </w:tabs>
        <w:snapToGrid w:val="0"/>
        <w:spacing w:line="360" w:lineRule="auto"/>
        <w:ind w:left="1077" w:hanging="720"/>
        <w:rPr>
          <w:color w:val="auto"/>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w:t>
      </w:r>
      <w:r>
        <w:rPr>
          <w:color w:val="auto"/>
          <w:sz w:val="24"/>
        </w:rPr>
        <w:t>相同的，评标委员会按照下述规定确定一个投标人获得中标人推荐资格，其他同品牌投标人不作为中标候选人。</w:t>
      </w:r>
    </w:p>
    <w:p w14:paraId="02DB9AB4">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□随机抽取</w:t>
      </w:r>
    </w:p>
    <w:p w14:paraId="36F24EFD">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□其他方式，具体要求：</w:t>
      </w:r>
    </w:p>
    <w:p w14:paraId="316C80DE">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1、按照参与评审的投标报价最低的作为中标候选人；</w:t>
      </w:r>
    </w:p>
    <w:p w14:paraId="7B55CDFB">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2、报价相同的，按照技术部分得分最高的作为中标候选人；</w:t>
      </w:r>
    </w:p>
    <w:p w14:paraId="0F482023">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3、报价、技术得分均相同的，按照商务部分得分由最高的作为中标候选人。</w:t>
      </w:r>
    </w:p>
    <w:p w14:paraId="2BB1DEE0">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4、报价、技术、商务得分均相同的，随机抽取。</w:t>
      </w:r>
    </w:p>
    <w:p w14:paraId="3E76B8D4">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9E29E95">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4C5989E">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822FD81">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所有满足招标文件全部实质性要求的投标人为</w:t>
      </w:r>
      <w:r>
        <w:rPr>
          <w:sz w:val="24"/>
        </w:rPr>
        <w:t>中标候选人。</w:t>
      </w:r>
    </w:p>
    <w:p w14:paraId="194200FF">
      <w:pPr>
        <w:numPr>
          <w:ilvl w:val="0"/>
          <w:numId w:val="13"/>
        </w:numPr>
        <w:tabs>
          <w:tab w:val="left" w:pos="360"/>
        </w:tabs>
        <w:snapToGrid w:val="0"/>
        <w:spacing w:line="360" w:lineRule="auto"/>
        <w:outlineLvl w:val="1"/>
        <w:rPr>
          <w:sz w:val="24"/>
        </w:rPr>
      </w:pPr>
      <w:r>
        <w:rPr>
          <w:sz w:val="24"/>
        </w:rPr>
        <w:t>报告违法行为</w:t>
      </w:r>
    </w:p>
    <w:p w14:paraId="39A7C63A">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1FDA04">
      <w:pPr>
        <w:widowControl/>
        <w:jc w:val="left"/>
        <w:rPr>
          <w:b/>
          <w:sz w:val="24"/>
        </w:rPr>
      </w:pPr>
      <w:r>
        <w:rPr>
          <w:b/>
          <w:sz w:val="24"/>
        </w:rPr>
        <w:br w:type="page"/>
      </w:r>
    </w:p>
    <w:p w14:paraId="07C2BD8B">
      <w:pPr>
        <w:tabs>
          <w:tab w:val="left" w:pos="360"/>
          <w:tab w:val="left" w:pos="900"/>
        </w:tabs>
        <w:snapToGrid w:val="0"/>
        <w:spacing w:line="360" w:lineRule="auto"/>
        <w:jc w:val="center"/>
        <w:outlineLvl w:val="1"/>
        <w:rPr>
          <w:sz w:val="24"/>
        </w:rPr>
      </w:pPr>
      <w:r>
        <w:rPr>
          <w:b/>
          <w:sz w:val="24"/>
        </w:rPr>
        <w:t>二、评标标准</w:t>
      </w: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00"/>
        <w:gridCol w:w="1275"/>
        <w:gridCol w:w="4584"/>
        <w:gridCol w:w="1834"/>
      </w:tblGrid>
      <w:tr w14:paraId="5089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DED71B1">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1100" w:type="dxa"/>
            <w:vAlign w:val="center"/>
          </w:tcPr>
          <w:p w14:paraId="5969B6F5">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评分因素</w:t>
            </w:r>
          </w:p>
        </w:tc>
        <w:tc>
          <w:tcPr>
            <w:tcW w:w="1275" w:type="dxa"/>
            <w:vAlign w:val="center"/>
          </w:tcPr>
          <w:p w14:paraId="0F946F2C">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分值</w:t>
            </w:r>
          </w:p>
        </w:tc>
        <w:tc>
          <w:tcPr>
            <w:tcW w:w="4584" w:type="dxa"/>
            <w:vAlign w:val="center"/>
          </w:tcPr>
          <w:p w14:paraId="5BDFE91C">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评分标准</w:t>
            </w:r>
          </w:p>
        </w:tc>
        <w:tc>
          <w:tcPr>
            <w:tcW w:w="1834" w:type="dxa"/>
            <w:vAlign w:val="center"/>
          </w:tcPr>
          <w:p w14:paraId="7CA4D22A">
            <w:pPr>
              <w:pStyle w:val="245"/>
              <w:spacing w:before="0" w:after="0" w:line="240" w:lineRule="auto"/>
              <w:rPr>
                <w:rFonts w:hint="eastAsia" w:ascii="宋体" w:hAnsi="宋体" w:eastAsia="宋体" w:cs="宋体"/>
                <w:b w:val="0"/>
                <w:bCs/>
                <w:sz w:val="21"/>
                <w:szCs w:val="21"/>
              </w:rPr>
            </w:pPr>
            <w:r>
              <w:rPr>
                <w:rFonts w:hint="eastAsia" w:ascii="宋体" w:hAnsi="宋体" w:eastAsia="宋体" w:cs="宋体"/>
                <w:b w:val="0"/>
                <w:bCs/>
                <w:sz w:val="21"/>
                <w:szCs w:val="21"/>
              </w:rPr>
              <w:t>说明</w:t>
            </w:r>
          </w:p>
        </w:tc>
      </w:tr>
      <w:tr w14:paraId="3976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628" w:type="dxa"/>
            <w:gridSpan w:val="5"/>
            <w:vAlign w:val="center"/>
          </w:tcPr>
          <w:p w14:paraId="59462D68">
            <w:pPr>
              <w:pStyle w:val="245"/>
              <w:spacing w:before="0" w:after="0" w:line="24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价格评审</w:t>
            </w:r>
          </w:p>
        </w:tc>
      </w:tr>
      <w:tr w14:paraId="61FB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35" w:type="dxa"/>
            <w:vAlign w:val="center"/>
          </w:tcPr>
          <w:p w14:paraId="4B41EDF0">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100" w:type="dxa"/>
            <w:vAlign w:val="center"/>
          </w:tcPr>
          <w:p w14:paraId="6E411A7B">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价格部分</w:t>
            </w:r>
          </w:p>
        </w:tc>
        <w:tc>
          <w:tcPr>
            <w:tcW w:w="1275" w:type="dxa"/>
            <w:vAlign w:val="center"/>
          </w:tcPr>
          <w:p w14:paraId="63A9608A">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w:t>
            </w:r>
          </w:p>
        </w:tc>
        <w:tc>
          <w:tcPr>
            <w:tcW w:w="4584" w:type="dxa"/>
            <w:vAlign w:val="center"/>
          </w:tcPr>
          <w:p w14:paraId="6E79250C">
            <w:pPr>
              <w:ind w:firstLine="28"/>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满足</w:t>
            </w:r>
            <w:r>
              <w:rPr>
                <w:rFonts w:hint="eastAsia" w:ascii="宋体" w:hAnsi="宋体" w:eastAsia="宋体" w:cs="宋体"/>
                <w:b w:val="0"/>
                <w:bCs/>
                <w:sz w:val="21"/>
                <w:szCs w:val="21"/>
                <w:lang w:val="en-US" w:eastAsia="zh-CN"/>
              </w:rPr>
              <w:t>招标</w:t>
            </w:r>
            <w:r>
              <w:rPr>
                <w:rFonts w:hint="eastAsia" w:ascii="宋体" w:hAnsi="宋体" w:eastAsia="宋体" w:cs="宋体"/>
                <w:b w:val="0"/>
                <w:bCs/>
                <w:sz w:val="21"/>
                <w:szCs w:val="21"/>
              </w:rPr>
              <w:t>文件要求且价格最低的绿色电力固定价格套餐单价评审基准价，价格得分=(评审基准价／</w:t>
            </w:r>
            <w:r>
              <w:rPr>
                <w:rFonts w:hint="eastAsia" w:ascii="宋体" w:hAnsi="宋体" w:cs="宋体"/>
                <w:b w:val="0"/>
                <w:bCs/>
                <w:sz w:val="21"/>
                <w:szCs w:val="21"/>
                <w:lang w:val="en-US" w:eastAsia="zh-CN"/>
              </w:rPr>
              <w:t>报价</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0×权重。</w:t>
            </w:r>
          </w:p>
        </w:tc>
        <w:tc>
          <w:tcPr>
            <w:tcW w:w="1834" w:type="dxa"/>
            <w:vAlign w:val="center"/>
          </w:tcPr>
          <w:p w14:paraId="5EA2E0E9">
            <w:pPr>
              <w:pStyle w:val="245"/>
              <w:spacing w:before="0" w:after="0" w:line="24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w:t>
            </w:r>
          </w:p>
        </w:tc>
      </w:tr>
      <w:tr w14:paraId="5925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vAlign w:val="center"/>
          </w:tcPr>
          <w:p w14:paraId="2F870206">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商务评审</w:t>
            </w:r>
          </w:p>
        </w:tc>
      </w:tr>
      <w:tr w14:paraId="27E9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6701584B">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100" w:type="dxa"/>
            <w:vAlign w:val="center"/>
          </w:tcPr>
          <w:p w14:paraId="20577E73">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类似业绩</w:t>
            </w:r>
          </w:p>
        </w:tc>
        <w:tc>
          <w:tcPr>
            <w:tcW w:w="1275" w:type="dxa"/>
            <w:vAlign w:val="center"/>
          </w:tcPr>
          <w:p w14:paraId="66544DA1">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4584" w:type="dxa"/>
            <w:vAlign w:val="center"/>
          </w:tcPr>
          <w:p w14:paraId="1863D7EB">
            <w:pPr>
              <w:jc w:val="left"/>
              <w:rPr>
                <w:rFonts w:hint="eastAsia" w:ascii="宋体" w:hAnsi="宋体" w:eastAsia="宋体" w:cs="宋体"/>
                <w:b w:val="0"/>
                <w:bCs/>
                <w:sz w:val="21"/>
                <w:szCs w:val="21"/>
              </w:rPr>
            </w:pPr>
            <w:r>
              <w:rPr>
                <w:rFonts w:hint="eastAsia" w:ascii="宋体" w:hAnsi="宋体" w:eastAsia="宋体" w:cs="宋体"/>
                <w:b w:val="0"/>
                <w:bCs/>
                <w:sz w:val="21"/>
                <w:szCs w:val="21"/>
              </w:rPr>
              <w:t>投标人自2022年9月1日至投标截止日具有类似绿电售电服务项目案例，每个案例得5分，最多10分注:</w:t>
            </w:r>
          </w:p>
          <w:p w14:paraId="5869A490">
            <w:pPr>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注：</w:t>
            </w:r>
            <w:r>
              <w:rPr>
                <w:rFonts w:hint="eastAsia" w:ascii="宋体" w:hAnsi="宋体" w:eastAsia="宋体" w:cs="宋体"/>
                <w:b w:val="0"/>
                <w:bCs/>
                <w:sz w:val="21"/>
                <w:szCs w:val="21"/>
              </w:rPr>
              <w:t>投标人需提供案例采购合同复印件(至少应包括合同首页、内容页、签字盖章页)作为证明业绩证明材料，如未提供业绩证明材料或提供的材料不齐全的，业绩将不予认可</w:t>
            </w:r>
            <w:r>
              <w:rPr>
                <w:rFonts w:hint="eastAsia" w:ascii="宋体" w:hAnsi="宋体" w:eastAsia="宋体" w:cs="宋体"/>
                <w:b w:val="0"/>
                <w:bCs/>
                <w:sz w:val="21"/>
                <w:szCs w:val="21"/>
                <w:lang w:val="en-US" w:eastAsia="zh-CN"/>
              </w:rPr>
              <w:t>.</w:t>
            </w:r>
          </w:p>
        </w:tc>
        <w:tc>
          <w:tcPr>
            <w:tcW w:w="1834" w:type="dxa"/>
            <w:vAlign w:val="center"/>
          </w:tcPr>
          <w:p w14:paraId="4BCBCCD7">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r>
      <w:tr w14:paraId="00CA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vAlign w:val="center"/>
          </w:tcPr>
          <w:p w14:paraId="6CF58B40">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技术评审</w:t>
            </w:r>
          </w:p>
        </w:tc>
      </w:tr>
      <w:tr w14:paraId="6BAB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restart"/>
            <w:vAlign w:val="center"/>
          </w:tcPr>
          <w:p w14:paraId="2C84D475">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100" w:type="dxa"/>
            <w:vMerge w:val="restart"/>
            <w:vAlign w:val="center"/>
          </w:tcPr>
          <w:p w14:paraId="0EF25C8C">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协助公共机构入市服务方案</w:t>
            </w:r>
          </w:p>
          <w:p w14:paraId="193157FF">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(15分）</w:t>
            </w:r>
          </w:p>
        </w:tc>
        <w:tc>
          <w:tcPr>
            <w:tcW w:w="1275" w:type="dxa"/>
            <w:vAlign w:val="center"/>
          </w:tcPr>
          <w:p w14:paraId="3BA7C8F8">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用电量方案</w:t>
            </w:r>
          </w:p>
        </w:tc>
        <w:tc>
          <w:tcPr>
            <w:tcW w:w="4584" w:type="dxa"/>
            <w:vAlign w:val="center"/>
          </w:tcPr>
          <w:p w14:paraId="56449789">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投标人根据本项目</w:t>
            </w:r>
            <w:r>
              <w:rPr>
                <w:rFonts w:hint="eastAsia" w:ascii="宋体" w:hAnsi="宋体" w:eastAsia="宋体" w:cs="宋体"/>
                <w:b w:val="0"/>
                <w:bCs/>
                <w:sz w:val="21"/>
                <w:szCs w:val="21"/>
              </w:rPr>
              <w:t>采购包内公共机构用电情况进行调查，协助预估用电量方案</w:t>
            </w:r>
            <w:r>
              <w:rPr>
                <w:rFonts w:hint="eastAsia" w:ascii="宋体" w:hAnsi="宋体" w:eastAsia="宋体" w:cs="宋体"/>
                <w:b w:val="0"/>
                <w:bCs/>
                <w:sz w:val="21"/>
                <w:szCs w:val="21"/>
                <w:lang w:eastAsia="zh-CN"/>
              </w:rPr>
              <w:t>：</w:t>
            </w:r>
          </w:p>
          <w:p w14:paraId="4C8F97A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3BE72DD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4BA86AC3">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0DDAC07C">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486FB2A2">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c>
          <w:tcPr>
            <w:tcW w:w="1834" w:type="dxa"/>
            <w:vAlign w:val="center"/>
          </w:tcPr>
          <w:p w14:paraId="54DC757E">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66A6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2B73DB94">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21F583D1">
            <w:pPr>
              <w:ind w:firstLine="28"/>
              <w:jc w:val="center"/>
              <w:rPr>
                <w:rFonts w:hint="eastAsia" w:ascii="宋体" w:hAnsi="宋体" w:eastAsia="宋体" w:cs="宋体"/>
                <w:b w:val="0"/>
                <w:bCs/>
                <w:sz w:val="21"/>
                <w:szCs w:val="21"/>
                <w:lang w:val="en-US" w:eastAsia="zh-CN"/>
              </w:rPr>
            </w:pPr>
          </w:p>
        </w:tc>
        <w:tc>
          <w:tcPr>
            <w:tcW w:w="1275" w:type="dxa"/>
            <w:vAlign w:val="center"/>
          </w:tcPr>
          <w:p w14:paraId="510051B0">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协助公共机构完善入市手续方案</w:t>
            </w:r>
          </w:p>
        </w:tc>
        <w:tc>
          <w:tcPr>
            <w:tcW w:w="4584" w:type="dxa"/>
            <w:vAlign w:val="center"/>
          </w:tcPr>
          <w:p w14:paraId="5A08D51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投标人根据本项目需求提供</w:t>
            </w:r>
            <w:r>
              <w:rPr>
                <w:rFonts w:hint="eastAsia" w:ascii="宋体" w:hAnsi="宋体" w:eastAsia="宋体" w:cs="宋体"/>
                <w:b w:val="0"/>
                <w:bCs/>
                <w:sz w:val="21"/>
                <w:szCs w:val="21"/>
              </w:rPr>
              <w:t>协助公共机构完善入市手续方案</w:t>
            </w:r>
            <w:r>
              <w:rPr>
                <w:rFonts w:hint="eastAsia" w:ascii="宋体" w:hAnsi="宋体" w:eastAsia="宋体" w:cs="宋体"/>
                <w:b w:val="0"/>
                <w:bCs/>
                <w:sz w:val="21"/>
                <w:szCs w:val="21"/>
                <w:lang w:eastAsia="zh-CN"/>
              </w:rPr>
              <w:t>：</w:t>
            </w:r>
          </w:p>
          <w:p w14:paraId="58CC8B7C">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3723B1C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3FB77B87">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692C269E">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5AA6F03F">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c>
          <w:tcPr>
            <w:tcW w:w="1834" w:type="dxa"/>
            <w:vAlign w:val="center"/>
          </w:tcPr>
          <w:p w14:paraId="05BDE2E4">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3581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5974F1C8">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33BD5AF6">
            <w:pPr>
              <w:ind w:firstLine="28"/>
              <w:jc w:val="center"/>
              <w:rPr>
                <w:rFonts w:hint="eastAsia" w:ascii="宋体" w:hAnsi="宋体" w:eastAsia="宋体" w:cs="宋体"/>
                <w:b w:val="0"/>
                <w:bCs/>
                <w:sz w:val="21"/>
                <w:szCs w:val="21"/>
                <w:lang w:val="en-US" w:eastAsia="zh-CN"/>
              </w:rPr>
            </w:pPr>
          </w:p>
        </w:tc>
        <w:tc>
          <w:tcPr>
            <w:tcW w:w="1275" w:type="dxa"/>
            <w:vAlign w:val="center"/>
          </w:tcPr>
          <w:p w14:paraId="0B458531">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协助公共机构在属地供电部门登记备案措施</w:t>
            </w:r>
          </w:p>
        </w:tc>
        <w:tc>
          <w:tcPr>
            <w:tcW w:w="4584" w:type="dxa"/>
            <w:vAlign w:val="center"/>
          </w:tcPr>
          <w:p w14:paraId="3037E96B">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投标人根据本项目需求</w:t>
            </w:r>
            <w:r>
              <w:rPr>
                <w:rFonts w:hint="eastAsia" w:ascii="宋体" w:hAnsi="宋体" w:eastAsia="宋体" w:cs="宋体"/>
                <w:b w:val="0"/>
                <w:bCs/>
                <w:sz w:val="21"/>
                <w:szCs w:val="21"/>
                <w:lang w:val="en-US" w:eastAsia="zh-CN"/>
              </w:rPr>
              <w:t>提供</w:t>
            </w:r>
            <w:r>
              <w:rPr>
                <w:rFonts w:hint="eastAsia" w:ascii="宋体" w:hAnsi="宋体" w:eastAsia="宋体" w:cs="宋体"/>
                <w:b w:val="0"/>
                <w:bCs/>
                <w:sz w:val="21"/>
                <w:szCs w:val="21"/>
              </w:rPr>
              <w:t>协助公共机构在属地供电部门登记备案措施</w:t>
            </w:r>
            <w:r>
              <w:rPr>
                <w:rFonts w:hint="eastAsia" w:ascii="宋体" w:hAnsi="宋体" w:eastAsia="宋体" w:cs="宋体"/>
                <w:b w:val="0"/>
                <w:bCs/>
                <w:sz w:val="21"/>
                <w:szCs w:val="21"/>
                <w:lang w:val="en-US" w:eastAsia="zh-CN"/>
              </w:rPr>
              <w:t>方案</w:t>
            </w:r>
            <w:r>
              <w:rPr>
                <w:rFonts w:hint="eastAsia" w:ascii="宋体" w:hAnsi="宋体" w:eastAsia="宋体" w:cs="宋体"/>
                <w:b w:val="0"/>
                <w:bCs/>
                <w:sz w:val="21"/>
                <w:szCs w:val="21"/>
                <w:lang w:eastAsia="zh-CN"/>
              </w:rPr>
              <w:t>：</w:t>
            </w:r>
          </w:p>
          <w:p w14:paraId="12072A2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43F67E0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55EE533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6755FF9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689C2E10">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c>
          <w:tcPr>
            <w:tcW w:w="1834" w:type="dxa"/>
            <w:vAlign w:val="center"/>
          </w:tcPr>
          <w:p w14:paraId="1A3868BB">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5881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835" w:type="dxa"/>
            <w:vMerge w:val="restart"/>
            <w:vAlign w:val="center"/>
          </w:tcPr>
          <w:p w14:paraId="239CF319">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1100" w:type="dxa"/>
            <w:vMerge w:val="restart"/>
            <w:vAlign w:val="center"/>
          </w:tcPr>
          <w:p w14:paraId="2B8F5CCE">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电量交易服务方案</w:t>
            </w:r>
          </w:p>
        </w:tc>
        <w:tc>
          <w:tcPr>
            <w:tcW w:w="1275" w:type="dxa"/>
            <w:vAlign w:val="center"/>
          </w:tcPr>
          <w:p w14:paraId="52185FC8">
            <w:pPr>
              <w:ind w:firstLine="28"/>
              <w:jc w:val="center"/>
              <w:rPr>
                <w:rFonts w:hint="eastAsia" w:ascii="宋体" w:hAnsi="宋体" w:eastAsia="宋体" w:cs="宋体"/>
                <w:b w:val="0"/>
                <w:bCs/>
                <w:sz w:val="21"/>
                <w:szCs w:val="21"/>
              </w:rPr>
            </w:pPr>
            <w:r>
              <w:rPr>
                <w:rFonts w:hint="eastAsia" w:ascii="宋体" w:hAnsi="宋体" w:eastAsia="宋体" w:cs="宋体"/>
                <w:b w:val="0"/>
                <w:bCs/>
                <w:color w:val="auto"/>
                <w:kern w:val="2"/>
                <w:sz w:val="21"/>
                <w:szCs w:val="21"/>
                <w:highlight w:val="none"/>
                <w:lang w:val="en-US" w:eastAsia="zh-CN" w:bidi="ar-SA"/>
              </w:rPr>
              <w:t>绿色电力售电服务方案</w:t>
            </w:r>
          </w:p>
        </w:tc>
        <w:tc>
          <w:tcPr>
            <w:tcW w:w="4584" w:type="dxa"/>
            <w:vAlign w:val="center"/>
          </w:tcPr>
          <w:p w14:paraId="2D719721">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投标人根据本项目需求</w:t>
            </w:r>
            <w:r>
              <w:rPr>
                <w:rFonts w:hint="eastAsia" w:ascii="宋体" w:hAnsi="宋体" w:eastAsia="宋体" w:cs="宋体"/>
                <w:b w:val="0"/>
                <w:bCs/>
                <w:sz w:val="21"/>
                <w:szCs w:val="21"/>
                <w:lang w:val="en-US" w:eastAsia="zh-CN"/>
              </w:rPr>
              <w:t>提供</w:t>
            </w:r>
            <w:r>
              <w:rPr>
                <w:rFonts w:hint="eastAsia" w:ascii="宋体" w:hAnsi="宋体" w:eastAsia="宋体" w:cs="宋体"/>
                <w:b w:val="0"/>
                <w:bCs/>
                <w:color w:val="auto"/>
                <w:kern w:val="2"/>
                <w:sz w:val="21"/>
                <w:szCs w:val="21"/>
                <w:highlight w:val="none"/>
                <w:lang w:val="en-US" w:eastAsia="zh-CN" w:bidi="ar-SA"/>
              </w:rPr>
              <w:t>绿色电力售电服务方案</w:t>
            </w:r>
            <w:r>
              <w:rPr>
                <w:rFonts w:hint="eastAsia" w:ascii="宋体" w:hAnsi="宋体" w:eastAsia="宋体" w:cs="宋体"/>
                <w:b w:val="0"/>
                <w:bCs/>
                <w:sz w:val="21"/>
                <w:szCs w:val="21"/>
                <w:lang w:eastAsia="zh-CN"/>
              </w:rPr>
              <w:t>：</w:t>
            </w:r>
          </w:p>
          <w:p w14:paraId="1BA55E5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cs="宋体"/>
                <w:b w:val="0"/>
                <w:bCs/>
                <w:sz w:val="21"/>
                <w:szCs w:val="21"/>
                <w:lang w:val="en-US" w:eastAsia="zh-CN"/>
              </w:rPr>
              <w:t>10</w:t>
            </w:r>
            <w:r>
              <w:rPr>
                <w:rFonts w:hint="eastAsia" w:ascii="宋体" w:hAnsi="宋体" w:eastAsia="宋体" w:cs="宋体"/>
                <w:b w:val="0"/>
                <w:bCs/>
                <w:sz w:val="21"/>
                <w:szCs w:val="21"/>
                <w:lang w:eastAsia="zh-CN"/>
              </w:rPr>
              <w:t>分；</w:t>
            </w:r>
          </w:p>
          <w:p w14:paraId="3E442B91">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cs="宋体"/>
                <w:b w:val="0"/>
                <w:bCs/>
                <w:sz w:val="21"/>
                <w:szCs w:val="21"/>
                <w:lang w:val="en-US" w:eastAsia="zh-CN"/>
              </w:rPr>
              <w:t>7</w:t>
            </w:r>
            <w:r>
              <w:rPr>
                <w:rFonts w:hint="eastAsia" w:ascii="宋体" w:hAnsi="宋体" w:eastAsia="宋体" w:cs="宋体"/>
                <w:b w:val="0"/>
                <w:bCs/>
                <w:sz w:val="21"/>
                <w:szCs w:val="21"/>
                <w:lang w:eastAsia="zh-CN"/>
              </w:rPr>
              <w:t>分；</w:t>
            </w:r>
          </w:p>
          <w:p w14:paraId="48E934A0">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 xml:space="preserve">分； </w:t>
            </w:r>
          </w:p>
          <w:p w14:paraId="4A57C96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2071EBB0">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（5）未提供或完全不可行的，得0分。</w:t>
            </w:r>
          </w:p>
        </w:tc>
        <w:tc>
          <w:tcPr>
            <w:tcW w:w="1834" w:type="dxa"/>
            <w:vAlign w:val="center"/>
          </w:tcPr>
          <w:p w14:paraId="4105B492">
            <w:pPr>
              <w:ind w:left="-38"/>
              <w:rPr>
                <w:rFonts w:hint="eastAsia" w:ascii="宋体" w:hAnsi="宋体" w:eastAsia="宋体" w:cs="宋体"/>
                <w:b w:val="0"/>
                <w:bCs/>
                <w:sz w:val="21"/>
                <w:szCs w:val="21"/>
              </w:rPr>
            </w:pPr>
          </w:p>
          <w:p w14:paraId="032CDF9C">
            <w:pPr>
              <w:bidi w:val="0"/>
              <w:rPr>
                <w:rFonts w:hint="eastAsia" w:ascii="宋体" w:hAnsi="宋体" w:eastAsia="宋体" w:cs="宋体"/>
                <w:b w:val="0"/>
                <w:bCs/>
                <w:kern w:val="2"/>
                <w:sz w:val="21"/>
                <w:szCs w:val="21"/>
                <w:lang w:val="en-US" w:eastAsia="zh-CN" w:bidi="ar-SA"/>
              </w:rPr>
            </w:pPr>
          </w:p>
          <w:p w14:paraId="502A80AF">
            <w:pPr>
              <w:bidi w:val="0"/>
              <w:rPr>
                <w:rFonts w:hint="eastAsia" w:ascii="宋体" w:hAnsi="宋体" w:eastAsia="宋体" w:cs="宋体"/>
                <w:b w:val="0"/>
                <w:bCs/>
                <w:sz w:val="21"/>
                <w:szCs w:val="21"/>
                <w:lang w:val="en-US" w:eastAsia="zh-CN"/>
              </w:rPr>
            </w:pPr>
          </w:p>
          <w:p w14:paraId="25DD8FE3">
            <w:pPr>
              <w:bidi w:val="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10</w:t>
            </w:r>
          </w:p>
        </w:tc>
      </w:tr>
      <w:tr w14:paraId="0AE3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5090CFF1">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2CD12B6D">
            <w:pPr>
              <w:ind w:firstLine="28"/>
              <w:jc w:val="center"/>
              <w:rPr>
                <w:rFonts w:hint="eastAsia" w:ascii="宋体" w:hAnsi="宋体" w:eastAsia="宋体" w:cs="宋体"/>
                <w:b w:val="0"/>
                <w:bCs/>
                <w:sz w:val="21"/>
                <w:szCs w:val="21"/>
                <w:lang w:val="en-US" w:eastAsia="zh-CN"/>
              </w:rPr>
            </w:pPr>
          </w:p>
        </w:tc>
        <w:tc>
          <w:tcPr>
            <w:tcW w:w="1275" w:type="dxa"/>
            <w:vAlign w:val="center"/>
          </w:tcPr>
          <w:p w14:paraId="39F805C8">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补偿方案</w:t>
            </w:r>
          </w:p>
        </w:tc>
        <w:tc>
          <w:tcPr>
            <w:tcW w:w="4584" w:type="dxa"/>
            <w:vAlign w:val="center"/>
          </w:tcPr>
          <w:p w14:paraId="120E0645">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投标人根据本项目需求</w:t>
            </w:r>
            <w:r>
              <w:rPr>
                <w:rFonts w:hint="eastAsia" w:ascii="宋体" w:hAnsi="宋体" w:eastAsia="宋体" w:cs="宋体"/>
                <w:b w:val="0"/>
                <w:bCs/>
                <w:sz w:val="21"/>
                <w:szCs w:val="21"/>
                <w:lang w:val="en-US" w:eastAsia="zh-CN"/>
              </w:rPr>
              <w:t>提供</w:t>
            </w:r>
            <w:r>
              <w:rPr>
                <w:rFonts w:hint="eastAsia" w:ascii="宋体" w:hAnsi="宋体" w:eastAsia="宋体" w:cs="宋体"/>
                <w:b w:val="0"/>
                <w:bCs/>
                <w:sz w:val="21"/>
                <w:szCs w:val="21"/>
              </w:rPr>
              <w:t>补偿方案</w:t>
            </w:r>
            <w:r>
              <w:rPr>
                <w:rFonts w:hint="eastAsia" w:ascii="宋体" w:hAnsi="宋体" w:eastAsia="宋体" w:cs="宋体"/>
                <w:b w:val="0"/>
                <w:bCs/>
                <w:sz w:val="21"/>
                <w:szCs w:val="21"/>
                <w:lang w:eastAsia="zh-CN"/>
              </w:rPr>
              <w:t>：</w:t>
            </w:r>
          </w:p>
          <w:p w14:paraId="4DA134AF">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2A9B1C89">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77A98A7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37B1258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493A8053">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（5）未提供或完全不可行的，得0分。</w:t>
            </w:r>
          </w:p>
        </w:tc>
        <w:tc>
          <w:tcPr>
            <w:tcW w:w="1834" w:type="dxa"/>
            <w:vAlign w:val="center"/>
          </w:tcPr>
          <w:p w14:paraId="14AB091E">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6ABF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5" w:type="dxa"/>
            <w:vAlign w:val="center"/>
          </w:tcPr>
          <w:p w14:paraId="26520271">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100" w:type="dxa"/>
            <w:vAlign w:val="center"/>
          </w:tcPr>
          <w:p w14:paraId="68D87308">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color w:val="auto"/>
                <w:kern w:val="2"/>
                <w:sz w:val="21"/>
                <w:szCs w:val="21"/>
                <w:highlight w:val="none"/>
                <w:lang w:val="en-US" w:eastAsia="zh-CN" w:bidi="ar-SA"/>
              </w:rPr>
              <w:t>团队人员</w:t>
            </w:r>
            <w:r>
              <w:rPr>
                <w:rFonts w:hint="eastAsia" w:ascii="宋体" w:hAnsi="宋体" w:eastAsia="宋体" w:cs="宋体"/>
                <w:b w:val="0"/>
                <w:bCs/>
                <w:sz w:val="21"/>
                <w:szCs w:val="21"/>
                <w:lang w:val="en-US" w:eastAsia="zh-CN"/>
              </w:rPr>
              <w:t>配置及管理方案</w:t>
            </w:r>
          </w:p>
        </w:tc>
        <w:tc>
          <w:tcPr>
            <w:tcW w:w="1275" w:type="dxa"/>
            <w:vAlign w:val="center"/>
          </w:tcPr>
          <w:p w14:paraId="06132F00">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人员配置及管理方案</w:t>
            </w:r>
          </w:p>
        </w:tc>
        <w:tc>
          <w:tcPr>
            <w:tcW w:w="4584" w:type="dxa"/>
            <w:vAlign w:val="center"/>
          </w:tcPr>
          <w:p w14:paraId="38D7633F">
            <w:pPr>
              <w:rPr>
                <w:rFonts w:hint="eastAsia" w:ascii="宋体" w:hAnsi="宋体" w:eastAsia="宋体" w:cs="宋体"/>
                <w:b w:val="0"/>
                <w:bCs/>
                <w:sz w:val="21"/>
                <w:szCs w:val="21"/>
              </w:rPr>
            </w:pPr>
            <w:r>
              <w:rPr>
                <w:rFonts w:hint="eastAsia" w:ascii="宋体" w:hAnsi="宋体" w:eastAsia="宋体" w:cs="宋体"/>
                <w:b w:val="0"/>
                <w:bCs/>
                <w:sz w:val="21"/>
                <w:szCs w:val="21"/>
              </w:rPr>
              <w:t>根据投标人提供的“团队人员</w:t>
            </w:r>
            <w:r>
              <w:rPr>
                <w:rFonts w:hint="eastAsia" w:ascii="宋体" w:hAnsi="宋体" w:eastAsia="宋体" w:cs="宋体"/>
                <w:b w:val="0"/>
                <w:bCs/>
                <w:sz w:val="21"/>
                <w:szCs w:val="21"/>
                <w:lang w:val="en-US" w:eastAsia="zh-CN"/>
              </w:rPr>
              <w:t>配置及管理</w:t>
            </w:r>
            <w:r>
              <w:rPr>
                <w:rFonts w:hint="eastAsia" w:ascii="宋体" w:hAnsi="宋体" w:eastAsia="宋体" w:cs="宋体"/>
                <w:b w:val="0"/>
                <w:bCs/>
                <w:sz w:val="21"/>
                <w:szCs w:val="21"/>
              </w:rPr>
              <w:t>方案”含但不限于合理制定团队人员分工、人员变动及保密等工作预案</w:t>
            </w:r>
          </w:p>
          <w:p w14:paraId="46CD5746">
            <w:pPr>
              <w:rPr>
                <w:rFonts w:hint="eastAsia" w:ascii="宋体" w:hAnsi="宋体" w:eastAsia="宋体" w:cs="宋体"/>
                <w:b w:val="0"/>
                <w:bCs/>
                <w:sz w:val="21"/>
                <w:szCs w:val="21"/>
              </w:rPr>
            </w:pPr>
            <w:r>
              <w:rPr>
                <w:rFonts w:hint="eastAsia" w:ascii="宋体" w:hAnsi="宋体" w:eastAsia="宋体" w:cs="宋体"/>
                <w:b w:val="0"/>
                <w:bCs/>
                <w:sz w:val="21"/>
                <w:szCs w:val="21"/>
              </w:rPr>
              <w:t>（1）人员分工及配置方案详细，团队组织架构完善、合理，职责分工明确、有针对性，人员具备专业的服务能力的，得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分；</w:t>
            </w:r>
          </w:p>
          <w:p w14:paraId="52288A6B">
            <w:pPr>
              <w:rPr>
                <w:rFonts w:hint="eastAsia" w:ascii="宋体" w:hAnsi="宋体" w:eastAsia="宋体" w:cs="宋体"/>
                <w:b w:val="0"/>
                <w:bCs/>
                <w:sz w:val="21"/>
                <w:szCs w:val="21"/>
              </w:rPr>
            </w:pPr>
            <w:r>
              <w:rPr>
                <w:rFonts w:hint="eastAsia" w:ascii="宋体" w:hAnsi="宋体" w:eastAsia="宋体" w:cs="宋体"/>
                <w:b w:val="0"/>
                <w:bCs/>
                <w:sz w:val="21"/>
                <w:szCs w:val="21"/>
              </w:rPr>
              <w:t xml:space="preserve">（2）人员配置方案完整，团队组织架构合理，职责分工明确，人员具备服务能力的，得 </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分；</w:t>
            </w:r>
          </w:p>
          <w:p w14:paraId="6BA2B260">
            <w:pPr>
              <w:rPr>
                <w:rFonts w:hint="eastAsia" w:ascii="宋体" w:hAnsi="宋体" w:eastAsia="宋体" w:cs="宋体"/>
                <w:b w:val="0"/>
                <w:bCs/>
                <w:sz w:val="21"/>
                <w:szCs w:val="21"/>
              </w:rPr>
            </w:pPr>
            <w:r>
              <w:rPr>
                <w:rFonts w:hint="eastAsia" w:ascii="宋体" w:hAnsi="宋体" w:eastAsia="宋体" w:cs="宋体"/>
                <w:b w:val="0"/>
                <w:bCs/>
                <w:sz w:val="21"/>
                <w:szCs w:val="21"/>
              </w:rPr>
              <w:t xml:space="preserve">（3）人员配置方案基本完整，团队组织架构及职责分工为通用性、普适性方案，人员具备基本服务能力的，得 </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分；</w:t>
            </w:r>
          </w:p>
          <w:p w14:paraId="0857F986">
            <w:pPr>
              <w:rPr>
                <w:rFonts w:hint="eastAsia" w:ascii="宋体" w:hAnsi="宋体" w:eastAsia="宋体" w:cs="宋体"/>
                <w:b w:val="0"/>
                <w:bCs/>
                <w:sz w:val="21"/>
                <w:szCs w:val="21"/>
              </w:rPr>
            </w:pPr>
            <w:r>
              <w:rPr>
                <w:rFonts w:hint="eastAsia" w:ascii="宋体" w:hAnsi="宋体" w:eastAsia="宋体" w:cs="宋体"/>
                <w:b w:val="0"/>
                <w:bCs/>
                <w:sz w:val="21"/>
                <w:szCs w:val="21"/>
              </w:rPr>
              <w:t>（4）人员配置方案存在欠缺，团队组织架构存在缺陷、职责分工不明确，人员能力无法完全胜任的，得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w:t>
            </w:r>
          </w:p>
          <w:p w14:paraId="249C8E5B">
            <w:pPr>
              <w:rPr>
                <w:rFonts w:hint="eastAsia" w:ascii="宋体" w:hAnsi="宋体" w:eastAsia="宋体" w:cs="宋体"/>
                <w:b w:val="0"/>
                <w:bCs/>
                <w:sz w:val="21"/>
                <w:szCs w:val="21"/>
              </w:rPr>
            </w:pPr>
            <w:r>
              <w:rPr>
                <w:rFonts w:hint="eastAsia" w:ascii="宋体" w:hAnsi="宋体" w:eastAsia="宋体" w:cs="宋体"/>
                <w:b w:val="0"/>
                <w:bCs/>
                <w:sz w:val="21"/>
                <w:szCs w:val="21"/>
              </w:rPr>
              <w:t>（5）未提供或完全不可行的，得0分。</w:t>
            </w:r>
          </w:p>
        </w:tc>
        <w:tc>
          <w:tcPr>
            <w:tcW w:w="1834" w:type="dxa"/>
            <w:vAlign w:val="center"/>
          </w:tcPr>
          <w:p w14:paraId="62722011">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7437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0549103">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1100" w:type="dxa"/>
            <w:vAlign w:val="center"/>
          </w:tcPr>
          <w:p w14:paraId="5A925027">
            <w:pPr>
              <w:ind w:firstLine="28"/>
              <w:jc w:val="center"/>
              <w:rPr>
                <w:rFonts w:hint="eastAsia" w:ascii="宋体" w:hAnsi="宋体" w:eastAsia="宋体" w:cs="宋体"/>
                <w:b w:val="0"/>
                <w:bCs/>
                <w:sz w:val="21"/>
                <w:szCs w:val="21"/>
                <w:lang w:val="en-US" w:eastAsia="zh-CN"/>
              </w:rPr>
            </w:pPr>
            <w:r>
              <w:rPr>
                <w:rFonts w:hint="eastAsia" w:ascii="宋体" w:hAnsi="宋体" w:cs="宋体"/>
                <w:b w:val="0"/>
                <w:bCs/>
                <w:color w:val="auto"/>
                <w:kern w:val="2"/>
                <w:sz w:val="21"/>
                <w:szCs w:val="21"/>
                <w:highlight w:val="none"/>
                <w:lang w:val="en-US" w:eastAsia="zh-CN" w:bidi="ar-SA"/>
              </w:rPr>
              <w:t>应</w:t>
            </w:r>
            <w:r>
              <w:rPr>
                <w:rFonts w:hint="eastAsia" w:ascii="宋体" w:hAnsi="宋体" w:eastAsia="宋体" w:cs="宋体"/>
                <w:b w:val="0"/>
                <w:bCs/>
                <w:color w:val="auto"/>
                <w:kern w:val="2"/>
                <w:sz w:val="21"/>
                <w:szCs w:val="21"/>
                <w:highlight w:val="none"/>
                <w:lang w:val="en-US" w:eastAsia="zh-CN" w:bidi="ar-SA"/>
              </w:rPr>
              <w:t>急事件响应方案</w:t>
            </w:r>
          </w:p>
        </w:tc>
        <w:tc>
          <w:tcPr>
            <w:tcW w:w="1275" w:type="dxa"/>
            <w:vAlign w:val="center"/>
          </w:tcPr>
          <w:p w14:paraId="71B18C45">
            <w:pPr>
              <w:ind w:firstLine="28"/>
              <w:jc w:val="center"/>
              <w:rPr>
                <w:rFonts w:hint="eastAsia" w:ascii="宋体" w:hAnsi="宋体" w:eastAsia="宋体" w:cs="宋体"/>
                <w:b w:val="0"/>
                <w:bCs/>
                <w:sz w:val="21"/>
                <w:szCs w:val="21"/>
              </w:rPr>
            </w:pPr>
            <w:r>
              <w:rPr>
                <w:rFonts w:hint="eastAsia" w:ascii="宋体" w:hAnsi="宋体" w:cs="宋体"/>
                <w:b w:val="0"/>
                <w:bCs/>
                <w:color w:val="auto"/>
                <w:kern w:val="2"/>
                <w:sz w:val="21"/>
                <w:szCs w:val="21"/>
                <w:highlight w:val="none"/>
                <w:lang w:val="en-US" w:eastAsia="zh-CN" w:bidi="ar-SA"/>
              </w:rPr>
              <w:t>应</w:t>
            </w:r>
            <w:r>
              <w:rPr>
                <w:rFonts w:hint="eastAsia" w:ascii="宋体" w:hAnsi="宋体" w:eastAsia="宋体" w:cs="宋体"/>
                <w:b w:val="0"/>
                <w:bCs/>
                <w:color w:val="auto"/>
                <w:kern w:val="2"/>
                <w:sz w:val="21"/>
                <w:szCs w:val="21"/>
                <w:highlight w:val="none"/>
                <w:lang w:val="en-US" w:eastAsia="zh-CN" w:bidi="ar-SA"/>
              </w:rPr>
              <w:t>急事件响应方案</w:t>
            </w:r>
          </w:p>
        </w:tc>
        <w:tc>
          <w:tcPr>
            <w:tcW w:w="4584" w:type="dxa"/>
            <w:vAlign w:val="center"/>
          </w:tcPr>
          <w:p w14:paraId="4E965833">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投标人需提供应急事件响应方案，包含但不限于因投标人原因影响供电时处置措施、无法按合同约定提供足量绿电时处理预案、预估用电量出现较大变化时应急预案。</w:t>
            </w:r>
          </w:p>
          <w:p w14:paraId="48C5C6A5">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（1）对可能出现的突发情况或事件考虑全面，响应迅速，应对方案和处理措施完善、科学、合理，可操作性、针对性强的，得5分； </w:t>
            </w:r>
          </w:p>
          <w:p w14:paraId="35CF95CF">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（2）对可能出现的突发情况或事件考虑基本全面，响应快速，应对方案和处理措施完整、合理、可行，有一定针对性的，得3分； </w:t>
            </w:r>
          </w:p>
          <w:p w14:paraId="69F50105">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（3）对可能出现的突发情况或事件有所考虑，响应及时，应对方案和处理措施可行，但为通用性普遍性方案，仍需进一步完善的，得2分；</w:t>
            </w:r>
          </w:p>
          <w:p w14:paraId="12705012">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（4）对可能出现的突发情况或事件有所考虑，响应不及时，应对方案和处理措施不完整，仍需大幅度完善的，得1分； </w:t>
            </w:r>
          </w:p>
          <w:p w14:paraId="7BA94285">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（5）未提供或完全不可行的，得0分。</w:t>
            </w:r>
          </w:p>
        </w:tc>
        <w:tc>
          <w:tcPr>
            <w:tcW w:w="1834" w:type="dxa"/>
            <w:vAlign w:val="center"/>
          </w:tcPr>
          <w:p w14:paraId="0B7CB9B2">
            <w:pPr>
              <w:ind w:left="-38"/>
              <w:rPr>
                <w:rFonts w:hint="eastAsia" w:ascii="宋体" w:hAnsi="宋体" w:eastAsia="宋体" w:cs="宋体"/>
                <w:b w:val="0"/>
                <w:bCs/>
                <w:sz w:val="21"/>
                <w:szCs w:val="21"/>
              </w:rPr>
            </w:pPr>
          </w:p>
          <w:p w14:paraId="36007C5B">
            <w:pPr>
              <w:bidi w:val="0"/>
              <w:rPr>
                <w:rFonts w:hint="eastAsia" w:ascii="Times New Roman" w:hAnsi="Times New Roman" w:eastAsia="宋体" w:cs="Times New Roman"/>
                <w:kern w:val="2"/>
                <w:sz w:val="21"/>
                <w:szCs w:val="24"/>
                <w:lang w:val="en-US" w:eastAsia="zh-CN" w:bidi="ar-SA"/>
              </w:rPr>
            </w:pPr>
          </w:p>
          <w:p w14:paraId="3705375F">
            <w:pPr>
              <w:bidi w:val="0"/>
              <w:rPr>
                <w:rFonts w:hint="eastAsia"/>
                <w:lang w:val="en-US" w:eastAsia="zh-CN"/>
              </w:rPr>
            </w:pPr>
          </w:p>
          <w:p w14:paraId="2B6156C1">
            <w:pPr>
              <w:bidi w:val="0"/>
              <w:rPr>
                <w:rFonts w:hint="eastAsia"/>
                <w:lang w:val="en-US" w:eastAsia="zh-CN"/>
              </w:rPr>
            </w:pPr>
          </w:p>
          <w:p w14:paraId="4077EF1A">
            <w:pPr>
              <w:bidi w:val="0"/>
              <w:jc w:val="center"/>
              <w:rPr>
                <w:rFonts w:hint="default"/>
                <w:lang w:val="en-US" w:eastAsia="zh-CN"/>
              </w:rPr>
            </w:pPr>
            <w:r>
              <w:rPr>
                <w:rFonts w:hint="eastAsia"/>
                <w:lang w:val="en-US" w:eastAsia="zh-CN"/>
              </w:rPr>
              <w:t>5</w:t>
            </w:r>
          </w:p>
        </w:tc>
      </w:tr>
      <w:tr w14:paraId="0A87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5AE4728C">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1100" w:type="dxa"/>
            <w:vAlign w:val="center"/>
          </w:tcPr>
          <w:p w14:paraId="4A5D33B1">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color w:val="auto"/>
                <w:kern w:val="2"/>
                <w:sz w:val="21"/>
                <w:szCs w:val="21"/>
                <w:highlight w:val="none"/>
                <w:lang w:val="en-US" w:eastAsia="zh-CN" w:bidi="ar-SA"/>
              </w:rPr>
              <w:t>售后服务方案</w:t>
            </w:r>
          </w:p>
        </w:tc>
        <w:tc>
          <w:tcPr>
            <w:tcW w:w="1275" w:type="dxa"/>
            <w:vAlign w:val="center"/>
          </w:tcPr>
          <w:p w14:paraId="07ABF753">
            <w:pPr>
              <w:ind w:firstLine="28"/>
              <w:jc w:val="center"/>
              <w:rPr>
                <w:rFonts w:hint="eastAsia" w:ascii="宋体" w:hAnsi="宋体" w:eastAsia="宋体" w:cs="宋体"/>
                <w:b w:val="0"/>
                <w:bCs/>
                <w:sz w:val="21"/>
                <w:szCs w:val="21"/>
              </w:rPr>
            </w:pPr>
            <w:r>
              <w:rPr>
                <w:rFonts w:hint="eastAsia" w:ascii="宋体" w:hAnsi="宋体" w:eastAsia="宋体" w:cs="宋体"/>
                <w:b w:val="0"/>
                <w:bCs/>
                <w:color w:val="auto"/>
                <w:kern w:val="2"/>
                <w:sz w:val="21"/>
                <w:szCs w:val="21"/>
                <w:highlight w:val="none"/>
                <w:lang w:val="en-US" w:eastAsia="zh-CN" w:bidi="ar-SA"/>
              </w:rPr>
              <w:t>售后服务方案</w:t>
            </w:r>
          </w:p>
        </w:tc>
        <w:tc>
          <w:tcPr>
            <w:tcW w:w="4584" w:type="dxa"/>
            <w:vAlign w:val="center"/>
          </w:tcPr>
          <w:p w14:paraId="23500A31">
            <w:pPr>
              <w:rPr>
                <w:rFonts w:hint="eastAsia" w:ascii="宋体" w:hAnsi="宋体" w:eastAsia="宋体" w:cs="宋体"/>
                <w:b w:val="0"/>
                <w:bCs/>
                <w:sz w:val="21"/>
                <w:szCs w:val="21"/>
              </w:rPr>
            </w:pPr>
            <w:r>
              <w:rPr>
                <w:rFonts w:hint="eastAsia" w:ascii="宋体" w:hAnsi="宋体" w:eastAsia="宋体" w:cs="宋体"/>
                <w:b w:val="0"/>
                <w:bCs/>
                <w:sz w:val="21"/>
                <w:szCs w:val="21"/>
              </w:rPr>
              <w:t>投标人需提供售后服务方案，包含但不限于电力保障、用电安全、节约用电、碳资产管理、提供单一制改两部制咨询、用电数据分析，并提供可提供相关服务的佐证材料。</w:t>
            </w:r>
          </w:p>
          <w:p w14:paraId="67B43A67">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cs="宋体"/>
                <w:b w:val="0"/>
                <w:bCs/>
                <w:sz w:val="21"/>
                <w:szCs w:val="21"/>
                <w:lang w:val="en-US" w:eastAsia="zh-CN"/>
              </w:rPr>
              <w:t>10</w:t>
            </w:r>
            <w:r>
              <w:rPr>
                <w:rFonts w:hint="eastAsia" w:ascii="宋体" w:hAnsi="宋体" w:eastAsia="宋体" w:cs="宋体"/>
                <w:b w:val="0"/>
                <w:bCs/>
                <w:sz w:val="21"/>
                <w:szCs w:val="21"/>
                <w:lang w:eastAsia="zh-CN"/>
              </w:rPr>
              <w:t>分；</w:t>
            </w:r>
          </w:p>
          <w:p w14:paraId="6FC4AFE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cs="宋体"/>
                <w:b w:val="0"/>
                <w:bCs/>
                <w:sz w:val="21"/>
                <w:szCs w:val="21"/>
                <w:lang w:val="en-US" w:eastAsia="zh-CN"/>
              </w:rPr>
              <w:t>7</w:t>
            </w:r>
            <w:r>
              <w:rPr>
                <w:rFonts w:hint="eastAsia" w:ascii="宋体" w:hAnsi="宋体" w:eastAsia="宋体" w:cs="宋体"/>
                <w:b w:val="0"/>
                <w:bCs/>
                <w:sz w:val="21"/>
                <w:szCs w:val="21"/>
                <w:lang w:eastAsia="zh-CN"/>
              </w:rPr>
              <w:t>分；</w:t>
            </w:r>
          </w:p>
          <w:p w14:paraId="01D36E4E">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 xml:space="preserve">分； </w:t>
            </w:r>
          </w:p>
          <w:p w14:paraId="1512995F">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7C127A86">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（5）未提供或完全不可行的，得0分。</w:t>
            </w:r>
          </w:p>
        </w:tc>
        <w:tc>
          <w:tcPr>
            <w:tcW w:w="1834" w:type="dxa"/>
            <w:vAlign w:val="center"/>
          </w:tcPr>
          <w:p w14:paraId="3B74EA30">
            <w:pPr>
              <w:ind w:left="-38"/>
              <w:rPr>
                <w:rFonts w:hint="eastAsia" w:ascii="宋体" w:hAnsi="宋体" w:eastAsia="宋体" w:cs="宋体"/>
                <w:b w:val="0"/>
                <w:bCs/>
                <w:sz w:val="21"/>
                <w:szCs w:val="21"/>
              </w:rPr>
            </w:pPr>
          </w:p>
          <w:p w14:paraId="431A8797">
            <w:pPr>
              <w:bidi w:val="0"/>
              <w:jc w:val="center"/>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10</w:t>
            </w:r>
          </w:p>
        </w:tc>
      </w:tr>
      <w:tr w14:paraId="27FC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835" w:type="dxa"/>
            <w:vAlign w:val="center"/>
          </w:tcPr>
          <w:p w14:paraId="39551267">
            <w:pPr>
              <w:ind w:firstLine="28"/>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6</w:t>
            </w:r>
          </w:p>
        </w:tc>
        <w:tc>
          <w:tcPr>
            <w:tcW w:w="1100" w:type="dxa"/>
            <w:vAlign w:val="center"/>
          </w:tcPr>
          <w:p w14:paraId="04AA9E7B">
            <w:pPr>
              <w:ind w:firstLine="28"/>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服务承诺</w:t>
            </w:r>
          </w:p>
        </w:tc>
        <w:tc>
          <w:tcPr>
            <w:tcW w:w="1275" w:type="dxa"/>
            <w:vAlign w:val="center"/>
          </w:tcPr>
          <w:p w14:paraId="2BEB598C">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用电数据分析服务</w:t>
            </w:r>
            <w:r>
              <w:rPr>
                <w:rFonts w:hint="eastAsia" w:ascii="宋体" w:hAnsi="宋体" w:eastAsia="宋体" w:cs="宋体"/>
                <w:b w:val="0"/>
                <w:bCs/>
                <w:color w:val="auto"/>
                <w:kern w:val="2"/>
                <w:sz w:val="21"/>
                <w:szCs w:val="21"/>
                <w:highlight w:val="none"/>
                <w:lang w:val="en-US" w:eastAsia="zh-CN" w:bidi="ar-SA"/>
              </w:rPr>
              <w:t>承诺</w:t>
            </w:r>
          </w:p>
        </w:tc>
        <w:tc>
          <w:tcPr>
            <w:tcW w:w="4584" w:type="dxa"/>
            <w:vAlign w:val="center"/>
          </w:tcPr>
          <w:p w14:paraId="0E1CDE21">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w:t>
            </w:r>
            <w:r>
              <w:rPr>
                <w:rFonts w:hint="eastAsia" w:ascii="宋体" w:hAnsi="宋体" w:eastAsia="宋体" w:cs="宋体"/>
                <w:b w:val="0"/>
                <w:bCs/>
                <w:sz w:val="21"/>
                <w:szCs w:val="21"/>
                <w:lang w:val="en-US" w:eastAsia="zh-CN"/>
              </w:rPr>
              <w:t>承诺如中标为采购人</w:t>
            </w:r>
            <w:r>
              <w:rPr>
                <w:rFonts w:hint="eastAsia" w:ascii="宋体" w:hAnsi="宋体" w:eastAsia="宋体" w:cs="宋体"/>
                <w:b w:val="0"/>
                <w:bCs/>
                <w:sz w:val="21"/>
                <w:szCs w:val="21"/>
              </w:rPr>
              <w:t>提供用电数据分析服务，定期向采购人提供用电报告，包括用电量、绿电比例、碳排放减少量等</w:t>
            </w:r>
            <w:r>
              <w:rPr>
                <w:rFonts w:hint="eastAsia" w:ascii="宋体" w:hAnsi="宋体" w:eastAsia="宋体" w:cs="宋体"/>
                <w:b w:val="0"/>
                <w:bCs/>
                <w:sz w:val="21"/>
                <w:szCs w:val="21"/>
                <w:lang w:eastAsia="zh-CN"/>
              </w:rPr>
              <w:t>。</w:t>
            </w:r>
          </w:p>
          <w:p w14:paraId="49162D27">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投标人提供承诺函得</w:t>
            </w:r>
            <w:r>
              <w:rPr>
                <w:rFonts w:hint="eastAsia" w:ascii="宋体" w:hAnsi="宋体" w:cs="宋体"/>
                <w:b w:val="0"/>
                <w:bCs/>
                <w:sz w:val="21"/>
                <w:szCs w:val="21"/>
                <w:lang w:val="en-US" w:eastAsia="zh-CN"/>
              </w:rPr>
              <w:t>10</w:t>
            </w:r>
            <w:r>
              <w:rPr>
                <w:rFonts w:hint="eastAsia" w:ascii="宋体" w:hAnsi="宋体" w:eastAsia="宋体" w:cs="宋体"/>
                <w:b w:val="0"/>
                <w:bCs/>
                <w:sz w:val="21"/>
                <w:szCs w:val="21"/>
                <w:lang w:val="en-US" w:eastAsia="zh-CN"/>
              </w:rPr>
              <w:t>分，未提供承诺函或承诺函内容不全/模糊不清则不得分。</w:t>
            </w:r>
          </w:p>
        </w:tc>
        <w:tc>
          <w:tcPr>
            <w:tcW w:w="1834" w:type="dxa"/>
            <w:vAlign w:val="center"/>
          </w:tcPr>
          <w:p w14:paraId="73D664DF">
            <w:pPr>
              <w:ind w:left="-38"/>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10</w:t>
            </w:r>
          </w:p>
        </w:tc>
      </w:tr>
      <w:tr w14:paraId="6358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gridSpan w:val="2"/>
            <w:vAlign w:val="center"/>
          </w:tcPr>
          <w:p w14:paraId="0B1CFFD4">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合计</w:t>
            </w:r>
          </w:p>
        </w:tc>
        <w:tc>
          <w:tcPr>
            <w:tcW w:w="1275" w:type="dxa"/>
            <w:vAlign w:val="center"/>
          </w:tcPr>
          <w:p w14:paraId="722FFD08">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100</w:t>
            </w:r>
          </w:p>
        </w:tc>
        <w:tc>
          <w:tcPr>
            <w:tcW w:w="6418" w:type="dxa"/>
            <w:gridSpan w:val="2"/>
            <w:vAlign w:val="center"/>
          </w:tcPr>
          <w:p w14:paraId="410FC1E3">
            <w:pPr>
              <w:rPr>
                <w:rFonts w:hint="eastAsia" w:ascii="宋体" w:hAnsi="宋体" w:eastAsia="宋体" w:cs="宋体"/>
                <w:b w:val="0"/>
                <w:bCs/>
                <w:sz w:val="21"/>
                <w:szCs w:val="21"/>
              </w:rPr>
            </w:pPr>
          </w:p>
        </w:tc>
      </w:tr>
    </w:tbl>
    <w:p w14:paraId="0610EAC8">
      <w:pPr>
        <w:widowControl/>
        <w:jc w:val="left"/>
        <w:rPr>
          <w:b/>
          <w:sz w:val="36"/>
          <w:szCs w:val="36"/>
        </w:rPr>
      </w:pPr>
    </w:p>
    <w:p w14:paraId="5BDF5044">
      <w:pPr>
        <w:spacing w:line="360" w:lineRule="auto"/>
        <w:jc w:val="center"/>
        <w:outlineLvl w:val="0"/>
        <w:rPr>
          <w:b/>
          <w:sz w:val="36"/>
          <w:szCs w:val="36"/>
        </w:rPr>
      </w:pPr>
      <w:r>
        <w:rPr>
          <w:b/>
          <w:sz w:val="36"/>
          <w:szCs w:val="36"/>
        </w:rPr>
        <w:br w:type="page"/>
      </w:r>
      <w:bookmarkStart w:id="827" w:name="_Toc99301424"/>
      <w:r>
        <w:rPr>
          <w:b/>
          <w:sz w:val="36"/>
          <w:szCs w:val="36"/>
        </w:rPr>
        <w:t>第五章   采购需求</w:t>
      </w:r>
      <w:bookmarkEnd w:id="827"/>
    </w:p>
    <w:p w14:paraId="2AE521EE">
      <w:pPr>
        <w:keepNext/>
        <w:keepLines/>
        <w:widowControl w:val="0"/>
        <w:numPr>
          <w:ilvl w:val="0"/>
          <w:numId w:val="8"/>
        </w:numPr>
        <w:adjustRightInd w:val="0"/>
        <w:snapToGrid w:val="0"/>
        <w:spacing w:line="360" w:lineRule="auto"/>
        <w:ind w:left="964" w:hanging="964"/>
        <w:jc w:val="center"/>
        <w:outlineLvl w:val="1"/>
        <w:rPr>
          <w:rFonts w:hint="eastAsia" w:ascii="宋体" w:hAnsi="宋体" w:eastAsia="宋体" w:cs="宋体"/>
          <w:b/>
          <w:bCs/>
          <w:kern w:val="0"/>
          <w:sz w:val="32"/>
          <w:szCs w:val="32"/>
          <w:lang w:val="en-US" w:eastAsia="zh-CN" w:bidi="ar-SA"/>
        </w:rPr>
      </w:pPr>
      <w:bookmarkStart w:id="828" w:name="_Toc21767"/>
      <w:r>
        <w:rPr>
          <w:rFonts w:hint="eastAsia" w:ascii="宋体" w:hAnsi="宋体" w:eastAsia="宋体" w:cs="宋体"/>
          <w:b/>
          <w:bCs/>
          <w:kern w:val="0"/>
          <w:sz w:val="32"/>
          <w:szCs w:val="32"/>
          <w:lang w:val="en-US" w:eastAsia="zh-CN" w:bidi="ar-SA"/>
        </w:rPr>
        <w:t>采购需求一览表</w:t>
      </w:r>
      <w:bookmarkEnd w:id="828"/>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433"/>
        <w:gridCol w:w="1566"/>
        <w:gridCol w:w="917"/>
        <w:gridCol w:w="3938"/>
      </w:tblGrid>
      <w:tr w14:paraId="4C58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77FEC105">
            <w:pPr>
              <w:jc w:val="center"/>
              <w:rPr>
                <w:rFonts w:hint="eastAsia" w:ascii="宋体" w:hAnsi="宋体" w:eastAsia="宋体" w:cs="宋体"/>
                <w:bCs/>
                <w:szCs w:val="21"/>
              </w:rPr>
            </w:pPr>
            <w:r>
              <w:rPr>
                <w:rFonts w:hint="eastAsia" w:ascii="宋体" w:hAnsi="宋体" w:eastAsia="宋体" w:cs="宋体"/>
                <w:bCs/>
                <w:szCs w:val="21"/>
              </w:rPr>
              <w:t>包号</w:t>
            </w:r>
          </w:p>
        </w:tc>
        <w:tc>
          <w:tcPr>
            <w:tcW w:w="842" w:type="pct"/>
            <w:vAlign w:val="center"/>
          </w:tcPr>
          <w:p w14:paraId="6A138F89">
            <w:pPr>
              <w:jc w:val="center"/>
              <w:rPr>
                <w:rFonts w:hint="eastAsia" w:ascii="宋体" w:hAnsi="宋体" w:eastAsia="宋体" w:cs="宋体"/>
                <w:bCs/>
                <w:szCs w:val="21"/>
              </w:rPr>
            </w:pPr>
            <w:r>
              <w:rPr>
                <w:rFonts w:hint="eastAsia" w:ascii="宋体" w:hAnsi="宋体" w:eastAsia="宋体" w:cs="宋体"/>
                <w:bCs/>
                <w:szCs w:val="21"/>
              </w:rPr>
              <w:t>标的名称</w:t>
            </w:r>
          </w:p>
        </w:tc>
        <w:tc>
          <w:tcPr>
            <w:tcW w:w="920" w:type="pct"/>
            <w:vAlign w:val="center"/>
          </w:tcPr>
          <w:p w14:paraId="4B6EB913">
            <w:pPr>
              <w:jc w:val="center"/>
              <w:rPr>
                <w:rFonts w:hint="eastAsia" w:ascii="宋体" w:hAnsi="宋体" w:eastAsia="宋体" w:cs="宋体"/>
                <w:bCs/>
                <w:szCs w:val="21"/>
              </w:rPr>
            </w:pPr>
            <w:r>
              <w:rPr>
                <w:rFonts w:hint="eastAsia" w:ascii="宋体" w:hAnsi="宋体" w:eastAsia="宋体" w:cs="宋体"/>
                <w:bCs/>
                <w:szCs w:val="21"/>
              </w:rPr>
              <w:t>采购包</w:t>
            </w:r>
          </w:p>
          <w:p w14:paraId="14C18E0E">
            <w:pPr>
              <w:jc w:val="center"/>
              <w:rPr>
                <w:rFonts w:hint="eastAsia" w:ascii="宋体" w:hAnsi="宋体" w:eastAsia="宋体" w:cs="宋体"/>
                <w:bCs/>
                <w:szCs w:val="21"/>
              </w:rPr>
            </w:pPr>
            <w:r>
              <w:rPr>
                <w:rFonts w:hint="eastAsia" w:ascii="宋体" w:hAnsi="宋体" w:eastAsia="宋体" w:cs="宋体"/>
                <w:bCs/>
                <w:szCs w:val="21"/>
              </w:rPr>
              <w:t>预算金额</w:t>
            </w:r>
          </w:p>
          <w:p w14:paraId="470DF349">
            <w:pPr>
              <w:jc w:val="center"/>
              <w:rPr>
                <w:rFonts w:hint="eastAsia" w:ascii="宋体" w:hAnsi="宋体" w:eastAsia="宋体" w:cs="宋体"/>
                <w:bCs/>
                <w:szCs w:val="21"/>
              </w:rPr>
            </w:pPr>
            <w:r>
              <w:rPr>
                <w:rFonts w:hint="eastAsia" w:ascii="宋体" w:hAnsi="宋体" w:eastAsia="宋体" w:cs="宋体"/>
                <w:bCs/>
                <w:szCs w:val="21"/>
              </w:rPr>
              <w:t>（万元）</w:t>
            </w:r>
          </w:p>
        </w:tc>
        <w:tc>
          <w:tcPr>
            <w:tcW w:w="539" w:type="pct"/>
            <w:vAlign w:val="center"/>
          </w:tcPr>
          <w:p w14:paraId="0429F8F8">
            <w:pPr>
              <w:jc w:val="center"/>
              <w:rPr>
                <w:rFonts w:hint="eastAsia" w:ascii="宋体" w:hAnsi="宋体" w:eastAsia="宋体" w:cs="宋体"/>
                <w:bCs/>
                <w:szCs w:val="21"/>
              </w:rPr>
            </w:pPr>
            <w:r>
              <w:rPr>
                <w:rFonts w:hint="eastAsia" w:ascii="宋体" w:hAnsi="宋体" w:eastAsia="宋体" w:cs="宋体"/>
                <w:bCs/>
                <w:szCs w:val="21"/>
              </w:rPr>
              <w:t>数量</w:t>
            </w:r>
          </w:p>
        </w:tc>
        <w:tc>
          <w:tcPr>
            <w:tcW w:w="2314" w:type="pct"/>
            <w:vAlign w:val="center"/>
          </w:tcPr>
          <w:p w14:paraId="10D8C95F">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3BEE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2D7B04D2">
            <w:pPr>
              <w:jc w:val="center"/>
              <w:rPr>
                <w:rFonts w:hint="eastAsia" w:ascii="宋体" w:hAnsi="宋体" w:eastAsia="宋体" w:cs="宋体"/>
                <w:bCs/>
                <w:szCs w:val="21"/>
              </w:rPr>
            </w:pPr>
            <w:r>
              <w:rPr>
                <w:rFonts w:hint="eastAsia" w:ascii="宋体" w:hAnsi="宋体" w:eastAsia="宋体" w:cs="宋体"/>
                <w:bCs/>
                <w:szCs w:val="21"/>
              </w:rPr>
              <w:t>01</w:t>
            </w:r>
          </w:p>
        </w:tc>
        <w:tc>
          <w:tcPr>
            <w:tcW w:w="842" w:type="pct"/>
            <w:vAlign w:val="center"/>
          </w:tcPr>
          <w:p w14:paraId="37FC2190">
            <w:pPr>
              <w:jc w:val="center"/>
              <w:rPr>
                <w:rFonts w:hint="eastAsia" w:ascii="宋体" w:hAnsi="宋体" w:eastAsia="宋体" w:cs="宋体"/>
                <w:bCs/>
                <w:szCs w:val="21"/>
              </w:rPr>
            </w:pPr>
            <w:r>
              <w:rPr>
                <w:rFonts w:hint="eastAsia" w:ascii="宋体" w:hAnsi="宋体" w:eastAsia="宋体" w:cs="宋体"/>
                <w:bCs/>
                <w:szCs w:val="21"/>
              </w:rPr>
              <w:t>电力市场化交易服务</w:t>
            </w:r>
          </w:p>
        </w:tc>
        <w:tc>
          <w:tcPr>
            <w:tcW w:w="920" w:type="pct"/>
            <w:vAlign w:val="center"/>
          </w:tcPr>
          <w:p w14:paraId="05901222">
            <w:pPr>
              <w:jc w:val="center"/>
              <w:rPr>
                <w:rFonts w:hint="eastAsia" w:ascii="宋体" w:hAnsi="宋体" w:eastAsia="宋体" w:cs="宋体"/>
                <w:bCs/>
                <w:szCs w:val="21"/>
                <w:lang w:val="en-US" w:eastAsia="zh-CN"/>
              </w:rPr>
            </w:pPr>
            <w:r>
              <w:rPr>
                <w:rFonts w:hint="eastAsia" w:ascii="宋体" w:hAnsi="宋体" w:cs="宋体"/>
                <w:bCs/>
                <w:szCs w:val="21"/>
                <w:lang w:val="en-US" w:eastAsia="zh-CN"/>
              </w:rPr>
              <w:t>210</w:t>
            </w:r>
          </w:p>
        </w:tc>
        <w:tc>
          <w:tcPr>
            <w:tcW w:w="539" w:type="pct"/>
            <w:vAlign w:val="center"/>
          </w:tcPr>
          <w:p w14:paraId="78A878DA">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w:t>
            </w:r>
          </w:p>
        </w:tc>
        <w:tc>
          <w:tcPr>
            <w:tcW w:w="2314" w:type="pct"/>
            <w:vAlign w:val="center"/>
          </w:tcPr>
          <w:p w14:paraId="42F0EFA6">
            <w:pPr>
              <w:jc w:val="center"/>
              <w:rPr>
                <w:rFonts w:hint="eastAsia" w:ascii="宋体" w:hAnsi="宋体" w:eastAsia="宋体" w:cs="宋体"/>
                <w:kern w:val="0"/>
                <w:szCs w:val="21"/>
              </w:rPr>
            </w:pPr>
            <w:r>
              <w:rPr>
                <w:rFonts w:hint="eastAsia" w:ascii="宋体" w:hAnsi="宋体" w:eastAsia="宋体" w:cs="宋体"/>
                <w:kern w:val="0"/>
                <w:szCs w:val="21"/>
              </w:rPr>
              <w:t>代理电力市场化交易相关工作</w:t>
            </w:r>
          </w:p>
        </w:tc>
      </w:tr>
    </w:tbl>
    <w:p w14:paraId="04E30959">
      <w:pPr>
        <w:adjustRightInd w:val="0"/>
        <w:snapToGrid w:val="0"/>
        <w:spacing w:line="300" w:lineRule="auto"/>
        <w:rPr>
          <w:rFonts w:hint="eastAsia" w:ascii="宋体" w:hAnsi="宋体" w:eastAsia="宋体" w:cs="宋体"/>
          <w:sz w:val="24"/>
          <w:szCs w:val="21"/>
        </w:rPr>
      </w:pPr>
    </w:p>
    <w:p w14:paraId="677EE013">
      <w:pPr>
        <w:keepNext/>
        <w:keepLines/>
        <w:widowControl w:val="0"/>
        <w:numPr>
          <w:ilvl w:val="0"/>
          <w:numId w:val="8"/>
        </w:numPr>
        <w:adjustRightInd w:val="0"/>
        <w:snapToGrid w:val="0"/>
        <w:spacing w:line="360" w:lineRule="auto"/>
        <w:ind w:left="964" w:hanging="964"/>
        <w:jc w:val="center"/>
        <w:outlineLvl w:val="1"/>
        <w:rPr>
          <w:rFonts w:hint="eastAsia" w:ascii="宋体" w:hAnsi="宋体" w:eastAsia="宋体" w:cs="宋体"/>
          <w:b/>
          <w:bCs/>
          <w:kern w:val="0"/>
          <w:sz w:val="32"/>
          <w:szCs w:val="32"/>
          <w:lang w:val="en-US" w:eastAsia="zh-CN" w:bidi="ar-SA"/>
        </w:rPr>
      </w:pPr>
      <w:bookmarkStart w:id="829" w:name="_Toc16997"/>
      <w:r>
        <w:rPr>
          <w:rFonts w:hint="eastAsia" w:ascii="宋体" w:hAnsi="宋体" w:eastAsia="宋体" w:cs="宋体"/>
          <w:b/>
          <w:bCs/>
          <w:kern w:val="0"/>
          <w:sz w:val="32"/>
          <w:szCs w:val="32"/>
          <w:lang w:val="en-US" w:eastAsia="zh-CN" w:bidi="ar-SA"/>
        </w:rPr>
        <w:t>技术需求</w:t>
      </w:r>
      <w:bookmarkEnd w:id="829"/>
    </w:p>
    <w:p w14:paraId="06075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一、项目服务内容：</w:t>
      </w:r>
    </w:p>
    <w:p w14:paraId="1B59F6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1.代理电力市场化交易相关工作，包括不限于：</w:t>
      </w:r>
    </w:p>
    <w:p w14:paraId="780AC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（1）全程指导、协助办理入市、开户等电力用户注册服务；</w:t>
      </w:r>
    </w:p>
    <w:p w14:paraId="14F59C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（2）根据采购人提供的年度用电量信息（按入选方需要提供），为采购人制定年度及月度购电计划，并按计划足额购买电量；</w:t>
      </w:r>
    </w:p>
    <w:p w14:paraId="322911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（3）承担全部偏差考核；</w:t>
      </w:r>
    </w:p>
    <w:p w14:paraId="557F2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 xml:space="preserve">（4）提供专业化用电建议，告知各种导致电量浮动因素； </w:t>
      </w:r>
    </w:p>
    <w:p w14:paraId="4AC0B2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（5）根据采购人以往用电数据提供最优报价；</w:t>
      </w:r>
    </w:p>
    <w:p w14:paraId="4F882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 xml:space="preserve">（6）如实告知属地交易政策及条款，共同控制风险。实时跟进属地交易安排工作及调整，如有临时政策调整或信息变更及时告知采购人； </w:t>
      </w:r>
    </w:p>
    <w:p w14:paraId="482632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（7）交易公告及安排发出后，第一时间联系告知采购人，就交易期间的平台操作及时间节点双方进行确认，确保交易实施按时完成；</w:t>
      </w:r>
    </w:p>
    <w:p w14:paraId="2FA8F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（8）每月提供次月用电计划确认函，做好调整月度申报数据，确保电量平衡；</w:t>
      </w:r>
    </w:p>
    <w:p w14:paraId="7C620B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（9）全程指派专人配合填报各类相关文件及协议；</w:t>
      </w:r>
    </w:p>
    <w:p w14:paraId="7E52C8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w:t>
      </w:r>
      <w:r>
        <w:rPr>
          <w:rFonts w:hint="eastAsia" w:ascii="宋体" w:hAnsi="宋体" w:eastAsia="宋体" w:cs="宋体"/>
          <w:b w:val="0"/>
          <w:bCs w:val="0"/>
          <w:color w:val="auto"/>
          <w:sz w:val="21"/>
          <w:szCs w:val="21"/>
          <w:highlight w:val="none"/>
          <w:lang w:val="en-US" w:eastAsia="zh-CN"/>
        </w:rPr>
        <w:t>采购人参与电力市场化交易现状不变，供应商提供的购电服务不改变采购人方原有的用电习惯、供电模式和供电质量。原有国网供电及交费模式不变，国网无差别向采购人提供报装、计量、抄表、收费、抢修等各类供电服务。</w:t>
      </w:r>
    </w:p>
    <w:p w14:paraId="226C3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（11）增值服务，如综合能源服务、碳资产管理等。</w:t>
      </w:r>
    </w:p>
    <w:p w14:paraId="7247A9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三、服务楼宇</w:t>
      </w:r>
    </w:p>
    <w:p w14:paraId="543D80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北京市</w:t>
      </w:r>
      <w:r>
        <w:rPr>
          <w:rFonts w:hint="eastAsia"/>
          <w:highlight w:val="none"/>
          <w:lang w:val="en-US" w:eastAsia="zh-CN"/>
        </w:rPr>
        <w:t>丰台区太平桥路菜户营东街乙360号、丰台区王佐镇西王佐村云岗西路甲14号</w:t>
      </w:r>
      <w:r>
        <w:rPr>
          <w:rFonts w:hint="eastAsia" w:ascii="宋体" w:hAnsi="宋体" w:cs="宋体"/>
          <w:b w:val="0"/>
          <w:bCs w:val="0"/>
          <w:color w:val="auto"/>
          <w:kern w:val="2"/>
          <w:sz w:val="21"/>
          <w:szCs w:val="21"/>
          <w:highlight w:val="none"/>
          <w:lang w:val="en-US" w:eastAsia="zh-CN" w:bidi="ar-SA"/>
        </w:rPr>
        <w:t>、</w:t>
      </w:r>
      <w:r>
        <w:rPr>
          <w:rFonts w:hint="eastAsia"/>
          <w:highlight w:val="none"/>
          <w:lang w:val="en-US" w:eastAsia="zh-CN"/>
        </w:rPr>
        <w:t>丰台区西新华社区居委会南苑路甲2号</w:t>
      </w:r>
      <w:r>
        <w:rPr>
          <w:rFonts w:hint="eastAsia" w:ascii="宋体" w:hAnsi="宋体" w:cs="宋体"/>
          <w:b w:val="0"/>
          <w:bCs w:val="0"/>
          <w:color w:val="auto"/>
          <w:kern w:val="2"/>
          <w:sz w:val="21"/>
          <w:szCs w:val="21"/>
          <w:highlight w:val="none"/>
          <w:lang w:val="en-US" w:eastAsia="zh-CN" w:bidi="ar-SA"/>
        </w:rPr>
        <w:t>、</w:t>
      </w:r>
      <w:r>
        <w:rPr>
          <w:rFonts w:hint="eastAsia" w:eastAsia="宋体"/>
          <w:highlight w:val="none"/>
          <w:lang w:val="en-US" w:eastAsia="zh-CN"/>
        </w:rPr>
        <w:t>丰台区丰台南路甲116号</w:t>
      </w:r>
      <w:r>
        <w:rPr>
          <w:rFonts w:hint="eastAsia"/>
          <w:highlight w:val="none"/>
          <w:lang w:val="en-US" w:eastAsia="zh-CN"/>
        </w:rPr>
        <w:t>、</w:t>
      </w:r>
      <w:r>
        <w:rPr>
          <w:rFonts w:hint="eastAsia" w:eastAsia="宋体"/>
          <w:highlight w:val="none"/>
          <w:lang w:val="en-US" w:eastAsia="zh-CN"/>
        </w:rPr>
        <w:t>丰台区西四环中路128号</w:t>
      </w:r>
      <w:r>
        <w:rPr>
          <w:rFonts w:hint="eastAsia"/>
          <w:highlight w:val="none"/>
          <w:lang w:val="en-US" w:eastAsia="zh-CN"/>
        </w:rPr>
        <w:t>、</w:t>
      </w:r>
      <w:r>
        <w:rPr>
          <w:rFonts w:hint="eastAsia" w:eastAsia="宋体"/>
          <w:highlight w:val="none"/>
          <w:lang w:val="en-US" w:eastAsia="zh-CN"/>
        </w:rPr>
        <w:t>丰台区右外大街185号</w:t>
      </w:r>
      <w:r>
        <w:rPr>
          <w:rFonts w:hint="eastAsia"/>
          <w:highlight w:val="none"/>
          <w:lang w:val="en-US" w:eastAsia="zh-CN"/>
        </w:rPr>
        <w:t>、丰台区光彩路丰台区建欣苑二里8号楼商业1、</w:t>
      </w:r>
      <w:r>
        <w:rPr>
          <w:rFonts w:hint="eastAsia" w:eastAsia="宋体"/>
          <w:highlight w:val="none"/>
          <w:lang w:val="en-US" w:eastAsia="zh-CN"/>
        </w:rPr>
        <w:t>丰台区芳星园三区甲20号</w:t>
      </w:r>
      <w:r>
        <w:rPr>
          <w:rFonts w:hint="eastAsia"/>
          <w:highlight w:val="none"/>
          <w:lang w:val="en-US" w:eastAsia="zh-CN"/>
        </w:rPr>
        <w:t>、</w:t>
      </w:r>
      <w:r>
        <w:rPr>
          <w:rFonts w:hint="eastAsia" w:eastAsia="宋体"/>
          <w:highlight w:val="none"/>
          <w:lang w:val="en-US" w:eastAsia="zh-CN"/>
        </w:rPr>
        <w:t>丰台区周庄子212号</w:t>
      </w:r>
      <w:r>
        <w:rPr>
          <w:rFonts w:hint="eastAsia"/>
          <w:highlight w:val="none"/>
          <w:lang w:val="en-US" w:eastAsia="zh-CN"/>
        </w:rPr>
        <w:t>、</w:t>
      </w:r>
      <w:r>
        <w:rPr>
          <w:rFonts w:hint="eastAsia" w:eastAsia="宋体"/>
          <w:highlight w:val="none"/>
          <w:lang w:val="en-US" w:eastAsia="zh-CN"/>
        </w:rPr>
        <w:t>丰台区长辛店街道办事处东山坡社区居委会公路街</w:t>
      </w:r>
      <w:r>
        <w:rPr>
          <w:rFonts w:hint="eastAsia" w:ascii="宋体" w:hAnsi="宋体" w:cs="宋体"/>
          <w:b w:val="0"/>
          <w:bCs w:val="0"/>
          <w:color w:val="auto"/>
          <w:kern w:val="2"/>
          <w:sz w:val="21"/>
          <w:szCs w:val="21"/>
          <w:highlight w:val="none"/>
          <w:lang w:val="en-US" w:eastAsia="zh-CN" w:bidi="ar-SA"/>
        </w:rPr>
        <w:t>。</w:t>
      </w:r>
    </w:p>
    <w:p w14:paraId="44C8D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四、套餐选择及报价要求</w:t>
      </w:r>
    </w:p>
    <w:p w14:paraId="08BDC9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按照北京市城市管理委员会《关于印发北京市2025年电力市场化交易方案、绿色电力交易方案的通知》及《首都电力交易中心有限公司关于印发北京市电力零售市场购售电合同（2025年示范文本）的通知》明确以下事项：</w:t>
      </w:r>
    </w:p>
    <w:p w14:paraId="34C2ED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绿色电力交易零售套餐：按照固定价格模式及联动价格模式结算两种套餐分别报价，其中联动价格模式为：电力基准价格（</w:t>
      </w:r>
      <w:r>
        <w:rPr>
          <w:rFonts w:hint="eastAsia" w:ascii="宋体" w:hAnsi="宋体" w:eastAsia="宋体" w:cs="宋体"/>
          <w:color w:val="auto"/>
          <w:kern w:val="2"/>
          <w:sz w:val="21"/>
          <w:szCs w:val="21"/>
          <w:highlight w:val="none"/>
          <w:lang w:val="en-US" w:eastAsia="zh-CN" w:bidi="ar"/>
        </w:rPr>
        <w:t>电力批发市场合同均价)+浮动价格。以上两种价格模式报价中均包含</w:t>
      </w:r>
      <w:r>
        <w:rPr>
          <w:rFonts w:hint="eastAsia" w:ascii="宋体" w:hAnsi="宋体" w:eastAsia="宋体" w:cs="宋体"/>
          <w:b w:val="0"/>
          <w:bCs w:val="0"/>
          <w:color w:val="auto"/>
          <w:sz w:val="21"/>
          <w:szCs w:val="21"/>
          <w:highlight w:val="none"/>
          <w:lang w:val="en-US" w:eastAsia="zh-CN"/>
        </w:rPr>
        <w:t>P</w:t>
      </w:r>
      <w:r>
        <w:rPr>
          <w:rFonts w:hint="eastAsia" w:ascii="宋体" w:hAnsi="宋体" w:eastAsia="宋体" w:cs="宋体"/>
          <w:b w:val="0"/>
          <w:bCs w:val="0"/>
          <w:color w:val="auto"/>
          <w:sz w:val="21"/>
          <w:szCs w:val="21"/>
          <w:highlight w:val="none"/>
          <w:vertAlign w:val="subscript"/>
          <w:lang w:val="en-US" w:eastAsia="zh-CN"/>
        </w:rPr>
        <w:t>绿封总</w:t>
      </w:r>
      <w:r>
        <w:rPr>
          <w:rFonts w:hint="eastAsia" w:ascii="宋体" w:hAnsi="宋体" w:eastAsia="宋体" w:cs="宋体"/>
          <w:b w:val="0"/>
          <w:bCs w:val="0"/>
          <w:color w:val="auto"/>
          <w:sz w:val="21"/>
          <w:szCs w:val="21"/>
          <w:highlight w:val="none"/>
          <w:vertAlign w:val="baseline"/>
          <w:lang w:val="en-US" w:eastAsia="zh-CN"/>
        </w:rPr>
        <w:t>值。最终采用何种套餐方式，由采购人自行决定。</w:t>
      </w:r>
    </w:p>
    <w:p w14:paraId="34F341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五、违约处理</w:t>
      </w:r>
    </w:p>
    <w:p w14:paraId="09ADC74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采购人与入选方签订合同，如因入选方原因造成售电交易失败，则入选方向采购人赔偿由此带来的全部经济损失。</w:t>
      </w:r>
    </w:p>
    <w:p w14:paraId="1A4DAA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p>
    <w:p w14:paraId="400717A9"/>
    <w:p w14:paraId="3DCF8C0D">
      <w:pPr>
        <w:spacing w:line="360" w:lineRule="auto"/>
        <w:jc w:val="center"/>
        <w:outlineLvl w:val="0"/>
        <w:rPr>
          <w:b/>
          <w:sz w:val="36"/>
          <w:szCs w:val="36"/>
        </w:rPr>
      </w:pPr>
      <w:r>
        <w:rPr>
          <w:b/>
          <w:sz w:val="36"/>
          <w:szCs w:val="36"/>
        </w:rPr>
        <w:br w:type="page"/>
      </w:r>
      <w:bookmarkStart w:id="830" w:name="_Toc99301425"/>
      <w:r>
        <w:rPr>
          <w:b/>
          <w:sz w:val="36"/>
          <w:szCs w:val="36"/>
        </w:rPr>
        <w:t>第六章   拟签订的合同文本</w:t>
      </w:r>
      <w:bookmarkEnd w:id="830"/>
    </w:p>
    <w:p w14:paraId="79B19193">
      <w:pPr>
        <w:tabs>
          <w:tab w:val="left" w:pos="900"/>
          <w:tab w:val="left" w:pos="1080"/>
        </w:tabs>
        <w:snapToGrid w:val="0"/>
        <w:spacing w:line="360" w:lineRule="auto"/>
        <w:rPr>
          <w:kern w:val="0"/>
          <w:sz w:val="18"/>
          <w:szCs w:val="18"/>
        </w:rPr>
      </w:pPr>
    </w:p>
    <w:p w14:paraId="2C9CE549">
      <w:pPr>
        <w:widowControl w:val="0"/>
        <w:adjustRightInd w:val="0"/>
        <w:snapToGrid w:val="0"/>
        <w:spacing w:line="269" w:lineRule="auto"/>
        <w:jc w:val="both"/>
        <w:rPr>
          <w:rFonts w:ascii="宋体" w:hAnsi="宋体" w:cs="宋体" w:eastAsiaTheme="minorEastAsia"/>
          <w:kern w:val="2"/>
          <w:sz w:val="24"/>
          <w:szCs w:val="24"/>
          <w:lang w:val="en-US" w:eastAsia="zh-CN" w:bidi="ar-SA"/>
        </w:rPr>
      </w:pPr>
    </w:p>
    <w:p w14:paraId="5408D2C5">
      <w:pPr>
        <w:widowControl w:val="0"/>
        <w:adjustRightInd w:val="0"/>
        <w:snapToGrid w:val="0"/>
        <w:spacing w:line="269" w:lineRule="auto"/>
        <w:jc w:val="both"/>
        <w:rPr>
          <w:rFonts w:ascii="宋体" w:hAnsi="宋体" w:cs="宋体" w:eastAsiaTheme="minorEastAsia"/>
          <w:kern w:val="2"/>
          <w:sz w:val="24"/>
          <w:szCs w:val="24"/>
          <w:lang w:val="en-US" w:eastAsia="zh-CN" w:bidi="ar-SA"/>
        </w:rPr>
      </w:pPr>
    </w:p>
    <w:p w14:paraId="6D1ABCBE">
      <w:pPr>
        <w:widowControl w:val="0"/>
        <w:adjustRightInd w:val="0"/>
        <w:snapToGrid w:val="0"/>
        <w:spacing w:line="269" w:lineRule="auto"/>
        <w:jc w:val="both"/>
        <w:rPr>
          <w:rFonts w:ascii="宋体" w:hAnsi="宋体" w:cs="宋体" w:eastAsiaTheme="minorEastAsia"/>
          <w:kern w:val="2"/>
          <w:sz w:val="24"/>
          <w:szCs w:val="24"/>
          <w:lang w:val="en-US" w:eastAsia="zh-CN" w:bidi="ar-SA"/>
        </w:rPr>
      </w:pPr>
    </w:p>
    <w:p w14:paraId="0D7E0E7F">
      <w:pPr>
        <w:adjustRightInd w:val="0"/>
        <w:snapToGrid w:val="0"/>
        <w:spacing w:before="201" w:line="215" w:lineRule="auto"/>
        <w:ind w:left="796"/>
        <w:outlineLvl w:val="9"/>
        <w:rPr>
          <w:rFonts w:ascii="微软雅黑" w:hAnsi="微软雅黑" w:eastAsia="微软雅黑" w:cs="微软雅黑"/>
          <w:sz w:val="47"/>
          <w:szCs w:val="47"/>
        </w:rPr>
      </w:pPr>
      <w:bookmarkStart w:id="831" w:name="_Toc14940"/>
      <w:r>
        <w:rPr>
          <w:rFonts w:ascii="微软雅黑" w:hAnsi="微软雅黑" w:eastAsia="微软雅黑" w:cs="微软雅黑"/>
          <w:b/>
          <w:bCs/>
          <w:spacing w:val="11"/>
          <w:sz w:val="47"/>
          <w:szCs w:val="47"/>
        </w:rPr>
        <w:t>北京市电力零售市场购售电合同</w:t>
      </w:r>
      <w:bookmarkEnd w:id="831"/>
    </w:p>
    <w:p w14:paraId="391FB9C8">
      <w:pPr>
        <w:widowControl w:val="0"/>
        <w:adjustRightInd w:val="0"/>
        <w:snapToGrid w:val="0"/>
        <w:spacing w:line="394" w:lineRule="auto"/>
        <w:jc w:val="both"/>
        <w:outlineLvl w:val="9"/>
        <w:rPr>
          <w:rFonts w:ascii="宋体" w:hAnsi="宋体" w:cs="宋体" w:eastAsiaTheme="minorEastAsia"/>
          <w:kern w:val="2"/>
          <w:sz w:val="24"/>
          <w:szCs w:val="24"/>
          <w:lang w:val="en-US" w:eastAsia="zh-CN" w:bidi="ar-SA"/>
        </w:rPr>
      </w:pPr>
    </w:p>
    <w:p w14:paraId="020AC3AB">
      <w:pPr>
        <w:adjustRightInd w:val="0"/>
        <w:snapToGrid w:val="0"/>
        <w:spacing w:before="151" w:line="212" w:lineRule="auto"/>
        <w:ind w:left="2488"/>
        <w:outlineLvl w:val="9"/>
        <w:rPr>
          <w:rFonts w:ascii="微软雅黑" w:hAnsi="微软雅黑" w:eastAsia="微软雅黑" w:cs="微软雅黑"/>
          <w:sz w:val="35"/>
          <w:szCs w:val="35"/>
        </w:rPr>
      </w:pPr>
      <w:r>
        <w:rPr>
          <w:rFonts w:ascii="微软雅黑" w:hAnsi="微软雅黑" w:eastAsia="微软雅黑" w:cs="微软雅黑"/>
          <w:spacing w:val="-8"/>
          <w:sz w:val="35"/>
          <w:szCs w:val="35"/>
        </w:rPr>
        <w:t>（</w:t>
      </w:r>
      <w:r>
        <w:rPr>
          <w:rFonts w:ascii="微软雅黑" w:hAnsi="微软雅黑" w:eastAsia="微软雅黑" w:cs="微软雅黑"/>
          <w:spacing w:val="-25"/>
          <w:sz w:val="35"/>
          <w:szCs w:val="35"/>
        </w:rPr>
        <w:t xml:space="preserve"> </w:t>
      </w:r>
      <w:r>
        <w:rPr>
          <w:rFonts w:ascii="微软雅黑" w:hAnsi="微软雅黑" w:eastAsia="微软雅黑" w:cs="微软雅黑"/>
          <w:spacing w:val="-8"/>
          <w:sz w:val="35"/>
          <w:szCs w:val="35"/>
        </w:rPr>
        <w:t>2025 年示范文本）</w:t>
      </w:r>
    </w:p>
    <w:p w14:paraId="10BAE64B">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42DDB237">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281F992F">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29203811">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2B22BFB2">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2A953925">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538ACDA9">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11F01820">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4936AA97">
      <w:pPr>
        <w:widowControl w:val="0"/>
        <w:adjustRightInd w:val="0"/>
        <w:snapToGrid w:val="0"/>
        <w:spacing w:line="248" w:lineRule="auto"/>
        <w:jc w:val="both"/>
        <w:outlineLvl w:val="9"/>
        <w:rPr>
          <w:rFonts w:ascii="宋体" w:hAnsi="宋体" w:cs="宋体" w:eastAsiaTheme="minorEastAsia"/>
          <w:kern w:val="2"/>
          <w:sz w:val="24"/>
          <w:szCs w:val="24"/>
          <w:lang w:val="en-US" w:eastAsia="zh-CN" w:bidi="ar-SA"/>
        </w:rPr>
      </w:pPr>
    </w:p>
    <w:p w14:paraId="04EBFBE4">
      <w:pPr>
        <w:widowControl w:val="0"/>
        <w:adjustRightInd w:val="0"/>
        <w:snapToGrid w:val="0"/>
        <w:spacing w:line="248" w:lineRule="auto"/>
        <w:jc w:val="both"/>
        <w:outlineLvl w:val="9"/>
        <w:rPr>
          <w:rFonts w:ascii="宋体" w:hAnsi="宋体" w:cs="宋体" w:eastAsiaTheme="minorEastAsia"/>
          <w:kern w:val="2"/>
          <w:sz w:val="24"/>
          <w:szCs w:val="24"/>
          <w:lang w:val="en-US" w:eastAsia="zh-CN" w:bidi="ar-SA"/>
        </w:rPr>
      </w:pPr>
    </w:p>
    <w:p w14:paraId="7A0D9496">
      <w:pPr>
        <w:widowControl w:val="0"/>
        <w:adjustRightInd w:val="0"/>
        <w:snapToGrid w:val="0"/>
        <w:spacing w:line="248" w:lineRule="auto"/>
        <w:jc w:val="both"/>
        <w:outlineLvl w:val="9"/>
        <w:rPr>
          <w:rFonts w:ascii="宋体" w:hAnsi="宋体" w:cs="宋体" w:eastAsiaTheme="minorEastAsia"/>
          <w:kern w:val="2"/>
          <w:sz w:val="24"/>
          <w:szCs w:val="24"/>
          <w:lang w:val="en-US" w:eastAsia="zh-CN" w:bidi="ar-SA"/>
        </w:rPr>
      </w:pPr>
    </w:p>
    <w:p w14:paraId="6E5650C4">
      <w:pPr>
        <w:adjustRightInd w:val="0"/>
        <w:snapToGrid w:val="0"/>
        <w:spacing w:before="100" w:line="226" w:lineRule="auto"/>
        <w:ind w:left="51"/>
        <w:outlineLvl w:val="9"/>
        <w:rPr>
          <w:rFonts w:ascii="黑体" w:hAnsi="黑体" w:eastAsia="黑体" w:cs="黑体"/>
          <w:sz w:val="31"/>
          <w:szCs w:val="31"/>
        </w:rPr>
      </w:pPr>
      <w:r>
        <w:rPr>
          <w:rFonts w:ascii="黑体" w:hAnsi="黑体" w:eastAsia="黑体" w:cs="黑体"/>
          <w:b/>
          <w:bCs/>
          <w:spacing w:val="2"/>
          <w:sz w:val="31"/>
          <w:szCs w:val="31"/>
        </w:rPr>
        <w:t>甲方（零售用户</w:t>
      </w:r>
      <w:r>
        <w:rPr>
          <w:rFonts w:ascii="黑体" w:hAnsi="黑体" w:eastAsia="黑体" w:cs="黑体"/>
          <w:b/>
          <w:bCs/>
          <w:spacing w:val="-3"/>
          <w:sz w:val="31"/>
          <w:szCs w:val="31"/>
        </w:rPr>
        <w:t>）：</w:t>
      </w:r>
    </w:p>
    <w:p w14:paraId="7437D252">
      <w:pPr>
        <w:widowControl w:val="0"/>
        <w:adjustRightInd w:val="0"/>
        <w:snapToGrid w:val="0"/>
        <w:spacing w:line="337" w:lineRule="auto"/>
        <w:jc w:val="both"/>
        <w:outlineLvl w:val="9"/>
        <w:rPr>
          <w:rFonts w:ascii="宋体" w:hAnsi="宋体" w:cs="宋体" w:eastAsiaTheme="minorEastAsia"/>
          <w:kern w:val="2"/>
          <w:sz w:val="24"/>
          <w:szCs w:val="24"/>
          <w:lang w:val="en-US" w:eastAsia="zh-CN" w:bidi="ar-SA"/>
        </w:rPr>
      </w:pPr>
    </w:p>
    <w:p w14:paraId="548F7FD1">
      <w:pPr>
        <w:widowControl w:val="0"/>
        <w:adjustRightInd w:val="0"/>
        <w:snapToGrid w:val="0"/>
        <w:spacing w:line="337" w:lineRule="auto"/>
        <w:jc w:val="both"/>
        <w:outlineLvl w:val="9"/>
        <w:rPr>
          <w:rFonts w:ascii="宋体" w:hAnsi="宋体" w:cs="宋体" w:eastAsiaTheme="minorEastAsia"/>
          <w:kern w:val="2"/>
          <w:sz w:val="24"/>
          <w:szCs w:val="24"/>
          <w:lang w:val="en-US" w:eastAsia="zh-CN" w:bidi="ar-SA"/>
        </w:rPr>
      </w:pPr>
    </w:p>
    <w:p w14:paraId="34E5DE4C">
      <w:pPr>
        <w:adjustRightInd w:val="0"/>
        <w:snapToGrid w:val="0"/>
        <w:spacing w:before="102" w:line="226" w:lineRule="auto"/>
        <w:ind w:left="51"/>
        <w:outlineLvl w:val="9"/>
        <w:rPr>
          <w:rFonts w:ascii="黑体" w:hAnsi="黑体" w:eastAsia="黑体" w:cs="黑体"/>
          <w:sz w:val="31"/>
          <w:szCs w:val="31"/>
        </w:rPr>
      </w:pPr>
      <w:r>
        <w:rPr>
          <w:rFonts w:ascii="黑体" w:hAnsi="黑体" w:eastAsia="黑体" w:cs="黑体"/>
          <w:b/>
          <w:bCs/>
          <w:spacing w:val="2"/>
          <w:sz w:val="31"/>
          <w:szCs w:val="31"/>
        </w:rPr>
        <w:t>乙方（售电公司</w:t>
      </w:r>
      <w:r>
        <w:rPr>
          <w:rFonts w:ascii="黑体" w:hAnsi="黑体" w:eastAsia="黑体" w:cs="黑体"/>
          <w:b/>
          <w:bCs/>
          <w:spacing w:val="-3"/>
          <w:sz w:val="31"/>
          <w:szCs w:val="31"/>
        </w:rPr>
        <w:t>）：</w:t>
      </w:r>
    </w:p>
    <w:p w14:paraId="56EB4F62">
      <w:pPr>
        <w:widowControl w:val="0"/>
        <w:adjustRightInd w:val="0"/>
        <w:snapToGrid w:val="0"/>
        <w:spacing w:line="261" w:lineRule="auto"/>
        <w:jc w:val="both"/>
        <w:outlineLvl w:val="9"/>
        <w:rPr>
          <w:rFonts w:ascii="宋体" w:hAnsi="宋体" w:cs="宋体" w:eastAsiaTheme="minorEastAsia"/>
          <w:kern w:val="2"/>
          <w:sz w:val="24"/>
          <w:szCs w:val="24"/>
          <w:lang w:val="en-US" w:eastAsia="zh-CN" w:bidi="ar-SA"/>
        </w:rPr>
      </w:pPr>
    </w:p>
    <w:p w14:paraId="7745F71A">
      <w:pPr>
        <w:widowControl w:val="0"/>
        <w:adjustRightInd w:val="0"/>
        <w:snapToGrid w:val="0"/>
        <w:spacing w:line="261" w:lineRule="auto"/>
        <w:jc w:val="both"/>
        <w:outlineLvl w:val="9"/>
        <w:rPr>
          <w:rFonts w:ascii="宋体" w:hAnsi="宋体" w:cs="宋体" w:eastAsiaTheme="minorEastAsia"/>
          <w:kern w:val="2"/>
          <w:sz w:val="24"/>
          <w:szCs w:val="24"/>
          <w:lang w:val="en-US" w:eastAsia="zh-CN" w:bidi="ar-SA"/>
        </w:rPr>
      </w:pPr>
    </w:p>
    <w:p w14:paraId="24FC3CC0">
      <w:pPr>
        <w:widowControl w:val="0"/>
        <w:adjustRightInd w:val="0"/>
        <w:snapToGrid w:val="0"/>
        <w:spacing w:line="261" w:lineRule="auto"/>
        <w:jc w:val="both"/>
        <w:outlineLvl w:val="9"/>
        <w:rPr>
          <w:rFonts w:ascii="宋体" w:hAnsi="宋体" w:cs="宋体" w:eastAsiaTheme="minorEastAsia"/>
          <w:kern w:val="2"/>
          <w:sz w:val="24"/>
          <w:szCs w:val="24"/>
          <w:lang w:val="en-US" w:eastAsia="zh-CN" w:bidi="ar-SA"/>
        </w:rPr>
      </w:pPr>
    </w:p>
    <w:p w14:paraId="541D8ED9">
      <w:pPr>
        <w:widowControl w:val="0"/>
        <w:adjustRightInd w:val="0"/>
        <w:snapToGrid w:val="0"/>
        <w:spacing w:line="261" w:lineRule="auto"/>
        <w:jc w:val="both"/>
        <w:outlineLvl w:val="9"/>
        <w:rPr>
          <w:rFonts w:ascii="宋体" w:hAnsi="宋体" w:cs="宋体" w:eastAsiaTheme="minorEastAsia"/>
          <w:kern w:val="2"/>
          <w:sz w:val="24"/>
          <w:szCs w:val="24"/>
          <w:lang w:val="en-US" w:eastAsia="zh-CN" w:bidi="ar-SA"/>
        </w:rPr>
      </w:pPr>
    </w:p>
    <w:p w14:paraId="3E397A53">
      <w:pPr>
        <w:widowControl w:val="0"/>
        <w:adjustRightInd w:val="0"/>
        <w:snapToGrid w:val="0"/>
        <w:spacing w:line="261" w:lineRule="auto"/>
        <w:jc w:val="both"/>
        <w:outlineLvl w:val="9"/>
        <w:rPr>
          <w:rFonts w:ascii="宋体" w:hAnsi="宋体" w:cs="宋体" w:eastAsiaTheme="minorEastAsia"/>
          <w:kern w:val="2"/>
          <w:sz w:val="24"/>
          <w:szCs w:val="24"/>
          <w:lang w:val="en-US" w:eastAsia="zh-CN" w:bidi="ar-SA"/>
        </w:rPr>
      </w:pPr>
    </w:p>
    <w:p w14:paraId="17E6F50E">
      <w:pPr>
        <w:widowControl w:val="0"/>
        <w:adjustRightInd w:val="0"/>
        <w:snapToGrid w:val="0"/>
        <w:spacing w:line="262" w:lineRule="auto"/>
        <w:jc w:val="both"/>
        <w:outlineLvl w:val="9"/>
        <w:rPr>
          <w:rFonts w:ascii="宋体" w:hAnsi="宋体" w:cs="宋体" w:eastAsiaTheme="minorEastAsia"/>
          <w:kern w:val="2"/>
          <w:sz w:val="24"/>
          <w:szCs w:val="24"/>
          <w:lang w:val="en-US" w:eastAsia="zh-CN" w:bidi="ar-SA"/>
        </w:rPr>
      </w:pPr>
    </w:p>
    <w:p w14:paraId="3E5E0FD4">
      <w:pPr>
        <w:widowControl w:val="0"/>
        <w:adjustRightInd w:val="0"/>
        <w:snapToGrid w:val="0"/>
        <w:spacing w:line="262" w:lineRule="auto"/>
        <w:jc w:val="both"/>
        <w:outlineLvl w:val="9"/>
        <w:rPr>
          <w:rFonts w:ascii="宋体" w:hAnsi="宋体" w:cs="宋体" w:eastAsiaTheme="minorEastAsia"/>
          <w:kern w:val="2"/>
          <w:sz w:val="24"/>
          <w:szCs w:val="24"/>
          <w:lang w:val="en-US" w:eastAsia="zh-CN" w:bidi="ar-SA"/>
        </w:rPr>
      </w:pPr>
    </w:p>
    <w:p w14:paraId="2001BDEB">
      <w:pPr>
        <w:tabs>
          <w:tab w:val="left" w:pos="3201"/>
        </w:tabs>
        <w:adjustRightInd w:val="0"/>
        <w:snapToGrid w:val="0"/>
        <w:spacing w:before="101" w:line="228" w:lineRule="auto"/>
        <w:ind w:left="2238"/>
        <w:outlineLvl w:val="9"/>
        <w:rPr>
          <w:rFonts w:ascii="黑体" w:hAnsi="黑体" w:eastAsia="黑体" w:cs="黑体"/>
          <w:sz w:val="31"/>
          <w:szCs w:val="31"/>
        </w:rPr>
      </w:pPr>
      <w:r>
        <w:rPr>
          <w:rFonts w:ascii="黑体" w:hAnsi="黑体" w:eastAsia="黑体" w:cs="黑体"/>
          <w:sz w:val="31"/>
          <w:szCs w:val="31"/>
          <w:u w:val="single" w:color="auto"/>
        </w:rPr>
        <w:tab/>
      </w:r>
      <w:r>
        <w:rPr>
          <w:rFonts w:ascii="黑体" w:hAnsi="黑体" w:eastAsia="黑体" w:cs="黑体"/>
          <w:spacing w:val="-141"/>
          <w:sz w:val="31"/>
          <w:szCs w:val="31"/>
        </w:rPr>
        <w:t xml:space="preserve"> </w:t>
      </w:r>
      <w:r>
        <w:rPr>
          <w:rFonts w:ascii="黑体" w:hAnsi="黑体" w:eastAsia="黑体" w:cs="黑体"/>
          <w:b/>
          <w:bCs/>
          <w:spacing w:val="-9"/>
          <w:sz w:val="31"/>
          <w:szCs w:val="31"/>
        </w:rPr>
        <w:t>年</w:t>
      </w:r>
      <w:r>
        <w:rPr>
          <w:rFonts w:ascii="黑体" w:hAnsi="黑体" w:eastAsia="黑体" w:cs="黑体"/>
          <w:spacing w:val="-153"/>
          <w:sz w:val="31"/>
          <w:szCs w:val="31"/>
        </w:rPr>
        <w:t xml:space="preserve"> </w:t>
      </w:r>
      <w:r>
        <w:rPr>
          <w:rFonts w:ascii="黑体" w:hAnsi="黑体" w:eastAsia="黑体" w:cs="黑体"/>
          <w:spacing w:val="5"/>
          <w:sz w:val="31"/>
          <w:szCs w:val="31"/>
          <w:u w:val="single" w:color="auto"/>
        </w:rPr>
        <w:t xml:space="preserve">      </w:t>
      </w:r>
      <w:r>
        <w:rPr>
          <w:rFonts w:ascii="黑体" w:hAnsi="黑体" w:eastAsia="黑体" w:cs="黑体"/>
          <w:spacing w:val="-130"/>
          <w:sz w:val="31"/>
          <w:szCs w:val="31"/>
        </w:rPr>
        <w:t xml:space="preserve"> </w:t>
      </w:r>
      <w:r>
        <w:rPr>
          <w:rFonts w:ascii="黑体" w:hAnsi="黑体" w:eastAsia="黑体" w:cs="黑体"/>
          <w:b/>
          <w:bCs/>
          <w:spacing w:val="-9"/>
          <w:sz w:val="31"/>
          <w:szCs w:val="31"/>
        </w:rPr>
        <w:t>月</w:t>
      </w:r>
      <w:r>
        <w:rPr>
          <w:rFonts w:ascii="黑体" w:hAnsi="黑体" w:eastAsia="黑体" w:cs="黑体"/>
          <w:spacing w:val="-152"/>
          <w:sz w:val="31"/>
          <w:szCs w:val="31"/>
        </w:rPr>
        <w:t xml:space="preserve"> </w:t>
      </w:r>
      <w:r>
        <w:rPr>
          <w:rFonts w:ascii="黑体" w:hAnsi="黑体" w:eastAsia="黑体" w:cs="黑体"/>
          <w:spacing w:val="5"/>
          <w:sz w:val="31"/>
          <w:szCs w:val="31"/>
          <w:u w:val="single" w:color="auto"/>
        </w:rPr>
        <w:t xml:space="preserve">      </w:t>
      </w:r>
      <w:r>
        <w:rPr>
          <w:rFonts w:ascii="黑体" w:hAnsi="黑体" w:eastAsia="黑体" w:cs="黑体"/>
          <w:spacing w:val="-90"/>
          <w:sz w:val="31"/>
          <w:szCs w:val="31"/>
        </w:rPr>
        <w:t xml:space="preserve"> </w:t>
      </w:r>
      <w:r>
        <w:rPr>
          <w:rFonts w:ascii="黑体" w:hAnsi="黑体" w:eastAsia="黑体" w:cs="黑体"/>
          <w:b/>
          <w:bCs/>
          <w:spacing w:val="-9"/>
          <w:sz w:val="31"/>
          <w:szCs w:val="31"/>
        </w:rPr>
        <w:t>日</w:t>
      </w:r>
    </w:p>
    <w:p w14:paraId="5735C486">
      <w:pPr>
        <w:spacing w:line="228" w:lineRule="auto"/>
        <w:outlineLvl w:val="9"/>
        <w:rPr>
          <w:rFonts w:ascii="黑体" w:hAnsi="黑体" w:eastAsia="黑体" w:cs="黑体"/>
          <w:sz w:val="31"/>
          <w:szCs w:val="31"/>
        </w:rPr>
        <w:sectPr>
          <w:footerReference r:id="rId14" w:type="default"/>
          <w:pgSz w:w="11906" w:h="16839"/>
          <w:pgMar w:top="1431" w:right="1785" w:bottom="1180" w:left="1785" w:header="0" w:footer="966" w:gutter="0"/>
          <w:pgNumType w:fmt="decimal"/>
          <w:cols w:space="720" w:num="1"/>
        </w:sectPr>
      </w:pPr>
    </w:p>
    <w:p w14:paraId="72CC3AE0">
      <w:pPr>
        <w:adjustRightInd w:val="0"/>
        <w:snapToGrid w:val="0"/>
        <w:spacing w:before="103" w:line="226" w:lineRule="auto"/>
        <w:ind w:left="2895"/>
        <w:outlineLvl w:val="9"/>
        <w:rPr>
          <w:rFonts w:ascii="黑体" w:hAnsi="黑体" w:eastAsia="黑体" w:cs="黑体"/>
          <w:sz w:val="31"/>
          <w:szCs w:val="31"/>
        </w:rPr>
      </w:pPr>
      <w:bookmarkStart w:id="832" w:name="_Toc32164"/>
      <w:r>
        <w:rPr>
          <w:rFonts w:ascii="黑体" w:hAnsi="黑体" w:eastAsia="黑体" w:cs="黑体"/>
          <w:b/>
          <w:bCs/>
          <w:spacing w:val="5"/>
          <w:sz w:val="31"/>
          <w:szCs w:val="31"/>
        </w:rPr>
        <w:t>合同范本使用说明</w:t>
      </w:r>
      <w:bookmarkEnd w:id="832"/>
    </w:p>
    <w:p w14:paraId="676DEC93">
      <w:pPr>
        <w:widowControl w:val="0"/>
        <w:adjustRightInd w:val="0"/>
        <w:snapToGrid w:val="0"/>
        <w:spacing w:line="241" w:lineRule="auto"/>
        <w:jc w:val="both"/>
        <w:outlineLvl w:val="9"/>
        <w:rPr>
          <w:rFonts w:ascii="宋体" w:hAnsi="宋体" w:cs="宋体" w:eastAsiaTheme="minorEastAsia"/>
          <w:kern w:val="2"/>
          <w:sz w:val="24"/>
          <w:szCs w:val="24"/>
          <w:lang w:val="en-US" w:eastAsia="zh-CN" w:bidi="ar-SA"/>
        </w:rPr>
      </w:pPr>
    </w:p>
    <w:p w14:paraId="175A20CA">
      <w:pPr>
        <w:widowControl w:val="0"/>
        <w:adjustRightInd w:val="0"/>
        <w:snapToGrid w:val="0"/>
        <w:spacing w:line="242" w:lineRule="auto"/>
        <w:jc w:val="both"/>
        <w:outlineLvl w:val="9"/>
        <w:rPr>
          <w:rFonts w:ascii="宋体" w:hAnsi="宋体" w:cs="宋体" w:eastAsiaTheme="minorEastAsia"/>
          <w:kern w:val="2"/>
          <w:sz w:val="24"/>
          <w:szCs w:val="24"/>
          <w:lang w:val="en-US" w:eastAsia="zh-CN" w:bidi="ar-SA"/>
        </w:rPr>
      </w:pPr>
    </w:p>
    <w:p w14:paraId="583701DB">
      <w:pPr>
        <w:adjustRightInd w:val="0"/>
        <w:snapToGrid w:val="0"/>
        <w:spacing w:before="91" w:line="273" w:lineRule="auto"/>
        <w:ind w:left="21" w:right="13" w:firstLine="580"/>
        <w:outlineLvl w:val="9"/>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一、本合同范本适用于售电公司与零售用户在北京市电力市场开</w:t>
      </w:r>
      <w:r>
        <w:rPr>
          <w:rFonts w:ascii="FangSong_GB2312" w:hAnsi="FangSong_GB2312" w:eastAsia="FangSong_GB2312" w:cs="FangSong_GB2312"/>
          <w:spacing w:val="17"/>
          <w:sz w:val="28"/>
          <w:szCs w:val="28"/>
        </w:rPr>
        <w:t xml:space="preserve"> </w:t>
      </w:r>
      <w:r>
        <w:rPr>
          <w:rFonts w:ascii="FangSong_GB2312" w:hAnsi="FangSong_GB2312" w:eastAsia="FangSong_GB2312" w:cs="FangSong_GB2312"/>
          <w:spacing w:val="-4"/>
          <w:sz w:val="28"/>
          <w:szCs w:val="28"/>
        </w:rPr>
        <w:t>展的零售交易及结算，范本明确了双方的权利义务、零售套餐、结算</w:t>
      </w:r>
      <w:r>
        <w:rPr>
          <w:rFonts w:ascii="FangSong_GB2312" w:hAnsi="FangSong_GB2312" w:eastAsia="FangSong_GB2312" w:cs="FangSong_GB2312"/>
          <w:spacing w:val="18"/>
          <w:sz w:val="28"/>
          <w:szCs w:val="28"/>
        </w:rPr>
        <w:t xml:space="preserve"> </w:t>
      </w:r>
      <w:r>
        <w:rPr>
          <w:rFonts w:ascii="FangSong_GB2312" w:hAnsi="FangSong_GB2312" w:eastAsia="FangSong_GB2312" w:cs="FangSong_GB2312"/>
          <w:spacing w:val="-1"/>
          <w:sz w:val="28"/>
          <w:szCs w:val="28"/>
        </w:rPr>
        <w:t>模式以及合同变更解除等条款。</w:t>
      </w:r>
    </w:p>
    <w:p w14:paraId="0BAB36E6">
      <w:pPr>
        <w:adjustRightInd w:val="0"/>
        <w:snapToGrid w:val="0"/>
        <w:spacing w:before="135" w:line="258" w:lineRule="auto"/>
        <w:ind w:left="29" w:right="13" w:firstLine="570"/>
        <w:outlineLvl w:val="9"/>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二、本合同范本为北京市电力零售市场标准</w:t>
      </w:r>
      <w:r>
        <w:rPr>
          <w:rFonts w:ascii="FangSong_GB2312" w:hAnsi="FangSong_GB2312" w:eastAsia="FangSong_GB2312" w:cs="FangSong_GB2312"/>
          <w:spacing w:val="-5"/>
          <w:sz w:val="28"/>
          <w:szCs w:val="28"/>
        </w:rPr>
        <w:t>化合同文本，合同双</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方不得直接对合同文本进行改动。</w:t>
      </w:r>
    </w:p>
    <w:p w14:paraId="314DD2A3">
      <w:pPr>
        <w:adjustRightInd w:val="0"/>
        <w:snapToGrid w:val="0"/>
        <w:spacing w:before="139" w:line="281" w:lineRule="auto"/>
        <w:ind w:left="29" w:right="13" w:firstLine="575"/>
        <w:outlineLvl w:val="9"/>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三、本合同范本仅支持合同双方约定的常规电力交易结算、绿色</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4"/>
          <w:sz w:val="28"/>
          <w:szCs w:val="28"/>
        </w:rPr>
        <w:t>电力交易结算。若涉及其他需资金结算的增值服务或约定，由合同双</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4"/>
          <w:sz w:val="28"/>
          <w:szCs w:val="28"/>
        </w:rPr>
        <w:t>方另行签订合同，并自主结算。若双方签订的其他合同与本合同不一</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1"/>
          <w:sz w:val="28"/>
          <w:szCs w:val="28"/>
        </w:rPr>
        <w:t>致所造成的双方损失或争议，由双方通过协商或司法途径解决。</w:t>
      </w:r>
    </w:p>
    <w:p w14:paraId="2A0C0294">
      <w:pPr>
        <w:adjustRightInd w:val="0"/>
        <w:snapToGrid w:val="0"/>
        <w:spacing w:before="134" w:line="274" w:lineRule="auto"/>
        <w:ind w:left="22" w:right="13" w:firstLine="594"/>
        <w:outlineLvl w:val="9"/>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四、对于上述使用说明的内容，合同双方均已认真阅读、完全理</w:t>
      </w:r>
      <w:r>
        <w:rPr>
          <w:rFonts w:ascii="FangSong_GB2312" w:hAnsi="FangSong_GB2312" w:eastAsia="FangSong_GB2312" w:cs="FangSong_GB2312"/>
          <w:spacing w:val="2"/>
          <w:sz w:val="28"/>
          <w:szCs w:val="28"/>
        </w:rPr>
        <w:t xml:space="preserve"> </w:t>
      </w:r>
      <w:r>
        <w:rPr>
          <w:rFonts w:ascii="FangSong_GB2312" w:hAnsi="FangSong_GB2312" w:eastAsia="FangSong_GB2312" w:cs="FangSong_GB2312"/>
          <w:spacing w:val="-4"/>
          <w:sz w:val="28"/>
          <w:szCs w:val="28"/>
        </w:rPr>
        <w:t>解并同意，合同双方协商一致使用该合同范本，即视为知悉并同意上</w:t>
      </w:r>
      <w:r>
        <w:rPr>
          <w:rFonts w:ascii="FangSong_GB2312" w:hAnsi="FangSong_GB2312" w:eastAsia="FangSong_GB2312" w:cs="FangSong_GB2312"/>
          <w:spacing w:val="16"/>
          <w:sz w:val="28"/>
          <w:szCs w:val="28"/>
        </w:rPr>
        <w:t xml:space="preserve"> </w:t>
      </w:r>
      <w:r>
        <w:rPr>
          <w:rFonts w:ascii="FangSong_GB2312" w:hAnsi="FangSong_GB2312" w:eastAsia="FangSong_GB2312" w:cs="FangSong_GB2312"/>
          <w:spacing w:val="-1"/>
          <w:sz w:val="28"/>
          <w:szCs w:val="28"/>
        </w:rPr>
        <w:t>述使用说明的全部内容。</w:t>
      </w:r>
    </w:p>
    <w:p w14:paraId="12DB1AAC">
      <w:pPr>
        <w:adjustRightInd w:val="0"/>
        <w:snapToGrid w:val="0"/>
        <w:spacing w:before="134" w:line="273" w:lineRule="auto"/>
        <w:ind w:left="25" w:right="13" w:firstLine="569"/>
        <w:outlineLvl w:val="9"/>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五、本合同范本由合同双方填写之处，合同双方应根据实</w:t>
      </w:r>
      <w:r>
        <w:rPr>
          <w:rFonts w:ascii="FangSong_GB2312" w:hAnsi="FangSong_GB2312" w:eastAsia="FangSong_GB2312" w:cs="FangSong_GB2312"/>
          <w:spacing w:val="-5"/>
          <w:sz w:val="28"/>
          <w:szCs w:val="28"/>
        </w:rPr>
        <w:t>际情况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填写。如合同双方约定无需填写的，则应注明“无”或划“/”，若</w:t>
      </w:r>
      <w:r>
        <w:rPr>
          <w:rFonts w:ascii="FangSong_GB2312" w:hAnsi="FangSong_GB2312" w:eastAsia="FangSong_GB2312" w:cs="FangSong_GB2312"/>
          <w:spacing w:val="4"/>
          <w:sz w:val="28"/>
          <w:szCs w:val="28"/>
        </w:rPr>
        <w:t xml:space="preserve"> </w:t>
      </w:r>
      <w:r>
        <w:rPr>
          <w:rFonts w:ascii="FangSong_GB2312" w:hAnsi="FangSong_GB2312" w:eastAsia="FangSong_GB2312" w:cs="FangSong_GB2312"/>
          <w:spacing w:val="-1"/>
          <w:sz w:val="28"/>
          <w:szCs w:val="28"/>
        </w:rPr>
        <w:t>需填写处为空白且合同范本未规定的，则按照“无”处理。</w:t>
      </w:r>
    </w:p>
    <w:p w14:paraId="65527E04">
      <w:pPr>
        <w:spacing w:line="273" w:lineRule="auto"/>
        <w:outlineLvl w:val="9"/>
        <w:rPr>
          <w:rFonts w:ascii="FangSong_GB2312" w:hAnsi="FangSong_GB2312" w:eastAsia="FangSong_GB2312" w:cs="FangSong_GB2312"/>
          <w:sz w:val="28"/>
          <w:szCs w:val="28"/>
        </w:rPr>
        <w:sectPr>
          <w:footerReference r:id="rId15" w:type="default"/>
          <w:pgSz w:w="11906" w:h="16839"/>
          <w:pgMar w:top="1431" w:right="1785" w:bottom="1180" w:left="1785" w:header="0" w:footer="966" w:gutter="0"/>
          <w:pgNumType w:fmt="decimal"/>
          <w:cols w:space="720" w:num="1"/>
        </w:sectPr>
      </w:pPr>
    </w:p>
    <w:p w14:paraId="557E63AB">
      <w:pPr>
        <w:adjustRightInd w:val="0"/>
        <w:snapToGrid w:val="0"/>
        <w:spacing w:before="137" w:line="216" w:lineRule="auto"/>
        <w:ind w:left="563"/>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本合同由下列双方签署：</w:t>
      </w:r>
    </w:p>
    <w:p w14:paraId="166894BB">
      <w:pPr>
        <w:adjustRightInd w:val="0"/>
        <w:snapToGrid w:val="0"/>
        <w:spacing w:before="132" w:line="214" w:lineRule="auto"/>
        <w:ind w:left="604"/>
        <w:outlineLvl w:val="9"/>
        <w:rPr>
          <w:rFonts w:ascii="FangSong_GB2312" w:hAnsi="FangSong_GB2312" w:eastAsia="FangSong_GB2312" w:cs="FangSong_GB2312"/>
          <w:sz w:val="28"/>
          <w:szCs w:val="28"/>
        </w:rPr>
      </w:pPr>
      <w:r>
        <w:rPr>
          <w:rFonts w:ascii="FangSong_GB2312" w:hAnsi="FangSong_GB2312" w:eastAsia="FangSong_GB2312" w:cs="FangSong_GB2312"/>
          <w:spacing w:val="-8"/>
          <w:sz w:val="28"/>
          <w:szCs w:val="28"/>
        </w:rPr>
        <w:t>甲方（零售用户</w:t>
      </w:r>
      <w:r>
        <w:rPr>
          <w:rFonts w:ascii="FangSong_GB2312" w:hAnsi="FangSong_GB2312" w:eastAsia="FangSong_GB2312" w:cs="FangSong_GB2312"/>
          <w:spacing w:val="1"/>
          <w:sz w:val="28"/>
          <w:szCs w:val="28"/>
        </w:rPr>
        <w:t>）：</w:t>
      </w:r>
      <w:r>
        <w:rPr>
          <w:rFonts w:ascii="FangSong_GB2312" w:hAnsi="FangSong_GB2312" w:eastAsia="FangSong_GB2312" w:cs="FangSong_GB2312"/>
          <w:spacing w:val="-111"/>
          <w:sz w:val="28"/>
          <w:szCs w:val="28"/>
        </w:rPr>
        <w:t xml:space="preserve"> </w:t>
      </w:r>
      <w:r>
        <w:rPr>
          <w:rFonts w:ascii="FangSong_GB2312" w:hAnsi="FangSong_GB2312" w:eastAsia="FangSong_GB2312" w:cs="FangSong_GB2312"/>
          <w:sz w:val="28"/>
          <w:szCs w:val="28"/>
          <w:u w:val="single" w:color="auto"/>
        </w:rPr>
        <w:t xml:space="preserve">                                     </w:t>
      </w:r>
    </w:p>
    <w:p w14:paraId="5E3C4744">
      <w:pPr>
        <w:adjustRightInd w:val="0"/>
        <w:snapToGrid w:val="0"/>
        <w:spacing w:before="136" w:line="214" w:lineRule="auto"/>
        <w:ind w:left="602"/>
        <w:outlineLvl w:val="9"/>
        <w:rPr>
          <w:rFonts w:ascii="FangSong_GB2312" w:hAnsi="FangSong_GB2312" w:eastAsia="FangSong_GB2312" w:cs="FangSong_GB2312"/>
          <w:sz w:val="28"/>
          <w:szCs w:val="28"/>
        </w:rPr>
      </w:pPr>
      <w:r>
        <w:rPr>
          <w:rFonts w:ascii="FangSong_GB2312" w:hAnsi="FangSong_GB2312" w:eastAsia="FangSong_GB2312" w:cs="FangSong_GB2312"/>
          <w:spacing w:val="-7"/>
          <w:sz w:val="28"/>
          <w:szCs w:val="28"/>
        </w:rPr>
        <w:t>乙方（售电公司</w:t>
      </w:r>
      <w:r>
        <w:rPr>
          <w:rFonts w:ascii="FangSong_GB2312" w:hAnsi="FangSong_GB2312" w:eastAsia="FangSong_GB2312" w:cs="FangSong_GB2312"/>
          <w:spacing w:val="-1"/>
          <w:sz w:val="28"/>
          <w:szCs w:val="28"/>
        </w:rPr>
        <w:t>）：</w:t>
      </w:r>
      <w:r>
        <w:rPr>
          <w:rFonts w:ascii="FangSong_GB2312" w:hAnsi="FangSong_GB2312" w:eastAsia="FangSong_GB2312" w:cs="FangSong_GB2312"/>
          <w:spacing w:val="-111"/>
          <w:sz w:val="28"/>
          <w:szCs w:val="28"/>
        </w:rPr>
        <w:t xml:space="preserve"> </w:t>
      </w:r>
      <w:r>
        <w:rPr>
          <w:rFonts w:ascii="FangSong_GB2312" w:hAnsi="FangSong_GB2312" w:eastAsia="FangSong_GB2312" w:cs="FangSong_GB2312"/>
          <w:sz w:val="28"/>
          <w:szCs w:val="28"/>
          <w:u w:val="single" w:color="auto"/>
        </w:rPr>
        <w:t xml:space="preserve">                                     </w:t>
      </w:r>
    </w:p>
    <w:p w14:paraId="65488195">
      <w:pPr>
        <w:adjustRightInd w:val="0"/>
        <w:snapToGrid w:val="0"/>
        <w:spacing w:before="134" w:line="213" w:lineRule="auto"/>
        <w:ind w:left="604"/>
        <w:outlineLvl w:val="9"/>
        <w:rPr>
          <w:rFonts w:ascii="FangSong_GB2312" w:hAnsi="FangSong_GB2312" w:eastAsia="FangSong_GB2312" w:cs="FangSong_GB2312"/>
          <w:sz w:val="28"/>
          <w:szCs w:val="28"/>
        </w:rPr>
      </w:pPr>
      <w:r>
        <w:rPr>
          <w:rFonts w:ascii="FangSong_GB2312" w:hAnsi="FangSong_GB2312" w:eastAsia="FangSong_GB2312" w:cs="FangSong_GB2312"/>
          <w:b/>
          <w:bCs/>
          <w:spacing w:val="-6"/>
          <w:sz w:val="28"/>
          <w:szCs w:val="28"/>
        </w:rPr>
        <w:t>甲、乙双方在此向对方陈述如下：</w:t>
      </w:r>
    </w:p>
    <w:p w14:paraId="40440514">
      <w:pPr>
        <w:adjustRightInd w:val="0"/>
        <w:snapToGrid w:val="0"/>
        <w:spacing w:before="138" w:line="273" w:lineRule="auto"/>
        <w:ind w:left="11" w:firstLine="570"/>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一、本方为一家依法设立并合法存续的企业（单位</w:t>
      </w:r>
      <w:r>
        <w:rPr>
          <w:rFonts w:ascii="FangSong_GB2312" w:hAnsi="FangSong_GB2312" w:eastAsia="FangSong_GB2312" w:cs="FangSong_GB2312"/>
          <w:spacing w:val="-9"/>
          <w:sz w:val="28"/>
          <w:szCs w:val="28"/>
        </w:rPr>
        <w:t>），</w:t>
      </w:r>
      <w:r>
        <w:rPr>
          <w:rFonts w:ascii="FangSong_GB2312" w:hAnsi="FangSong_GB2312" w:eastAsia="FangSong_GB2312" w:cs="FangSong_GB2312"/>
          <w:spacing w:val="-3"/>
          <w:sz w:val="28"/>
          <w:szCs w:val="28"/>
        </w:rPr>
        <w:t>具有法人资格/</w:t>
      </w:r>
      <w:r>
        <w:rPr>
          <w:rFonts w:ascii="FangSong_GB2312" w:hAnsi="FangSong_GB2312" w:eastAsia="FangSong_GB2312" w:cs="FangSong_GB2312"/>
          <w:spacing w:val="1"/>
          <w:sz w:val="28"/>
          <w:szCs w:val="28"/>
        </w:rPr>
        <w:t xml:space="preserve"> 经法人单位授权，且在交易中心完成注册，具备电力市场交易资格，有权</w:t>
      </w:r>
      <w:r>
        <w:rPr>
          <w:rFonts w:ascii="FangSong_GB2312" w:hAnsi="FangSong_GB2312" w:eastAsia="FangSong_GB2312" w:cs="FangSong_GB2312"/>
          <w:spacing w:val="15"/>
          <w:sz w:val="28"/>
          <w:szCs w:val="28"/>
        </w:rPr>
        <w:t xml:space="preserve"> </w:t>
      </w:r>
      <w:r>
        <w:rPr>
          <w:rFonts w:ascii="FangSong_GB2312" w:hAnsi="FangSong_GB2312" w:eastAsia="FangSong_GB2312" w:cs="FangSong_GB2312"/>
          <w:spacing w:val="-2"/>
          <w:sz w:val="28"/>
          <w:szCs w:val="28"/>
        </w:rPr>
        <w:t>签署并有能力履行本合同。</w:t>
      </w:r>
    </w:p>
    <w:p w14:paraId="4171EBAF">
      <w:pPr>
        <w:adjustRightInd w:val="0"/>
        <w:snapToGrid w:val="0"/>
        <w:spacing w:before="137" w:line="274" w:lineRule="auto"/>
        <w:ind w:left="7" w:firstLine="571"/>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二、本方已充分理解有关的电力交易规则，完全清楚电力市场可能存</w:t>
      </w:r>
      <w:r>
        <w:rPr>
          <w:rFonts w:ascii="FangSong_GB2312" w:hAnsi="FangSong_GB2312" w:eastAsia="FangSong_GB2312" w:cs="FangSong_GB2312"/>
          <w:spacing w:val="9"/>
          <w:sz w:val="28"/>
          <w:szCs w:val="28"/>
        </w:rPr>
        <w:t xml:space="preserve"> </w:t>
      </w:r>
      <w:r>
        <w:rPr>
          <w:rFonts w:ascii="FangSong_GB2312" w:hAnsi="FangSong_GB2312" w:eastAsia="FangSong_GB2312" w:cs="FangSong_GB2312"/>
          <w:spacing w:val="2"/>
          <w:sz w:val="28"/>
          <w:szCs w:val="28"/>
        </w:rPr>
        <w:t>在的风险，认同成交结果，同意按照本合同</w:t>
      </w:r>
      <w:r>
        <w:rPr>
          <w:rFonts w:ascii="FangSong_GB2312" w:hAnsi="FangSong_GB2312" w:eastAsia="FangSong_GB2312" w:cs="FangSong_GB2312"/>
          <w:spacing w:val="1"/>
          <w:sz w:val="28"/>
          <w:szCs w:val="28"/>
        </w:rPr>
        <w:t>约定执行，并自愿承担可能存</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在的后果。</w:t>
      </w:r>
    </w:p>
    <w:p w14:paraId="68EF4AC2">
      <w:pPr>
        <w:adjustRightInd w:val="0"/>
        <w:snapToGrid w:val="0"/>
        <w:spacing w:before="134" w:line="273" w:lineRule="auto"/>
        <w:ind w:firstLine="58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三、本方为签署本合同所需的内部授权程序均已完成，签署本合同的</w:t>
      </w:r>
      <w:r>
        <w:rPr>
          <w:rFonts w:ascii="FangSong_GB2312" w:hAnsi="FangSong_GB2312" w:eastAsia="FangSong_GB2312" w:cs="FangSong_GB2312"/>
          <w:spacing w:val="4"/>
          <w:sz w:val="28"/>
          <w:szCs w:val="28"/>
        </w:rPr>
        <w:t xml:space="preserve"> </w:t>
      </w:r>
      <w:r>
        <w:rPr>
          <w:rFonts w:ascii="FangSong_GB2312" w:hAnsi="FangSong_GB2312" w:eastAsia="FangSong_GB2312" w:cs="FangSong_GB2312"/>
          <w:spacing w:val="2"/>
          <w:sz w:val="28"/>
          <w:szCs w:val="28"/>
        </w:rPr>
        <w:t>是本方法定代表人或授权代理人。本合同生效后即对合同双</w:t>
      </w:r>
      <w:r>
        <w:rPr>
          <w:rFonts w:ascii="FangSong_GB2312" w:hAnsi="FangSong_GB2312" w:eastAsia="FangSong_GB2312" w:cs="FangSong_GB2312"/>
          <w:spacing w:val="1"/>
          <w:sz w:val="28"/>
          <w:szCs w:val="28"/>
        </w:rPr>
        <w:t>方具有法律约</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束力。</w:t>
      </w:r>
    </w:p>
    <w:p w14:paraId="143E5732">
      <w:pPr>
        <w:adjustRightInd w:val="0"/>
        <w:snapToGrid w:val="0"/>
        <w:spacing w:before="138" w:line="289" w:lineRule="auto"/>
        <w:ind w:left="19" w:firstLine="552"/>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现甲乙双方本着平等、</w:t>
      </w:r>
      <w:r>
        <w:rPr>
          <w:rFonts w:ascii="FangSong_GB2312" w:hAnsi="FangSong_GB2312" w:eastAsia="FangSong_GB2312" w:cs="FangSong_GB2312"/>
          <w:spacing w:val="-64"/>
          <w:sz w:val="28"/>
          <w:szCs w:val="28"/>
        </w:rPr>
        <w:t xml:space="preserve"> </w:t>
      </w:r>
      <w:r>
        <w:rPr>
          <w:rFonts w:ascii="FangSong_GB2312" w:hAnsi="FangSong_GB2312" w:eastAsia="FangSong_GB2312" w:cs="FangSong_GB2312"/>
          <w:spacing w:val="-1"/>
          <w:sz w:val="28"/>
          <w:szCs w:val="28"/>
        </w:rPr>
        <w:t>自愿、诚信的原则，就电力零售交易达成以下</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9"/>
          <w:sz w:val="28"/>
          <w:szCs w:val="28"/>
        </w:rPr>
        <w:t>约定：</w:t>
      </w:r>
    </w:p>
    <w:p w14:paraId="6A99DD7C">
      <w:pPr>
        <w:adjustRightInd w:val="0"/>
        <w:snapToGrid w:val="0"/>
        <w:spacing w:before="319" w:line="227" w:lineRule="auto"/>
        <w:ind w:left="3313"/>
        <w:outlineLvl w:val="9"/>
        <w:rPr>
          <w:rFonts w:ascii="黑体" w:hAnsi="黑体" w:eastAsia="黑体" w:cs="黑体"/>
          <w:sz w:val="31"/>
          <w:szCs w:val="31"/>
        </w:rPr>
      </w:pPr>
      <w:bookmarkStart w:id="833" w:name="_Toc14596"/>
      <w:r>
        <w:rPr>
          <w:rFonts w:ascii="黑体" w:hAnsi="黑体" w:eastAsia="黑体" w:cs="黑体"/>
          <w:b/>
          <w:bCs/>
          <w:spacing w:val="6"/>
          <w:sz w:val="31"/>
          <w:szCs w:val="31"/>
        </w:rPr>
        <w:t>第一章</w:t>
      </w:r>
      <w:r>
        <w:rPr>
          <w:rFonts w:ascii="黑体" w:hAnsi="黑体" w:eastAsia="黑体" w:cs="黑体"/>
          <w:spacing w:val="6"/>
          <w:sz w:val="31"/>
          <w:szCs w:val="31"/>
        </w:rPr>
        <w:t xml:space="preserve"> </w:t>
      </w:r>
      <w:r>
        <w:rPr>
          <w:rFonts w:ascii="黑体" w:hAnsi="黑体" w:eastAsia="黑体" w:cs="黑体"/>
          <w:b/>
          <w:bCs/>
          <w:spacing w:val="6"/>
          <w:sz w:val="31"/>
          <w:szCs w:val="31"/>
        </w:rPr>
        <w:t>风险提示</w:t>
      </w:r>
      <w:bookmarkEnd w:id="833"/>
    </w:p>
    <w:p w14:paraId="48F8B3B0">
      <w:pPr>
        <w:adjustRightInd w:val="0"/>
        <w:snapToGrid w:val="0"/>
        <w:spacing w:before="114" w:line="214" w:lineRule="auto"/>
        <w:jc w:val="right"/>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1.1</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pacing w:val="2"/>
          <w:sz w:val="28"/>
          <w:szCs w:val="28"/>
        </w:rPr>
        <w:t>本合同约定的电能量价格</w:t>
      </w:r>
      <w:r>
        <w:rPr>
          <w:rFonts w:ascii="FangSong_GB2312" w:hAnsi="FangSong_GB2312" w:eastAsia="FangSong_GB2312" w:cs="FangSong_GB2312"/>
          <w:b/>
          <w:bCs/>
          <w:spacing w:val="2"/>
          <w:sz w:val="28"/>
          <w:szCs w:val="28"/>
        </w:rPr>
        <w:t>并非用户最终到户电价</w:t>
      </w:r>
      <w:r>
        <w:rPr>
          <w:rFonts w:ascii="FangSong_GB2312" w:hAnsi="FangSong_GB2312" w:eastAsia="FangSong_GB2312" w:cs="FangSong_GB2312"/>
          <w:spacing w:val="2"/>
          <w:sz w:val="28"/>
          <w:szCs w:val="28"/>
        </w:rPr>
        <w:t>（详见合同文本</w:t>
      </w:r>
    </w:p>
    <w:p w14:paraId="203BA322">
      <w:pPr>
        <w:adjustRightInd w:val="0"/>
        <w:snapToGrid w:val="0"/>
        <w:spacing w:before="135" w:line="289" w:lineRule="auto"/>
        <w:ind w:left="4" w:firstLine="9"/>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4.4</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3"/>
          <w:sz w:val="28"/>
          <w:szCs w:val="28"/>
        </w:rPr>
        <w:t>条）。本合同约定的电能量价格不含煤电容量电价，煤电容量电</w:t>
      </w:r>
      <w:r>
        <w:rPr>
          <w:rFonts w:ascii="FangSong_GB2312" w:hAnsi="FangSong_GB2312" w:eastAsia="FangSong_GB2312" w:cs="FangSong_GB2312"/>
          <w:spacing w:val="2"/>
          <w:sz w:val="28"/>
          <w:szCs w:val="28"/>
        </w:rPr>
        <w:t>价纳</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入系统运行费用每月由工商业用户分摊。甲乙双方</w:t>
      </w:r>
      <w:r>
        <w:rPr>
          <w:rFonts w:ascii="FangSong_GB2312" w:hAnsi="FangSong_GB2312" w:eastAsia="FangSong_GB2312" w:cs="FangSong_GB2312"/>
          <w:spacing w:val="1"/>
          <w:sz w:val="28"/>
          <w:szCs w:val="28"/>
        </w:rPr>
        <w:t>已充分知悉煤电容量电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价相关政策，</w:t>
      </w:r>
      <w:r>
        <w:rPr>
          <w:rFonts w:ascii="FangSong_GB2312" w:hAnsi="FangSong_GB2312" w:eastAsia="FangSong_GB2312" w:cs="FangSong_GB2312"/>
          <w:b/>
          <w:bCs/>
          <w:spacing w:val="-1"/>
          <w:sz w:val="28"/>
          <w:szCs w:val="28"/>
        </w:rPr>
        <w:t>乙方应向甲方准确传达，不得利用信息不对称误导甲方，推</w:t>
      </w:r>
      <w:r>
        <w:rPr>
          <w:rFonts w:ascii="FangSong_GB2312" w:hAnsi="FangSong_GB2312" w:eastAsia="FangSong_GB2312" w:cs="FangSong_GB2312"/>
          <w:spacing w:val="9"/>
          <w:sz w:val="28"/>
          <w:szCs w:val="28"/>
        </w:rPr>
        <w:t xml:space="preserve"> </w:t>
      </w:r>
      <w:r>
        <w:rPr>
          <w:rFonts w:ascii="FangSong_GB2312" w:hAnsi="FangSong_GB2312" w:eastAsia="FangSong_GB2312" w:cs="FangSong_GB2312"/>
          <w:b/>
          <w:bCs/>
          <w:spacing w:val="-1"/>
          <w:sz w:val="28"/>
          <w:szCs w:val="28"/>
        </w:rPr>
        <w:t>高甲方用电成本</w:t>
      </w:r>
      <w:r>
        <w:rPr>
          <w:rFonts w:ascii="FangSong_GB2312" w:hAnsi="FangSong_GB2312" w:eastAsia="FangSong_GB2312" w:cs="FangSong_GB2312"/>
          <w:spacing w:val="-1"/>
          <w:sz w:val="28"/>
          <w:szCs w:val="28"/>
        </w:rPr>
        <w:t>；</w:t>
      </w:r>
      <w:r>
        <w:rPr>
          <w:rFonts w:ascii="FangSong_GB2312" w:hAnsi="FangSong_GB2312" w:eastAsia="FangSong_GB2312" w:cs="FangSong_GB2312"/>
          <w:b/>
          <w:bCs/>
          <w:spacing w:val="-1"/>
          <w:sz w:val="28"/>
          <w:szCs w:val="28"/>
        </w:rPr>
        <w:t>甲方需重点关注煤电容量电价政策对到户电</w:t>
      </w:r>
      <w:r>
        <w:rPr>
          <w:rFonts w:ascii="FangSong_GB2312" w:hAnsi="FangSong_GB2312" w:eastAsia="FangSong_GB2312" w:cs="FangSong_GB2312"/>
          <w:b/>
          <w:bCs/>
          <w:spacing w:val="-2"/>
          <w:sz w:val="28"/>
          <w:szCs w:val="28"/>
        </w:rPr>
        <w:t>价的影响，</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1"/>
          <w:sz w:val="28"/>
          <w:szCs w:val="28"/>
        </w:rPr>
        <w:t>在签订合同前根据市场行情综合评估叠加煤电容量电价</w:t>
      </w:r>
      <w:r>
        <w:rPr>
          <w:rFonts w:ascii="FangSong_GB2312" w:hAnsi="FangSong_GB2312" w:eastAsia="FangSong_GB2312" w:cs="FangSong_GB2312"/>
          <w:b/>
          <w:bCs/>
          <w:spacing w:val="-2"/>
          <w:sz w:val="28"/>
          <w:szCs w:val="28"/>
        </w:rPr>
        <w:t>等各类费用后的购</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5"/>
          <w:sz w:val="28"/>
          <w:szCs w:val="28"/>
        </w:rPr>
        <w:t>电成本</w:t>
      </w:r>
      <w:r>
        <w:rPr>
          <w:rFonts w:ascii="FangSong_GB2312" w:hAnsi="FangSong_GB2312" w:eastAsia="FangSong_GB2312" w:cs="FangSong_GB2312"/>
          <w:spacing w:val="-5"/>
          <w:sz w:val="28"/>
          <w:szCs w:val="28"/>
        </w:rPr>
        <w:t>。</w:t>
      </w:r>
    </w:p>
    <w:p w14:paraId="452DF426">
      <w:pPr>
        <w:adjustRightInd w:val="0"/>
        <w:snapToGrid w:val="0"/>
        <w:spacing w:before="133" w:line="273" w:lineRule="auto"/>
        <w:ind w:left="3" w:firstLine="578"/>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1.2</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2"/>
          <w:sz w:val="28"/>
          <w:szCs w:val="28"/>
        </w:rPr>
        <w:t>本合同双方若与发电企业签订多年</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z w:val="28"/>
          <w:szCs w:val="28"/>
        </w:rPr>
        <w:t>PPA</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2"/>
          <w:sz w:val="28"/>
          <w:szCs w:val="28"/>
        </w:rPr>
        <w:t>购电协议，双方需综合考</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虑甲方绿电实际需求量，综合衔接多年</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z w:val="28"/>
          <w:szCs w:val="28"/>
        </w:rPr>
        <w:t>PPA</w:t>
      </w:r>
      <w:r>
        <w:rPr>
          <w:rFonts w:ascii="FangSong_GB2312" w:hAnsi="FangSong_GB2312" w:eastAsia="FangSong_GB2312" w:cs="FangSong_GB2312"/>
          <w:spacing w:val="4"/>
          <w:sz w:val="28"/>
          <w:szCs w:val="28"/>
        </w:rPr>
        <w:t>、年度</w:t>
      </w:r>
      <w:r>
        <w:rPr>
          <w:rFonts w:ascii="FangSong_GB2312" w:hAnsi="FangSong_GB2312" w:eastAsia="FangSong_GB2312" w:cs="FangSong_GB2312"/>
          <w:spacing w:val="3"/>
          <w:sz w:val="28"/>
          <w:szCs w:val="28"/>
        </w:rPr>
        <w:t>、月度及月内绿电交易</w:t>
      </w:r>
      <w:r>
        <w:rPr>
          <w:rFonts w:ascii="FangSong_GB2312" w:hAnsi="FangSong_GB2312" w:eastAsia="FangSong_GB2312" w:cs="FangSong_GB2312"/>
          <w:sz w:val="28"/>
          <w:szCs w:val="28"/>
        </w:rPr>
        <w:t xml:space="preserve"> 电量占比及价格，统筹约定本合同中所涉及</w:t>
      </w:r>
      <w:r>
        <w:rPr>
          <w:rFonts w:ascii="FangSong_GB2312" w:hAnsi="FangSong_GB2312" w:eastAsia="FangSong_GB2312" w:cs="FangSong_GB2312"/>
          <w:spacing w:val="-1"/>
          <w:sz w:val="28"/>
          <w:szCs w:val="28"/>
        </w:rPr>
        <w:t>的绿电交易零售价格。</w:t>
      </w:r>
    </w:p>
    <w:p w14:paraId="070E78CA">
      <w:pPr>
        <w:adjustRightInd w:val="0"/>
        <w:snapToGrid w:val="0"/>
        <w:spacing w:before="138" w:line="273" w:lineRule="auto"/>
        <w:ind w:left="7" w:firstLine="573"/>
        <w:outlineLvl w:val="9"/>
        <w:rPr>
          <w:rFonts w:ascii="FangSong_GB2312" w:hAnsi="FangSong_GB2312" w:eastAsia="FangSong_GB2312" w:cs="FangSong_GB2312"/>
          <w:sz w:val="28"/>
          <w:szCs w:val="28"/>
        </w:rPr>
      </w:pPr>
      <w:r>
        <w:rPr>
          <w:rFonts w:ascii="FangSong_GB2312" w:hAnsi="FangSong_GB2312" w:eastAsia="FangSong_GB2312" w:cs="FangSong_GB2312"/>
          <w:sz w:val="28"/>
          <w:szCs w:val="28"/>
        </w:rPr>
        <w:t>1.3</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b/>
          <w:bCs/>
          <w:sz w:val="28"/>
          <w:szCs w:val="28"/>
        </w:rPr>
        <w:t>零售用户应参照交易平台披露的往期批发市场价格参数，合理选</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1"/>
          <w:sz w:val="28"/>
          <w:szCs w:val="28"/>
        </w:rPr>
        <w:t>择零售结算模式。</w:t>
      </w:r>
      <w:r>
        <w:rPr>
          <w:rFonts w:ascii="FangSong_GB2312" w:hAnsi="FangSong_GB2312" w:eastAsia="FangSong_GB2312" w:cs="FangSong_GB2312"/>
          <w:spacing w:val="1"/>
          <w:sz w:val="28"/>
          <w:szCs w:val="28"/>
        </w:rPr>
        <w:t>零售用户偏差共担费用，用于补偿乙方在批</w:t>
      </w:r>
      <w:r>
        <w:rPr>
          <w:rFonts w:ascii="FangSong_GB2312" w:hAnsi="FangSong_GB2312" w:eastAsia="FangSong_GB2312" w:cs="FangSong_GB2312"/>
          <w:sz w:val="28"/>
          <w:szCs w:val="28"/>
        </w:rPr>
        <w:t xml:space="preserve">发市场承担 </w:t>
      </w:r>
      <w:r>
        <w:rPr>
          <w:rFonts w:ascii="FangSong_GB2312" w:hAnsi="FangSong_GB2312" w:eastAsia="FangSong_GB2312" w:cs="FangSong_GB2312"/>
          <w:spacing w:val="2"/>
          <w:sz w:val="28"/>
          <w:szCs w:val="28"/>
        </w:rPr>
        <w:t>的偏差费用，零售用户应结合零售价格和偏</w:t>
      </w:r>
      <w:r>
        <w:rPr>
          <w:rFonts w:ascii="FangSong_GB2312" w:hAnsi="FangSong_GB2312" w:eastAsia="FangSong_GB2312" w:cs="FangSong_GB2312"/>
          <w:spacing w:val="1"/>
          <w:sz w:val="28"/>
          <w:szCs w:val="28"/>
        </w:rPr>
        <w:t>差情况，合理选择采用“售电</w:t>
      </w:r>
    </w:p>
    <w:p w14:paraId="45ACBA28">
      <w:pPr>
        <w:spacing w:line="273" w:lineRule="auto"/>
        <w:outlineLvl w:val="9"/>
        <w:rPr>
          <w:rFonts w:ascii="FangSong_GB2312" w:hAnsi="FangSong_GB2312" w:eastAsia="FangSong_GB2312" w:cs="FangSong_GB2312"/>
          <w:sz w:val="28"/>
          <w:szCs w:val="28"/>
        </w:rPr>
        <w:sectPr>
          <w:footerReference r:id="rId16" w:type="default"/>
          <w:pgSz w:w="11906" w:h="16839"/>
          <w:pgMar w:top="1431" w:right="1439" w:bottom="1180" w:left="1446" w:header="0" w:footer="966" w:gutter="0"/>
          <w:pgNumType w:fmt="decimal"/>
          <w:cols w:space="720" w:num="1"/>
        </w:sectPr>
      </w:pPr>
    </w:p>
    <w:p w14:paraId="542C80A1">
      <w:pPr>
        <w:adjustRightInd w:val="0"/>
        <w:snapToGrid w:val="0"/>
        <w:spacing w:before="136" w:line="294" w:lineRule="auto"/>
        <w:ind w:left="11" w:right="156" w:hanging="4"/>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公司全担”或“零售用户共担”模式。零售合同</w:t>
      </w:r>
      <w:r>
        <w:rPr>
          <w:rFonts w:ascii="FangSong_GB2312" w:hAnsi="FangSong_GB2312" w:eastAsia="FangSong_GB2312" w:cs="FangSong_GB2312"/>
          <w:spacing w:val="1"/>
          <w:sz w:val="28"/>
          <w:szCs w:val="28"/>
        </w:rPr>
        <w:t>电能量价格上限、绿色电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力零售合同封顶总价均是有效防范零售价格</w:t>
      </w:r>
      <w:r>
        <w:rPr>
          <w:rFonts w:ascii="FangSong_GB2312" w:hAnsi="FangSong_GB2312" w:eastAsia="FangSong_GB2312" w:cs="FangSong_GB2312"/>
          <w:spacing w:val="1"/>
          <w:sz w:val="28"/>
          <w:szCs w:val="28"/>
        </w:rPr>
        <w:t>风险的措施，零售用户应认真</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理解、合理应用。</w:t>
      </w:r>
    </w:p>
    <w:p w14:paraId="240F58C7">
      <w:pPr>
        <w:adjustRightInd w:val="0"/>
        <w:snapToGrid w:val="0"/>
        <w:spacing w:before="44" w:line="286" w:lineRule="auto"/>
        <w:ind w:left="8" w:right="155" w:firstLine="576"/>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1.4</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b/>
          <w:bCs/>
          <w:spacing w:val="1"/>
          <w:sz w:val="28"/>
          <w:szCs w:val="28"/>
        </w:rPr>
        <w:t>按照国家有关要求，严禁在收取电费中加</w:t>
      </w:r>
      <w:r>
        <w:rPr>
          <w:rFonts w:ascii="FangSong_GB2312" w:hAnsi="FangSong_GB2312" w:eastAsia="FangSong_GB2312" w:cs="FangSong_GB2312"/>
          <w:b/>
          <w:bCs/>
          <w:sz w:val="28"/>
          <w:szCs w:val="28"/>
        </w:rPr>
        <w:t>收其他费用。</w:t>
      </w:r>
      <w:r>
        <w:rPr>
          <w:rFonts w:ascii="FangSong_GB2312" w:hAnsi="FangSong_GB2312" w:eastAsia="FangSong_GB2312" w:cs="FangSong_GB2312"/>
          <w:sz w:val="28"/>
          <w:szCs w:val="28"/>
        </w:rPr>
        <w:t xml:space="preserve">物业公共 </w:t>
      </w:r>
      <w:r>
        <w:rPr>
          <w:rFonts w:ascii="FangSong_GB2312" w:hAnsi="FangSong_GB2312" w:eastAsia="FangSong_GB2312" w:cs="FangSong_GB2312"/>
          <w:spacing w:val="2"/>
          <w:sz w:val="28"/>
          <w:szCs w:val="28"/>
        </w:rPr>
        <w:t>部位、共用设施和配套设施的运行维护费用等，应</w:t>
      </w:r>
      <w:r>
        <w:rPr>
          <w:rFonts w:ascii="FangSong_GB2312" w:hAnsi="FangSong_GB2312" w:eastAsia="FangSong_GB2312" w:cs="FangSong_GB2312"/>
          <w:spacing w:val="1"/>
          <w:sz w:val="28"/>
          <w:szCs w:val="28"/>
        </w:rPr>
        <w:t>通过物业费、租金或公</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共收益解决，严禁以电费为基数加收服务类费用。</w:t>
      </w:r>
      <w:r>
        <w:rPr>
          <w:rFonts w:ascii="FangSong_GB2312" w:hAnsi="FangSong_GB2312" w:eastAsia="FangSong_GB2312" w:cs="FangSong_GB2312"/>
          <w:b/>
          <w:bCs/>
          <w:spacing w:val="1"/>
          <w:sz w:val="28"/>
          <w:szCs w:val="28"/>
        </w:rPr>
        <w:t>甲乙双</w:t>
      </w:r>
      <w:r>
        <w:rPr>
          <w:rFonts w:ascii="FangSong_GB2312" w:hAnsi="FangSong_GB2312" w:eastAsia="FangSong_GB2312" w:cs="FangSong_GB2312"/>
          <w:b/>
          <w:bCs/>
          <w:sz w:val="28"/>
          <w:szCs w:val="28"/>
        </w:rPr>
        <w:t>方应按照公平自</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1"/>
          <w:sz w:val="28"/>
          <w:szCs w:val="28"/>
        </w:rPr>
        <w:t>愿原则签订本合同，不得通过签订明显有失市场公平的</w:t>
      </w:r>
      <w:r>
        <w:rPr>
          <w:rFonts w:ascii="FangSong_GB2312" w:hAnsi="FangSong_GB2312" w:eastAsia="FangSong_GB2312" w:cs="FangSong_GB2312"/>
          <w:b/>
          <w:bCs/>
          <w:spacing w:val="-2"/>
          <w:sz w:val="28"/>
          <w:szCs w:val="28"/>
        </w:rPr>
        <w:t>结算参数损害相关</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6"/>
          <w:sz w:val="28"/>
          <w:szCs w:val="28"/>
        </w:rPr>
        <w:t>方利益。</w:t>
      </w:r>
    </w:p>
    <w:p w14:paraId="794FA41E">
      <w:pPr>
        <w:adjustRightInd w:val="0"/>
        <w:snapToGrid w:val="0"/>
        <w:spacing w:before="131" w:line="258" w:lineRule="auto"/>
        <w:ind w:left="10" w:firstLine="574"/>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1.5</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3"/>
          <w:sz w:val="28"/>
          <w:szCs w:val="28"/>
        </w:rPr>
        <w:t>合同期内如遇国家电价政策调整影响零售交易时，售电公</w:t>
      </w:r>
      <w:r>
        <w:rPr>
          <w:rFonts w:ascii="FangSong_GB2312" w:hAnsi="FangSong_GB2312" w:eastAsia="FangSong_GB2312" w:cs="FangSong_GB2312"/>
          <w:spacing w:val="2"/>
          <w:sz w:val="28"/>
          <w:szCs w:val="28"/>
        </w:rPr>
        <w:t>司和零</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售用户应通过签订补充协议或在合同中增加约束条款等形式落</w:t>
      </w:r>
      <w:r>
        <w:rPr>
          <w:rFonts w:ascii="FangSong_GB2312" w:hAnsi="FangSong_GB2312" w:eastAsia="FangSong_GB2312" w:cs="FangSong_GB2312"/>
          <w:spacing w:val="-3"/>
          <w:sz w:val="28"/>
          <w:szCs w:val="28"/>
        </w:rPr>
        <w:t>实国家要求。</w:t>
      </w:r>
    </w:p>
    <w:p w14:paraId="3FCF1D86">
      <w:pPr>
        <w:adjustRightInd w:val="0"/>
        <w:snapToGrid w:val="0"/>
        <w:spacing w:before="133" w:line="282" w:lineRule="auto"/>
        <w:ind w:left="5" w:right="80" w:firstLine="580"/>
        <w:outlineLvl w:val="9"/>
        <w:rPr>
          <w:rFonts w:ascii="FangSong_GB2312" w:hAnsi="FangSong_GB2312" w:eastAsia="FangSong_GB2312" w:cs="FangSong_GB2312"/>
          <w:sz w:val="28"/>
          <w:szCs w:val="28"/>
        </w:rPr>
      </w:pPr>
      <w:r>
        <w:rPr>
          <w:rFonts w:ascii="FangSong_GB2312" w:hAnsi="FangSong_GB2312" w:eastAsia="FangSong_GB2312" w:cs="FangSong_GB2312"/>
          <w:sz w:val="28"/>
          <w:szCs w:val="28"/>
        </w:rPr>
        <w:t>1.6</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b/>
          <w:bCs/>
          <w:sz w:val="28"/>
          <w:szCs w:val="28"/>
        </w:rPr>
        <w:t>交易中心依据交易平台中的结算参数进行结算，请各经营主</w:t>
      </w:r>
      <w:r>
        <w:rPr>
          <w:rFonts w:ascii="FangSong_GB2312" w:hAnsi="FangSong_GB2312" w:eastAsia="FangSong_GB2312" w:cs="FangSong_GB2312"/>
          <w:b/>
          <w:bCs/>
          <w:spacing w:val="-1"/>
          <w:sz w:val="28"/>
          <w:szCs w:val="28"/>
        </w:rPr>
        <w:t>体妥</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7"/>
          <w:sz w:val="28"/>
          <w:szCs w:val="28"/>
        </w:rPr>
        <w:t>善保管各自交易平台账号、密码、数字证书</w:t>
      </w:r>
      <w:r>
        <w:rPr>
          <w:rFonts w:ascii="FangSong_GB2312" w:hAnsi="FangSong_GB2312" w:eastAsia="FangSong_GB2312" w:cs="FangSong_GB2312"/>
          <w:b/>
          <w:bCs/>
          <w:spacing w:val="-8"/>
          <w:sz w:val="28"/>
          <w:szCs w:val="28"/>
        </w:rPr>
        <w:t>、人脸识别、电子签章等信息，</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1"/>
          <w:sz w:val="28"/>
          <w:szCs w:val="28"/>
        </w:rPr>
        <w:t>切勿泄露、配合、提供给其他方和相对方使用，并自愿承担未</w:t>
      </w:r>
      <w:r>
        <w:rPr>
          <w:rFonts w:ascii="FangSong_GB2312" w:hAnsi="FangSong_GB2312" w:eastAsia="FangSong_GB2312" w:cs="FangSong_GB2312"/>
          <w:b/>
          <w:bCs/>
          <w:spacing w:val="-2"/>
          <w:sz w:val="28"/>
          <w:szCs w:val="28"/>
        </w:rPr>
        <w:t>妥善保管及</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3"/>
          <w:sz w:val="28"/>
          <w:szCs w:val="28"/>
        </w:rPr>
        <w:t>使用导致的一切风险及后果。</w:t>
      </w:r>
    </w:p>
    <w:p w14:paraId="7F364629">
      <w:pPr>
        <w:adjustRightInd w:val="0"/>
        <w:snapToGrid w:val="0"/>
        <w:spacing w:before="132" w:line="214" w:lineRule="auto"/>
        <w:ind w:left="585"/>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1.7</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pacing w:val="-3"/>
          <w:sz w:val="28"/>
          <w:szCs w:val="28"/>
        </w:rPr>
        <w:t>本合同签订价格均为含税价格。</w:t>
      </w:r>
    </w:p>
    <w:p w14:paraId="2E2104A8">
      <w:pPr>
        <w:adjustRightInd w:val="0"/>
        <w:snapToGrid w:val="0"/>
        <w:spacing w:before="134" w:line="259" w:lineRule="auto"/>
        <w:ind w:left="12" w:right="220" w:firstLine="573"/>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1.8</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sz w:val="28"/>
          <w:szCs w:val="28"/>
        </w:rPr>
        <w:t>对于上述风险提示，合同双方均已认真阅读、</w:t>
      </w:r>
      <w:r>
        <w:rPr>
          <w:rFonts w:ascii="FangSong_GB2312" w:hAnsi="FangSong_GB2312" w:eastAsia="FangSong_GB2312" w:cs="FangSong_GB2312"/>
          <w:sz w:val="28"/>
          <w:szCs w:val="28"/>
        </w:rPr>
        <w:t xml:space="preserve">完全理解并同意， </w:t>
      </w:r>
      <w:r>
        <w:rPr>
          <w:rFonts w:ascii="FangSong_GB2312" w:hAnsi="FangSong_GB2312" w:eastAsia="FangSong_GB2312" w:cs="FangSong_GB2312"/>
          <w:spacing w:val="-1"/>
          <w:sz w:val="28"/>
          <w:szCs w:val="28"/>
        </w:rPr>
        <w:t>合同签署即视为知悉并同意上述风险提示的全部内容。</w:t>
      </w:r>
    </w:p>
    <w:p w14:paraId="2E1696A0">
      <w:pPr>
        <w:widowControl w:val="0"/>
        <w:adjustRightInd w:val="0"/>
        <w:snapToGrid w:val="0"/>
        <w:spacing w:line="431" w:lineRule="auto"/>
        <w:jc w:val="both"/>
        <w:outlineLvl w:val="9"/>
        <w:rPr>
          <w:rFonts w:ascii="宋体" w:hAnsi="宋体" w:cs="宋体" w:eastAsiaTheme="minorEastAsia"/>
          <w:kern w:val="2"/>
          <w:sz w:val="24"/>
          <w:szCs w:val="24"/>
          <w:lang w:val="en-US" w:eastAsia="zh-CN" w:bidi="ar-SA"/>
        </w:rPr>
      </w:pPr>
    </w:p>
    <w:p w14:paraId="4B7B890E">
      <w:pPr>
        <w:adjustRightInd w:val="0"/>
        <w:snapToGrid w:val="0"/>
        <w:spacing w:before="101" w:line="226" w:lineRule="auto"/>
        <w:ind w:left="3158"/>
        <w:outlineLvl w:val="9"/>
        <w:rPr>
          <w:rFonts w:ascii="黑体" w:hAnsi="黑体" w:eastAsia="黑体" w:cs="黑体"/>
          <w:sz w:val="31"/>
          <w:szCs w:val="31"/>
        </w:rPr>
      </w:pPr>
      <w:bookmarkStart w:id="834" w:name="_Toc15657"/>
      <w:r>
        <w:rPr>
          <w:rFonts w:ascii="黑体" w:hAnsi="黑体" w:eastAsia="黑体" w:cs="黑体"/>
          <w:b/>
          <w:bCs/>
          <w:spacing w:val="5"/>
          <w:sz w:val="31"/>
          <w:szCs w:val="31"/>
        </w:rPr>
        <w:t>第二章</w:t>
      </w:r>
      <w:r>
        <w:rPr>
          <w:rFonts w:ascii="黑体" w:hAnsi="黑体" w:eastAsia="黑体" w:cs="黑体"/>
          <w:spacing w:val="5"/>
          <w:sz w:val="31"/>
          <w:szCs w:val="31"/>
        </w:rPr>
        <w:t xml:space="preserve"> </w:t>
      </w:r>
      <w:r>
        <w:rPr>
          <w:rFonts w:ascii="黑体" w:hAnsi="黑体" w:eastAsia="黑体" w:cs="黑体"/>
          <w:b/>
          <w:bCs/>
          <w:spacing w:val="5"/>
          <w:sz w:val="31"/>
          <w:szCs w:val="31"/>
        </w:rPr>
        <w:t>权利和义务</w:t>
      </w:r>
      <w:bookmarkEnd w:id="834"/>
    </w:p>
    <w:p w14:paraId="79C0F438">
      <w:pPr>
        <w:adjustRightInd w:val="0"/>
        <w:snapToGrid w:val="0"/>
        <w:spacing w:before="111" w:line="229" w:lineRule="auto"/>
        <w:ind w:left="565"/>
        <w:outlineLvl w:val="9"/>
        <w:rPr>
          <w:rFonts w:ascii="楷体" w:hAnsi="楷体" w:eastAsia="楷体" w:cs="楷体"/>
          <w:sz w:val="28"/>
          <w:szCs w:val="28"/>
        </w:rPr>
      </w:pPr>
      <w:bookmarkStart w:id="835" w:name="_Toc31770"/>
      <w:r>
        <w:rPr>
          <w:rFonts w:ascii="楷体" w:hAnsi="楷体" w:eastAsia="楷体" w:cs="楷体"/>
          <w:b/>
          <w:bCs/>
          <w:spacing w:val="-9"/>
          <w:sz w:val="28"/>
          <w:szCs w:val="28"/>
        </w:rPr>
        <w:t>2.1</w:t>
      </w:r>
      <w:r>
        <w:rPr>
          <w:rFonts w:ascii="楷体" w:hAnsi="楷体" w:eastAsia="楷体" w:cs="楷体"/>
          <w:spacing w:val="-23"/>
          <w:sz w:val="28"/>
          <w:szCs w:val="28"/>
        </w:rPr>
        <w:t xml:space="preserve"> </w:t>
      </w:r>
      <w:r>
        <w:rPr>
          <w:rFonts w:ascii="楷体" w:hAnsi="楷体" w:eastAsia="楷体" w:cs="楷体"/>
          <w:b/>
          <w:bCs/>
          <w:spacing w:val="-9"/>
          <w:sz w:val="28"/>
          <w:szCs w:val="28"/>
        </w:rPr>
        <w:t>甲方的权利</w:t>
      </w:r>
      <w:bookmarkEnd w:id="835"/>
    </w:p>
    <w:p w14:paraId="74EF5EA7">
      <w:pPr>
        <w:adjustRightInd w:val="0"/>
        <w:snapToGrid w:val="0"/>
        <w:spacing w:before="114" w:line="259" w:lineRule="auto"/>
        <w:ind w:left="14" w:right="156" w:firstLine="564"/>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2.1.1</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按照国家法律、法规等获取电网企业提供的有关接入和用电服</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8"/>
          <w:sz w:val="28"/>
          <w:szCs w:val="28"/>
        </w:rPr>
        <w:t>务。</w:t>
      </w:r>
    </w:p>
    <w:p w14:paraId="13AA458B">
      <w:pPr>
        <w:adjustRightInd w:val="0"/>
        <w:snapToGrid w:val="0"/>
        <w:spacing w:before="133" w:line="261" w:lineRule="auto"/>
        <w:ind w:left="16" w:right="156" w:firstLine="562"/>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2.1.2</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3"/>
          <w:sz w:val="28"/>
          <w:szCs w:val="28"/>
        </w:rPr>
        <w:t>获得乙方履行本合同义务相关的信息、资料及查阅电能量</w:t>
      </w:r>
      <w:r>
        <w:rPr>
          <w:rFonts w:ascii="FangSong_GB2312" w:hAnsi="FangSong_GB2312" w:eastAsia="FangSong_GB2312" w:cs="FangSong_GB2312"/>
          <w:spacing w:val="2"/>
          <w:sz w:val="28"/>
          <w:szCs w:val="28"/>
        </w:rPr>
        <w:t>计量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6"/>
          <w:sz w:val="28"/>
          <w:szCs w:val="28"/>
        </w:rPr>
        <w:t>数据。</w:t>
      </w:r>
    </w:p>
    <w:p w14:paraId="30ED3B68">
      <w:pPr>
        <w:adjustRightInd w:val="0"/>
        <w:snapToGrid w:val="0"/>
        <w:spacing w:before="129" w:line="226" w:lineRule="auto"/>
        <w:ind w:left="565"/>
        <w:outlineLvl w:val="9"/>
        <w:rPr>
          <w:rFonts w:ascii="楷体" w:hAnsi="楷体" w:eastAsia="楷体" w:cs="楷体"/>
          <w:sz w:val="28"/>
          <w:szCs w:val="28"/>
        </w:rPr>
      </w:pPr>
      <w:bookmarkStart w:id="836" w:name="_Toc21148"/>
      <w:r>
        <w:rPr>
          <w:rFonts w:ascii="楷体" w:hAnsi="楷体" w:eastAsia="楷体" w:cs="楷体"/>
          <w:b/>
          <w:bCs/>
          <w:spacing w:val="-9"/>
          <w:sz w:val="28"/>
          <w:szCs w:val="28"/>
        </w:rPr>
        <w:t>2.2</w:t>
      </w:r>
      <w:r>
        <w:rPr>
          <w:rFonts w:ascii="楷体" w:hAnsi="楷体" w:eastAsia="楷体" w:cs="楷体"/>
          <w:spacing w:val="-23"/>
          <w:sz w:val="28"/>
          <w:szCs w:val="28"/>
        </w:rPr>
        <w:t xml:space="preserve"> </w:t>
      </w:r>
      <w:r>
        <w:rPr>
          <w:rFonts w:ascii="楷体" w:hAnsi="楷体" w:eastAsia="楷体" w:cs="楷体"/>
          <w:b/>
          <w:bCs/>
          <w:spacing w:val="-9"/>
          <w:sz w:val="28"/>
          <w:szCs w:val="28"/>
        </w:rPr>
        <w:t>甲方的义务</w:t>
      </w:r>
      <w:bookmarkEnd w:id="836"/>
    </w:p>
    <w:p w14:paraId="7510AEA3">
      <w:pPr>
        <w:adjustRightInd w:val="0"/>
        <w:snapToGrid w:val="0"/>
        <w:spacing w:before="120" w:line="282" w:lineRule="auto"/>
        <w:ind w:right="156" w:firstLine="578"/>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2.2.1</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按规定披露和提供信息，向乙方如实提供本合同履约周期的历</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史用电数据和计量数据等用电信息，以及用电计量点的增减及变更、办理</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增减容和更名过户等用电业务信息，向乙方提供与履行本合同相关的其他</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信息。</w:t>
      </w:r>
    </w:p>
    <w:p w14:paraId="76F7548D">
      <w:pPr>
        <w:adjustRightInd w:val="0"/>
        <w:snapToGrid w:val="0"/>
        <w:spacing w:before="128" w:line="214" w:lineRule="auto"/>
        <w:ind w:left="578"/>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2.2.2</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按规定按时缴纳电费，包括：电能量电费、输配电费、政府基</w:t>
      </w:r>
    </w:p>
    <w:p w14:paraId="4AA14EFE">
      <w:pPr>
        <w:spacing w:line="214" w:lineRule="auto"/>
        <w:outlineLvl w:val="9"/>
        <w:rPr>
          <w:rFonts w:ascii="FangSong_GB2312" w:hAnsi="FangSong_GB2312" w:eastAsia="FangSong_GB2312" w:cs="FangSong_GB2312"/>
          <w:sz w:val="28"/>
          <w:szCs w:val="28"/>
        </w:rPr>
        <w:sectPr>
          <w:footerReference r:id="rId17" w:type="default"/>
          <w:pgSz w:w="11906" w:h="16839"/>
          <w:pgMar w:top="1431" w:right="1283" w:bottom="1180" w:left="1442" w:header="0" w:footer="966" w:gutter="0"/>
          <w:pgNumType w:fmt="decimal"/>
          <w:cols w:space="720" w:num="1"/>
        </w:sectPr>
      </w:pPr>
    </w:p>
    <w:p w14:paraId="5F4CAFAB">
      <w:pPr>
        <w:adjustRightInd w:val="0"/>
        <w:snapToGrid w:val="0"/>
        <w:spacing w:before="137" w:line="214" w:lineRule="auto"/>
        <w:ind w:left="3"/>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金附加费等相关费用。</w:t>
      </w:r>
    </w:p>
    <w:p w14:paraId="58C9803B">
      <w:pPr>
        <w:adjustRightInd w:val="0"/>
        <w:snapToGrid w:val="0"/>
        <w:spacing w:before="136" w:line="274" w:lineRule="auto"/>
        <w:ind w:left="13" w:firstLine="558"/>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2.2.3</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保证在被代理周期内不再与其他售电公司签订代理购电协议或</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市场化购售电合同，</w:t>
      </w:r>
      <w:r>
        <w:rPr>
          <w:rFonts w:ascii="FangSong_GB2312" w:hAnsi="FangSong_GB2312" w:eastAsia="FangSong_GB2312" w:cs="FangSong_GB2312"/>
          <w:spacing w:val="-81"/>
          <w:sz w:val="28"/>
          <w:szCs w:val="28"/>
        </w:rPr>
        <w:t xml:space="preserve"> </w:t>
      </w:r>
      <w:r>
        <w:rPr>
          <w:rFonts w:ascii="FangSong_GB2312" w:hAnsi="FangSong_GB2312" w:eastAsia="FangSong_GB2312" w:cs="FangSong_GB2312"/>
          <w:spacing w:val="-1"/>
          <w:sz w:val="28"/>
          <w:szCs w:val="28"/>
        </w:rPr>
        <w:t>已签订的多年</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PPA</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1"/>
          <w:sz w:val="28"/>
          <w:szCs w:val="28"/>
        </w:rPr>
        <w:t>协议中</w:t>
      </w:r>
      <w:r>
        <w:rPr>
          <w:rFonts w:ascii="FangSong_GB2312" w:hAnsi="FangSong_GB2312" w:eastAsia="FangSong_GB2312" w:cs="FangSong_GB2312"/>
          <w:spacing w:val="-2"/>
          <w:sz w:val="28"/>
          <w:szCs w:val="28"/>
        </w:rPr>
        <w:t>关联的售电公司，须与本合</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同乙方一致。</w:t>
      </w:r>
    </w:p>
    <w:p w14:paraId="5ABB842F">
      <w:pPr>
        <w:adjustRightInd w:val="0"/>
        <w:snapToGrid w:val="0"/>
        <w:spacing w:before="134" w:line="273" w:lineRule="auto"/>
        <w:ind w:left="14" w:firstLine="556"/>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2.2.4 当甲方退市或更换售电公司时，如已签订的合同未履行完毕，</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1"/>
          <w:sz w:val="28"/>
          <w:szCs w:val="28"/>
        </w:rPr>
        <w:t>需与乙方协商解除《北京市电力零售市场购售电合同市场化购售电合同》</w:t>
      </w:r>
      <w:r>
        <w:rPr>
          <w:rFonts w:ascii="FangSong_GB2312" w:hAnsi="FangSong_GB2312" w:eastAsia="FangSong_GB2312" w:cs="FangSong_GB2312"/>
          <w:spacing w:val="8"/>
          <w:sz w:val="28"/>
          <w:szCs w:val="28"/>
        </w:rPr>
        <w:t xml:space="preserve"> </w:t>
      </w:r>
      <w:r>
        <w:rPr>
          <w:rFonts w:ascii="FangSong_GB2312" w:hAnsi="FangSong_GB2312" w:eastAsia="FangSong_GB2312" w:cs="FangSong_GB2312"/>
          <w:spacing w:val="-2"/>
          <w:sz w:val="28"/>
          <w:szCs w:val="28"/>
        </w:rPr>
        <w:t>等，并完成电量及费用清算。</w:t>
      </w:r>
    </w:p>
    <w:p w14:paraId="5C65A690">
      <w:pPr>
        <w:adjustRightInd w:val="0"/>
        <w:snapToGrid w:val="0"/>
        <w:spacing w:before="135" w:line="229" w:lineRule="auto"/>
        <w:ind w:left="558"/>
        <w:outlineLvl w:val="9"/>
        <w:rPr>
          <w:rFonts w:ascii="楷体" w:hAnsi="楷体" w:eastAsia="楷体" w:cs="楷体"/>
          <w:sz w:val="28"/>
          <w:szCs w:val="28"/>
        </w:rPr>
      </w:pPr>
      <w:bookmarkStart w:id="837" w:name="_Toc29896"/>
      <w:r>
        <w:rPr>
          <w:rFonts w:ascii="楷体" w:hAnsi="楷体" w:eastAsia="楷体" w:cs="楷体"/>
          <w:b/>
          <w:bCs/>
          <w:spacing w:val="-9"/>
          <w:sz w:val="28"/>
          <w:szCs w:val="28"/>
        </w:rPr>
        <w:t>2.3</w:t>
      </w:r>
      <w:r>
        <w:rPr>
          <w:rFonts w:ascii="楷体" w:hAnsi="楷体" w:eastAsia="楷体" w:cs="楷体"/>
          <w:spacing w:val="-23"/>
          <w:sz w:val="28"/>
          <w:szCs w:val="28"/>
        </w:rPr>
        <w:t xml:space="preserve"> </w:t>
      </w:r>
      <w:r>
        <w:rPr>
          <w:rFonts w:ascii="楷体" w:hAnsi="楷体" w:eastAsia="楷体" w:cs="楷体"/>
          <w:b/>
          <w:bCs/>
          <w:spacing w:val="-9"/>
          <w:sz w:val="28"/>
          <w:szCs w:val="28"/>
        </w:rPr>
        <w:t>乙方的权利</w:t>
      </w:r>
      <w:bookmarkEnd w:id="837"/>
    </w:p>
    <w:p w14:paraId="208746A8">
      <w:pPr>
        <w:adjustRightInd w:val="0"/>
        <w:snapToGrid w:val="0"/>
        <w:spacing w:before="114" w:line="214" w:lineRule="auto"/>
        <w:ind w:left="565"/>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获得甲方履行本合同义务相关的信息、资料及查阅计量电量数据。</w:t>
      </w:r>
    </w:p>
    <w:p w14:paraId="025F63C9">
      <w:pPr>
        <w:adjustRightInd w:val="0"/>
        <w:snapToGrid w:val="0"/>
        <w:spacing w:before="132" w:line="226" w:lineRule="auto"/>
        <w:ind w:left="558"/>
        <w:outlineLvl w:val="9"/>
        <w:rPr>
          <w:rFonts w:ascii="楷体" w:hAnsi="楷体" w:eastAsia="楷体" w:cs="楷体"/>
          <w:sz w:val="28"/>
          <w:szCs w:val="28"/>
        </w:rPr>
      </w:pPr>
      <w:bookmarkStart w:id="838" w:name="_Toc15898"/>
      <w:r>
        <w:rPr>
          <w:rFonts w:ascii="楷体" w:hAnsi="楷体" w:eastAsia="楷体" w:cs="楷体"/>
          <w:b/>
          <w:bCs/>
          <w:spacing w:val="-9"/>
          <w:sz w:val="28"/>
          <w:szCs w:val="28"/>
        </w:rPr>
        <w:t>2.4</w:t>
      </w:r>
      <w:r>
        <w:rPr>
          <w:rFonts w:ascii="楷体" w:hAnsi="楷体" w:eastAsia="楷体" w:cs="楷体"/>
          <w:spacing w:val="-23"/>
          <w:sz w:val="28"/>
          <w:szCs w:val="28"/>
        </w:rPr>
        <w:t xml:space="preserve"> </w:t>
      </w:r>
      <w:r>
        <w:rPr>
          <w:rFonts w:ascii="楷体" w:hAnsi="楷体" w:eastAsia="楷体" w:cs="楷体"/>
          <w:b/>
          <w:bCs/>
          <w:spacing w:val="-9"/>
          <w:sz w:val="28"/>
          <w:szCs w:val="28"/>
        </w:rPr>
        <w:t>乙方的义务</w:t>
      </w:r>
      <w:bookmarkEnd w:id="838"/>
    </w:p>
    <w:p w14:paraId="5C7CD433">
      <w:pPr>
        <w:adjustRightInd w:val="0"/>
        <w:snapToGrid w:val="0"/>
        <w:spacing w:before="119" w:line="259" w:lineRule="auto"/>
        <w:ind w:left="3" w:firstLine="567"/>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2.4.1</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按照国家有关法律、规定和技术规范，为甲方提供电力交易销</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售服务，参与批发市场交易并按规定结算。</w:t>
      </w:r>
    </w:p>
    <w:p w14:paraId="6D474EA8">
      <w:pPr>
        <w:adjustRightInd w:val="0"/>
        <w:snapToGrid w:val="0"/>
        <w:spacing w:before="134" w:line="281" w:lineRule="auto"/>
        <w:ind w:firstLine="571"/>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2.4.2</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按规定披露和提供信息，向甲方及时准确宣传解释相关电力市</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场结算规则、流程等要求，向甲方提供真实准确地有</w:t>
      </w:r>
      <w:r>
        <w:rPr>
          <w:rFonts w:ascii="FangSong_GB2312" w:hAnsi="FangSong_GB2312" w:eastAsia="FangSong_GB2312" w:cs="FangSong_GB2312"/>
          <w:spacing w:val="1"/>
          <w:sz w:val="28"/>
          <w:szCs w:val="28"/>
        </w:rPr>
        <w:t>关电力零售套餐交易</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的相关信息及资料，协助甲方及时签定零售合同、固</w:t>
      </w:r>
      <w:r>
        <w:rPr>
          <w:rFonts w:ascii="FangSong_GB2312" w:hAnsi="FangSong_GB2312" w:eastAsia="FangSong_GB2312" w:cs="FangSong_GB2312"/>
          <w:spacing w:val="1"/>
          <w:sz w:val="28"/>
          <w:szCs w:val="28"/>
        </w:rPr>
        <w:t>化零售结算模式，不</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得提供虚假的或误导性的信息。</w:t>
      </w:r>
    </w:p>
    <w:p w14:paraId="46F32F40">
      <w:pPr>
        <w:adjustRightInd w:val="0"/>
        <w:snapToGrid w:val="0"/>
        <w:spacing w:before="137" w:line="273" w:lineRule="auto"/>
        <w:ind w:left="6" w:firstLine="56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2.4.3 当甲方退市或更换售电公司时，以及当乙方因无力提供售电服</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1"/>
          <w:sz w:val="28"/>
          <w:szCs w:val="28"/>
        </w:rPr>
        <w:t>务或按国家规定的程序强制退出市场时，处理已签订但未履行或未履行完</w:t>
      </w:r>
      <w:r>
        <w:rPr>
          <w:rFonts w:ascii="FangSong_GB2312" w:hAnsi="FangSong_GB2312" w:eastAsia="FangSong_GB2312" w:cs="FangSong_GB2312"/>
          <w:spacing w:val="16"/>
          <w:sz w:val="28"/>
          <w:szCs w:val="28"/>
        </w:rPr>
        <w:t xml:space="preserve"> </w:t>
      </w:r>
      <w:r>
        <w:rPr>
          <w:rFonts w:ascii="FangSong_GB2312" w:hAnsi="FangSong_GB2312" w:eastAsia="FangSong_GB2312" w:cs="FangSong_GB2312"/>
          <w:spacing w:val="-2"/>
          <w:sz w:val="28"/>
          <w:szCs w:val="28"/>
        </w:rPr>
        <w:t>毕的合同，并完成电量及费用清算。</w:t>
      </w:r>
    </w:p>
    <w:p w14:paraId="31E99E47">
      <w:pPr>
        <w:adjustRightInd w:val="0"/>
        <w:snapToGrid w:val="0"/>
        <w:spacing w:before="136" w:line="259" w:lineRule="auto"/>
        <w:ind w:left="7" w:firstLine="563"/>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2.4.4</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按照国家规定，作为可再生能源电力的消纳责任主体，承担可</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再生能源电力的消纳责任。</w:t>
      </w:r>
    </w:p>
    <w:p w14:paraId="528D38A1">
      <w:pPr>
        <w:adjustRightInd w:val="0"/>
        <w:snapToGrid w:val="0"/>
        <w:spacing w:before="134" w:line="214" w:lineRule="auto"/>
        <w:ind w:left="558"/>
        <w:outlineLvl w:val="9"/>
        <w:rPr>
          <w:rFonts w:ascii="FangSong_GB2312" w:hAnsi="FangSong_GB2312" w:eastAsia="FangSong_GB2312" w:cs="FangSong_GB2312"/>
          <w:sz w:val="28"/>
          <w:szCs w:val="28"/>
        </w:rPr>
      </w:pPr>
      <w:r>
        <w:rPr>
          <w:rFonts w:ascii="楷体" w:hAnsi="楷体" w:eastAsia="楷体" w:cs="楷体"/>
          <w:b/>
          <w:bCs/>
          <w:spacing w:val="-1"/>
          <w:sz w:val="28"/>
          <w:szCs w:val="28"/>
        </w:rPr>
        <w:t>2.5</w:t>
      </w:r>
      <w:r>
        <w:rPr>
          <w:rFonts w:ascii="楷体" w:hAnsi="楷体" w:eastAsia="楷体" w:cs="楷体"/>
          <w:spacing w:val="-54"/>
          <w:sz w:val="28"/>
          <w:szCs w:val="28"/>
        </w:rPr>
        <w:t xml:space="preserve"> </w:t>
      </w:r>
      <w:r>
        <w:rPr>
          <w:rFonts w:ascii="FangSong_GB2312" w:hAnsi="FangSong_GB2312" w:eastAsia="FangSong_GB2312" w:cs="FangSong_GB2312"/>
          <w:spacing w:val="-1"/>
          <w:sz w:val="28"/>
          <w:szCs w:val="28"/>
        </w:rPr>
        <w:t>合同双方权利义务其他未尽事宜，按照国家有关规则要求执行。</w:t>
      </w:r>
    </w:p>
    <w:p w14:paraId="78E43ED2">
      <w:pPr>
        <w:widowControl w:val="0"/>
        <w:adjustRightInd w:val="0"/>
        <w:snapToGrid w:val="0"/>
        <w:spacing w:line="431" w:lineRule="auto"/>
        <w:jc w:val="both"/>
        <w:outlineLvl w:val="9"/>
        <w:rPr>
          <w:rFonts w:ascii="宋体" w:hAnsi="宋体" w:cs="宋体" w:eastAsiaTheme="minorEastAsia"/>
          <w:kern w:val="2"/>
          <w:sz w:val="24"/>
          <w:szCs w:val="24"/>
          <w:lang w:val="en-US" w:eastAsia="zh-CN" w:bidi="ar-SA"/>
        </w:rPr>
      </w:pPr>
    </w:p>
    <w:p w14:paraId="4C64320E">
      <w:pPr>
        <w:adjustRightInd w:val="0"/>
        <w:snapToGrid w:val="0"/>
        <w:spacing w:before="101" w:line="226" w:lineRule="auto"/>
        <w:ind w:left="2669"/>
        <w:outlineLvl w:val="9"/>
        <w:rPr>
          <w:rFonts w:ascii="黑体" w:hAnsi="黑体" w:eastAsia="黑体" w:cs="黑体"/>
          <w:sz w:val="31"/>
          <w:szCs w:val="31"/>
        </w:rPr>
      </w:pPr>
      <w:bookmarkStart w:id="839" w:name="_Toc12244"/>
      <w:r>
        <w:rPr>
          <w:rFonts w:ascii="黑体" w:hAnsi="黑体" w:eastAsia="黑体" w:cs="黑体"/>
          <w:b/>
          <w:bCs/>
          <w:spacing w:val="6"/>
          <w:sz w:val="31"/>
          <w:szCs w:val="31"/>
        </w:rPr>
        <w:t>第三章</w:t>
      </w:r>
      <w:r>
        <w:rPr>
          <w:rFonts w:ascii="黑体" w:hAnsi="黑体" w:eastAsia="黑体" w:cs="黑体"/>
          <w:spacing w:val="6"/>
          <w:sz w:val="31"/>
          <w:szCs w:val="31"/>
        </w:rPr>
        <w:t xml:space="preserve"> </w:t>
      </w:r>
      <w:r>
        <w:rPr>
          <w:rFonts w:ascii="黑体" w:hAnsi="黑体" w:eastAsia="黑体" w:cs="黑体"/>
          <w:b/>
          <w:bCs/>
          <w:spacing w:val="6"/>
          <w:sz w:val="31"/>
          <w:szCs w:val="31"/>
        </w:rPr>
        <w:t>零售套餐交易信息</w:t>
      </w:r>
      <w:bookmarkEnd w:id="839"/>
    </w:p>
    <w:p w14:paraId="5DDF1656">
      <w:pPr>
        <w:adjustRightInd w:val="0"/>
        <w:snapToGrid w:val="0"/>
        <w:spacing w:before="113" w:line="293" w:lineRule="auto"/>
        <w:ind w:left="5" w:firstLine="595"/>
        <w:jc w:val="both"/>
        <w:outlineLvl w:val="9"/>
        <w:rPr>
          <w:rFonts w:ascii="FangSong_GB2312" w:hAnsi="FangSong_GB2312" w:eastAsia="FangSong_GB2312" w:cs="FangSong_GB2312"/>
          <w:sz w:val="28"/>
          <w:szCs w:val="28"/>
        </w:rPr>
      </w:pPr>
      <w:r>
        <w:rPr>
          <w:rFonts w:ascii="FangSong_GB2312" w:hAnsi="FangSong_GB2312" w:eastAsia="FangSong_GB2312" w:cs="FangSong_GB2312"/>
          <w:sz w:val="28"/>
          <w:szCs w:val="28"/>
        </w:rPr>
        <w:t>甲乙双方通过签订零售套餐，对零售交易的合同电量电价（包括常规</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1"/>
          <w:sz w:val="28"/>
          <w:szCs w:val="28"/>
        </w:rPr>
        <w:t>电力和绿色电力）、偏差电量电价、电能量价格上下限进行约定。甲乙双</w:t>
      </w:r>
      <w:r>
        <w:rPr>
          <w:rFonts w:ascii="FangSong_GB2312" w:hAnsi="FangSong_GB2312" w:eastAsia="FangSong_GB2312" w:cs="FangSong_GB2312"/>
          <w:spacing w:val="17"/>
          <w:sz w:val="28"/>
          <w:szCs w:val="28"/>
        </w:rPr>
        <w:t xml:space="preserve"> </w:t>
      </w:r>
      <w:r>
        <w:rPr>
          <w:rFonts w:ascii="FangSong_GB2312" w:hAnsi="FangSong_GB2312" w:eastAsia="FangSong_GB2312" w:cs="FangSong_GB2312"/>
          <w:spacing w:val="-1"/>
          <w:sz w:val="28"/>
          <w:szCs w:val="28"/>
        </w:rPr>
        <w:t>方交易周期及电量、电价等参数约定详见本合同附件二。</w:t>
      </w:r>
    </w:p>
    <w:p w14:paraId="0CDB76C4">
      <w:pPr>
        <w:adjustRightInd w:val="0"/>
        <w:snapToGrid w:val="0"/>
        <w:spacing w:before="48" w:line="222" w:lineRule="auto"/>
        <w:ind w:left="560"/>
        <w:outlineLvl w:val="9"/>
        <w:rPr>
          <w:rFonts w:ascii="黑体" w:hAnsi="黑体" w:eastAsia="黑体" w:cs="黑体"/>
          <w:sz w:val="28"/>
          <w:szCs w:val="28"/>
        </w:rPr>
      </w:pPr>
      <w:bookmarkStart w:id="840" w:name="_Toc6662"/>
      <w:r>
        <w:rPr>
          <w:rFonts w:ascii="黑体" w:hAnsi="黑体" w:eastAsia="黑体" w:cs="黑体"/>
          <w:b/>
          <w:bCs/>
          <w:spacing w:val="-5"/>
          <w:sz w:val="28"/>
          <w:szCs w:val="28"/>
        </w:rPr>
        <w:t>3.1</w:t>
      </w:r>
      <w:r>
        <w:rPr>
          <w:rFonts w:ascii="黑体" w:hAnsi="黑体" w:eastAsia="黑体" w:cs="黑体"/>
          <w:spacing w:val="-41"/>
          <w:sz w:val="28"/>
          <w:szCs w:val="28"/>
        </w:rPr>
        <w:t xml:space="preserve"> </w:t>
      </w:r>
      <w:r>
        <w:rPr>
          <w:rFonts w:ascii="黑体" w:hAnsi="黑体" w:eastAsia="黑体" w:cs="黑体"/>
          <w:b/>
          <w:bCs/>
          <w:spacing w:val="-5"/>
          <w:sz w:val="28"/>
          <w:szCs w:val="28"/>
        </w:rPr>
        <w:t>常规电力合同电量电价</w:t>
      </w:r>
      <w:bookmarkEnd w:id="840"/>
    </w:p>
    <w:p w14:paraId="60542189">
      <w:pPr>
        <w:adjustRightInd w:val="0"/>
        <w:snapToGrid w:val="0"/>
        <w:spacing w:before="123" w:line="221" w:lineRule="auto"/>
        <w:ind w:left="582"/>
        <w:outlineLvl w:val="9"/>
        <w:rPr>
          <w:rFonts w:ascii="楷体" w:hAnsi="楷体" w:eastAsia="楷体" w:cs="楷体"/>
          <w:sz w:val="28"/>
          <w:szCs w:val="28"/>
        </w:rPr>
      </w:pPr>
      <w:bookmarkStart w:id="841" w:name="_Toc25595"/>
      <w:r>
        <w:rPr>
          <w:rFonts w:ascii="楷体" w:hAnsi="楷体" w:eastAsia="楷体" w:cs="楷体"/>
          <w:b/>
          <w:bCs/>
          <w:spacing w:val="-9"/>
          <w:sz w:val="28"/>
          <w:szCs w:val="28"/>
        </w:rPr>
        <w:t>3.1.1</w:t>
      </w:r>
      <w:r>
        <w:rPr>
          <w:rFonts w:ascii="楷体" w:hAnsi="楷体" w:eastAsia="楷体" w:cs="楷体"/>
          <w:spacing w:val="-34"/>
          <w:sz w:val="28"/>
          <w:szCs w:val="28"/>
        </w:rPr>
        <w:t xml:space="preserve"> </w:t>
      </w:r>
      <w:r>
        <w:rPr>
          <w:rFonts w:ascii="楷体" w:hAnsi="楷体" w:eastAsia="楷体" w:cs="楷体"/>
          <w:b/>
          <w:bCs/>
          <w:spacing w:val="-9"/>
          <w:sz w:val="28"/>
          <w:szCs w:val="28"/>
        </w:rPr>
        <w:t>电能量价格</w:t>
      </w:r>
      <w:bookmarkEnd w:id="841"/>
    </w:p>
    <w:p w14:paraId="14A1E6A8">
      <w:pPr>
        <w:adjustRightInd w:val="0"/>
        <w:snapToGrid w:val="0"/>
        <w:spacing w:before="126" w:line="207" w:lineRule="auto"/>
        <w:jc w:val="right"/>
        <w:outlineLvl w:val="9"/>
        <w:rPr>
          <w:rFonts w:ascii="FangSong_GB2312" w:hAnsi="FangSong_GB2312" w:eastAsia="FangSong_GB2312" w:cs="FangSong_GB2312"/>
          <w:sz w:val="28"/>
          <w:szCs w:val="28"/>
        </w:rPr>
      </w:pPr>
      <w:r>
        <w:rPr>
          <w:rFonts w:ascii="FangSong_GB2312" w:hAnsi="FangSong_GB2312" w:eastAsia="FangSong_GB2312" w:cs="FangSong_GB2312"/>
          <w:b/>
          <w:bCs/>
          <w:spacing w:val="1"/>
          <w:sz w:val="28"/>
          <w:szCs w:val="28"/>
        </w:rPr>
        <w:t>A</w:t>
      </w:r>
      <w:r>
        <w:rPr>
          <w:rFonts w:ascii="FangSong_GB2312" w:hAnsi="FangSong_GB2312" w:eastAsia="FangSong_GB2312" w:cs="FangSong_GB2312"/>
          <w:spacing w:val="-30"/>
          <w:sz w:val="28"/>
          <w:szCs w:val="28"/>
        </w:rPr>
        <w:t xml:space="preserve"> </w:t>
      </w:r>
      <w:r>
        <w:rPr>
          <w:rFonts w:ascii="FangSong_GB2312" w:hAnsi="FangSong_GB2312" w:eastAsia="FangSong_GB2312" w:cs="FangSong_GB2312"/>
          <w:b/>
          <w:bCs/>
          <w:spacing w:val="1"/>
          <w:sz w:val="28"/>
          <w:szCs w:val="28"/>
        </w:rPr>
        <w:t>固定价格套餐：</w:t>
      </w:r>
      <w:r>
        <w:rPr>
          <w:rFonts w:ascii="FangSong_GB2312" w:hAnsi="FangSong_GB2312" w:eastAsia="FangSong_GB2312" w:cs="FangSong_GB2312"/>
          <w:spacing w:val="1"/>
          <w:sz w:val="28"/>
          <w:szCs w:val="28"/>
        </w:rPr>
        <w:t>双方约定合同电量</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1"/>
          <w:sz w:val="28"/>
          <w:szCs w:val="28"/>
        </w:rPr>
        <w:t>Q</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position w:val="-3"/>
          <w:sz w:val="13"/>
          <w:szCs w:val="13"/>
        </w:rPr>
        <w:t>常合</w:t>
      </w:r>
      <w:r>
        <w:rPr>
          <w:rFonts w:ascii="FangSong_GB2312" w:hAnsi="FangSong_GB2312" w:eastAsia="FangSong_GB2312" w:cs="FangSong_GB2312"/>
          <w:spacing w:val="1"/>
          <w:position w:val="-3"/>
          <w:sz w:val="28"/>
          <w:szCs w:val="28"/>
        </w:rPr>
        <w:t>,</w:t>
      </w:r>
      <w:r>
        <w:rPr>
          <w:rFonts w:ascii="FangSong_GB2312" w:hAnsi="FangSong_GB2312" w:eastAsia="FangSong_GB2312" w:cs="FangSong_GB2312"/>
          <w:spacing w:val="1"/>
          <w:sz w:val="28"/>
          <w:szCs w:val="28"/>
        </w:rPr>
        <w:t>按照固定价格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1"/>
          <w:position w:val="-3"/>
          <w:sz w:val="13"/>
          <w:szCs w:val="13"/>
        </w:rPr>
        <w:t>常固</w:t>
      </w:r>
      <w:r>
        <w:rPr>
          <w:rFonts w:ascii="FangSong_GB2312" w:hAnsi="FangSong_GB2312" w:eastAsia="FangSong_GB2312" w:cs="FangSong_GB2312"/>
          <w:spacing w:val="1"/>
          <w:sz w:val="28"/>
          <w:szCs w:val="28"/>
        </w:rPr>
        <w:t>结算</w:t>
      </w:r>
      <w:r>
        <w:rPr>
          <w:rFonts w:ascii="FangSong_GB2312" w:hAnsi="FangSong_GB2312" w:eastAsia="FangSong_GB2312" w:cs="FangSong_GB2312"/>
          <w:sz w:val="28"/>
          <w:szCs w:val="28"/>
        </w:rPr>
        <w:t>,该</w:t>
      </w:r>
    </w:p>
    <w:p w14:paraId="179A0E96">
      <w:pPr>
        <w:spacing w:line="207" w:lineRule="auto"/>
        <w:outlineLvl w:val="9"/>
        <w:rPr>
          <w:rFonts w:ascii="FangSong_GB2312" w:hAnsi="FangSong_GB2312" w:eastAsia="FangSong_GB2312" w:cs="FangSong_GB2312"/>
          <w:sz w:val="28"/>
          <w:szCs w:val="28"/>
        </w:rPr>
        <w:sectPr>
          <w:footerReference r:id="rId18" w:type="default"/>
          <w:pgSz w:w="11906" w:h="16839"/>
          <w:pgMar w:top="1431" w:right="1439" w:bottom="1180" w:left="1449" w:header="0" w:footer="966" w:gutter="0"/>
          <w:pgNumType w:fmt="decimal"/>
          <w:cols w:space="720" w:num="1"/>
        </w:sectPr>
      </w:pPr>
    </w:p>
    <w:p w14:paraId="1BB0628A">
      <w:pPr>
        <w:adjustRightInd w:val="0"/>
        <w:snapToGrid w:val="0"/>
        <w:spacing w:before="137" w:line="214" w:lineRule="auto"/>
        <w:ind w:left="3"/>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价格不随市场价格变化。</w:t>
      </w:r>
    </w:p>
    <w:p w14:paraId="7FA2DE8F">
      <w:pPr>
        <w:adjustRightInd w:val="0"/>
        <w:snapToGrid w:val="0"/>
        <w:spacing w:before="136" w:line="219" w:lineRule="auto"/>
        <w:ind w:left="3953"/>
        <w:outlineLvl w:val="9"/>
        <w:rPr>
          <w:rFonts w:ascii="KaiTi_GB2312" w:hAnsi="KaiTi_GB2312" w:eastAsia="KaiTi_GB2312" w:cs="KaiTi_GB2312"/>
          <w:sz w:val="13"/>
          <w:szCs w:val="13"/>
        </w:rPr>
      </w:pPr>
      <w:r>
        <w:rPr>
          <w:rFonts w:ascii="KaiTi_GB2312" w:hAnsi="KaiTi_GB2312" w:eastAsia="KaiTi_GB2312" w:cs="KaiTi_GB2312"/>
          <w:b/>
          <w:bCs/>
          <w:spacing w:val="-3"/>
          <w:position w:val="1"/>
          <w:sz w:val="28"/>
          <w:szCs w:val="28"/>
        </w:rPr>
        <w:t>P</w:t>
      </w:r>
      <w:r>
        <w:rPr>
          <w:rFonts w:ascii="KaiTi_GB2312" w:hAnsi="KaiTi_GB2312" w:eastAsia="KaiTi_GB2312" w:cs="KaiTi_GB2312"/>
          <w:spacing w:val="-55"/>
          <w:position w:val="1"/>
          <w:sz w:val="28"/>
          <w:szCs w:val="28"/>
        </w:rPr>
        <w:t xml:space="preserve"> </w:t>
      </w:r>
      <w:r>
        <w:rPr>
          <w:rFonts w:ascii="KaiTi_GB2312" w:hAnsi="KaiTi_GB2312" w:eastAsia="KaiTi_GB2312" w:cs="KaiTi_GB2312"/>
          <w:b/>
          <w:bCs/>
          <w:spacing w:val="-3"/>
          <w:position w:val="-2"/>
          <w:sz w:val="13"/>
          <w:szCs w:val="13"/>
        </w:rPr>
        <w:t>常</w:t>
      </w:r>
      <w:r>
        <w:rPr>
          <w:rFonts w:ascii="KaiTi_GB2312" w:hAnsi="KaiTi_GB2312" w:eastAsia="KaiTi_GB2312" w:cs="KaiTi_GB2312"/>
          <w:b/>
          <w:bCs/>
          <w:spacing w:val="-3"/>
          <w:position w:val="1"/>
          <w:sz w:val="28"/>
          <w:szCs w:val="28"/>
        </w:rPr>
        <w:t>＝P</w:t>
      </w:r>
      <w:r>
        <w:rPr>
          <w:rFonts w:ascii="KaiTi_GB2312" w:hAnsi="KaiTi_GB2312" w:eastAsia="KaiTi_GB2312" w:cs="KaiTi_GB2312"/>
          <w:spacing w:val="-59"/>
          <w:position w:val="1"/>
          <w:sz w:val="28"/>
          <w:szCs w:val="28"/>
        </w:rPr>
        <w:t xml:space="preserve"> </w:t>
      </w:r>
      <w:r>
        <w:rPr>
          <w:rFonts w:ascii="KaiTi_GB2312" w:hAnsi="KaiTi_GB2312" w:eastAsia="KaiTi_GB2312" w:cs="KaiTi_GB2312"/>
          <w:b/>
          <w:bCs/>
          <w:spacing w:val="-3"/>
          <w:position w:val="-2"/>
          <w:sz w:val="13"/>
          <w:szCs w:val="13"/>
        </w:rPr>
        <w:t>常固</w:t>
      </w:r>
    </w:p>
    <w:p w14:paraId="7871E3A3">
      <w:pPr>
        <w:adjustRightInd w:val="0"/>
        <w:snapToGrid w:val="0"/>
        <w:spacing w:before="131" w:line="285" w:lineRule="auto"/>
        <w:ind w:left="2" w:right="87" w:firstLine="560"/>
        <w:jc w:val="both"/>
        <w:outlineLvl w:val="9"/>
        <w:rPr>
          <w:rFonts w:ascii="FangSong_GB2312" w:hAnsi="FangSong_GB2312" w:eastAsia="FangSong_GB2312" w:cs="FangSong_GB2312"/>
          <w:sz w:val="31"/>
          <w:szCs w:val="31"/>
        </w:rPr>
      </w:pPr>
      <w:r>
        <w:rPr>
          <w:rFonts w:ascii="FangSong_GB2312" w:hAnsi="FangSong_GB2312" w:eastAsia="FangSong_GB2312" w:cs="FangSong_GB2312"/>
          <w:b/>
          <w:bCs/>
          <w:spacing w:val="-2"/>
          <w:sz w:val="28"/>
          <w:szCs w:val="28"/>
        </w:rPr>
        <w:t>B</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b/>
          <w:bCs/>
          <w:spacing w:val="-2"/>
          <w:sz w:val="28"/>
          <w:szCs w:val="28"/>
        </w:rPr>
        <w:t>联动价格套餐：</w:t>
      </w:r>
      <w:r>
        <w:rPr>
          <w:rFonts w:ascii="FangSong_GB2312" w:hAnsi="FangSong_GB2312" w:eastAsia="FangSong_GB2312" w:cs="FangSong_GB2312"/>
          <w:spacing w:val="-2"/>
          <w:sz w:val="28"/>
          <w:szCs w:val="28"/>
        </w:rPr>
        <w:t>双方约定合同电量</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Q</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2"/>
          <w:position w:val="-3"/>
          <w:sz w:val="13"/>
          <w:szCs w:val="13"/>
        </w:rPr>
        <w:t>常合</w:t>
      </w:r>
      <w:r>
        <w:rPr>
          <w:rFonts w:ascii="FangSong_GB2312" w:hAnsi="FangSong_GB2312" w:eastAsia="FangSong_GB2312" w:cs="FangSong_GB2312"/>
          <w:spacing w:val="-2"/>
          <w:position w:val="-3"/>
          <w:sz w:val="28"/>
          <w:szCs w:val="28"/>
        </w:rPr>
        <w:t>,</w:t>
      </w:r>
      <w:r>
        <w:rPr>
          <w:rFonts w:ascii="FangSong_GB2312" w:hAnsi="FangSong_GB2312" w:eastAsia="FangSong_GB2312" w:cs="FangSong_GB2312"/>
          <w:spacing w:val="-2"/>
          <w:sz w:val="28"/>
          <w:szCs w:val="28"/>
        </w:rPr>
        <w:t>按照常规电力基准价格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2"/>
          <w:position w:val="-3"/>
          <w:sz w:val="13"/>
          <w:szCs w:val="13"/>
        </w:rPr>
        <w:t>常基</w:t>
      </w:r>
      <w:r>
        <w:rPr>
          <w:rFonts w:ascii="FangSong_GB2312" w:hAnsi="FangSong_GB2312" w:eastAsia="FangSong_GB2312" w:cs="FangSong_GB2312"/>
          <w:position w:val="-3"/>
          <w:sz w:val="13"/>
          <w:szCs w:val="13"/>
        </w:rPr>
        <w:t xml:space="preserve"> </w:t>
      </w:r>
      <w:r>
        <w:rPr>
          <w:rFonts w:ascii="FangSong_GB2312" w:hAnsi="FangSong_GB2312" w:eastAsia="FangSong_GB2312" w:cs="FangSong_GB2312"/>
          <w:spacing w:val="1"/>
          <w:sz w:val="28"/>
          <w:szCs w:val="28"/>
        </w:rPr>
        <w:t>叠加浮动价格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1"/>
          <w:position w:val="-3"/>
          <w:sz w:val="13"/>
          <w:szCs w:val="13"/>
        </w:rPr>
        <w:t>常浮</w:t>
      </w:r>
      <w:r>
        <w:rPr>
          <w:rFonts w:ascii="FangSong_GB2312" w:hAnsi="FangSong_GB2312" w:eastAsia="FangSong_GB2312" w:cs="FangSong_GB2312"/>
          <w:spacing w:val="1"/>
          <w:sz w:val="28"/>
          <w:szCs w:val="28"/>
        </w:rPr>
        <w:t>结算。常规电力基准价格</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position w:val="-3"/>
          <w:sz w:val="13"/>
          <w:szCs w:val="13"/>
        </w:rPr>
        <w:t>常基</w:t>
      </w:r>
      <w:r>
        <w:rPr>
          <w:rFonts w:ascii="FangSong_GB2312" w:hAnsi="FangSong_GB2312" w:eastAsia="FangSong_GB2312" w:cs="FangSong_GB2312"/>
          <w:spacing w:val="1"/>
          <w:sz w:val="28"/>
          <w:szCs w:val="28"/>
        </w:rPr>
        <w:t>可以选择常规电力批发市</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场合同均价</w:t>
      </w:r>
      <w:r>
        <w:rPr>
          <w:rFonts w:ascii="FangSong_GB2312" w:hAnsi="FangSong_GB2312" w:eastAsia="FangSong_GB2312" w:cs="FangSong_GB2312"/>
          <w:spacing w:val="-45"/>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1"/>
          <w:position w:val="-3"/>
          <w:sz w:val="13"/>
          <w:szCs w:val="13"/>
        </w:rPr>
        <w:t>常批</w:t>
      </w:r>
      <w:r>
        <w:rPr>
          <w:rFonts w:ascii="FangSong_GB2312" w:hAnsi="FangSong_GB2312" w:eastAsia="FangSong_GB2312" w:cs="FangSong_GB2312"/>
          <w:spacing w:val="1"/>
          <w:sz w:val="28"/>
          <w:szCs w:val="28"/>
        </w:rPr>
        <w:t>作为联动基准，也可以选择签约售电公司的常规电力批发</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合同均价</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3"/>
          <w:position w:val="-3"/>
          <w:sz w:val="13"/>
          <w:szCs w:val="13"/>
        </w:rPr>
        <w:t>常售</w:t>
      </w:r>
      <w:r>
        <w:rPr>
          <w:rFonts w:ascii="FangSong_GB2312" w:hAnsi="FangSong_GB2312" w:eastAsia="FangSong_GB2312" w:cs="FangSong_GB2312"/>
          <w:spacing w:val="3"/>
          <w:sz w:val="28"/>
          <w:szCs w:val="28"/>
        </w:rPr>
        <w:t>作为联动基准。P</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3"/>
          <w:position w:val="-3"/>
          <w:sz w:val="13"/>
          <w:szCs w:val="13"/>
        </w:rPr>
        <w:t>常浮</w:t>
      </w:r>
      <w:r>
        <w:rPr>
          <w:rFonts w:ascii="FangSong_GB2312" w:hAnsi="FangSong_GB2312" w:eastAsia="FangSong_GB2312" w:cs="FangSong_GB2312"/>
          <w:spacing w:val="3"/>
          <w:sz w:val="28"/>
          <w:szCs w:val="28"/>
        </w:rPr>
        <w:t>可以为正值、零、负值。当签约售电公</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司未签订常规电力批发合同时，P</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pacing w:val="-1"/>
          <w:position w:val="-3"/>
          <w:sz w:val="13"/>
          <w:szCs w:val="13"/>
        </w:rPr>
        <w:t>常基</w:t>
      </w:r>
      <w:r>
        <w:rPr>
          <w:rFonts w:ascii="FangSong_GB2312" w:hAnsi="FangSong_GB2312" w:eastAsia="FangSong_GB2312" w:cs="FangSong_GB2312"/>
          <w:spacing w:val="-1"/>
          <w:sz w:val="28"/>
          <w:szCs w:val="28"/>
        </w:rPr>
        <w:t>默认取值调整为</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1"/>
          <w:position w:val="-3"/>
          <w:sz w:val="13"/>
          <w:szCs w:val="13"/>
        </w:rPr>
        <w:t>常批</w:t>
      </w:r>
      <w:r>
        <w:rPr>
          <w:rFonts w:ascii="FangSong_GB2312" w:hAnsi="FangSong_GB2312" w:eastAsia="FangSong_GB2312" w:cs="FangSong_GB2312"/>
          <w:spacing w:val="-1"/>
          <w:sz w:val="31"/>
          <w:szCs w:val="31"/>
        </w:rPr>
        <w:t>。</w:t>
      </w:r>
    </w:p>
    <w:p w14:paraId="3ED92B20">
      <w:pPr>
        <w:adjustRightInd w:val="0"/>
        <w:snapToGrid w:val="0"/>
        <w:spacing w:before="59" w:line="219" w:lineRule="auto"/>
        <w:ind w:left="3567"/>
        <w:outlineLvl w:val="9"/>
        <w:rPr>
          <w:rFonts w:ascii="KaiTi_GB2312" w:hAnsi="KaiTi_GB2312" w:eastAsia="KaiTi_GB2312" w:cs="KaiTi_GB2312"/>
          <w:sz w:val="13"/>
          <w:szCs w:val="13"/>
        </w:rPr>
      </w:pPr>
      <w:r>
        <w:rPr>
          <w:rFonts w:ascii="KaiTi_GB2312" w:hAnsi="KaiTi_GB2312" w:eastAsia="KaiTi_GB2312" w:cs="KaiTi_GB2312"/>
          <w:b/>
          <w:bCs/>
          <w:spacing w:val="-1"/>
          <w:position w:val="1"/>
          <w:sz w:val="28"/>
          <w:szCs w:val="28"/>
        </w:rPr>
        <w:t>P</w:t>
      </w:r>
      <w:r>
        <w:rPr>
          <w:rFonts w:ascii="KaiTi_GB2312" w:hAnsi="KaiTi_GB2312" w:eastAsia="KaiTi_GB2312" w:cs="KaiTi_GB2312"/>
          <w:spacing w:val="-58"/>
          <w:position w:val="1"/>
          <w:sz w:val="28"/>
          <w:szCs w:val="28"/>
        </w:rPr>
        <w:t xml:space="preserve"> </w:t>
      </w:r>
      <w:r>
        <w:rPr>
          <w:rFonts w:ascii="KaiTi_GB2312" w:hAnsi="KaiTi_GB2312" w:eastAsia="KaiTi_GB2312" w:cs="KaiTi_GB2312"/>
          <w:b/>
          <w:bCs/>
          <w:spacing w:val="-1"/>
          <w:position w:val="-2"/>
          <w:sz w:val="13"/>
          <w:szCs w:val="13"/>
        </w:rPr>
        <w:t>常</w:t>
      </w:r>
      <w:r>
        <w:rPr>
          <w:rFonts w:ascii="KaiTi_GB2312" w:hAnsi="KaiTi_GB2312" w:eastAsia="KaiTi_GB2312" w:cs="KaiTi_GB2312"/>
          <w:b/>
          <w:bCs/>
          <w:spacing w:val="-1"/>
          <w:position w:val="1"/>
          <w:sz w:val="28"/>
          <w:szCs w:val="28"/>
        </w:rPr>
        <w:t>＝P</w:t>
      </w:r>
      <w:r>
        <w:rPr>
          <w:rFonts w:ascii="KaiTi_GB2312" w:hAnsi="KaiTi_GB2312" w:eastAsia="KaiTi_GB2312" w:cs="KaiTi_GB2312"/>
          <w:spacing w:val="-59"/>
          <w:position w:val="1"/>
          <w:sz w:val="28"/>
          <w:szCs w:val="28"/>
        </w:rPr>
        <w:t xml:space="preserve"> </w:t>
      </w:r>
      <w:r>
        <w:rPr>
          <w:rFonts w:ascii="KaiTi_GB2312" w:hAnsi="KaiTi_GB2312" w:eastAsia="KaiTi_GB2312" w:cs="KaiTi_GB2312"/>
          <w:b/>
          <w:bCs/>
          <w:spacing w:val="-1"/>
          <w:position w:val="-2"/>
          <w:sz w:val="13"/>
          <w:szCs w:val="13"/>
        </w:rPr>
        <w:t>常基</w:t>
      </w:r>
      <w:r>
        <w:rPr>
          <w:rFonts w:ascii="KaiTi_GB2312" w:hAnsi="KaiTi_GB2312" w:eastAsia="KaiTi_GB2312" w:cs="KaiTi_GB2312"/>
          <w:b/>
          <w:bCs/>
          <w:spacing w:val="-1"/>
          <w:position w:val="1"/>
          <w:sz w:val="28"/>
          <w:szCs w:val="28"/>
        </w:rPr>
        <w:t>＋P</w:t>
      </w:r>
      <w:r>
        <w:rPr>
          <w:rFonts w:ascii="KaiTi_GB2312" w:hAnsi="KaiTi_GB2312" w:eastAsia="KaiTi_GB2312" w:cs="KaiTi_GB2312"/>
          <w:spacing w:val="-59"/>
          <w:position w:val="1"/>
          <w:sz w:val="28"/>
          <w:szCs w:val="28"/>
        </w:rPr>
        <w:t xml:space="preserve"> </w:t>
      </w:r>
      <w:r>
        <w:rPr>
          <w:rFonts w:ascii="KaiTi_GB2312" w:hAnsi="KaiTi_GB2312" w:eastAsia="KaiTi_GB2312" w:cs="KaiTi_GB2312"/>
          <w:b/>
          <w:bCs/>
          <w:spacing w:val="-1"/>
          <w:position w:val="-2"/>
          <w:sz w:val="13"/>
          <w:szCs w:val="13"/>
        </w:rPr>
        <w:t>常浮</w:t>
      </w:r>
    </w:p>
    <w:p w14:paraId="7CAE3354">
      <w:pPr>
        <w:adjustRightInd w:val="0"/>
        <w:snapToGrid w:val="0"/>
        <w:spacing w:before="126" w:line="291" w:lineRule="auto"/>
        <w:ind w:left="2" w:right="86" w:firstLine="561"/>
        <w:jc w:val="both"/>
        <w:outlineLvl w:val="9"/>
        <w:rPr>
          <w:rFonts w:ascii="FangSong_GB2312" w:hAnsi="FangSong_GB2312" w:eastAsia="FangSong_GB2312" w:cs="FangSong_GB2312"/>
          <w:sz w:val="28"/>
          <w:szCs w:val="28"/>
        </w:rPr>
      </w:pPr>
      <w:r>
        <w:rPr>
          <w:rFonts w:ascii="FangSong_GB2312" w:hAnsi="FangSong_GB2312" w:eastAsia="FangSong_GB2312" w:cs="FangSong_GB2312"/>
          <w:b/>
          <w:bCs/>
          <w:spacing w:val="-4"/>
          <w:sz w:val="28"/>
          <w:szCs w:val="28"/>
        </w:rPr>
        <w:t>C</w:t>
      </w:r>
      <w:r>
        <w:rPr>
          <w:rFonts w:ascii="FangSong_GB2312" w:hAnsi="FangSong_GB2312" w:eastAsia="FangSong_GB2312" w:cs="FangSong_GB2312"/>
          <w:spacing w:val="-4"/>
          <w:sz w:val="28"/>
          <w:szCs w:val="28"/>
        </w:rPr>
        <w:t xml:space="preserve"> </w:t>
      </w:r>
      <w:r>
        <w:rPr>
          <w:rFonts w:ascii="FangSong_GB2312" w:hAnsi="FangSong_GB2312" w:eastAsia="FangSong_GB2312" w:cs="FangSong_GB2312"/>
          <w:b/>
          <w:bCs/>
          <w:spacing w:val="-4"/>
          <w:sz w:val="28"/>
          <w:szCs w:val="28"/>
        </w:rPr>
        <w:t>比例分成套餐：</w:t>
      </w:r>
      <w:r>
        <w:rPr>
          <w:rFonts w:ascii="FangSong_GB2312" w:hAnsi="FangSong_GB2312" w:eastAsia="FangSong_GB2312" w:cs="FangSong_GB2312"/>
          <w:spacing w:val="-4"/>
          <w:sz w:val="28"/>
          <w:szCs w:val="28"/>
        </w:rPr>
        <w:t>双方约定合同电量</w:t>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pacing w:val="-4"/>
          <w:sz w:val="28"/>
          <w:szCs w:val="28"/>
        </w:rPr>
        <w:t>Q</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4"/>
          <w:position w:val="-3"/>
          <w:sz w:val="13"/>
          <w:szCs w:val="13"/>
        </w:rPr>
        <w:t>常合</w:t>
      </w:r>
      <w:r>
        <w:rPr>
          <w:rFonts w:ascii="FangSong_GB2312" w:hAnsi="FangSong_GB2312" w:eastAsia="FangSong_GB2312" w:cs="FangSong_GB2312"/>
          <w:spacing w:val="-4"/>
          <w:position w:val="-3"/>
          <w:sz w:val="28"/>
          <w:szCs w:val="28"/>
        </w:rPr>
        <w:t>,</w:t>
      </w:r>
      <w:r>
        <w:rPr>
          <w:rFonts w:ascii="FangSong_GB2312" w:hAnsi="FangSong_GB2312" w:eastAsia="FangSong_GB2312" w:cs="FangSong_GB2312"/>
          <w:spacing w:val="-4"/>
          <w:sz w:val="28"/>
          <w:szCs w:val="28"/>
        </w:rPr>
        <w:t>在约定固定价格</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4"/>
          <w:position w:val="-3"/>
          <w:sz w:val="13"/>
          <w:szCs w:val="13"/>
        </w:rPr>
        <w:t>常固</w:t>
      </w:r>
      <w:r>
        <w:rPr>
          <w:rFonts w:ascii="FangSong_GB2312" w:hAnsi="FangSong_GB2312" w:eastAsia="FangSong_GB2312" w:cs="FangSong_GB2312"/>
          <w:spacing w:val="-4"/>
          <w:sz w:val="28"/>
          <w:szCs w:val="28"/>
        </w:rPr>
        <w:t>的基础</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上，将固定价格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1"/>
          <w:position w:val="-3"/>
          <w:sz w:val="13"/>
          <w:szCs w:val="13"/>
        </w:rPr>
        <w:t>常固</w:t>
      </w:r>
      <w:r>
        <w:rPr>
          <w:rFonts w:ascii="FangSong_GB2312" w:hAnsi="FangSong_GB2312" w:eastAsia="FangSong_GB2312" w:cs="FangSong_GB2312"/>
          <w:spacing w:val="1"/>
          <w:sz w:val="28"/>
          <w:szCs w:val="28"/>
        </w:rPr>
        <w:t>与常规电力批发市场合同均价</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1"/>
          <w:position w:val="-3"/>
          <w:sz w:val="13"/>
          <w:szCs w:val="13"/>
        </w:rPr>
        <w:t>常批</w:t>
      </w:r>
      <w:r>
        <w:rPr>
          <w:rFonts w:ascii="FangSong_GB2312" w:hAnsi="FangSong_GB2312" w:eastAsia="FangSong_GB2312" w:cs="FangSong_GB2312"/>
          <w:spacing w:val="1"/>
          <w:sz w:val="28"/>
          <w:szCs w:val="28"/>
        </w:rPr>
        <w:t>之间的差值，按照</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约定的分成比例</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K</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3"/>
          <w:position w:val="-3"/>
          <w:sz w:val="13"/>
          <w:szCs w:val="13"/>
        </w:rPr>
        <w:t>常</w:t>
      </w:r>
      <w:r>
        <w:rPr>
          <w:rFonts w:ascii="FangSong_GB2312" w:hAnsi="FangSong_GB2312" w:eastAsia="FangSong_GB2312" w:cs="FangSong_GB2312"/>
          <w:spacing w:val="-3"/>
          <w:sz w:val="28"/>
          <w:szCs w:val="28"/>
        </w:rPr>
        <w:t>传导至零售用户。当上述差值为正时，比例</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sz w:val="28"/>
          <w:szCs w:val="28"/>
        </w:rPr>
        <w:t>K</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3"/>
          <w:position w:val="-3"/>
          <w:sz w:val="13"/>
          <w:szCs w:val="13"/>
        </w:rPr>
        <w:t>常</w:t>
      </w:r>
      <w:r>
        <w:rPr>
          <w:rFonts w:ascii="FangSong_GB2312" w:hAnsi="FangSong_GB2312" w:eastAsia="FangSong_GB2312" w:cs="FangSong_GB2312"/>
          <w:spacing w:val="-4"/>
          <w:position w:val="-3"/>
          <w:sz w:val="13"/>
          <w:szCs w:val="13"/>
        </w:rPr>
        <w:t>享</w:t>
      </w:r>
      <w:r>
        <w:rPr>
          <w:rFonts w:ascii="FangSong_GB2312" w:hAnsi="FangSong_GB2312" w:eastAsia="FangSong_GB2312" w:cs="FangSong_GB2312"/>
          <w:spacing w:val="-4"/>
          <w:sz w:val="28"/>
          <w:szCs w:val="28"/>
        </w:rPr>
        <w:t>部分由</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零售用户分享；上述差值为负时，比例</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1"/>
          <w:sz w:val="28"/>
          <w:szCs w:val="28"/>
        </w:rPr>
        <w:t>K</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position w:val="-3"/>
          <w:sz w:val="13"/>
          <w:szCs w:val="13"/>
        </w:rPr>
        <w:t>常担</w:t>
      </w:r>
      <w:r>
        <w:rPr>
          <w:rFonts w:ascii="FangSong_GB2312" w:hAnsi="FangSong_GB2312" w:eastAsia="FangSong_GB2312" w:cs="FangSong_GB2312"/>
          <w:spacing w:val="1"/>
          <w:sz w:val="28"/>
          <w:szCs w:val="28"/>
        </w:rPr>
        <w:t>部分由零售用户分担。K</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position w:val="-3"/>
          <w:sz w:val="13"/>
          <w:szCs w:val="13"/>
        </w:rPr>
        <w:t xml:space="preserve">常 </w:t>
      </w:r>
      <w:r>
        <w:rPr>
          <w:rFonts w:ascii="FangSong_GB2312" w:hAnsi="FangSong_GB2312" w:eastAsia="FangSong_GB2312" w:cs="FangSong_GB2312"/>
          <w:spacing w:val="1"/>
          <w:sz w:val="28"/>
          <w:szCs w:val="28"/>
        </w:rPr>
        <w:t>(包</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8"/>
          <w:sz w:val="28"/>
          <w:szCs w:val="28"/>
        </w:rPr>
        <w:t>括</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8"/>
          <w:sz w:val="28"/>
          <w:szCs w:val="28"/>
        </w:rPr>
        <w:t>K</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8"/>
          <w:position w:val="-3"/>
          <w:sz w:val="13"/>
          <w:szCs w:val="13"/>
        </w:rPr>
        <w:t>常享</w:t>
      </w:r>
      <w:r>
        <w:rPr>
          <w:rFonts w:ascii="FangSong_GB2312" w:hAnsi="FangSong_GB2312" w:eastAsia="FangSong_GB2312" w:cs="FangSong_GB2312"/>
          <w:spacing w:val="-31"/>
          <w:position w:val="-3"/>
          <w:sz w:val="13"/>
          <w:szCs w:val="13"/>
        </w:rPr>
        <w:t xml:space="preserve"> </w:t>
      </w:r>
      <w:r>
        <w:rPr>
          <w:rFonts w:ascii="FangSong_GB2312" w:hAnsi="FangSong_GB2312" w:eastAsia="FangSong_GB2312" w:cs="FangSong_GB2312"/>
          <w:spacing w:val="-8"/>
          <w:sz w:val="28"/>
          <w:szCs w:val="28"/>
        </w:rPr>
        <w:t>、K</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8"/>
          <w:position w:val="-3"/>
          <w:sz w:val="13"/>
          <w:szCs w:val="13"/>
        </w:rPr>
        <w:t>常担</w:t>
      </w:r>
      <w:r>
        <w:rPr>
          <w:rFonts w:ascii="FangSong_GB2312" w:hAnsi="FangSong_GB2312" w:eastAsia="FangSong_GB2312" w:cs="FangSong_GB2312"/>
          <w:spacing w:val="-8"/>
          <w:sz w:val="28"/>
          <w:szCs w:val="28"/>
        </w:rPr>
        <w:t>)取值范围为</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8"/>
          <w:sz w:val="28"/>
          <w:szCs w:val="28"/>
        </w:rPr>
        <w:t>0</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pacing w:val="-8"/>
          <w:sz w:val="28"/>
          <w:szCs w:val="28"/>
        </w:rPr>
        <w:t>至</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8"/>
          <w:sz w:val="28"/>
          <w:szCs w:val="28"/>
        </w:rPr>
        <w:t>1。</w:t>
      </w:r>
    </w:p>
    <w:p w14:paraId="20CC417B">
      <w:pPr>
        <w:adjustRightInd w:val="0"/>
        <w:snapToGrid w:val="0"/>
        <w:spacing w:before="64" w:line="219" w:lineRule="auto"/>
        <w:ind w:left="2583"/>
        <w:outlineLvl w:val="9"/>
        <w:rPr>
          <w:rFonts w:ascii="KaiTi_GB2312" w:hAnsi="KaiTi_GB2312" w:eastAsia="KaiTi_GB2312" w:cs="KaiTi_GB2312"/>
          <w:sz w:val="13"/>
          <w:szCs w:val="13"/>
        </w:rPr>
      </w:pPr>
      <w:r>
        <w:rPr>
          <w:rFonts w:ascii="KaiTi_GB2312" w:hAnsi="KaiTi_GB2312" w:eastAsia="KaiTi_GB2312" w:cs="KaiTi_GB2312"/>
          <w:b/>
          <w:bCs/>
          <w:spacing w:val="-1"/>
          <w:sz w:val="28"/>
          <w:szCs w:val="28"/>
        </w:rPr>
        <w:t>P</w:t>
      </w:r>
      <w:r>
        <w:rPr>
          <w:rFonts w:ascii="KaiTi_GB2312" w:hAnsi="KaiTi_GB2312" w:eastAsia="KaiTi_GB2312" w:cs="KaiTi_GB2312"/>
          <w:spacing w:val="-58"/>
          <w:sz w:val="28"/>
          <w:szCs w:val="28"/>
        </w:rPr>
        <w:t xml:space="preserve"> </w:t>
      </w:r>
      <w:r>
        <w:rPr>
          <w:rFonts w:ascii="KaiTi_GB2312" w:hAnsi="KaiTi_GB2312" w:eastAsia="KaiTi_GB2312" w:cs="KaiTi_GB2312"/>
          <w:b/>
          <w:bCs/>
          <w:spacing w:val="-1"/>
          <w:position w:val="-3"/>
          <w:sz w:val="13"/>
          <w:szCs w:val="13"/>
        </w:rPr>
        <w:t>常</w:t>
      </w:r>
      <w:r>
        <w:rPr>
          <w:rFonts w:ascii="KaiTi_GB2312" w:hAnsi="KaiTi_GB2312" w:eastAsia="KaiTi_GB2312" w:cs="KaiTi_GB2312"/>
          <w:b/>
          <w:bCs/>
          <w:spacing w:val="-1"/>
          <w:sz w:val="28"/>
          <w:szCs w:val="28"/>
        </w:rPr>
        <w:t>＝P</w:t>
      </w:r>
      <w:r>
        <w:rPr>
          <w:rFonts w:ascii="KaiTi_GB2312" w:hAnsi="KaiTi_GB2312" w:eastAsia="KaiTi_GB2312" w:cs="KaiTi_GB2312"/>
          <w:spacing w:val="-59"/>
          <w:sz w:val="28"/>
          <w:szCs w:val="28"/>
        </w:rPr>
        <w:t xml:space="preserve"> </w:t>
      </w:r>
      <w:r>
        <w:rPr>
          <w:rFonts w:ascii="KaiTi_GB2312" w:hAnsi="KaiTi_GB2312" w:eastAsia="KaiTi_GB2312" w:cs="KaiTi_GB2312"/>
          <w:b/>
          <w:bCs/>
          <w:spacing w:val="-1"/>
          <w:position w:val="-3"/>
          <w:sz w:val="13"/>
          <w:szCs w:val="13"/>
        </w:rPr>
        <w:t>常固</w:t>
      </w:r>
      <w:r>
        <w:rPr>
          <w:rFonts w:ascii="KaiTi_GB2312" w:hAnsi="KaiTi_GB2312" w:eastAsia="KaiTi_GB2312" w:cs="KaiTi_GB2312"/>
          <w:b/>
          <w:bCs/>
          <w:spacing w:val="-41"/>
          <w:sz w:val="28"/>
          <w:szCs w:val="28"/>
        </w:rPr>
        <w:t>－（</w:t>
      </w:r>
      <w:r>
        <w:rPr>
          <w:rFonts w:ascii="KaiTi_GB2312" w:hAnsi="KaiTi_GB2312" w:eastAsia="KaiTi_GB2312" w:cs="KaiTi_GB2312"/>
          <w:b/>
          <w:bCs/>
          <w:spacing w:val="-1"/>
          <w:sz w:val="28"/>
          <w:szCs w:val="28"/>
        </w:rPr>
        <w:t>P</w:t>
      </w:r>
      <w:r>
        <w:rPr>
          <w:rFonts w:ascii="KaiTi_GB2312" w:hAnsi="KaiTi_GB2312" w:eastAsia="KaiTi_GB2312" w:cs="KaiTi_GB2312"/>
          <w:spacing w:val="-59"/>
          <w:sz w:val="28"/>
          <w:szCs w:val="28"/>
        </w:rPr>
        <w:t xml:space="preserve"> </w:t>
      </w:r>
      <w:r>
        <w:rPr>
          <w:rFonts w:ascii="KaiTi_GB2312" w:hAnsi="KaiTi_GB2312" w:eastAsia="KaiTi_GB2312" w:cs="KaiTi_GB2312"/>
          <w:b/>
          <w:bCs/>
          <w:spacing w:val="-1"/>
          <w:position w:val="-3"/>
          <w:sz w:val="13"/>
          <w:szCs w:val="13"/>
        </w:rPr>
        <w:t>常固</w:t>
      </w:r>
      <w:r>
        <w:rPr>
          <w:rFonts w:ascii="KaiTi_GB2312" w:hAnsi="KaiTi_GB2312" w:eastAsia="KaiTi_GB2312" w:cs="KaiTi_GB2312"/>
          <w:b/>
          <w:bCs/>
          <w:spacing w:val="-1"/>
          <w:sz w:val="28"/>
          <w:szCs w:val="28"/>
        </w:rPr>
        <w:t>－P</w:t>
      </w:r>
      <w:r>
        <w:rPr>
          <w:rFonts w:ascii="KaiTi_GB2312" w:hAnsi="KaiTi_GB2312" w:eastAsia="KaiTi_GB2312" w:cs="KaiTi_GB2312"/>
          <w:spacing w:val="-59"/>
          <w:sz w:val="28"/>
          <w:szCs w:val="28"/>
        </w:rPr>
        <w:t xml:space="preserve"> </w:t>
      </w:r>
      <w:r>
        <w:rPr>
          <w:rFonts w:ascii="KaiTi_GB2312" w:hAnsi="KaiTi_GB2312" w:eastAsia="KaiTi_GB2312" w:cs="KaiTi_GB2312"/>
          <w:b/>
          <w:bCs/>
          <w:spacing w:val="-1"/>
          <w:position w:val="-3"/>
          <w:sz w:val="13"/>
          <w:szCs w:val="13"/>
        </w:rPr>
        <w:t>常批</w:t>
      </w:r>
      <w:r>
        <w:rPr>
          <w:rFonts w:ascii="KaiTi_GB2312" w:hAnsi="KaiTi_GB2312" w:eastAsia="KaiTi_GB2312" w:cs="KaiTi_GB2312"/>
          <w:b/>
          <w:bCs/>
          <w:spacing w:val="-1"/>
          <w:sz w:val="28"/>
          <w:szCs w:val="28"/>
        </w:rPr>
        <w:t>）</w:t>
      </w:r>
      <w:r>
        <w:rPr>
          <w:rFonts w:ascii="KaiTi_GB2312" w:hAnsi="KaiTi_GB2312" w:eastAsia="KaiTi_GB2312" w:cs="KaiTi_GB2312"/>
          <w:spacing w:val="-58"/>
          <w:sz w:val="28"/>
          <w:szCs w:val="28"/>
        </w:rPr>
        <w:t xml:space="preserve"> </w:t>
      </w:r>
      <w:r>
        <w:rPr>
          <w:rFonts w:ascii="KaiTi_GB2312" w:hAnsi="KaiTi_GB2312" w:eastAsia="KaiTi_GB2312" w:cs="KaiTi_GB2312"/>
          <w:b/>
          <w:bCs/>
          <w:spacing w:val="-1"/>
          <w:sz w:val="28"/>
          <w:szCs w:val="28"/>
        </w:rPr>
        <w:t>×K</w:t>
      </w:r>
      <w:r>
        <w:rPr>
          <w:rFonts w:ascii="KaiTi_GB2312" w:hAnsi="KaiTi_GB2312" w:eastAsia="KaiTi_GB2312" w:cs="KaiTi_GB2312"/>
          <w:spacing w:val="-59"/>
          <w:sz w:val="28"/>
          <w:szCs w:val="28"/>
        </w:rPr>
        <w:t xml:space="preserve"> </w:t>
      </w:r>
      <w:r>
        <w:rPr>
          <w:rFonts w:ascii="KaiTi_GB2312" w:hAnsi="KaiTi_GB2312" w:eastAsia="KaiTi_GB2312" w:cs="KaiTi_GB2312"/>
          <w:b/>
          <w:bCs/>
          <w:spacing w:val="-1"/>
          <w:position w:val="-3"/>
          <w:sz w:val="13"/>
          <w:szCs w:val="13"/>
        </w:rPr>
        <w:t>常</w:t>
      </w:r>
    </w:p>
    <w:p w14:paraId="6C9B39FF">
      <w:pPr>
        <w:adjustRightInd w:val="0"/>
        <w:snapToGrid w:val="0"/>
        <w:spacing w:before="123" w:line="217" w:lineRule="auto"/>
        <w:ind w:left="584"/>
        <w:outlineLvl w:val="9"/>
        <w:rPr>
          <w:rFonts w:ascii="KaiTi_GB2312" w:hAnsi="KaiTi_GB2312" w:eastAsia="KaiTi_GB2312" w:cs="KaiTi_GB2312"/>
          <w:sz w:val="28"/>
          <w:szCs w:val="28"/>
        </w:rPr>
      </w:pPr>
      <w:bookmarkStart w:id="842" w:name="_Toc22638"/>
      <w:r>
        <w:rPr>
          <w:rFonts w:ascii="KaiTi_GB2312" w:hAnsi="KaiTi_GB2312" w:eastAsia="KaiTi_GB2312" w:cs="KaiTi_GB2312"/>
          <w:b/>
          <w:bCs/>
          <w:spacing w:val="-6"/>
          <w:sz w:val="28"/>
          <w:szCs w:val="28"/>
        </w:rPr>
        <w:t>3.1.2</w:t>
      </w:r>
      <w:r>
        <w:rPr>
          <w:rFonts w:ascii="KaiTi_GB2312" w:hAnsi="KaiTi_GB2312" w:eastAsia="KaiTi_GB2312" w:cs="KaiTi_GB2312"/>
          <w:spacing w:val="-68"/>
          <w:sz w:val="28"/>
          <w:szCs w:val="28"/>
        </w:rPr>
        <w:t xml:space="preserve"> </w:t>
      </w:r>
      <w:r>
        <w:rPr>
          <w:rFonts w:ascii="KaiTi_GB2312" w:hAnsi="KaiTi_GB2312" w:eastAsia="KaiTi_GB2312" w:cs="KaiTi_GB2312"/>
          <w:b/>
          <w:bCs/>
          <w:spacing w:val="-6"/>
          <w:sz w:val="28"/>
          <w:szCs w:val="28"/>
        </w:rPr>
        <w:t>价格参数</w:t>
      </w:r>
      <w:bookmarkEnd w:id="842"/>
    </w:p>
    <w:p w14:paraId="41262C54">
      <w:pPr>
        <w:adjustRightInd w:val="0"/>
        <w:snapToGrid w:val="0"/>
        <w:spacing w:before="131" w:line="294" w:lineRule="auto"/>
        <w:ind w:firstLine="562"/>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P</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6"/>
          <w:position w:val="-3"/>
          <w:sz w:val="13"/>
          <w:szCs w:val="13"/>
        </w:rPr>
        <w:t>常批</w:t>
      </w:r>
      <w:r>
        <w:rPr>
          <w:rFonts w:ascii="FangSong_GB2312" w:hAnsi="FangSong_GB2312" w:eastAsia="FangSong_GB2312" w:cs="FangSong_GB2312"/>
          <w:spacing w:val="6"/>
          <w:sz w:val="28"/>
          <w:szCs w:val="28"/>
        </w:rPr>
        <w:t>为履约月北京市全市场常规电力中长期交易的加权平均价</w:t>
      </w:r>
      <w:r>
        <w:rPr>
          <w:rFonts w:ascii="FangSong_GB2312" w:hAnsi="FangSong_GB2312" w:eastAsia="FangSong_GB2312" w:cs="FangSong_GB2312"/>
          <w:spacing w:val="5"/>
          <w:sz w:val="28"/>
          <w:szCs w:val="28"/>
        </w:rPr>
        <w:t>；P</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5"/>
          <w:position w:val="-3"/>
          <w:sz w:val="13"/>
          <w:szCs w:val="13"/>
        </w:rPr>
        <w:t>常售</w:t>
      </w:r>
      <w:r>
        <w:rPr>
          <w:rFonts w:ascii="FangSong_GB2312" w:hAnsi="FangSong_GB2312" w:eastAsia="FangSong_GB2312" w:cs="FangSong_GB2312"/>
          <w:position w:val="-3"/>
          <w:sz w:val="13"/>
          <w:szCs w:val="13"/>
        </w:rPr>
        <w:t xml:space="preserve">  </w:t>
      </w:r>
      <w:r>
        <w:rPr>
          <w:rFonts w:ascii="FangSong_GB2312" w:hAnsi="FangSong_GB2312" w:eastAsia="FangSong_GB2312" w:cs="FangSong_GB2312"/>
          <w:spacing w:val="-2"/>
          <w:sz w:val="28"/>
          <w:szCs w:val="28"/>
        </w:rPr>
        <w:t>为履约月签约售电公司的常规电力中长期交易的电能量加权平均价；P</w:t>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pacing w:val="-2"/>
          <w:position w:val="-3"/>
          <w:sz w:val="13"/>
          <w:szCs w:val="13"/>
        </w:rPr>
        <w:t>常批</w:t>
      </w:r>
      <w:r>
        <w:rPr>
          <w:rFonts w:ascii="FangSong_GB2312" w:hAnsi="FangSong_GB2312" w:eastAsia="FangSong_GB2312" w:cs="FangSong_GB2312"/>
          <w:spacing w:val="-2"/>
          <w:sz w:val="28"/>
          <w:szCs w:val="28"/>
        </w:rPr>
        <w:t>、</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4"/>
          <w:position w:val="-3"/>
          <w:sz w:val="13"/>
          <w:szCs w:val="13"/>
        </w:rPr>
        <w:t>常售</w:t>
      </w:r>
      <w:r>
        <w:rPr>
          <w:rFonts w:ascii="FangSong_GB2312" w:hAnsi="FangSong_GB2312" w:eastAsia="FangSong_GB2312" w:cs="FangSong_GB2312"/>
          <w:spacing w:val="4"/>
          <w:sz w:val="28"/>
          <w:szCs w:val="28"/>
        </w:rPr>
        <w:t>价格构成中包括年度交易分月合同、月度合同、月内合同，</w:t>
      </w:r>
      <w:r>
        <w:rPr>
          <w:rFonts w:ascii="FangSong_GB2312" w:hAnsi="FangSong_GB2312" w:eastAsia="FangSong_GB2312" w:cs="FangSong_GB2312"/>
          <w:spacing w:val="3"/>
          <w:sz w:val="28"/>
          <w:szCs w:val="28"/>
        </w:rPr>
        <w:t>不包括合</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同电量转让交易。P</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4"/>
          <w:position w:val="-3"/>
          <w:sz w:val="13"/>
          <w:szCs w:val="13"/>
        </w:rPr>
        <w:t>常批</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4"/>
          <w:position w:val="-3"/>
          <w:sz w:val="13"/>
          <w:szCs w:val="13"/>
        </w:rPr>
        <w:t>常售</w:t>
      </w:r>
      <w:r>
        <w:rPr>
          <w:rFonts w:ascii="FangSong_GB2312" w:hAnsi="FangSong_GB2312" w:eastAsia="FangSong_GB2312" w:cs="FangSong_GB2312"/>
          <w:spacing w:val="-16"/>
          <w:position w:val="-3"/>
          <w:sz w:val="13"/>
          <w:szCs w:val="13"/>
        </w:rPr>
        <w:t xml:space="preserve"> </w:t>
      </w:r>
      <w:r>
        <w:rPr>
          <w:rFonts w:ascii="FangSong_GB2312" w:hAnsi="FangSong_GB2312" w:eastAsia="FangSong_GB2312" w:cs="FangSong_GB2312"/>
          <w:spacing w:val="-4"/>
          <w:sz w:val="28"/>
          <w:szCs w:val="28"/>
        </w:rPr>
        <w:t>由交易中心在履约月最后一日前在交易平台发</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布。</w:t>
      </w:r>
    </w:p>
    <w:p w14:paraId="5B2730B5">
      <w:pPr>
        <w:adjustRightInd w:val="0"/>
        <w:snapToGrid w:val="0"/>
        <w:spacing w:before="73" w:line="222" w:lineRule="auto"/>
        <w:ind w:left="632"/>
        <w:outlineLvl w:val="9"/>
        <w:rPr>
          <w:rFonts w:ascii="黑体" w:hAnsi="黑体" w:eastAsia="黑体" w:cs="黑体"/>
          <w:sz w:val="28"/>
          <w:szCs w:val="28"/>
        </w:rPr>
      </w:pPr>
      <w:bookmarkStart w:id="843" w:name="_Toc82"/>
      <w:r>
        <w:rPr>
          <w:rFonts w:ascii="黑体" w:hAnsi="黑体" w:eastAsia="黑体" w:cs="黑体"/>
          <w:b/>
          <w:bCs/>
          <w:spacing w:val="-4"/>
          <w:sz w:val="28"/>
          <w:szCs w:val="28"/>
        </w:rPr>
        <w:t>3.2</w:t>
      </w:r>
      <w:r>
        <w:rPr>
          <w:rFonts w:ascii="黑体" w:hAnsi="黑体" w:eastAsia="黑体" w:cs="黑体"/>
          <w:spacing w:val="-54"/>
          <w:sz w:val="28"/>
          <w:szCs w:val="28"/>
        </w:rPr>
        <w:t xml:space="preserve"> </w:t>
      </w:r>
      <w:r>
        <w:rPr>
          <w:rFonts w:ascii="黑体" w:hAnsi="黑体" w:eastAsia="黑体" w:cs="黑体"/>
          <w:b/>
          <w:bCs/>
          <w:spacing w:val="-4"/>
          <w:sz w:val="28"/>
          <w:szCs w:val="28"/>
        </w:rPr>
        <w:t>绿色电力合同电量电价</w:t>
      </w:r>
      <w:bookmarkEnd w:id="843"/>
    </w:p>
    <w:p w14:paraId="3A8B5061">
      <w:pPr>
        <w:adjustRightInd w:val="0"/>
        <w:snapToGrid w:val="0"/>
        <w:spacing w:before="124" w:line="213" w:lineRule="auto"/>
        <w:ind w:left="56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售电公司与零售用户应分别明确绿色电力电能量价格和环境价值。</w:t>
      </w:r>
    </w:p>
    <w:p w14:paraId="34604918">
      <w:pPr>
        <w:adjustRightInd w:val="0"/>
        <w:snapToGrid w:val="0"/>
        <w:spacing w:before="137" w:line="220" w:lineRule="auto"/>
        <w:ind w:left="584"/>
        <w:outlineLvl w:val="9"/>
        <w:rPr>
          <w:rFonts w:ascii="KaiTi_GB2312" w:hAnsi="KaiTi_GB2312" w:eastAsia="KaiTi_GB2312" w:cs="KaiTi_GB2312"/>
          <w:sz w:val="28"/>
          <w:szCs w:val="28"/>
        </w:rPr>
      </w:pPr>
      <w:bookmarkStart w:id="844" w:name="_Toc17504"/>
      <w:r>
        <w:rPr>
          <w:rFonts w:ascii="KaiTi_GB2312" w:hAnsi="KaiTi_GB2312" w:eastAsia="KaiTi_GB2312" w:cs="KaiTi_GB2312"/>
          <w:b/>
          <w:bCs/>
          <w:spacing w:val="-9"/>
          <w:sz w:val="28"/>
          <w:szCs w:val="28"/>
        </w:rPr>
        <w:t>3.2.1</w:t>
      </w:r>
      <w:r>
        <w:rPr>
          <w:rFonts w:ascii="KaiTi_GB2312" w:hAnsi="KaiTi_GB2312" w:eastAsia="KaiTi_GB2312" w:cs="KaiTi_GB2312"/>
          <w:spacing w:val="-34"/>
          <w:sz w:val="28"/>
          <w:szCs w:val="28"/>
        </w:rPr>
        <w:t xml:space="preserve"> </w:t>
      </w:r>
      <w:r>
        <w:rPr>
          <w:rFonts w:ascii="KaiTi_GB2312" w:hAnsi="KaiTi_GB2312" w:eastAsia="KaiTi_GB2312" w:cs="KaiTi_GB2312"/>
          <w:b/>
          <w:bCs/>
          <w:spacing w:val="-9"/>
          <w:sz w:val="28"/>
          <w:szCs w:val="28"/>
        </w:rPr>
        <w:t>电能量价格</w:t>
      </w:r>
      <w:bookmarkEnd w:id="844"/>
    </w:p>
    <w:p w14:paraId="3794BF4A">
      <w:pPr>
        <w:adjustRightInd w:val="0"/>
        <w:snapToGrid w:val="0"/>
        <w:spacing w:before="128" w:line="268" w:lineRule="auto"/>
        <w:ind w:left="3" w:right="86" w:firstLine="560"/>
        <w:outlineLvl w:val="9"/>
        <w:rPr>
          <w:rFonts w:ascii="FangSong_GB2312" w:hAnsi="FangSong_GB2312" w:eastAsia="FangSong_GB2312" w:cs="FangSong_GB2312"/>
          <w:sz w:val="28"/>
          <w:szCs w:val="28"/>
        </w:rPr>
      </w:pPr>
      <w:r>
        <w:rPr>
          <w:rFonts w:ascii="FangSong_GB2312" w:hAnsi="FangSong_GB2312" w:eastAsia="FangSong_GB2312" w:cs="FangSong_GB2312"/>
          <w:b/>
          <w:bCs/>
          <w:spacing w:val="1"/>
          <w:sz w:val="28"/>
          <w:szCs w:val="28"/>
        </w:rPr>
        <w:t>D</w:t>
      </w:r>
      <w:r>
        <w:rPr>
          <w:rFonts w:ascii="FangSong_GB2312" w:hAnsi="FangSong_GB2312" w:eastAsia="FangSong_GB2312" w:cs="FangSong_GB2312"/>
          <w:spacing w:val="-22"/>
          <w:sz w:val="28"/>
          <w:szCs w:val="28"/>
        </w:rPr>
        <w:t xml:space="preserve"> </w:t>
      </w:r>
      <w:r>
        <w:rPr>
          <w:rFonts w:ascii="FangSong_GB2312" w:hAnsi="FangSong_GB2312" w:eastAsia="FangSong_GB2312" w:cs="FangSong_GB2312"/>
          <w:b/>
          <w:bCs/>
          <w:spacing w:val="1"/>
          <w:sz w:val="28"/>
          <w:szCs w:val="28"/>
        </w:rPr>
        <w:t>固定价格套餐：</w:t>
      </w:r>
      <w:r>
        <w:rPr>
          <w:rFonts w:ascii="FangSong_GB2312" w:hAnsi="FangSong_GB2312" w:eastAsia="FangSong_GB2312" w:cs="FangSong_GB2312"/>
          <w:spacing w:val="1"/>
          <w:sz w:val="28"/>
          <w:szCs w:val="28"/>
        </w:rPr>
        <w:t>双方约定合同电量</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1"/>
          <w:sz w:val="28"/>
          <w:szCs w:val="28"/>
        </w:rPr>
        <w:t>Q</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1"/>
          <w:position w:val="-3"/>
          <w:sz w:val="13"/>
          <w:szCs w:val="13"/>
        </w:rPr>
        <w:t>绿合</w:t>
      </w:r>
      <w:r>
        <w:rPr>
          <w:rFonts w:ascii="FangSong_GB2312" w:hAnsi="FangSong_GB2312" w:eastAsia="FangSong_GB2312" w:cs="FangSong_GB2312"/>
          <w:spacing w:val="1"/>
          <w:position w:val="-3"/>
          <w:sz w:val="28"/>
          <w:szCs w:val="28"/>
        </w:rPr>
        <w:t>,</w:t>
      </w:r>
      <w:r>
        <w:rPr>
          <w:rFonts w:ascii="FangSong_GB2312" w:hAnsi="FangSong_GB2312" w:eastAsia="FangSong_GB2312" w:cs="FangSong_GB2312"/>
          <w:spacing w:val="1"/>
          <w:sz w:val="28"/>
          <w:szCs w:val="28"/>
        </w:rPr>
        <w:t>按照固定价格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1"/>
          <w:position w:val="-3"/>
          <w:sz w:val="13"/>
          <w:szCs w:val="13"/>
        </w:rPr>
        <w:t>绿固</w:t>
      </w:r>
      <w:r>
        <w:rPr>
          <w:rFonts w:ascii="FangSong_GB2312" w:hAnsi="FangSong_GB2312" w:eastAsia="FangSong_GB2312" w:cs="FangSong_GB2312"/>
          <w:spacing w:val="1"/>
          <w:sz w:val="28"/>
          <w:szCs w:val="28"/>
        </w:rPr>
        <w:t>结算,该</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价格不随市场价格变化。</w:t>
      </w:r>
    </w:p>
    <w:p w14:paraId="31E31987">
      <w:pPr>
        <w:adjustRightInd w:val="0"/>
        <w:snapToGrid w:val="0"/>
        <w:spacing w:before="76" w:line="223" w:lineRule="auto"/>
        <w:ind w:left="3953"/>
        <w:outlineLvl w:val="9"/>
        <w:rPr>
          <w:rFonts w:ascii="KaiTi_GB2312" w:hAnsi="KaiTi_GB2312" w:eastAsia="KaiTi_GB2312" w:cs="KaiTi_GB2312"/>
          <w:sz w:val="13"/>
          <w:szCs w:val="13"/>
        </w:rPr>
      </w:pPr>
      <w:r>
        <w:rPr>
          <w:rFonts w:ascii="KaiTi_GB2312" w:hAnsi="KaiTi_GB2312" w:eastAsia="KaiTi_GB2312" w:cs="KaiTi_GB2312"/>
          <w:b/>
          <w:bCs/>
          <w:spacing w:val="-1"/>
          <w:position w:val="1"/>
          <w:sz w:val="28"/>
          <w:szCs w:val="28"/>
        </w:rPr>
        <w:t>P</w:t>
      </w:r>
      <w:r>
        <w:rPr>
          <w:rFonts w:ascii="KaiTi_GB2312" w:hAnsi="KaiTi_GB2312" w:eastAsia="KaiTi_GB2312" w:cs="KaiTi_GB2312"/>
          <w:spacing w:val="-61"/>
          <w:position w:val="1"/>
          <w:sz w:val="28"/>
          <w:szCs w:val="28"/>
        </w:rPr>
        <w:t xml:space="preserve"> </w:t>
      </w:r>
      <w:r>
        <w:rPr>
          <w:rFonts w:ascii="KaiTi_GB2312" w:hAnsi="KaiTi_GB2312" w:eastAsia="KaiTi_GB2312" w:cs="KaiTi_GB2312"/>
          <w:b/>
          <w:bCs/>
          <w:spacing w:val="-1"/>
          <w:position w:val="-2"/>
          <w:sz w:val="13"/>
          <w:szCs w:val="13"/>
        </w:rPr>
        <w:t>绿</w:t>
      </w:r>
      <w:r>
        <w:rPr>
          <w:rFonts w:ascii="KaiTi_GB2312" w:hAnsi="KaiTi_GB2312" w:eastAsia="KaiTi_GB2312" w:cs="KaiTi_GB2312"/>
          <w:b/>
          <w:bCs/>
          <w:spacing w:val="-1"/>
          <w:position w:val="1"/>
          <w:sz w:val="28"/>
          <w:szCs w:val="28"/>
        </w:rPr>
        <w:t>＝P</w:t>
      </w:r>
      <w:r>
        <w:rPr>
          <w:rFonts w:ascii="KaiTi_GB2312" w:hAnsi="KaiTi_GB2312" w:eastAsia="KaiTi_GB2312" w:cs="KaiTi_GB2312"/>
          <w:spacing w:val="-65"/>
          <w:position w:val="1"/>
          <w:sz w:val="28"/>
          <w:szCs w:val="28"/>
        </w:rPr>
        <w:t xml:space="preserve"> </w:t>
      </w:r>
      <w:r>
        <w:rPr>
          <w:rFonts w:ascii="KaiTi_GB2312" w:hAnsi="KaiTi_GB2312" w:eastAsia="KaiTi_GB2312" w:cs="KaiTi_GB2312"/>
          <w:b/>
          <w:bCs/>
          <w:spacing w:val="-1"/>
          <w:position w:val="-2"/>
          <w:sz w:val="13"/>
          <w:szCs w:val="13"/>
        </w:rPr>
        <w:t>绿固</w:t>
      </w:r>
    </w:p>
    <w:p w14:paraId="72520930">
      <w:pPr>
        <w:adjustRightInd w:val="0"/>
        <w:snapToGrid w:val="0"/>
        <w:spacing w:before="121" w:line="288" w:lineRule="auto"/>
        <w:ind w:left="2" w:right="87" w:firstLine="561"/>
        <w:jc w:val="both"/>
        <w:outlineLvl w:val="9"/>
        <w:rPr>
          <w:rFonts w:ascii="FangSong_GB2312" w:hAnsi="FangSong_GB2312" w:eastAsia="FangSong_GB2312" w:cs="FangSong_GB2312"/>
          <w:sz w:val="28"/>
          <w:szCs w:val="28"/>
        </w:rPr>
      </w:pPr>
      <w:r>
        <w:rPr>
          <w:rFonts w:ascii="FangSong_GB2312" w:hAnsi="FangSong_GB2312" w:eastAsia="FangSong_GB2312" w:cs="FangSong_GB2312"/>
          <w:b/>
          <w:bCs/>
          <w:spacing w:val="-2"/>
          <w:sz w:val="28"/>
          <w:szCs w:val="28"/>
        </w:rPr>
        <w:t>E</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b/>
          <w:bCs/>
          <w:spacing w:val="-2"/>
          <w:sz w:val="28"/>
          <w:szCs w:val="28"/>
        </w:rPr>
        <w:t>联动价格套餐：</w:t>
      </w:r>
      <w:r>
        <w:rPr>
          <w:rFonts w:ascii="FangSong_GB2312" w:hAnsi="FangSong_GB2312" w:eastAsia="FangSong_GB2312" w:cs="FangSong_GB2312"/>
          <w:spacing w:val="-2"/>
          <w:sz w:val="28"/>
          <w:szCs w:val="28"/>
        </w:rPr>
        <w:t>双方约定合同电量</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
          <w:sz w:val="28"/>
          <w:szCs w:val="28"/>
        </w:rPr>
        <w:t>Q</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绿合</w:t>
      </w:r>
      <w:r>
        <w:rPr>
          <w:rFonts w:ascii="FangSong_GB2312" w:hAnsi="FangSong_GB2312" w:eastAsia="FangSong_GB2312" w:cs="FangSong_GB2312"/>
          <w:spacing w:val="-2"/>
          <w:position w:val="-3"/>
          <w:sz w:val="28"/>
          <w:szCs w:val="28"/>
        </w:rPr>
        <w:t>,</w:t>
      </w:r>
      <w:r>
        <w:rPr>
          <w:rFonts w:ascii="FangSong_GB2312" w:hAnsi="FangSong_GB2312" w:eastAsia="FangSong_GB2312" w:cs="FangSong_GB2312"/>
          <w:spacing w:val="-2"/>
          <w:sz w:val="28"/>
          <w:szCs w:val="28"/>
        </w:rPr>
        <w:t>按照绿色电力基准价格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
          <w:position w:val="-3"/>
          <w:sz w:val="13"/>
          <w:szCs w:val="13"/>
        </w:rPr>
        <w:t>绿基</w:t>
      </w:r>
      <w:r>
        <w:rPr>
          <w:rFonts w:ascii="FangSong_GB2312" w:hAnsi="FangSong_GB2312" w:eastAsia="FangSong_GB2312" w:cs="FangSong_GB2312"/>
          <w:position w:val="-3"/>
          <w:sz w:val="13"/>
          <w:szCs w:val="13"/>
        </w:rPr>
        <w:t xml:space="preserve"> </w:t>
      </w:r>
      <w:r>
        <w:rPr>
          <w:rFonts w:ascii="FangSong_GB2312" w:hAnsi="FangSong_GB2312" w:eastAsia="FangSong_GB2312" w:cs="FangSong_GB2312"/>
          <w:spacing w:val="1"/>
          <w:sz w:val="28"/>
          <w:szCs w:val="28"/>
        </w:rPr>
        <w:t>叠加浮动价格</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3"/>
          <w:sz w:val="13"/>
          <w:szCs w:val="13"/>
        </w:rPr>
        <w:t>绿浮</w:t>
      </w:r>
      <w:r>
        <w:rPr>
          <w:rFonts w:ascii="FangSong_GB2312" w:hAnsi="FangSong_GB2312" w:eastAsia="FangSong_GB2312" w:cs="FangSong_GB2312"/>
          <w:spacing w:val="1"/>
          <w:sz w:val="28"/>
          <w:szCs w:val="28"/>
        </w:rPr>
        <w:t>结算。绿色电力基准价格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1"/>
          <w:position w:val="-3"/>
          <w:sz w:val="13"/>
          <w:szCs w:val="13"/>
        </w:rPr>
        <w:t>绿基</w:t>
      </w:r>
      <w:r>
        <w:rPr>
          <w:rFonts w:ascii="FangSong_GB2312" w:hAnsi="FangSong_GB2312" w:eastAsia="FangSong_GB2312" w:cs="FangSong_GB2312"/>
          <w:spacing w:val="1"/>
          <w:sz w:val="28"/>
          <w:szCs w:val="28"/>
        </w:rPr>
        <w:t>可以选择绿色电力批发市</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场合同均价</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3"/>
          <w:sz w:val="13"/>
          <w:szCs w:val="13"/>
        </w:rPr>
        <w:t>绿批</w:t>
      </w:r>
      <w:r>
        <w:rPr>
          <w:rFonts w:ascii="FangSong_GB2312" w:hAnsi="FangSong_GB2312" w:eastAsia="FangSong_GB2312" w:cs="FangSong_GB2312"/>
          <w:spacing w:val="1"/>
          <w:sz w:val="28"/>
          <w:szCs w:val="28"/>
        </w:rPr>
        <w:t>作为联动基准，也可以选择签约售电公司的绿色电力批发</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合同均价</w:t>
      </w:r>
      <w:r>
        <w:rPr>
          <w:rFonts w:ascii="FangSong_GB2312" w:hAnsi="FangSong_GB2312" w:eastAsia="FangSong_GB2312" w:cs="FangSong_GB2312"/>
          <w:spacing w:val="-41"/>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3"/>
          <w:position w:val="-3"/>
          <w:sz w:val="13"/>
          <w:szCs w:val="13"/>
        </w:rPr>
        <w:t>绿售</w:t>
      </w:r>
      <w:r>
        <w:rPr>
          <w:rFonts w:ascii="FangSong_GB2312" w:hAnsi="FangSong_GB2312" w:eastAsia="FangSong_GB2312" w:cs="FangSong_GB2312"/>
          <w:spacing w:val="3"/>
          <w:sz w:val="28"/>
          <w:szCs w:val="28"/>
        </w:rPr>
        <w:t>作为联动基准。P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3"/>
          <w:position w:val="-3"/>
          <w:sz w:val="13"/>
          <w:szCs w:val="13"/>
        </w:rPr>
        <w:t>绿浮</w:t>
      </w:r>
      <w:r>
        <w:rPr>
          <w:rFonts w:ascii="FangSong_GB2312" w:hAnsi="FangSong_GB2312" w:eastAsia="FangSong_GB2312" w:cs="FangSong_GB2312"/>
          <w:spacing w:val="3"/>
          <w:sz w:val="28"/>
          <w:szCs w:val="28"/>
        </w:rPr>
        <w:t>可以为正值、零、负值。当签约售电公</w:t>
      </w:r>
    </w:p>
    <w:p w14:paraId="7C1C600F">
      <w:pPr>
        <w:spacing w:line="288" w:lineRule="auto"/>
        <w:outlineLvl w:val="9"/>
        <w:rPr>
          <w:rFonts w:ascii="FangSong_GB2312" w:hAnsi="FangSong_GB2312" w:eastAsia="FangSong_GB2312" w:cs="FangSong_GB2312"/>
          <w:sz w:val="28"/>
          <w:szCs w:val="28"/>
        </w:rPr>
        <w:sectPr>
          <w:footerReference r:id="rId19" w:type="default"/>
          <w:pgSz w:w="11906" w:h="16839"/>
          <w:pgMar w:top="1431" w:right="1352" w:bottom="1180" w:left="1447" w:header="0" w:footer="966" w:gutter="0"/>
          <w:pgNumType w:fmt="decimal"/>
          <w:cols w:space="720" w:num="1"/>
        </w:sectPr>
      </w:pPr>
    </w:p>
    <w:p w14:paraId="7211A3B1">
      <w:pPr>
        <w:adjustRightInd w:val="0"/>
        <w:snapToGrid w:val="0"/>
        <w:spacing w:before="135" w:line="207" w:lineRule="auto"/>
        <w:ind w:left="31"/>
        <w:outlineLvl w:val="9"/>
        <w:rPr>
          <w:rFonts w:ascii="FangSong_GB2312" w:hAnsi="FangSong_GB2312" w:eastAsia="FangSong_GB2312" w:cs="FangSong_GB2312"/>
          <w:sz w:val="31"/>
          <w:szCs w:val="31"/>
        </w:rPr>
      </w:pPr>
      <w:r>
        <w:rPr>
          <w:rFonts w:ascii="FangSong_GB2312" w:hAnsi="FangSong_GB2312" w:eastAsia="FangSong_GB2312" w:cs="FangSong_GB2312"/>
          <w:spacing w:val="-2"/>
          <w:sz w:val="28"/>
          <w:szCs w:val="28"/>
        </w:rPr>
        <w:t>司未签订绿色电力批发合同时，P</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2"/>
          <w:position w:val="-3"/>
          <w:sz w:val="13"/>
          <w:szCs w:val="13"/>
        </w:rPr>
        <w:t>绿基</w:t>
      </w:r>
      <w:r>
        <w:rPr>
          <w:rFonts w:ascii="FangSong_GB2312" w:hAnsi="FangSong_GB2312" w:eastAsia="FangSong_GB2312" w:cs="FangSong_GB2312"/>
          <w:spacing w:val="-2"/>
          <w:sz w:val="28"/>
          <w:szCs w:val="28"/>
        </w:rPr>
        <w:t>默认取值调整为</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绿批</w:t>
      </w:r>
      <w:r>
        <w:rPr>
          <w:rFonts w:ascii="FangSong_GB2312" w:hAnsi="FangSong_GB2312" w:eastAsia="FangSong_GB2312" w:cs="FangSong_GB2312"/>
          <w:spacing w:val="-2"/>
          <w:sz w:val="31"/>
          <w:szCs w:val="31"/>
        </w:rPr>
        <w:t>。</w:t>
      </w:r>
    </w:p>
    <w:p w14:paraId="512B70F0">
      <w:pPr>
        <w:adjustRightInd w:val="0"/>
        <w:snapToGrid w:val="0"/>
        <w:spacing w:before="114" w:line="222" w:lineRule="auto"/>
        <w:ind w:left="3565"/>
        <w:outlineLvl w:val="9"/>
        <w:rPr>
          <w:rFonts w:ascii="KaiTi_GB2312" w:hAnsi="KaiTi_GB2312" w:eastAsia="KaiTi_GB2312" w:cs="KaiTi_GB2312"/>
          <w:sz w:val="13"/>
          <w:szCs w:val="13"/>
        </w:rPr>
      </w:pPr>
      <w:r>
        <w:rPr>
          <w:rFonts w:ascii="KaiTi_GB2312" w:hAnsi="KaiTi_GB2312" w:eastAsia="KaiTi_GB2312" w:cs="KaiTi_GB2312"/>
          <w:b/>
          <w:bCs/>
          <w:spacing w:val="1"/>
          <w:position w:val="1"/>
          <w:sz w:val="28"/>
          <w:szCs w:val="28"/>
        </w:rPr>
        <w:t>P</w:t>
      </w:r>
      <w:r>
        <w:rPr>
          <w:rFonts w:ascii="KaiTi_GB2312" w:hAnsi="KaiTi_GB2312" w:eastAsia="KaiTi_GB2312" w:cs="KaiTi_GB2312"/>
          <w:spacing w:val="-66"/>
          <w:position w:val="1"/>
          <w:sz w:val="28"/>
          <w:szCs w:val="28"/>
        </w:rPr>
        <w:t xml:space="preserve"> </w:t>
      </w:r>
      <w:r>
        <w:rPr>
          <w:rFonts w:ascii="KaiTi_GB2312" w:hAnsi="KaiTi_GB2312" w:eastAsia="KaiTi_GB2312" w:cs="KaiTi_GB2312"/>
          <w:b/>
          <w:bCs/>
          <w:spacing w:val="1"/>
          <w:position w:val="-2"/>
          <w:sz w:val="13"/>
          <w:szCs w:val="13"/>
        </w:rPr>
        <w:t>绿</w:t>
      </w:r>
      <w:r>
        <w:rPr>
          <w:rFonts w:ascii="KaiTi_GB2312" w:hAnsi="KaiTi_GB2312" w:eastAsia="KaiTi_GB2312" w:cs="KaiTi_GB2312"/>
          <w:b/>
          <w:bCs/>
          <w:spacing w:val="1"/>
          <w:position w:val="1"/>
          <w:sz w:val="28"/>
          <w:szCs w:val="28"/>
        </w:rPr>
        <w:t>＝P</w:t>
      </w:r>
      <w:r>
        <w:rPr>
          <w:rFonts w:ascii="KaiTi_GB2312" w:hAnsi="KaiTi_GB2312" w:eastAsia="KaiTi_GB2312" w:cs="KaiTi_GB2312"/>
          <w:spacing w:val="-65"/>
          <w:position w:val="1"/>
          <w:sz w:val="28"/>
          <w:szCs w:val="28"/>
        </w:rPr>
        <w:t xml:space="preserve"> </w:t>
      </w:r>
      <w:r>
        <w:rPr>
          <w:rFonts w:ascii="KaiTi_GB2312" w:hAnsi="KaiTi_GB2312" w:eastAsia="KaiTi_GB2312" w:cs="KaiTi_GB2312"/>
          <w:b/>
          <w:bCs/>
          <w:spacing w:val="1"/>
          <w:position w:val="-2"/>
          <w:sz w:val="13"/>
          <w:szCs w:val="13"/>
        </w:rPr>
        <w:t>绿基</w:t>
      </w:r>
      <w:r>
        <w:rPr>
          <w:rFonts w:ascii="KaiTi_GB2312" w:hAnsi="KaiTi_GB2312" w:eastAsia="KaiTi_GB2312" w:cs="KaiTi_GB2312"/>
          <w:b/>
          <w:bCs/>
          <w:spacing w:val="1"/>
          <w:position w:val="1"/>
          <w:sz w:val="28"/>
          <w:szCs w:val="28"/>
        </w:rPr>
        <w:t>＋P</w:t>
      </w:r>
      <w:r>
        <w:rPr>
          <w:rFonts w:ascii="KaiTi_GB2312" w:hAnsi="KaiTi_GB2312" w:eastAsia="KaiTi_GB2312" w:cs="KaiTi_GB2312"/>
          <w:spacing w:val="-65"/>
          <w:position w:val="1"/>
          <w:sz w:val="28"/>
          <w:szCs w:val="28"/>
        </w:rPr>
        <w:t xml:space="preserve"> </w:t>
      </w:r>
      <w:r>
        <w:rPr>
          <w:rFonts w:ascii="KaiTi_GB2312" w:hAnsi="KaiTi_GB2312" w:eastAsia="KaiTi_GB2312" w:cs="KaiTi_GB2312"/>
          <w:b/>
          <w:bCs/>
          <w:spacing w:val="1"/>
          <w:position w:val="-2"/>
          <w:sz w:val="13"/>
          <w:szCs w:val="13"/>
        </w:rPr>
        <w:t>绿浮</w:t>
      </w:r>
    </w:p>
    <w:p w14:paraId="669C6994">
      <w:pPr>
        <w:adjustRightInd w:val="0"/>
        <w:snapToGrid w:val="0"/>
        <w:spacing w:before="124" w:line="291" w:lineRule="auto"/>
        <w:ind w:right="81" w:firstLine="561"/>
        <w:jc w:val="both"/>
        <w:outlineLvl w:val="9"/>
        <w:rPr>
          <w:rFonts w:ascii="FangSong_GB2312" w:hAnsi="FangSong_GB2312" w:eastAsia="FangSong_GB2312" w:cs="FangSong_GB2312"/>
          <w:sz w:val="28"/>
          <w:szCs w:val="28"/>
        </w:rPr>
      </w:pPr>
      <w:r>
        <w:rPr>
          <w:rFonts w:ascii="FangSong_GB2312" w:hAnsi="FangSong_GB2312" w:eastAsia="FangSong_GB2312" w:cs="FangSong_GB2312"/>
          <w:b/>
          <w:bCs/>
          <w:spacing w:val="-3"/>
          <w:sz w:val="28"/>
          <w:szCs w:val="28"/>
        </w:rPr>
        <w:t>F</w:t>
      </w:r>
      <w:r>
        <w:rPr>
          <w:rFonts w:ascii="FangSong_GB2312" w:hAnsi="FangSong_GB2312" w:eastAsia="FangSong_GB2312" w:cs="FangSong_GB2312"/>
          <w:spacing w:val="-3"/>
          <w:sz w:val="28"/>
          <w:szCs w:val="28"/>
        </w:rPr>
        <w:t xml:space="preserve"> </w:t>
      </w:r>
      <w:r>
        <w:rPr>
          <w:rFonts w:ascii="FangSong_GB2312" w:hAnsi="FangSong_GB2312" w:eastAsia="FangSong_GB2312" w:cs="FangSong_GB2312"/>
          <w:b/>
          <w:bCs/>
          <w:spacing w:val="-3"/>
          <w:sz w:val="28"/>
          <w:szCs w:val="28"/>
        </w:rPr>
        <w:t>比例分成套餐：</w:t>
      </w:r>
      <w:r>
        <w:rPr>
          <w:rFonts w:ascii="FangSong_GB2312" w:hAnsi="FangSong_GB2312" w:eastAsia="FangSong_GB2312" w:cs="FangSong_GB2312"/>
          <w:spacing w:val="-3"/>
          <w:sz w:val="28"/>
          <w:szCs w:val="28"/>
        </w:rPr>
        <w:t>双方约定合同电量</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sz w:val="28"/>
          <w:szCs w:val="28"/>
        </w:rPr>
        <w:t>Q</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3"/>
          <w:position w:val="-3"/>
          <w:sz w:val="13"/>
          <w:szCs w:val="13"/>
        </w:rPr>
        <w:t>绿合</w:t>
      </w:r>
      <w:r>
        <w:rPr>
          <w:rFonts w:ascii="FangSong_GB2312" w:hAnsi="FangSong_GB2312" w:eastAsia="FangSong_GB2312" w:cs="FangSong_GB2312"/>
          <w:spacing w:val="-3"/>
          <w:position w:val="-3"/>
          <w:sz w:val="28"/>
          <w:szCs w:val="28"/>
        </w:rPr>
        <w:t>,</w:t>
      </w:r>
      <w:r>
        <w:rPr>
          <w:rFonts w:ascii="FangSong_GB2312" w:hAnsi="FangSong_GB2312" w:eastAsia="FangSong_GB2312" w:cs="FangSong_GB2312"/>
          <w:spacing w:val="-3"/>
          <w:sz w:val="28"/>
          <w:szCs w:val="28"/>
        </w:rPr>
        <w:t>在约定</w:t>
      </w:r>
      <w:r>
        <w:rPr>
          <w:rFonts w:ascii="FangSong_GB2312" w:hAnsi="FangSong_GB2312" w:eastAsia="FangSong_GB2312" w:cs="FangSong_GB2312"/>
          <w:spacing w:val="-4"/>
          <w:sz w:val="28"/>
          <w:szCs w:val="28"/>
        </w:rPr>
        <w:t>固定价格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4"/>
          <w:position w:val="-3"/>
          <w:sz w:val="13"/>
          <w:szCs w:val="13"/>
        </w:rPr>
        <w:t>绿固</w:t>
      </w:r>
      <w:r>
        <w:rPr>
          <w:rFonts w:ascii="FangSong_GB2312" w:hAnsi="FangSong_GB2312" w:eastAsia="FangSong_GB2312" w:cs="FangSong_GB2312"/>
          <w:spacing w:val="-4"/>
          <w:sz w:val="28"/>
          <w:szCs w:val="28"/>
        </w:rPr>
        <w:t>的基础</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上，将固定价格</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3"/>
          <w:sz w:val="13"/>
          <w:szCs w:val="13"/>
        </w:rPr>
        <w:t>绿固</w:t>
      </w:r>
      <w:r>
        <w:rPr>
          <w:rFonts w:ascii="FangSong_GB2312" w:hAnsi="FangSong_GB2312" w:eastAsia="FangSong_GB2312" w:cs="FangSong_GB2312"/>
          <w:spacing w:val="1"/>
          <w:sz w:val="28"/>
          <w:szCs w:val="28"/>
        </w:rPr>
        <w:t>与绿色电力批发市场合同均价</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3"/>
          <w:sz w:val="13"/>
          <w:szCs w:val="13"/>
        </w:rPr>
        <w:t>绿批</w:t>
      </w:r>
      <w:r>
        <w:rPr>
          <w:rFonts w:ascii="FangSong_GB2312" w:hAnsi="FangSong_GB2312" w:eastAsia="FangSong_GB2312" w:cs="FangSong_GB2312"/>
          <w:spacing w:val="1"/>
          <w:sz w:val="28"/>
          <w:szCs w:val="28"/>
        </w:rPr>
        <w:t>之间的差值，按照</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约定的分成比例</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3"/>
          <w:sz w:val="28"/>
          <w:szCs w:val="28"/>
        </w:rPr>
        <w:t>K</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position w:val="-3"/>
          <w:sz w:val="13"/>
          <w:szCs w:val="13"/>
        </w:rPr>
        <w:t>绿</w:t>
      </w:r>
      <w:r>
        <w:rPr>
          <w:rFonts w:ascii="FangSong_GB2312" w:hAnsi="FangSong_GB2312" w:eastAsia="FangSong_GB2312" w:cs="FangSong_GB2312"/>
          <w:spacing w:val="-3"/>
          <w:sz w:val="28"/>
          <w:szCs w:val="28"/>
        </w:rPr>
        <w:t>传导至零售用户。当上述差值为正时，比例</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K</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3"/>
          <w:position w:val="-3"/>
          <w:sz w:val="13"/>
          <w:szCs w:val="13"/>
        </w:rPr>
        <w:t>绿享</w:t>
      </w:r>
      <w:r>
        <w:rPr>
          <w:rFonts w:ascii="FangSong_GB2312" w:hAnsi="FangSong_GB2312" w:eastAsia="FangSong_GB2312" w:cs="FangSong_GB2312"/>
          <w:spacing w:val="-3"/>
          <w:sz w:val="28"/>
          <w:szCs w:val="28"/>
        </w:rPr>
        <w:t>部分由</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5"/>
          <w:sz w:val="28"/>
          <w:szCs w:val="28"/>
        </w:rPr>
        <w:t>零售用户分享，差值为负时，比例</w:t>
      </w:r>
      <w:r>
        <w:rPr>
          <w:rFonts w:ascii="FangSong_GB2312" w:hAnsi="FangSong_GB2312" w:eastAsia="FangSong_GB2312" w:cs="FangSong_GB2312"/>
          <w:spacing w:val="-44"/>
          <w:sz w:val="28"/>
          <w:szCs w:val="28"/>
        </w:rPr>
        <w:t xml:space="preserve"> </w:t>
      </w:r>
      <w:r>
        <w:rPr>
          <w:rFonts w:ascii="FangSong_GB2312" w:hAnsi="FangSong_GB2312" w:eastAsia="FangSong_GB2312" w:cs="FangSong_GB2312"/>
          <w:spacing w:val="-5"/>
          <w:sz w:val="28"/>
          <w:szCs w:val="28"/>
        </w:rPr>
        <w:t>K</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5"/>
          <w:position w:val="-3"/>
          <w:sz w:val="13"/>
          <w:szCs w:val="13"/>
        </w:rPr>
        <w:t>绿担</w:t>
      </w:r>
      <w:r>
        <w:rPr>
          <w:rFonts w:ascii="FangSong_GB2312" w:hAnsi="FangSong_GB2312" w:eastAsia="FangSong_GB2312" w:cs="FangSong_GB2312"/>
          <w:spacing w:val="-15"/>
          <w:position w:val="-3"/>
          <w:sz w:val="13"/>
          <w:szCs w:val="13"/>
        </w:rPr>
        <w:t xml:space="preserve"> </w:t>
      </w:r>
      <w:r>
        <w:rPr>
          <w:rFonts w:ascii="FangSong_GB2312" w:hAnsi="FangSong_GB2312" w:eastAsia="FangSong_GB2312" w:cs="FangSong_GB2312"/>
          <w:spacing w:val="-5"/>
          <w:sz w:val="28"/>
          <w:szCs w:val="28"/>
        </w:rPr>
        <w:t>由零售用户承担，K</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5"/>
          <w:position w:val="-3"/>
          <w:sz w:val="13"/>
          <w:szCs w:val="13"/>
        </w:rPr>
        <w:t xml:space="preserve">绿 </w:t>
      </w:r>
      <w:r>
        <w:rPr>
          <w:rFonts w:ascii="FangSong_GB2312" w:hAnsi="FangSong_GB2312" w:eastAsia="FangSong_GB2312" w:cs="FangSong_GB2312"/>
          <w:spacing w:val="-5"/>
          <w:sz w:val="28"/>
          <w:szCs w:val="28"/>
        </w:rPr>
        <w:t>(包括</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5"/>
          <w:sz w:val="28"/>
          <w:szCs w:val="28"/>
        </w:rPr>
        <w:t>K</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5"/>
          <w:position w:val="-3"/>
          <w:sz w:val="13"/>
          <w:szCs w:val="13"/>
        </w:rPr>
        <w:t>绿享</w:t>
      </w:r>
      <w:r>
        <w:rPr>
          <w:rFonts w:ascii="FangSong_GB2312" w:hAnsi="FangSong_GB2312" w:eastAsia="FangSong_GB2312" w:cs="FangSong_GB2312"/>
          <w:spacing w:val="-31"/>
          <w:position w:val="-3"/>
          <w:sz w:val="13"/>
          <w:szCs w:val="13"/>
        </w:rPr>
        <w:t xml:space="preserve"> </w:t>
      </w:r>
      <w:r>
        <w:rPr>
          <w:rFonts w:ascii="FangSong_GB2312" w:hAnsi="FangSong_GB2312" w:eastAsia="FangSong_GB2312" w:cs="FangSong_GB2312"/>
          <w:spacing w:val="-5"/>
          <w:sz w:val="28"/>
          <w:szCs w:val="28"/>
        </w:rPr>
        <w:t>、K</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7"/>
          <w:position w:val="-3"/>
          <w:sz w:val="13"/>
          <w:szCs w:val="13"/>
        </w:rPr>
        <w:t>绿担</w:t>
      </w:r>
      <w:r>
        <w:rPr>
          <w:rFonts w:ascii="FangSong_GB2312" w:hAnsi="FangSong_GB2312" w:eastAsia="FangSong_GB2312" w:cs="FangSong_GB2312"/>
          <w:spacing w:val="-7"/>
          <w:sz w:val="28"/>
          <w:szCs w:val="28"/>
        </w:rPr>
        <w:t>)取值范围为</w:t>
      </w:r>
      <w:r>
        <w:rPr>
          <w:rFonts w:ascii="FangSong_GB2312" w:hAnsi="FangSong_GB2312" w:eastAsia="FangSong_GB2312" w:cs="FangSong_GB2312"/>
          <w:spacing w:val="-34"/>
          <w:sz w:val="28"/>
          <w:szCs w:val="28"/>
        </w:rPr>
        <w:t xml:space="preserve"> </w:t>
      </w:r>
      <w:r>
        <w:rPr>
          <w:rFonts w:ascii="FangSong_GB2312" w:hAnsi="FangSong_GB2312" w:eastAsia="FangSong_GB2312" w:cs="FangSong_GB2312"/>
          <w:spacing w:val="-7"/>
          <w:sz w:val="28"/>
          <w:szCs w:val="28"/>
        </w:rPr>
        <w:t>0</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7"/>
          <w:sz w:val="28"/>
          <w:szCs w:val="28"/>
        </w:rPr>
        <w:t>至</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7"/>
          <w:sz w:val="28"/>
          <w:szCs w:val="28"/>
        </w:rPr>
        <w:t>1。</w:t>
      </w:r>
    </w:p>
    <w:p w14:paraId="381B9858">
      <w:pPr>
        <w:adjustRightInd w:val="0"/>
        <w:snapToGrid w:val="0"/>
        <w:spacing w:before="62" w:line="223" w:lineRule="auto"/>
        <w:ind w:left="2581"/>
        <w:outlineLvl w:val="9"/>
        <w:rPr>
          <w:rFonts w:ascii="KaiTi_GB2312" w:hAnsi="KaiTi_GB2312" w:eastAsia="KaiTi_GB2312" w:cs="KaiTi_GB2312"/>
          <w:sz w:val="13"/>
          <w:szCs w:val="13"/>
        </w:rPr>
      </w:pPr>
      <w:r>
        <w:rPr>
          <w:rFonts w:ascii="KaiTi_GB2312" w:hAnsi="KaiTi_GB2312" w:eastAsia="KaiTi_GB2312" w:cs="KaiTi_GB2312"/>
          <w:b/>
          <w:bCs/>
          <w:sz w:val="28"/>
          <w:szCs w:val="28"/>
        </w:rPr>
        <w:t>P</w:t>
      </w:r>
      <w:r>
        <w:rPr>
          <w:rFonts w:ascii="KaiTi_GB2312" w:hAnsi="KaiTi_GB2312" w:eastAsia="KaiTi_GB2312" w:cs="KaiTi_GB2312"/>
          <w:spacing w:val="-65"/>
          <w:sz w:val="28"/>
          <w:szCs w:val="28"/>
        </w:rPr>
        <w:t xml:space="preserve"> </w:t>
      </w:r>
      <w:r>
        <w:rPr>
          <w:rFonts w:ascii="KaiTi_GB2312" w:hAnsi="KaiTi_GB2312" w:eastAsia="KaiTi_GB2312" w:cs="KaiTi_GB2312"/>
          <w:b/>
          <w:bCs/>
          <w:position w:val="-3"/>
          <w:sz w:val="13"/>
          <w:szCs w:val="13"/>
        </w:rPr>
        <w:t>绿</w:t>
      </w:r>
      <w:r>
        <w:rPr>
          <w:rFonts w:ascii="KaiTi_GB2312" w:hAnsi="KaiTi_GB2312" w:eastAsia="KaiTi_GB2312" w:cs="KaiTi_GB2312"/>
          <w:b/>
          <w:bCs/>
          <w:sz w:val="28"/>
          <w:szCs w:val="28"/>
        </w:rPr>
        <w:t>＝P</w:t>
      </w:r>
      <w:r>
        <w:rPr>
          <w:rFonts w:ascii="KaiTi_GB2312" w:hAnsi="KaiTi_GB2312" w:eastAsia="KaiTi_GB2312" w:cs="KaiTi_GB2312"/>
          <w:spacing w:val="-65"/>
          <w:sz w:val="28"/>
          <w:szCs w:val="28"/>
        </w:rPr>
        <w:t xml:space="preserve"> </w:t>
      </w:r>
      <w:r>
        <w:rPr>
          <w:rFonts w:ascii="KaiTi_GB2312" w:hAnsi="KaiTi_GB2312" w:eastAsia="KaiTi_GB2312" w:cs="KaiTi_GB2312"/>
          <w:b/>
          <w:bCs/>
          <w:position w:val="-3"/>
          <w:sz w:val="13"/>
          <w:szCs w:val="13"/>
        </w:rPr>
        <w:t>绿固</w:t>
      </w:r>
      <w:r>
        <w:rPr>
          <w:rFonts w:ascii="KaiTi_GB2312" w:hAnsi="KaiTi_GB2312" w:eastAsia="KaiTi_GB2312" w:cs="KaiTi_GB2312"/>
          <w:b/>
          <w:bCs/>
          <w:spacing w:val="-35"/>
          <w:sz w:val="28"/>
          <w:szCs w:val="28"/>
        </w:rPr>
        <w:t>－（</w:t>
      </w:r>
      <w:r>
        <w:rPr>
          <w:rFonts w:ascii="KaiTi_GB2312" w:hAnsi="KaiTi_GB2312" w:eastAsia="KaiTi_GB2312" w:cs="KaiTi_GB2312"/>
          <w:b/>
          <w:bCs/>
          <w:sz w:val="28"/>
          <w:szCs w:val="28"/>
        </w:rPr>
        <w:t>P</w:t>
      </w:r>
      <w:r>
        <w:rPr>
          <w:rFonts w:ascii="KaiTi_GB2312" w:hAnsi="KaiTi_GB2312" w:eastAsia="KaiTi_GB2312" w:cs="KaiTi_GB2312"/>
          <w:spacing w:val="-65"/>
          <w:sz w:val="28"/>
          <w:szCs w:val="28"/>
        </w:rPr>
        <w:t xml:space="preserve"> </w:t>
      </w:r>
      <w:r>
        <w:rPr>
          <w:rFonts w:ascii="KaiTi_GB2312" w:hAnsi="KaiTi_GB2312" w:eastAsia="KaiTi_GB2312" w:cs="KaiTi_GB2312"/>
          <w:b/>
          <w:bCs/>
          <w:position w:val="-3"/>
          <w:sz w:val="13"/>
          <w:szCs w:val="13"/>
        </w:rPr>
        <w:t>绿固</w:t>
      </w:r>
      <w:r>
        <w:rPr>
          <w:rFonts w:ascii="KaiTi_GB2312" w:hAnsi="KaiTi_GB2312" w:eastAsia="KaiTi_GB2312" w:cs="KaiTi_GB2312"/>
          <w:b/>
          <w:bCs/>
          <w:sz w:val="28"/>
          <w:szCs w:val="28"/>
        </w:rPr>
        <w:t>－P</w:t>
      </w:r>
      <w:r>
        <w:rPr>
          <w:rFonts w:ascii="KaiTi_GB2312" w:hAnsi="KaiTi_GB2312" w:eastAsia="KaiTi_GB2312" w:cs="KaiTi_GB2312"/>
          <w:spacing w:val="-65"/>
          <w:sz w:val="28"/>
          <w:szCs w:val="28"/>
        </w:rPr>
        <w:t xml:space="preserve"> </w:t>
      </w:r>
      <w:r>
        <w:rPr>
          <w:rFonts w:ascii="KaiTi_GB2312" w:hAnsi="KaiTi_GB2312" w:eastAsia="KaiTi_GB2312" w:cs="KaiTi_GB2312"/>
          <w:b/>
          <w:bCs/>
          <w:position w:val="-3"/>
          <w:sz w:val="13"/>
          <w:szCs w:val="13"/>
        </w:rPr>
        <w:t>绿批</w:t>
      </w:r>
      <w:r>
        <w:rPr>
          <w:rFonts w:ascii="KaiTi_GB2312" w:hAnsi="KaiTi_GB2312" w:eastAsia="KaiTi_GB2312" w:cs="KaiTi_GB2312"/>
          <w:b/>
          <w:bCs/>
          <w:sz w:val="28"/>
          <w:szCs w:val="28"/>
        </w:rPr>
        <w:t>）</w:t>
      </w:r>
      <w:r>
        <w:rPr>
          <w:rFonts w:ascii="KaiTi_GB2312" w:hAnsi="KaiTi_GB2312" w:eastAsia="KaiTi_GB2312" w:cs="KaiTi_GB2312"/>
          <w:spacing w:val="-57"/>
          <w:sz w:val="28"/>
          <w:szCs w:val="28"/>
        </w:rPr>
        <w:t xml:space="preserve"> </w:t>
      </w:r>
      <w:r>
        <w:rPr>
          <w:rFonts w:ascii="KaiTi_GB2312" w:hAnsi="KaiTi_GB2312" w:eastAsia="KaiTi_GB2312" w:cs="KaiTi_GB2312"/>
          <w:b/>
          <w:bCs/>
          <w:sz w:val="28"/>
          <w:szCs w:val="28"/>
        </w:rPr>
        <w:t>×K</w:t>
      </w:r>
      <w:r>
        <w:rPr>
          <w:rFonts w:ascii="KaiTi_GB2312" w:hAnsi="KaiTi_GB2312" w:eastAsia="KaiTi_GB2312" w:cs="KaiTi_GB2312"/>
          <w:spacing w:val="-65"/>
          <w:sz w:val="28"/>
          <w:szCs w:val="28"/>
        </w:rPr>
        <w:t xml:space="preserve"> </w:t>
      </w:r>
      <w:r>
        <w:rPr>
          <w:rFonts w:ascii="KaiTi_GB2312" w:hAnsi="KaiTi_GB2312" w:eastAsia="KaiTi_GB2312" w:cs="KaiTi_GB2312"/>
          <w:b/>
          <w:bCs/>
          <w:position w:val="-3"/>
          <w:sz w:val="13"/>
          <w:szCs w:val="13"/>
        </w:rPr>
        <w:t>绿</w:t>
      </w:r>
    </w:p>
    <w:p w14:paraId="27BCE938">
      <w:pPr>
        <w:adjustRightInd w:val="0"/>
        <w:snapToGrid w:val="0"/>
        <w:spacing w:before="122" w:line="220" w:lineRule="auto"/>
        <w:ind w:left="582"/>
        <w:outlineLvl w:val="9"/>
        <w:rPr>
          <w:rFonts w:ascii="KaiTi_GB2312" w:hAnsi="KaiTi_GB2312" w:eastAsia="KaiTi_GB2312" w:cs="KaiTi_GB2312"/>
          <w:sz w:val="28"/>
          <w:szCs w:val="28"/>
        </w:rPr>
      </w:pPr>
      <w:bookmarkStart w:id="845" w:name="_Toc8883"/>
      <w:r>
        <w:rPr>
          <w:rFonts w:ascii="KaiTi_GB2312" w:hAnsi="KaiTi_GB2312" w:eastAsia="KaiTi_GB2312" w:cs="KaiTi_GB2312"/>
          <w:b/>
          <w:bCs/>
          <w:spacing w:val="-6"/>
          <w:sz w:val="28"/>
          <w:szCs w:val="28"/>
        </w:rPr>
        <w:t>3.2.2</w:t>
      </w:r>
      <w:r>
        <w:rPr>
          <w:rFonts w:ascii="KaiTi_GB2312" w:hAnsi="KaiTi_GB2312" w:eastAsia="KaiTi_GB2312" w:cs="KaiTi_GB2312"/>
          <w:spacing w:val="-54"/>
          <w:sz w:val="28"/>
          <w:szCs w:val="28"/>
        </w:rPr>
        <w:t xml:space="preserve"> </w:t>
      </w:r>
      <w:r>
        <w:rPr>
          <w:rFonts w:ascii="KaiTi_GB2312" w:hAnsi="KaiTi_GB2312" w:eastAsia="KaiTi_GB2312" w:cs="KaiTi_GB2312"/>
          <w:b/>
          <w:bCs/>
          <w:spacing w:val="-6"/>
          <w:sz w:val="28"/>
          <w:szCs w:val="28"/>
        </w:rPr>
        <w:t>环境价值及补偿</w:t>
      </w:r>
      <w:bookmarkEnd w:id="845"/>
    </w:p>
    <w:p w14:paraId="402CF6DD">
      <w:pPr>
        <w:adjustRightInd w:val="0"/>
        <w:snapToGrid w:val="0"/>
        <w:spacing w:before="127" w:line="296" w:lineRule="auto"/>
        <w:ind w:left="4" w:right="81" w:firstLine="567"/>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绿色电力零售交易中环境价值</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4"/>
          <w:sz w:val="13"/>
          <w:szCs w:val="13"/>
        </w:rPr>
        <w:t>绿环</w:t>
      </w:r>
      <w:r>
        <w:rPr>
          <w:rFonts w:ascii="FangSong_GB2312" w:hAnsi="FangSong_GB2312" w:eastAsia="FangSong_GB2312" w:cs="FangSong_GB2312"/>
          <w:spacing w:val="1"/>
          <w:sz w:val="28"/>
          <w:szCs w:val="28"/>
        </w:rPr>
        <w:t>按该零售用户对应绿色电力批发合</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同的环境价值传导形成。绿色电力批发合同</w:t>
      </w:r>
      <w:r>
        <w:rPr>
          <w:rFonts w:ascii="FangSong_GB2312" w:hAnsi="FangSong_GB2312" w:eastAsia="FangSong_GB2312" w:cs="FangSong_GB2312"/>
          <w:spacing w:val="1"/>
          <w:sz w:val="28"/>
          <w:szCs w:val="28"/>
        </w:rPr>
        <w:t>与零售合同对应关系由售电公</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司提交，形成零售用户绿色电力分配电量。</w:t>
      </w:r>
      <w:r>
        <w:rPr>
          <w:rFonts w:ascii="FangSong_GB2312" w:hAnsi="FangSong_GB2312" w:eastAsia="FangSong_GB2312" w:cs="FangSong_GB2312"/>
          <w:spacing w:val="1"/>
          <w:sz w:val="28"/>
          <w:szCs w:val="28"/>
        </w:rPr>
        <w:t>零售用户的环境价值结算电量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取发电企业对应上网电量、零售用户实际用</w:t>
      </w:r>
      <w:r>
        <w:rPr>
          <w:rFonts w:ascii="FangSong_GB2312" w:hAnsi="FangSong_GB2312" w:eastAsia="FangSong_GB2312" w:cs="FangSong_GB2312"/>
          <w:spacing w:val="1"/>
          <w:sz w:val="28"/>
          <w:szCs w:val="28"/>
        </w:rPr>
        <w:t>电量与零售用户绿色电力分配</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电量的最小值。</w:t>
      </w:r>
    </w:p>
    <w:p w14:paraId="7AC51B6C">
      <w:pPr>
        <w:adjustRightInd w:val="0"/>
        <w:snapToGrid w:val="0"/>
        <w:spacing w:before="56" w:line="296" w:lineRule="auto"/>
        <w:ind w:right="81" w:firstLine="595"/>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当零售用户环境价值结算电量与双方约定的绿色电</w:t>
      </w:r>
      <w:r>
        <w:rPr>
          <w:rFonts w:ascii="FangSong_GB2312" w:hAnsi="FangSong_GB2312" w:eastAsia="FangSong_GB2312" w:cs="FangSong_GB2312"/>
          <w:spacing w:val="-2"/>
          <w:sz w:val="28"/>
          <w:szCs w:val="28"/>
        </w:rPr>
        <w:t>力合同电量</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pacing w:val="-2"/>
          <w:sz w:val="28"/>
          <w:szCs w:val="28"/>
        </w:rPr>
        <w:t>Q</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绿合</w:t>
      </w:r>
      <w:r>
        <w:rPr>
          <w:rFonts w:ascii="FangSong_GB2312" w:hAnsi="FangSong_GB2312" w:eastAsia="FangSong_GB2312" w:cs="FangSong_GB2312"/>
          <w:spacing w:val="-13"/>
          <w:position w:val="-3"/>
          <w:sz w:val="13"/>
          <w:szCs w:val="13"/>
        </w:rPr>
        <w:t xml:space="preserve"> </w:t>
      </w:r>
      <w:r>
        <w:rPr>
          <w:rFonts w:ascii="FangSong_GB2312" w:hAnsi="FangSong_GB2312" w:eastAsia="FangSong_GB2312" w:cs="FangSong_GB2312"/>
          <w:spacing w:val="-2"/>
          <w:sz w:val="28"/>
          <w:szCs w:val="28"/>
        </w:rPr>
        <w:t>出</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现差值时，售电公司与零售用户可采用“互相不补偿</w:t>
      </w:r>
      <w:r>
        <w:rPr>
          <w:rFonts w:ascii="FangSong_GB2312" w:hAnsi="FangSong_GB2312" w:eastAsia="FangSong_GB2312" w:cs="FangSong_GB2312"/>
          <w:spacing w:val="1"/>
          <w:sz w:val="28"/>
          <w:szCs w:val="28"/>
        </w:rPr>
        <w:t>”或“互相补偿”方</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式进行结算。若采用“互相补偿”方式，按照双方约</w:t>
      </w:r>
      <w:r>
        <w:rPr>
          <w:rFonts w:ascii="FangSong_GB2312" w:hAnsi="FangSong_GB2312" w:eastAsia="FangSong_GB2312" w:cs="FangSong_GB2312"/>
          <w:spacing w:val="1"/>
          <w:sz w:val="28"/>
          <w:szCs w:val="28"/>
        </w:rPr>
        <w:t>定的环境价值补偿价</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格</w:t>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2"/>
          <w:position w:val="-3"/>
          <w:sz w:val="13"/>
          <w:szCs w:val="13"/>
        </w:rPr>
        <w:t>绿补</w:t>
      </w:r>
      <w:r>
        <w:rPr>
          <w:rFonts w:ascii="FangSong_GB2312" w:hAnsi="FangSong_GB2312" w:eastAsia="FangSong_GB2312" w:cs="FangSong_GB2312"/>
          <w:spacing w:val="-2"/>
          <w:sz w:val="28"/>
          <w:szCs w:val="28"/>
        </w:rPr>
        <w:t>计算环境价值补偿费用。P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绿补</w:t>
      </w:r>
      <w:r>
        <w:rPr>
          <w:rFonts w:ascii="FangSong_GB2312" w:hAnsi="FangSong_GB2312" w:eastAsia="FangSong_GB2312" w:cs="FangSong_GB2312"/>
          <w:spacing w:val="-2"/>
          <w:sz w:val="28"/>
          <w:szCs w:val="28"/>
        </w:rPr>
        <w:t>参考范围为</w:t>
      </w:r>
      <w:r>
        <w:rPr>
          <w:rFonts w:ascii="FangSong_GB2312" w:hAnsi="FangSong_GB2312" w:eastAsia="FangSong_GB2312" w:cs="FangSong_GB2312"/>
          <w:spacing w:val="-39"/>
          <w:sz w:val="28"/>
          <w:szCs w:val="28"/>
        </w:rPr>
        <w:t xml:space="preserve"> </w:t>
      </w:r>
      <w:r>
        <w:rPr>
          <w:rFonts w:ascii="FangSong_GB2312" w:hAnsi="FangSong_GB2312" w:eastAsia="FangSong_GB2312" w:cs="FangSong_GB2312"/>
          <w:spacing w:val="-2"/>
          <w:sz w:val="28"/>
          <w:szCs w:val="28"/>
        </w:rPr>
        <w:t>0-20</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2"/>
          <w:sz w:val="28"/>
          <w:szCs w:val="28"/>
        </w:rPr>
        <w:t>元/兆瓦时。</w:t>
      </w:r>
    </w:p>
    <w:p w14:paraId="5FF98C0C">
      <w:pPr>
        <w:adjustRightInd w:val="0"/>
        <w:snapToGrid w:val="0"/>
        <w:spacing w:before="40" w:line="296" w:lineRule="auto"/>
        <w:ind w:right="81" w:firstLine="595"/>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当零售用户实际用电量小于双方约定的绿色电力合同电量</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pacing w:val="-1"/>
          <w:sz w:val="28"/>
          <w:szCs w:val="28"/>
        </w:rPr>
        <w:t>Q</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4"/>
          <w:sz w:val="13"/>
          <w:szCs w:val="13"/>
        </w:rPr>
        <w:t>绿合</w:t>
      </w:r>
      <w:r>
        <w:rPr>
          <w:rFonts w:ascii="FangSong_GB2312" w:hAnsi="FangSong_GB2312" w:eastAsia="FangSong_GB2312" w:cs="FangSong_GB2312"/>
          <w:spacing w:val="-22"/>
          <w:position w:val="-4"/>
          <w:sz w:val="13"/>
          <w:szCs w:val="13"/>
        </w:rPr>
        <w:t xml:space="preserve"> </w:t>
      </w:r>
      <w:r>
        <w:rPr>
          <w:rFonts w:ascii="FangSong_GB2312" w:hAnsi="FangSong_GB2312" w:eastAsia="FangSong_GB2312" w:cs="FangSong_GB2312"/>
          <w:spacing w:val="-1"/>
          <w:sz w:val="28"/>
          <w:szCs w:val="28"/>
        </w:rPr>
        <w:t>时，零</w:t>
      </w:r>
      <w:r>
        <w:rPr>
          <w:rFonts w:ascii="FangSong_GB2312" w:hAnsi="FangSong_GB2312" w:eastAsia="FangSong_GB2312" w:cs="FangSong_GB2312"/>
          <w:sz w:val="28"/>
          <w:szCs w:val="28"/>
        </w:rPr>
        <w:t xml:space="preserve"> 售用户需对偏差部分按照环境价值补偿价格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position w:val="-3"/>
          <w:sz w:val="13"/>
          <w:szCs w:val="13"/>
        </w:rPr>
        <w:t>绿补</w:t>
      </w:r>
      <w:r>
        <w:rPr>
          <w:rFonts w:ascii="FangSong_GB2312" w:hAnsi="FangSong_GB2312" w:eastAsia="FangSong_GB2312" w:cs="FangSong_GB2312"/>
          <w:spacing w:val="-15"/>
          <w:position w:val="-3"/>
          <w:sz w:val="13"/>
          <w:szCs w:val="13"/>
        </w:rPr>
        <w:t xml:space="preserve"> </w:t>
      </w:r>
      <w:r>
        <w:rPr>
          <w:rFonts w:ascii="FangSong_GB2312" w:hAnsi="FangSong_GB2312" w:eastAsia="FangSong_GB2312" w:cs="FangSong_GB2312"/>
          <w:sz w:val="28"/>
          <w:szCs w:val="28"/>
        </w:rPr>
        <w:t xml:space="preserve">向售电公司进行补偿。当 </w:t>
      </w:r>
      <w:r>
        <w:rPr>
          <w:rFonts w:ascii="FangSong_GB2312" w:hAnsi="FangSong_GB2312" w:eastAsia="FangSong_GB2312" w:cs="FangSong_GB2312"/>
          <w:spacing w:val="2"/>
          <w:sz w:val="28"/>
          <w:szCs w:val="28"/>
        </w:rPr>
        <w:t>发电企业对应上网电量、零售用户绿色电力分配电量</w:t>
      </w:r>
      <w:r>
        <w:rPr>
          <w:rFonts w:ascii="FangSong_GB2312" w:hAnsi="FangSong_GB2312" w:eastAsia="FangSong_GB2312" w:cs="FangSong_GB2312"/>
          <w:spacing w:val="1"/>
          <w:sz w:val="28"/>
          <w:szCs w:val="28"/>
        </w:rPr>
        <w:t>小于双方约定的绿色</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电力合同电量</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3"/>
          <w:sz w:val="28"/>
          <w:szCs w:val="28"/>
        </w:rPr>
        <w:t>Q</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3"/>
          <w:position w:val="-3"/>
          <w:sz w:val="13"/>
          <w:szCs w:val="13"/>
        </w:rPr>
        <w:t>绿合</w:t>
      </w:r>
      <w:r>
        <w:rPr>
          <w:rFonts w:ascii="FangSong_GB2312" w:hAnsi="FangSong_GB2312" w:eastAsia="FangSong_GB2312" w:cs="FangSong_GB2312"/>
          <w:spacing w:val="-3"/>
          <w:sz w:val="28"/>
          <w:szCs w:val="28"/>
        </w:rPr>
        <w:t>时，售电公司需按偏差量较大值以环境价值补偿价格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position w:val="-3"/>
          <w:sz w:val="13"/>
          <w:szCs w:val="13"/>
        </w:rPr>
        <w:t>绿</w:t>
      </w:r>
      <w:r>
        <w:rPr>
          <w:rFonts w:ascii="FangSong_GB2312" w:hAnsi="FangSong_GB2312" w:eastAsia="FangSong_GB2312" w:cs="FangSong_GB2312"/>
          <w:position w:val="-3"/>
          <w:sz w:val="13"/>
          <w:szCs w:val="13"/>
        </w:rPr>
        <w:t xml:space="preserve"> </w:t>
      </w:r>
      <w:r>
        <w:rPr>
          <w:rFonts w:ascii="FangSong_GB2312" w:hAnsi="FangSong_GB2312" w:eastAsia="FangSong_GB2312" w:cs="FangSong_GB2312"/>
          <w:spacing w:val="-5"/>
          <w:position w:val="-3"/>
          <w:sz w:val="13"/>
          <w:szCs w:val="13"/>
        </w:rPr>
        <w:t>补</w:t>
      </w:r>
      <w:r>
        <w:rPr>
          <w:rFonts w:ascii="FangSong_GB2312" w:hAnsi="FangSong_GB2312" w:eastAsia="FangSong_GB2312" w:cs="FangSong_GB2312"/>
          <w:spacing w:val="-12"/>
          <w:position w:val="-3"/>
          <w:sz w:val="13"/>
          <w:szCs w:val="13"/>
        </w:rPr>
        <w:t xml:space="preserve"> </w:t>
      </w:r>
      <w:r>
        <w:rPr>
          <w:rFonts w:ascii="FangSong_GB2312" w:hAnsi="FangSong_GB2312" w:eastAsia="FangSong_GB2312" w:cs="FangSong_GB2312"/>
          <w:spacing w:val="-5"/>
          <w:sz w:val="28"/>
          <w:szCs w:val="28"/>
        </w:rPr>
        <w:t>向零售用户进行补偿。</w:t>
      </w:r>
    </w:p>
    <w:p w14:paraId="160B2FD8">
      <w:pPr>
        <w:adjustRightInd w:val="0"/>
        <w:snapToGrid w:val="0"/>
        <w:spacing w:before="58" w:line="219" w:lineRule="auto"/>
        <w:ind w:left="582"/>
        <w:outlineLvl w:val="9"/>
        <w:rPr>
          <w:rFonts w:ascii="KaiTi_GB2312" w:hAnsi="KaiTi_GB2312" w:eastAsia="KaiTi_GB2312" w:cs="KaiTi_GB2312"/>
          <w:sz w:val="28"/>
          <w:szCs w:val="28"/>
        </w:rPr>
      </w:pPr>
      <w:bookmarkStart w:id="846" w:name="_Toc12084"/>
      <w:r>
        <w:rPr>
          <w:rFonts w:ascii="KaiTi_GB2312" w:hAnsi="KaiTi_GB2312" w:eastAsia="KaiTi_GB2312" w:cs="KaiTi_GB2312"/>
          <w:b/>
          <w:bCs/>
          <w:spacing w:val="-5"/>
          <w:sz w:val="28"/>
          <w:szCs w:val="28"/>
        </w:rPr>
        <w:t>3.2.3</w:t>
      </w:r>
      <w:r>
        <w:rPr>
          <w:rFonts w:ascii="KaiTi_GB2312" w:hAnsi="KaiTi_GB2312" w:eastAsia="KaiTi_GB2312" w:cs="KaiTi_GB2312"/>
          <w:spacing w:val="-63"/>
          <w:sz w:val="28"/>
          <w:szCs w:val="28"/>
        </w:rPr>
        <w:t xml:space="preserve"> </w:t>
      </w:r>
      <w:r>
        <w:rPr>
          <w:rFonts w:ascii="KaiTi_GB2312" w:hAnsi="KaiTi_GB2312" w:eastAsia="KaiTi_GB2312" w:cs="KaiTi_GB2312"/>
          <w:b/>
          <w:bCs/>
          <w:spacing w:val="-5"/>
          <w:sz w:val="28"/>
          <w:szCs w:val="28"/>
        </w:rPr>
        <w:t>绿色电力封顶总价</w:t>
      </w:r>
      <w:bookmarkEnd w:id="846"/>
    </w:p>
    <w:p w14:paraId="3015E9B3">
      <w:pPr>
        <w:adjustRightInd w:val="0"/>
        <w:snapToGrid w:val="0"/>
        <w:spacing w:before="126" w:line="295" w:lineRule="auto"/>
        <w:ind w:left="1" w:right="81" w:firstLine="561"/>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售电公司和零售用户根据需要，可自愿约定绿色电力</w:t>
      </w:r>
      <w:r>
        <w:rPr>
          <w:rFonts w:ascii="FangSong_GB2312" w:hAnsi="FangSong_GB2312" w:eastAsia="FangSong_GB2312" w:cs="FangSong_GB2312"/>
          <w:spacing w:val="1"/>
          <w:sz w:val="28"/>
          <w:szCs w:val="28"/>
        </w:rPr>
        <w:t>零售合同封顶总</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价</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
          <w:position w:val="-3"/>
          <w:sz w:val="13"/>
          <w:szCs w:val="13"/>
        </w:rPr>
        <w:t>绿封总</w:t>
      </w:r>
      <w:r>
        <w:rPr>
          <w:rFonts w:ascii="FangSong_GB2312" w:hAnsi="FangSong_GB2312" w:eastAsia="FangSong_GB2312" w:cs="FangSong_GB2312"/>
          <w:spacing w:val="-2"/>
          <w:sz w:val="28"/>
          <w:szCs w:val="28"/>
        </w:rPr>
        <w:t>（即电能量价格与环境价值之和的上限</w:t>
      </w:r>
      <w:r>
        <w:rPr>
          <w:rFonts w:ascii="FangSong_GB2312" w:hAnsi="FangSong_GB2312" w:eastAsia="FangSong_GB2312" w:cs="FangSong_GB2312"/>
          <w:spacing w:val="-3"/>
          <w:sz w:val="28"/>
          <w:szCs w:val="28"/>
        </w:rPr>
        <w:t>），</w:t>
      </w:r>
      <w:r>
        <w:rPr>
          <w:rFonts w:ascii="FangSong_GB2312" w:hAnsi="FangSong_GB2312" w:eastAsia="FangSong_GB2312" w:cs="FangSong_GB2312"/>
          <w:spacing w:val="-2"/>
          <w:sz w:val="28"/>
          <w:szCs w:val="28"/>
        </w:rPr>
        <w:t>当零售</w:t>
      </w:r>
      <w:r>
        <w:rPr>
          <w:rFonts w:ascii="FangSong_GB2312" w:hAnsi="FangSong_GB2312" w:eastAsia="FangSong_GB2312" w:cs="FangSong_GB2312"/>
          <w:spacing w:val="-3"/>
          <w:sz w:val="28"/>
          <w:szCs w:val="28"/>
        </w:rPr>
        <w:t>用户按照绿色电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力套餐计算的电能量价格与环境价值之和超过</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绿封总</w:t>
      </w:r>
      <w:r>
        <w:rPr>
          <w:rFonts w:ascii="FangSong_GB2312" w:hAnsi="FangSong_GB2312" w:eastAsia="FangSong_GB2312" w:cs="FangSong_GB2312"/>
          <w:spacing w:val="-2"/>
          <w:sz w:val="28"/>
          <w:szCs w:val="28"/>
        </w:rPr>
        <w:t>时，</w:t>
      </w:r>
      <w:r>
        <w:rPr>
          <w:rFonts w:ascii="FangSong_GB2312" w:hAnsi="FangSong_GB2312" w:eastAsia="FangSong_GB2312" w:cs="FangSong_GB2312"/>
          <w:spacing w:val="-3"/>
          <w:sz w:val="28"/>
          <w:szCs w:val="28"/>
        </w:rPr>
        <w:t>零售用户按照绿色</w:t>
      </w:r>
      <w:r>
        <w:rPr>
          <w:rFonts w:ascii="FangSong_GB2312" w:hAnsi="FangSong_GB2312" w:eastAsia="FangSong_GB2312" w:cs="FangSong_GB2312"/>
          <w:sz w:val="28"/>
          <w:szCs w:val="28"/>
        </w:rPr>
        <w:t xml:space="preserve"> 电力套餐计算的电能量价格取值为</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position w:val="-3"/>
          <w:sz w:val="13"/>
          <w:szCs w:val="13"/>
        </w:rPr>
        <w:t>绿封总</w:t>
      </w:r>
      <w:r>
        <w:rPr>
          <w:rFonts w:ascii="FangSong_GB2312" w:hAnsi="FangSong_GB2312" w:eastAsia="FangSong_GB2312" w:cs="FangSong_GB2312"/>
          <w:sz w:val="28"/>
          <w:szCs w:val="28"/>
        </w:rPr>
        <w:t>减去</w:t>
      </w:r>
      <w:r>
        <w:rPr>
          <w:rFonts w:ascii="FangSong_GB2312" w:hAnsi="FangSong_GB2312" w:eastAsia="FangSong_GB2312" w:cs="FangSong_GB2312"/>
          <w:spacing w:val="-1"/>
          <w:sz w:val="28"/>
          <w:szCs w:val="28"/>
        </w:rPr>
        <w:t>环境价值</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1"/>
          <w:position w:val="-3"/>
          <w:sz w:val="13"/>
          <w:szCs w:val="13"/>
        </w:rPr>
        <w:t>绿环</w:t>
      </w:r>
      <w:r>
        <w:rPr>
          <w:rFonts w:ascii="FangSong_GB2312" w:hAnsi="FangSong_GB2312" w:eastAsia="FangSong_GB2312" w:cs="FangSong_GB2312"/>
          <w:spacing w:val="-1"/>
          <w:sz w:val="28"/>
          <w:szCs w:val="28"/>
        </w:rPr>
        <w:t>。</w:t>
      </w:r>
    </w:p>
    <w:p w14:paraId="7FCAE3DD">
      <w:pPr>
        <w:adjustRightInd w:val="0"/>
        <w:snapToGrid w:val="0"/>
        <w:spacing w:before="51" w:line="221" w:lineRule="auto"/>
        <w:jc w:val="right"/>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绿色电力零售合同封顶总价</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78"/>
          <w:sz w:val="28"/>
          <w:szCs w:val="28"/>
        </w:rPr>
        <w:t xml:space="preserve"> </w:t>
      </w:r>
      <w:r>
        <w:rPr>
          <w:rFonts w:ascii="FangSong_GB2312" w:hAnsi="FangSong_GB2312" w:eastAsia="FangSong_GB2312" w:cs="FangSong_GB2312"/>
          <w:spacing w:val="-3"/>
          <w:position w:val="-3"/>
          <w:sz w:val="13"/>
          <w:szCs w:val="13"/>
        </w:rPr>
        <w:t>绿封总</w:t>
      </w:r>
      <w:r>
        <w:rPr>
          <w:rFonts w:ascii="FangSong_GB2312" w:hAnsi="FangSong_GB2312" w:eastAsia="FangSong_GB2312" w:cs="FangSong_GB2312"/>
          <w:spacing w:val="-3"/>
          <w:sz w:val="28"/>
          <w:szCs w:val="28"/>
        </w:rPr>
        <w:t>须大于等于绿色电力电能量价格</w:t>
      </w:r>
      <w:r>
        <w:rPr>
          <w:rFonts w:ascii="FangSong_GB2312" w:hAnsi="FangSong_GB2312" w:eastAsia="FangSong_GB2312" w:cs="FangSong_GB2312"/>
          <w:spacing w:val="-78"/>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77"/>
          <w:sz w:val="28"/>
          <w:szCs w:val="28"/>
        </w:rPr>
        <w:t xml:space="preserve"> </w:t>
      </w:r>
      <w:r>
        <w:rPr>
          <w:rFonts w:ascii="FangSong_GB2312" w:hAnsi="FangSong_GB2312" w:eastAsia="FangSong_GB2312" w:cs="FangSong_GB2312"/>
          <w:spacing w:val="-3"/>
          <w:position w:val="-3"/>
          <w:sz w:val="13"/>
          <w:szCs w:val="13"/>
        </w:rPr>
        <w:t>绿</w:t>
      </w:r>
      <w:r>
        <w:rPr>
          <w:rFonts w:ascii="FangSong_GB2312" w:hAnsi="FangSong_GB2312" w:eastAsia="FangSong_GB2312" w:cs="FangSong_GB2312"/>
          <w:spacing w:val="-3"/>
          <w:sz w:val="28"/>
          <w:szCs w:val="28"/>
        </w:rPr>
        <w:t>。</w:t>
      </w:r>
    </w:p>
    <w:p w14:paraId="6022D9F0">
      <w:pPr>
        <w:spacing w:line="221" w:lineRule="auto"/>
        <w:outlineLvl w:val="9"/>
        <w:rPr>
          <w:rFonts w:ascii="FangSong_GB2312" w:hAnsi="FangSong_GB2312" w:eastAsia="FangSong_GB2312" w:cs="FangSong_GB2312"/>
          <w:sz w:val="28"/>
          <w:szCs w:val="28"/>
        </w:rPr>
        <w:sectPr>
          <w:footerReference r:id="rId20" w:type="default"/>
          <w:pgSz w:w="11906" w:h="16839"/>
          <w:pgMar w:top="1431" w:right="1357" w:bottom="1180" w:left="1449" w:header="0" w:footer="966" w:gutter="0"/>
          <w:pgNumType w:fmt="decimal"/>
          <w:cols w:space="720" w:num="1"/>
        </w:sectPr>
      </w:pPr>
    </w:p>
    <w:p w14:paraId="22BC4242">
      <w:pPr>
        <w:adjustRightInd w:val="0"/>
        <w:snapToGrid w:val="0"/>
        <w:spacing w:before="132" w:line="217" w:lineRule="auto"/>
        <w:ind w:left="588"/>
        <w:outlineLvl w:val="9"/>
        <w:rPr>
          <w:rFonts w:ascii="KaiTi_GB2312" w:hAnsi="KaiTi_GB2312" w:eastAsia="KaiTi_GB2312" w:cs="KaiTi_GB2312"/>
          <w:sz w:val="28"/>
          <w:szCs w:val="28"/>
        </w:rPr>
      </w:pPr>
      <w:bookmarkStart w:id="847" w:name="_Toc24181"/>
      <w:r>
        <w:rPr>
          <w:rFonts w:ascii="KaiTi_GB2312" w:hAnsi="KaiTi_GB2312" w:eastAsia="KaiTi_GB2312" w:cs="KaiTi_GB2312"/>
          <w:b/>
          <w:bCs/>
          <w:spacing w:val="-6"/>
          <w:sz w:val="28"/>
          <w:szCs w:val="28"/>
        </w:rPr>
        <w:t>3.2.4</w:t>
      </w:r>
      <w:r>
        <w:rPr>
          <w:rFonts w:ascii="KaiTi_GB2312" w:hAnsi="KaiTi_GB2312" w:eastAsia="KaiTi_GB2312" w:cs="KaiTi_GB2312"/>
          <w:spacing w:val="-68"/>
          <w:sz w:val="28"/>
          <w:szCs w:val="28"/>
        </w:rPr>
        <w:t xml:space="preserve"> </w:t>
      </w:r>
      <w:r>
        <w:rPr>
          <w:rFonts w:ascii="KaiTi_GB2312" w:hAnsi="KaiTi_GB2312" w:eastAsia="KaiTi_GB2312" w:cs="KaiTi_GB2312"/>
          <w:b/>
          <w:bCs/>
          <w:spacing w:val="-6"/>
          <w:sz w:val="28"/>
          <w:szCs w:val="28"/>
        </w:rPr>
        <w:t>价格参数</w:t>
      </w:r>
      <w:bookmarkEnd w:id="847"/>
    </w:p>
    <w:p w14:paraId="69EC3740">
      <w:pPr>
        <w:adjustRightInd w:val="0"/>
        <w:snapToGrid w:val="0"/>
        <w:spacing w:before="134" w:line="294" w:lineRule="auto"/>
        <w:ind w:left="7" w:right="73" w:firstLine="559"/>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P</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2"/>
          <w:position w:val="-3"/>
          <w:sz w:val="13"/>
          <w:szCs w:val="13"/>
        </w:rPr>
        <w:t>绿批</w:t>
      </w:r>
      <w:r>
        <w:rPr>
          <w:rFonts w:ascii="FangSong_GB2312" w:hAnsi="FangSong_GB2312" w:eastAsia="FangSong_GB2312" w:cs="FangSong_GB2312"/>
          <w:spacing w:val="-2"/>
          <w:sz w:val="28"/>
          <w:szCs w:val="28"/>
        </w:rPr>
        <w:t>为履约月北京市全市场绿色电力中长</w:t>
      </w:r>
      <w:r>
        <w:rPr>
          <w:rFonts w:ascii="FangSong_GB2312" w:hAnsi="FangSong_GB2312" w:eastAsia="FangSong_GB2312" w:cs="FangSong_GB2312"/>
          <w:spacing w:val="-3"/>
          <w:sz w:val="28"/>
          <w:szCs w:val="28"/>
        </w:rPr>
        <w:t>期交易的电能量加权平均价；</w:t>
      </w:r>
      <w:r>
        <w:rPr>
          <w:rFonts w:ascii="FangSong_GB2312" w:hAnsi="FangSong_GB2312" w:eastAsia="FangSong_GB2312" w:cs="FangSong_GB2312"/>
          <w:sz w:val="28"/>
          <w:szCs w:val="28"/>
        </w:rPr>
        <w:t xml:space="preserve"> 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position w:val="-3"/>
          <w:sz w:val="13"/>
          <w:szCs w:val="13"/>
        </w:rPr>
        <w:t>绿售</w:t>
      </w:r>
      <w:r>
        <w:rPr>
          <w:rFonts w:ascii="FangSong_GB2312" w:hAnsi="FangSong_GB2312" w:eastAsia="FangSong_GB2312" w:cs="FangSong_GB2312"/>
          <w:sz w:val="28"/>
          <w:szCs w:val="28"/>
        </w:rPr>
        <w:t>为履约月签约售电公司的绿色电力中长期交易的电能量</w:t>
      </w:r>
      <w:r>
        <w:rPr>
          <w:rFonts w:ascii="FangSong_GB2312" w:hAnsi="FangSong_GB2312" w:eastAsia="FangSong_GB2312" w:cs="FangSong_GB2312"/>
          <w:spacing w:val="-1"/>
          <w:sz w:val="28"/>
          <w:szCs w:val="28"/>
        </w:rPr>
        <w:t>加权平均价；P</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position w:val="-3"/>
          <w:sz w:val="13"/>
          <w:szCs w:val="13"/>
        </w:rPr>
        <w:t>绿批</w:t>
      </w:r>
      <w:r>
        <w:rPr>
          <w:rFonts w:ascii="FangSong_GB2312" w:hAnsi="FangSong_GB2312" w:eastAsia="FangSong_GB2312" w:cs="FangSong_GB2312"/>
          <w:spacing w:val="-8"/>
          <w:position w:val="-3"/>
          <w:sz w:val="13"/>
          <w:szCs w:val="13"/>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2"/>
          <w:position w:val="-3"/>
          <w:sz w:val="13"/>
          <w:szCs w:val="13"/>
        </w:rPr>
        <w:t>绿售</w:t>
      </w:r>
      <w:r>
        <w:rPr>
          <w:rFonts w:ascii="FangSong_GB2312" w:hAnsi="FangSong_GB2312" w:eastAsia="FangSong_GB2312" w:cs="FangSong_GB2312"/>
          <w:spacing w:val="2"/>
          <w:sz w:val="28"/>
          <w:szCs w:val="28"/>
        </w:rPr>
        <w:t>价格构成中包括多年</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z w:val="28"/>
          <w:szCs w:val="28"/>
        </w:rPr>
        <w:t>PPA</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及年度交易分月合同、月度合同、月内</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合同，不含环境价值。P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3"/>
          <w:position w:val="-3"/>
          <w:sz w:val="13"/>
          <w:szCs w:val="13"/>
        </w:rPr>
        <w:t>绿批</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position w:val="-3"/>
          <w:sz w:val="13"/>
          <w:szCs w:val="13"/>
        </w:rPr>
        <w:t>绿售</w:t>
      </w:r>
      <w:r>
        <w:rPr>
          <w:rFonts w:ascii="FangSong_GB2312" w:hAnsi="FangSong_GB2312" w:eastAsia="FangSong_GB2312" w:cs="FangSong_GB2312"/>
          <w:spacing w:val="-13"/>
          <w:position w:val="-3"/>
          <w:sz w:val="13"/>
          <w:szCs w:val="13"/>
        </w:rPr>
        <w:t xml:space="preserve"> </w:t>
      </w:r>
      <w:r>
        <w:rPr>
          <w:rFonts w:ascii="FangSong_GB2312" w:hAnsi="FangSong_GB2312" w:eastAsia="FangSong_GB2312" w:cs="FangSong_GB2312"/>
          <w:spacing w:val="-3"/>
          <w:sz w:val="28"/>
          <w:szCs w:val="28"/>
        </w:rPr>
        <w:t>由交易中心在</w:t>
      </w:r>
      <w:r>
        <w:rPr>
          <w:rFonts w:ascii="FangSong_GB2312" w:hAnsi="FangSong_GB2312" w:eastAsia="FangSong_GB2312" w:cs="FangSong_GB2312"/>
          <w:spacing w:val="-4"/>
          <w:sz w:val="28"/>
          <w:szCs w:val="28"/>
        </w:rPr>
        <w:t>履约月最后一日前在交易平</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台发布。</w:t>
      </w:r>
    </w:p>
    <w:p w14:paraId="79F8D02A">
      <w:pPr>
        <w:adjustRightInd w:val="0"/>
        <w:snapToGrid w:val="0"/>
        <w:spacing w:before="70" w:line="222" w:lineRule="auto"/>
        <w:ind w:left="636"/>
        <w:outlineLvl w:val="9"/>
        <w:rPr>
          <w:rFonts w:ascii="黑体" w:hAnsi="黑体" w:eastAsia="黑体" w:cs="黑体"/>
          <w:sz w:val="28"/>
          <w:szCs w:val="28"/>
        </w:rPr>
      </w:pPr>
      <w:bookmarkStart w:id="848" w:name="_Toc12500"/>
      <w:r>
        <w:rPr>
          <w:rFonts w:ascii="黑体" w:hAnsi="黑体" w:eastAsia="黑体" w:cs="黑体"/>
          <w:b/>
          <w:bCs/>
          <w:spacing w:val="-5"/>
          <w:sz w:val="28"/>
          <w:szCs w:val="28"/>
        </w:rPr>
        <w:t>3.3</w:t>
      </w:r>
      <w:r>
        <w:rPr>
          <w:rFonts w:ascii="黑体" w:hAnsi="黑体" w:eastAsia="黑体" w:cs="黑体"/>
          <w:spacing w:val="-52"/>
          <w:sz w:val="28"/>
          <w:szCs w:val="28"/>
        </w:rPr>
        <w:t xml:space="preserve"> </w:t>
      </w:r>
      <w:r>
        <w:rPr>
          <w:rFonts w:ascii="黑体" w:hAnsi="黑体" w:eastAsia="黑体" w:cs="黑体"/>
          <w:b/>
          <w:bCs/>
          <w:spacing w:val="-5"/>
          <w:sz w:val="28"/>
          <w:szCs w:val="28"/>
        </w:rPr>
        <w:t>偏差电量电价</w:t>
      </w:r>
      <w:bookmarkEnd w:id="848"/>
    </w:p>
    <w:p w14:paraId="7CADEE84">
      <w:pPr>
        <w:adjustRightInd w:val="0"/>
        <w:snapToGrid w:val="0"/>
        <w:spacing w:before="126" w:line="273" w:lineRule="auto"/>
        <w:ind w:left="7" w:firstLine="581"/>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3.3.1</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1"/>
          <w:sz w:val="28"/>
          <w:szCs w:val="28"/>
        </w:rPr>
        <w:t>零售用户实际用电量与零售合同电</w:t>
      </w:r>
      <w:r>
        <w:rPr>
          <w:rFonts w:ascii="FangSong_GB2312" w:hAnsi="FangSong_GB2312" w:eastAsia="FangSong_GB2312" w:cs="FangSong_GB2312"/>
          <w:spacing w:val="-2"/>
          <w:sz w:val="28"/>
          <w:szCs w:val="28"/>
        </w:rPr>
        <w:t>量（含常规电力和绿色电力）</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的差值为偏差电量。实际用电量超出合同电量的部</w:t>
      </w:r>
      <w:r>
        <w:rPr>
          <w:rFonts w:ascii="FangSong_GB2312" w:hAnsi="FangSong_GB2312" w:eastAsia="FangSong_GB2312" w:cs="FangSong_GB2312"/>
          <w:spacing w:val="1"/>
          <w:sz w:val="28"/>
          <w:szCs w:val="28"/>
        </w:rPr>
        <w:t>分为超用电量，记为正</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值，少于合同电量的部分为少用电量，记为负值。</w:t>
      </w:r>
    </w:p>
    <w:p w14:paraId="527E4E7B">
      <w:pPr>
        <w:adjustRightInd w:val="0"/>
        <w:snapToGrid w:val="0"/>
        <w:spacing w:before="137" w:line="259" w:lineRule="auto"/>
        <w:ind w:left="20" w:right="138" w:firstLine="567"/>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3.3.2</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3"/>
          <w:sz w:val="28"/>
          <w:szCs w:val="28"/>
        </w:rPr>
        <w:t>零售用户偏差电量结算，可采用“售电公司全担</w:t>
      </w:r>
      <w:r>
        <w:rPr>
          <w:rFonts w:ascii="FangSong_GB2312" w:hAnsi="FangSong_GB2312" w:eastAsia="FangSong_GB2312" w:cs="FangSong_GB2312"/>
          <w:spacing w:val="2"/>
          <w:sz w:val="28"/>
          <w:szCs w:val="28"/>
        </w:rPr>
        <w:t>”或“零售用</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户共担”偏差责任方式。</w:t>
      </w:r>
    </w:p>
    <w:p w14:paraId="63DCA325">
      <w:pPr>
        <w:adjustRightInd w:val="0"/>
        <w:snapToGrid w:val="0"/>
        <w:spacing w:before="132" w:line="286" w:lineRule="auto"/>
        <w:ind w:left="7" w:right="138" w:firstLine="581"/>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3.3.3 当选择“售电公司全担”方式时，零售用户偏差电量按照零售</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合同电量均价进行结算。当选择“零售用户共担”</w:t>
      </w:r>
      <w:r>
        <w:rPr>
          <w:rFonts w:ascii="FangSong_GB2312" w:hAnsi="FangSong_GB2312" w:eastAsia="FangSong_GB2312" w:cs="FangSong_GB2312"/>
          <w:spacing w:val="1"/>
          <w:sz w:val="28"/>
          <w:szCs w:val="28"/>
        </w:rPr>
        <w:t>方式时，零售用户偏差</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电量按照零售偏差电价结算。零售合同电量均价，</w:t>
      </w:r>
      <w:r>
        <w:rPr>
          <w:rFonts w:ascii="FangSong_GB2312" w:hAnsi="FangSong_GB2312" w:eastAsia="FangSong_GB2312" w:cs="FangSong_GB2312"/>
          <w:spacing w:val="1"/>
          <w:sz w:val="28"/>
          <w:szCs w:val="28"/>
        </w:rPr>
        <w:t>为零售合同常规电力与</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绿色电力合同电量的电能量价格加权平均值。零售</w:t>
      </w:r>
      <w:r>
        <w:rPr>
          <w:rFonts w:ascii="FangSong_GB2312" w:hAnsi="FangSong_GB2312" w:eastAsia="FangSong_GB2312" w:cs="FangSong_GB2312"/>
          <w:spacing w:val="1"/>
          <w:sz w:val="28"/>
          <w:szCs w:val="28"/>
        </w:rPr>
        <w:t>偏差价格由合同电量均</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价叠加偏差共担折价形成。</w:t>
      </w:r>
    </w:p>
    <w:p w14:paraId="2EC2605A">
      <w:pPr>
        <w:adjustRightInd w:val="0"/>
        <w:snapToGrid w:val="0"/>
        <w:spacing w:before="134" w:line="282" w:lineRule="auto"/>
        <w:ind w:left="9" w:right="202" w:firstLine="578"/>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3.3.4.当选择“零售用户共担”方式时，零售用户承担比例为</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1"/>
          <w:sz w:val="28"/>
          <w:szCs w:val="28"/>
        </w:rPr>
        <w:t>G</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1"/>
          <w:position w:val="-3"/>
          <w:sz w:val="13"/>
          <w:szCs w:val="13"/>
        </w:rPr>
        <w:t>共担</w:t>
      </w:r>
      <w:r>
        <w:rPr>
          <w:rFonts w:ascii="FangSong_GB2312" w:hAnsi="FangSong_GB2312" w:eastAsia="FangSong_GB2312" w:cs="FangSong_GB2312"/>
          <w:spacing w:val="-1"/>
          <w:sz w:val="28"/>
          <w:szCs w:val="28"/>
        </w:rPr>
        <w:t>，</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5"/>
          <w:sz w:val="28"/>
          <w:szCs w:val="28"/>
        </w:rPr>
        <w:t>售电公司承担比例为</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5"/>
          <w:sz w:val="28"/>
          <w:szCs w:val="28"/>
        </w:rPr>
        <w:t>1-G</w:t>
      </w:r>
      <w:r>
        <w:rPr>
          <w:rFonts w:ascii="FangSong_GB2312" w:hAnsi="FangSong_GB2312" w:eastAsia="FangSong_GB2312" w:cs="FangSong_GB2312"/>
          <w:spacing w:val="-65"/>
          <w:sz w:val="28"/>
          <w:szCs w:val="28"/>
        </w:rPr>
        <w:t xml:space="preserve"> </w:t>
      </w:r>
      <w:r>
        <w:rPr>
          <w:rFonts w:ascii="FangSong_GB2312" w:hAnsi="FangSong_GB2312" w:eastAsia="FangSong_GB2312" w:cs="FangSong_GB2312"/>
          <w:spacing w:val="-5"/>
          <w:position w:val="-3"/>
          <w:sz w:val="13"/>
          <w:szCs w:val="13"/>
        </w:rPr>
        <w:t>共担</w:t>
      </w:r>
      <w:r>
        <w:rPr>
          <w:rFonts w:ascii="FangSong_GB2312" w:hAnsi="FangSong_GB2312" w:eastAsia="FangSong_GB2312" w:cs="FangSong_GB2312"/>
          <w:spacing w:val="-24"/>
          <w:position w:val="-3"/>
          <w:sz w:val="13"/>
          <w:szCs w:val="13"/>
        </w:rPr>
        <w:t xml:space="preserve"> </w:t>
      </w:r>
      <w:r>
        <w:rPr>
          <w:rFonts w:ascii="FangSong_GB2312" w:hAnsi="FangSong_GB2312" w:eastAsia="FangSong_GB2312" w:cs="FangSong_GB2312"/>
          <w:spacing w:val="-5"/>
          <w:sz w:val="28"/>
          <w:szCs w:val="28"/>
        </w:rPr>
        <w:t>，G</w:t>
      </w:r>
      <w:r>
        <w:rPr>
          <w:rFonts w:ascii="FangSong_GB2312" w:hAnsi="FangSong_GB2312" w:eastAsia="FangSong_GB2312" w:cs="FangSong_GB2312"/>
          <w:spacing w:val="-64"/>
          <w:sz w:val="28"/>
          <w:szCs w:val="28"/>
        </w:rPr>
        <w:t xml:space="preserve"> </w:t>
      </w:r>
      <w:r>
        <w:rPr>
          <w:rFonts w:ascii="FangSong_GB2312" w:hAnsi="FangSong_GB2312" w:eastAsia="FangSong_GB2312" w:cs="FangSong_GB2312"/>
          <w:spacing w:val="-5"/>
          <w:position w:val="-3"/>
          <w:sz w:val="13"/>
          <w:szCs w:val="13"/>
        </w:rPr>
        <w:t>共担</w:t>
      </w:r>
      <w:r>
        <w:rPr>
          <w:rFonts w:ascii="FangSong_GB2312" w:hAnsi="FangSong_GB2312" w:eastAsia="FangSong_GB2312" w:cs="FangSong_GB2312"/>
          <w:spacing w:val="-5"/>
          <w:sz w:val="28"/>
          <w:szCs w:val="28"/>
        </w:rPr>
        <w:t>取值范围为</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pacing w:val="-5"/>
          <w:sz w:val="28"/>
          <w:szCs w:val="28"/>
        </w:rPr>
        <w:t>0</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6"/>
          <w:sz w:val="28"/>
          <w:szCs w:val="28"/>
        </w:rPr>
        <w:t>至</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6"/>
          <w:sz w:val="28"/>
          <w:szCs w:val="28"/>
        </w:rPr>
        <w:t>1。</w:t>
      </w:r>
    </w:p>
    <w:p w14:paraId="244C3E5B">
      <w:pPr>
        <w:adjustRightInd w:val="0"/>
        <w:snapToGrid w:val="0"/>
        <w:spacing w:before="63" w:line="283" w:lineRule="auto"/>
        <w:ind w:left="21" w:right="138" w:firstLine="566"/>
        <w:outlineLvl w:val="9"/>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3.3.5</w:t>
      </w:r>
      <w:r>
        <w:rPr>
          <w:rFonts w:ascii="FangSong_GB2312" w:hAnsi="FangSong_GB2312" w:eastAsia="FangSong_GB2312" w:cs="FangSong_GB2312"/>
          <w:spacing w:val="-26"/>
          <w:sz w:val="28"/>
          <w:szCs w:val="28"/>
        </w:rPr>
        <w:t xml:space="preserve"> </w:t>
      </w:r>
      <w:r>
        <w:rPr>
          <w:rFonts w:ascii="FangSong_GB2312" w:hAnsi="FangSong_GB2312" w:eastAsia="FangSong_GB2312" w:cs="FangSong_GB2312"/>
          <w:spacing w:val="-4"/>
          <w:sz w:val="28"/>
          <w:szCs w:val="28"/>
        </w:rPr>
        <w:t>当零售用户的偏差电量为正值时，P</w:t>
      </w:r>
      <w:r>
        <w:rPr>
          <w:rFonts w:ascii="FangSong_GB2312" w:hAnsi="FangSong_GB2312" w:eastAsia="FangSong_GB2312" w:cs="FangSong_GB2312"/>
          <w:spacing w:val="-65"/>
          <w:sz w:val="28"/>
          <w:szCs w:val="28"/>
        </w:rPr>
        <w:t xml:space="preserve"> </w:t>
      </w:r>
      <w:r>
        <w:rPr>
          <w:rFonts w:ascii="FangSong_GB2312" w:hAnsi="FangSong_GB2312" w:eastAsia="FangSong_GB2312" w:cs="FangSong_GB2312"/>
          <w:spacing w:val="-4"/>
          <w:position w:val="-3"/>
          <w:sz w:val="13"/>
          <w:szCs w:val="13"/>
        </w:rPr>
        <w:t>共担</w:t>
      </w:r>
      <w:r>
        <w:rPr>
          <w:rFonts w:ascii="FangSong_GB2312" w:hAnsi="FangSong_GB2312" w:eastAsia="FangSong_GB2312" w:cs="FangSong_GB2312"/>
          <w:spacing w:val="-4"/>
          <w:sz w:val="28"/>
          <w:szCs w:val="28"/>
        </w:rPr>
        <w:t>记为正值，当偏差电量为</w:t>
      </w:r>
      <w:r>
        <w:rPr>
          <w:rFonts w:ascii="FangSong_GB2312" w:hAnsi="FangSong_GB2312" w:eastAsia="FangSong_GB2312" w:cs="FangSong_GB2312"/>
          <w:sz w:val="28"/>
          <w:szCs w:val="28"/>
        </w:rPr>
        <w:t xml:space="preserve"> 负值时，P</w:t>
      </w:r>
      <w:r>
        <w:rPr>
          <w:rFonts w:ascii="FangSong_GB2312" w:hAnsi="FangSong_GB2312" w:eastAsia="FangSong_GB2312" w:cs="FangSong_GB2312"/>
          <w:spacing w:val="-65"/>
          <w:sz w:val="28"/>
          <w:szCs w:val="28"/>
        </w:rPr>
        <w:t xml:space="preserve"> </w:t>
      </w:r>
      <w:r>
        <w:rPr>
          <w:rFonts w:ascii="FangSong_GB2312" w:hAnsi="FangSong_GB2312" w:eastAsia="FangSong_GB2312" w:cs="FangSong_GB2312"/>
          <w:position w:val="-3"/>
          <w:sz w:val="13"/>
          <w:szCs w:val="13"/>
        </w:rPr>
        <w:t>共担</w:t>
      </w:r>
      <w:r>
        <w:rPr>
          <w:rFonts w:ascii="FangSong_GB2312" w:hAnsi="FangSong_GB2312" w:eastAsia="FangSong_GB2312" w:cs="FangSong_GB2312"/>
          <w:sz w:val="28"/>
          <w:szCs w:val="28"/>
        </w:rPr>
        <w:t>记为负值。零售用户偏差共担折价</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z w:val="28"/>
          <w:szCs w:val="28"/>
        </w:rPr>
        <w:t>P</w:t>
      </w:r>
      <w:r>
        <w:rPr>
          <w:rFonts w:ascii="FangSong_GB2312" w:hAnsi="FangSong_GB2312" w:eastAsia="FangSong_GB2312" w:cs="FangSong_GB2312"/>
          <w:spacing w:val="-65"/>
          <w:sz w:val="28"/>
          <w:szCs w:val="28"/>
        </w:rPr>
        <w:t xml:space="preserve"> </w:t>
      </w:r>
      <w:r>
        <w:rPr>
          <w:rFonts w:ascii="FangSong_GB2312" w:hAnsi="FangSong_GB2312" w:eastAsia="FangSong_GB2312" w:cs="FangSong_GB2312"/>
          <w:position w:val="-3"/>
          <w:sz w:val="13"/>
          <w:szCs w:val="13"/>
        </w:rPr>
        <w:t>共</w:t>
      </w:r>
      <w:r>
        <w:rPr>
          <w:rFonts w:ascii="FangSong_GB2312" w:hAnsi="FangSong_GB2312" w:eastAsia="FangSong_GB2312" w:cs="FangSong_GB2312"/>
          <w:spacing w:val="-1"/>
          <w:position w:val="-3"/>
          <w:sz w:val="13"/>
          <w:szCs w:val="13"/>
        </w:rPr>
        <w:t>担</w:t>
      </w:r>
      <w:r>
        <w:rPr>
          <w:rFonts w:ascii="FangSong_GB2312" w:hAnsi="FangSong_GB2312" w:eastAsia="FangSong_GB2312" w:cs="FangSong_GB2312"/>
          <w:spacing w:val="-1"/>
          <w:sz w:val="28"/>
          <w:szCs w:val="28"/>
        </w:rPr>
        <w:t>计算方式如下：</w:t>
      </w:r>
    </w:p>
    <w:p w14:paraId="7347050F">
      <w:pPr>
        <w:adjustRightInd w:val="0"/>
        <w:snapToGrid w:val="0"/>
        <w:spacing w:before="61" w:line="283" w:lineRule="auto"/>
        <w:ind w:right="141" w:firstLine="566"/>
        <w:outlineLvl w:val="9"/>
        <w:rPr>
          <w:rFonts w:ascii="KaiTi_GB2312" w:hAnsi="KaiTi_GB2312" w:eastAsia="KaiTi_GB2312" w:cs="KaiTi_GB2312"/>
          <w:sz w:val="13"/>
          <w:szCs w:val="13"/>
        </w:rPr>
      </w:pPr>
      <w:r>
        <w:rPr>
          <w:rFonts w:ascii="KaiTi_GB2312" w:hAnsi="KaiTi_GB2312" w:eastAsia="KaiTi_GB2312" w:cs="KaiTi_GB2312"/>
          <w:b/>
          <w:bCs/>
          <w:spacing w:val="1"/>
          <w:sz w:val="28"/>
          <w:szCs w:val="28"/>
        </w:rPr>
        <w:t>P</w:t>
      </w:r>
      <w:r>
        <w:rPr>
          <w:rFonts w:ascii="KaiTi_GB2312" w:hAnsi="KaiTi_GB2312" w:eastAsia="KaiTi_GB2312" w:cs="KaiTi_GB2312"/>
          <w:spacing w:val="-46"/>
          <w:sz w:val="28"/>
          <w:szCs w:val="28"/>
        </w:rPr>
        <w:t xml:space="preserve"> </w:t>
      </w:r>
      <w:r>
        <w:rPr>
          <w:rFonts w:ascii="KaiTi_GB2312" w:hAnsi="KaiTi_GB2312" w:eastAsia="KaiTi_GB2312" w:cs="KaiTi_GB2312"/>
          <w:b/>
          <w:bCs/>
          <w:spacing w:val="1"/>
          <w:position w:val="-4"/>
          <w:sz w:val="13"/>
          <w:szCs w:val="13"/>
        </w:rPr>
        <w:t>共担</w:t>
      </w:r>
      <w:r>
        <w:rPr>
          <w:rFonts w:ascii="KaiTi_GB2312" w:hAnsi="KaiTi_GB2312" w:eastAsia="KaiTi_GB2312" w:cs="KaiTi_GB2312"/>
          <w:b/>
          <w:bCs/>
          <w:spacing w:val="1"/>
          <w:sz w:val="28"/>
          <w:szCs w:val="28"/>
        </w:rPr>
        <w:t>＝售电公司所代理全部零售用户偏差共担费用总额÷所代理全部</w:t>
      </w:r>
      <w:r>
        <w:rPr>
          <w:rFonts w:ascii="KaiTi_GB2312" w:hAnsi="KaiTi_GB2312" w:eastAsia="KaiTi_GB2312" w:cs="KaiTi_GB2312"/>
          <w:sz w:val="28"/>
          <w:szCs w:val="28"/>
        </w:rPr>
        <w:t xml:space="preserve"> </w:t>
      </w:r>
      <w:r>
        <w:rPr>
          <w:rFonts w:ascii="KaiTi_GB2312" w:hAnsi="KaiTi_GB2312" w:eastAsia="KaiTi_GB2312" w:cs="KaiTi_GB2312"/>
          <w:b/>
          <w:bCs/>
          <w:spacing w:val="-1"/>
          <w:sz w:val="28"/>
          <w:szCs w:val="28"/>
        </w:rPr>
        <w:t>零售用户偏差电量绝对值之和×G</w:t>
      </w:r>
      <w:r>
        <w:rPr>
          <w:rFonts w:ascii="KaiTi_GB2312" w:hAnsi="KaiTi_GB2312" w:eastAsia="KaiTi_GB2312" w:cs="KaiTi_GB2312"/>
          <w:spacing w:val="-69"/>
          <w:sz w:val="28"/>
          <w:szCs w:val="28"/>
        </w:rPr>
        <w:t xml:space="preserve"> </w:t>
      </w:r>
      <w:r>
        <w:rPr>
          <w:rFonts w:ascii="KaiTi_GB2312" w:hAnsi="KaiTi_GB2312" w:eastAsia="KaiTi_GB2312" w:cs="KaiTi_GB2312"/>
          <w:b/>
          <w:bCs/>
          <w:spacing w:val="-1"/>
          <w:position w:val="-3"/>
          <w:sz w:val="13"/>
          <w:szCs w:val="13"/>
        </w:rPr>
        <w:t>共担</w:t>
      </w:r>
    </w:p>
    <w:p w14:paraId="4E3CB652">
      <w:pPr>
        <w:adjustRightInd w:val="0"/>
        <w:snapToGrid w:val="0"/>
        <w:spacing w:before="60" w:line="286" w:lineRule="auto"/>
        <w:ind w:left="2" w:right="138" w:firstLine="586"/>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3.3.7</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3"/>
          <w:sz w:val="28"/>
          <w:szCs w:val="28"/>
        </w:rPr>
        <w:t>零售用户承担的偏差共担费用，用于补偿售电公</w:t>
      </w:r>
      <w:r>
        <w:rPr>
          <w:rFonts w:ascii="FangSong_GB2312" w:hAnsi="FangSong_GB2312" w:eastAsia="FangSong_GB2312" w:cs="FangSong_GB2312"/>
          <w:spacing w:val="2"/>
          <w:sz w:val="28"/>
          <w:szCs w:val="28"/>
        </w:rPr>
        <w:t>司在批发市场</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承担的偏差考核费用。售电公司所代理全部零售用户偏差共担</w:t>
      </w:r>
      <w:r>
        <w:rPr>
          <w:rFonts w:ascii="FangSong_GB2312" w:hAnsi="FangSong_GB2312" w:eastAsia="FangSong_GB2312" w:cs="FangSong_GB2312"/>
          <w:spacing w:val="1"/>
          <w:sz w:val="28"/>
          <w:szCs w:val="28"/>
        </w:rPr>
        <w:t>费用总额不</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超过该售电公司批发市场相应偏差支出费用。售电公司所代理</w:t>
      </w:r>
      <w:r>
        <w:rPr>
          <w:rFonts w:ascii="FangSong_GB2312" w:hAnsi="FangSong_GB2312" w:eastAsia="FangSong_GB2312" w:cs="FangSong_GB2312"/>
          <w:spacing w:val="1"/>
          <w:sz w:val="28"/>
          <w:szCs w:val="28"/>
        </w:rPr>
        <w:t>全部零售用</w:t>
      </w:r>
      <w:r>
        <w:rPr>
          <w:rFonts w:ascii="FangSong_GB2312" w:hAnsi="FangSong_GB2312" w:eastAsia="FangSong_GB2312" w:cs="FangSong_GB2312"/>
          <w:sz w:val="28"/>
          <w:szCs w:val="28"/>
        </w:rPr>
        <w:t xml:space="preserve"> 户偏差共担费用总额计算方法详见《北京市电力直接交易结算</w:t>
      </w:r>
      <w:r>
        <w:rPr>
          <w:rFonts w:ascii="FangSong_GB2312" w:hAnsi="FangSong_GB2312" w:eastAsia="FangSong_GB2312" w:cs="FangSong_GB2312"/>
          <w:spacing w:val="-1"/>
          <w:sz w:val="28"/>
          <w:szCs w:val="28"/>
        </w:rPr>
        <w:t>指引（2025</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年）》。</w:t>
      </w:r>
    </w:p>
    <w:p w14:paraId="0ABC7F55">
      <w:pPr>
        <w:adjustRightInd w:val="0"/>
        <w:snapToGrid w:val="0"/>
        <w:spacing w:before="133" w:line="259" w:lineRule="auto"/>
        <w:ind w:left="20" w:right="138" w:firstLine="567"/>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3.3.8 因偏差免责等政策减免售电公司偏差考核费用的，相应零售用</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户偏差电量电价同步调整。</w:t>
      </w:r>
    </w:p>
    <w:p w14:paraId="2E27CF94">
      <w:pPr>
        <w:spacing w:line="259" w:lineRule="auto"/>
        <w:outlineLvl w:val="9"/>
        <w:rPr>
          <w:rFonts w:ascii="FangSong_GB2312" w:hAnsi="FangSong_GB2312" w:eastAsia="FangSong_GB2312" w:cs="FangSong_GB2312"/>
          <w:sz w:val="28"/>
          <w:szCs w:val="28"/>
        </w:rPr>
        <w:sectPr>
          <w:footerReference r:id="rId21" w:type="default"/>
          <w:pgSz w:w="11906" w:h="16839"/>
          <w:pgMar w:top="1431" w:right="1300" w:bottom="1180" w:left="1443" w:header="0" w:footer="966" w:gutter="0"/>
          <w:pgNumType w:fmt="decimal"/>
          <w:cols w:space="720" w:num="1"/>
        </w:sectPr>
      </w:pPr>
    </w:p>
    <w:p w14:paraId="40BCFFD9">
      <w:pPr>
        <w:adjustRightInd w:val="0"/>
        <w:snapToGrid w:val="0"/>
        <w:spacing w:before="135" w:line="222" w:lineRule="auto"/>
        <w:ind w:left="565"/>
        <w:outlineLvl w:val="9"/>
        <w:rPr>
          <w:rFonts w:ascii="黑体" w:hAnsi="黑体" w:eastAsia="黑体" w:cs="黑体"/>
          <w:sz w:val="28"/>
          <w:szCs w:val="28"/>
        </w:rPr>
      </w:pPr>
      <w:bookmarkStart w:id="849" w:name="_Toc15875"/>
      <w:r>
        <w:rPr>
          <w:rFonts w:ascii="黑体" w:hAnsi="黑体" w:eastAsia="黑体" w:cs="黑体"/>
          <w:b/>
          <w:bCs/>
          <w:spacing w:val="-6"/>
          <w:sz w:val="28"/>
          <w:szCs w:val="28"/>
        </w:rPr>
        <w:t>3.4</w:t>
      </w:r>
      <w:r>
        <w:rPr>
          <w:rFonts w:ascii="黑体" w:hAnsi="黑体" w:eastAsia="黑体" w:cs="黑体"/>
          <w:spacing w:val="-38"/>
          <w:sz w:val="28"/>
          <w:szCs w:val="28"/>
        </w:rPr>
        <w:t xml:space="preserve"> </w:t>
      </w:r>
      <w:r>
        <w:rPr>
          <w:rFonts w:ascii="黑体" w:hAnsi="黑体" w:eastAsia="黑体" w:cs="黑体"/>
          <w:b/>
          <w:bCs/>
          <w:spacing w:val="-6"/>
          <w:sz w:val="28"/>
          <w:szCs w:val="28"/>
        </w:rPr>
        <w:t>电能量价格上下限</w:t>
      </w:r>
      <w:bookmarkEnd w:id="849"/>
    </w:p>
    <w:p w14:paraId="561451F2">
      <w:pPr>
        <w:adjustRightInd w:val="0"/>
        <w:snapToGrid w:val="0"/>
        <w:spacing w:before="126" w:line="282" w:lineRule="auto"/>
        <w:ind w:firstLine="587"/>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3.4.1</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3"/>
          <w:sz w:val="28"/>
          <w:szCs w:val="28"/>
        </w:rPr>
        <w:t>零售用户向售电公司结算的费用包括电能量电费</w:t>
      </w:r>
      <w:r>
        <w:rPr>
          <w:rFonts w:ascii="FangSong_GB2312" w:hAnsi="FangSong_GB2312" w:eastAsia="FangSong_GB2312" w:cs="FangSong_GB2312"/>
          <w:spacing w:val="2"/>
          <w:sz w:val="28"/>
          <w:szCs w:val="28"/>
        </w:rPr>
        <w:t>、绿色电力环</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境价值及补偿费用，其中电能量电费包括常规电力合同电量电费、</w:t>
      </w:r>
      <w:r>
        <w:rPr>
          <w:rFonts w:ascii="FangSong_GB2312" w:hAnsi="FangSong_GB2312" w:eastAsia="FangSong_GB2312" w:cs="FangSong_GB2312"/>
          <w:spacing w:val="1"/>
          <w:sz w:val="28"/>
          <w:szCs w:val="28"/>
        </w:rPr>
        <w:t>绿色电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力合同电量电费、偏差电量电费。其中零售用户按零售套餐计算</w:t>
      </w:r>
      <w:r>
        <w:rPr>
          <w:rFonts w:ascii="FangSong_GB2312" w:hAnsi="FangSong_GB2312" w:eastAsia="FangSong_GB2312" w:cs="FangSong_GB2312"/>
          <w:spacing w:val="1"/>
          <w:sz w:val="28"/>
          <w:szCs w:val="28"/>
        </w:rPr>
        <w:t>的电能量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均价</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1"/>
          <w:position w:val="-3"/>
          <w:sz w:val="13"/>
          <w:szCs w:val="13"/>
        </w:rPr>
        <w:t>计算</w:t>
      </w:r>
      <w:r>
        <w:rPr>
          <w:rFonts w:ascii="FangSong_GB2312" w:hAnsi="FangSong_GB2312" w:eastAsia="FangSong_GB2312" w:cs="FangSong_GB2312"/>
          <w:spacing w:val="-1"/>
          <w:sz w:val="28"/>
          <w:szCs w:val="28"/>
        </w:rPr>
        <w:t>为电能量电费除以用电量。</w:t>
      </w:r>
    </w:p>
    <w:p w14:paraId="60E80292">
      <w:pPr>
        <w:adjustRightInd w:val="0"/>
        <w:snapToGrid w:val="0"/>
        <w:spacing w:before="128" w:line="262" w:lineRule="auto"/>
        <w:ind w:left="32" w:firstLine="554"/>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3.4.2</w:t>
      </w:r>
      <w:r>
        <w:rPr>
          <w:rFonts w:ascii="FangSong_GB2312" w:hAnsi="FangSong_GB2312" w:eastAsia="FangSong_GB2312" w:cs="FangSong_GB2312"/>
          <w:spacing w:val="-31"/>
          <w:sz w:val="28"/>
          <w:szCs w:val="28"/>
        </w:rPr>
        <w:t xml:space="preserve"> </w:t>
      </w:r>
      <w:r>
        <w:rPr>
          <w:rFonts w:ascii="FangSong_GB2312" w:hAnsi="FangSong_GB2312" w:eastAsia="FangSong_GB2312" w:cs="FangSong_GB2312"/>
          <w:spacing w:val="2"/>
          <w:sz w:val="28"/>
          <w:szCs w:val="28"/>
        </w:rPr>
        <w:t>为抵御市场风险，保障市场平稳运行，鼓励零售用户、售电公</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司约定零售合同的电能量价格上下限</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2"/>
          <w:position w:val="-3"/>
          <w:sz w:val="13"/>
          <w:szCs w:val="13"/>
        </w:rPr>
        <w:t>上限</w:t>
      </w:r>
      <w:r>
        <w:rPr>
          <w:rFonts w:ascii="FangSong_GB2312" w:hAnsi="FangSong_GB2312" w:eastAsia="FangSong_GB2312" w:cs="FangSong_GB2312"/>
          <w:spacing w:val="-2"/>
          <w:sz w:val="28"/>
          <w:szCs w:val="28"/>
        </w:rPr>
        <w:t>及</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2"/>
          <w:position w:val="-3"/>
          <w:sz w:val="13"/>
          <w:szCs w:val="13"/>
        </w:rPr>
        <w:t>下限</w:t>
      </w:r>
      <w:r>
        <w:rPr>
          <w:rFonts w:ascii="FangSong_GB2312" w:hAnsi="FangSong_GB2312" w:eastAsia="FangSong_GB2312" w:cs="FangSong_GB2312"/>
          <w:spacing w:val="-2"/>
          <w:sz w:val="28"/>
          <w:szCs w:val="28"/>
        </w:rPr>
        <w:t>。</w:t>
      </w:r>
    </w:p>
    <w:p w14:paraId="5BD76CFA">
      <w:pPr>
        <w:adjustRightInd w:val="0"/>
        <w:snapToGrid w:val="0"/>
        <w:spacing w:before="124" w:line="276" w:lineRule="auto"/>
        <w:ind w:left="15" w:firstLine="572"/>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3.4.3</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3"/>
          <w:sz w:val="28"/>
          <w:szCs w:val="28"/>
        </w:rPr>
        <w:t>当零售用户按零售套餐计算的电能量均价</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3"/>
          <w:position w:val="-3"/>
          <w:sz w:val="13"/>
          <w:szCs w:val="13"/>
        </w:rPr>
        <w:t>计算</w:t>
      </w:r>
      <w:r>
        <w:rPr>
          <w:rFonts w:ascii="FangSong_GB2312" w:hAnsi="FangSong_GB2312" w:eastAsia="FangSong_GB2312" w:cs="FangSong_GB2312"/>
          <w:spacing w:val="-3"/>
          <w:sz w:val="28"/>
          <w:szCs w:val="28"/>
        </w:rPr>
        <w:t>高于上限价格</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3"/>
          <w:position w:val="-3"/>
          <w:sz w:val="13"/>
          <w:szCs w:val="13"/>
        </w:rPr>
        <w:t>上</w:t>
      </w:r>
      <w:r>
        <w:rPr>
          <w:rFonts w:ascii="FangSong_GB2312" w:hAnsi="FangSong_GB2312" w:eastAsia="FangSong_GB2312" w:cs="FangSong_GB2312"/>
          <w:position w:val="-3"/>
          <w:sz w:val="13"/>
          <w:szCs w:val="13"/>
        </w:rPr>
        <w:t xml:space="preserve"> </w:t>
      </w:r>
      <w:r>
        <w:rPr>
          <w:rFonts w:ascii="FangSong_GB2312" w:hAnsi="FangSong_GB2312" w:eastAsia="FangSong_GB2312" w:cs="FangSong_GB2312"/>
          <w:spacing w:val="-3"/>
          <w:position w:val="-3"/>
          <w:sz w:val="13"/>
          <w:szCs w:val="13"/>
        </w:rPr>
        <w:t>限</w:t>
      </w:r>
      <w:r>
        <w:rPr>
          <w:rFonts w:ascii="FangSong_GB2312" w:hAnsi="FangSong_GB2312" w:eastAsia="FangSong_GB2312" w:cs="FangSong_GB2312"/>
          <w:spacing w:val="-28"/>
          <w:position w:val="-3"/>
          <w:sz w:val="13"/>
          <w:szCs w:val="13"/>
        </w:rPr>
        <w:t xml:space="preserve"> </w:t>
      </w:r>
      <w:r>
        <w:rPr>
          <w:rFonts w:ascii="FangSong_GB2312" w:hAnsi="FangSong_GB2312" w:eastAsia="FangSong_GB2312" w:cs="FangSong_GB2312"/>
          <w:spacing w:val="-3"/>
          <w:sz w:val="28"/>
          <w:szCs w:val="28"/>
        </w:rPr>
        <w:t>时，按照上限价格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3"/>
          <w:position w:val="-3"/>
          <w:sz w:val="13"/>
          <w:szCs w:val="13"/>
        </w:rPr>
        <w:t>上限</w:t>
      </w:r>
      <w:r>
        <w:rPr>
          <w:rFonts w:ascii="FangSong_GB2312" w:hAnsi="FangSong_GB2312" w:eastAsia="FangSong_GB2312" w:cs="FangSong_GB2312"/>
          <w:spacing w:val="-3"/>
          <w:sz w:val="28"/>
          <w:szCs w:val="28"/>
        </w:rPr>
        <w:t>执行，当电能量均</w:t>
      </w:r>
      <w:r>
        <w:rPr>
          <w:rFonts w:ascii="FangSong_GB2312" w:hAnsi="FangSong_GB2312" w:eastAsia="FangSong_GB2312" w:cs="FangSong_GB2312"/>
          <w:spacing w:val="-4"/>
          <w:sz w:val="28"/>
          <w:szCs w:val="28"/>
        </w:rPr>
        <w:t>价</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4"/>
          <w:position w:val="-3"/>
          <w:sz w:val="13"/>
          <w:szCs w:val="13"/>
        </w:rPr>
        <w:t>计算</w:t>
      </w:r>
      <w:r>
        <w:rPr>
          <w:rFonts w:ascii="FangSong_GB2312" w:hAnsi="FangSong_GB2312" w:eastAsia="FangSong_GB2312" w:cs="FangSong_GB2312"/>
          <w:spacing w:val="-4"/>
          <w:sz w:val="28"/>
          <w:szCs w:val="28"/>
        </w:rPr>
        <w:t>低于下限价格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4"/>
          <w:position w:val="-3"/>
          <w:sz w:val="13"/>
          <w:szCs w:val="13"/>
        </w:rPr>
        <w:t>下限</w:t>
      </w:r>
      <w:r>
        <w:rPr>
          <w:rFonts w:ascii="FangSong_GB2312" w:hAnsi="FangSong_GB2312" w:eastAsia="FangSong_GB2312" w:cs="FangSong_GB2312"/>
          <w:spacing w:val="-4"/>
          <w:sz w:val="28"/>
          <w:szCs w:val="28"/>
        </w:rPr>
        <w:t>时，按</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照下限价格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下限</w:t>
      </w:r>
      <w:r>
        <w:rPr>
          <w:rFonts w:ascii="FangSong_GB2312" w:hAnsi="FangSong_GB2312" w:eastAsia="FangSong_GB2312" w:cs="FangSong_GB2312"/>
          <w:spacing w:val="-2"/>
          <w:sz w:val="28"/>
          <w:szCs w:val="28"/>
        </w:rPr>
        <w:t>执行。</w:t>
      </w:r>
    </w:p>
    <w:p w14:paraId="3746D87A">
      <w:pPr>
        <w:widowControl w:val="0"/>
        <w:adjustRightInd w:val="0"/>
        <w:snapToGrid w:val="0"/>
        <w:spacing w:line="283" w:lineRule="auto"/>
        <w:jc w:val="both"/>
        <w:outlineLvl w:val="9"/>
        <w:rPr>
          <w:rFonts w:ascii="宋体" w:hAnsi="宋体" w:cs="宋体" w:eastAsiaTheme="minorEastAsia"/>
          <w:kern w:val="2"/>
          <w:sz w:val="24"/>
          <w:szCs w:val="24"/>
          <w:lang w:val="en-US" w:eastAsia="zh-CN" w:bidi="ar-SA"/>
        </w:rPr>
      </w:pPr>
    </w:p>
    <w:p w14:paraId="6AC3C030">
      <w:pPr>
        <w:widowControl w:val="0"/>
        <w:adjustRightInd w:val="0"/>
        <w:snapToGrid w:val="0"/>
        <w:spacing w:line="284" w:lineRule="auto"/>
        <w:jc w:val="both"/>
        <w:outlineLvl w:val="9"/>
        <w:rPr>
          <w:rFonts w:ascii="宋体" w:hAnsi="宋体" w:cs="宋体" w:eastAsiaTheme="minorEastAsia"/>
          <w:kern w:val="2"/>
          <w:sz w:val="24"/>
          <w:szCs w:val="24"/>
          <w:lang w:val="en-US" w:eastAsia="zh-CN" w:bidi="ar-SA"/>
        </w:rPr>
      </w:pPr>
    </w:p>
    <w:p w14:paraId="737882E4">
      <w:pPr>
        <w:adjustRightInd w:val="0"/>
        <w:snapToGrid w:val="0"/>
        <w:spacing w:before="101" w:line="226" w:lineRule="auto"/>
        <w:ind w:left="3315"/>
        <w:outlineLvl w:val="9"/>
        <w:rPr>
          <w:rFonts w:ascii="黑体" w:hAnsi="黑体" w:eastAsia="黑体" w:cs="黑体"/>
          <w:sz w:val="31"/>
          <w:szCs w:val="31"/>
        </w:rPr>
      </w:pPr>
      <w:r>
        <w:rPr>
          <w:rFonts w:ascii="黑体" w:hAnsi="黑体" w:eastAsia="黑体" w:cs="黑体"/>
          <w:b/>
          <w:bCs/>
          <w:spacing w:val="3"/>
          <w:sz w:val="31"/>
          <w:szCs w:val="31"/>
        </w:rPr>
        <w:t>第四章</w:t>
      </w:r>
      <w:r>
        <w:rPr>
          <w:rFonts w:ascii="黑体" w:hAnsi="黑体" w:eastAsia="黑体" w:cs="黑体"/>
          <w:spacing w:val="27"/>
          <w:sz w:val="31"/>
          <w:szCs w:val="31"/>
        </w:rPr>
        <w:t xml:space="preserve"> </w:t>
      </w:r>
      <w:r>
        <w:rPr>
          <w:rFonts w:ascii="黑体" w:hAnsi="黑体" w:eastAsia="黑体" w:cs="黑体"/>
          <w:b/>
          <w:bCs/>
          <w:spacing w:val="3"/>
          <w:sz w:val="31"/>
          <w:szCs w:val="31"/>
        </w:rPr>
        <w:t>零售结算</w:t>
      </w:r>
    </w:p>
    <w:p w14:paraId="01C9AD98">
      <w:pPr>
        <w:adjustRightInd w:val="0"/>
        <w:snapToGrid w:val="0"/>
        <w:spacing w:before="112" w:line="274" w:lineRule="auto"/>
        <w:ind w:left="14" w:firstLine="561"/>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4.1 甲方实际用电量以电网企业按约定的抄表周期抄录并推送至交易</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1"/>
          <w:sz w:val="28"/>
          <w:szCs w:val="28"/>
        </w:rPr>
        <w:t>中心的电量为准。本合同履行期间，若电能计量点（或营销户号）发生变</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1"/>
          <w:sz w:val="28"/>
          <w:szCs w:val="28"/>
        </w:rPr>
        <w:t>更，甲方应自主及时完成营销业务系统以及交易平台的信息变更。</w:t>
      </w:r>
    </w:p>
    <w:p w14:paraId="1763C753">
      <w:pPr>
        <w:adjustRightInd w:val="0"/>
        <w:snapToGrid w:val="0"/>
        <w:spacing w:before="133" w:line="274" w:lineRule="auto"/>
        <w:ind w:left="14" w:firstLine="561"/>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4.2</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3"/>
          <w:sz w:val="28"/>
          <w:szCs w:val="28"/>
        </w:rPr>
        <w:t>交易中心根据相关交易规则、政府主管部门文件要求及《北</w:t>
      </w:r>
      <w:r>
        <w:rPr>
          <w:rFonts w:ascii="FangSong_GB2312" w:hAnsi="FangSong_GB2312" w:eastAsia="FangSong_GB2312" w:cs="FangSong_GB2312"/>
          <w:spacing w:val="2"/>
          <w:sz w:val="28"/>
          <w:szCs w:val="28"/>
        </w:rPr>
        <w:t>京市</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电力直接交易结算指引》要求，按照甲乙双方协商签订的零售套餐结算参</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1"/>
          <w:sz w:val="28"/>
          <w:szCs w:val="28"/>
        </w:rPr>
        <w:t>数，按月开展零售市场线上结算并出具结算依据。</w:t>
      </w:r>
    </w:p>
    <w:p w14:paraId="11004B81">
      <w:pPr>
        <w:adjustRightInd w:val="0"/>
        <w:snapToGrid w:val="0"/>
        <w:spacing w:before="132" w:line="293" w:lineRule="auto"/>
        <w:ind w:left="4" w:firstLine="571"/>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4.3</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
          <w:sz w:val="28"/>
          <w:szCs w:val="28"/>
        </w:rPr>
        <w:t>按照北京市</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pacing w:val="-2"/>
          <w:sz w:val="28"/>
          <w:szCs w:val="28"/>
        </w:rPr>
        <w:t>2025</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2"/>
          <w:sz w:val="28"/>
          <w:szCs w:val="28"/>
        </w:rPr>
        <w:t>年年度交易方案，零售合同的电能量价格</w:t>
      </w:r>
      <w:r>
        <w:rPr>
          <w:rFonts w:ascii="FangSong_GB2312" w:hAnsi="FangSong_GB2312" w:eastAsia="FangSong_GB2312" w:cs="FangSong_GB2312"/>
          <w:spacing w:val="-3"/>
          <w:sz w:val="28"/>
          <w:szCs w:val="28"/>
        </w:rPr>
        <w:t>在“北</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京燃煤基准价</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4"/>
          <w:sz w:val="28"/>
          <w:szCs w:val="28"/>
        </w:rPr>
        <w:t>±20%”</w:t>
      </w:r>
      <w:r>
        <w:rPr>
          <w:rFonts w:ascii="FangSong_GB2312" w:hAnsi="FangSong_GB2312" w:eastAsia="FangSong_GB2312" w:cs="FangSong_GB2312"/>
          <w:spacing w:val="-106"/>
          <w:sz w:val="28"/>
          <w:szCs w:val="28"/>
        </w:rPr>
        <w:t xml:space="preserve"> </w:t>
      </w:r>
      <w:r>
        <w:rPr>
          <w:rFonts w:ascii="FangSong_GB2312" w:hAnsi="FangSong_GB2312" w:eastAsia="FangSong_GB2312" w:cs="FangSong_GB2312"/>
          <w:spacing w:val="-4"/>
          <w:sz w:val="28"/>
          <w:szCs w:val="28"/>
        </w:rPr>
        <w:t>范围内形成，即</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4"/>
          <w:sz w:val="28"/>
          <w:szCs w:val="28"/>
        </w:rPr>
        <w:t>287.84</w:t>
      </w:r>
      <w:r>
        <w:rPr>
          <w:rFonts w:ascii="FangSong_GB2312" w:hAnsi="FangSong_GB2312" w:eastAsia="FangSong_GB2312" w:cs="FangSong_GB2312"/>
          <w:spacing w:val="-41"/>
          <w:sz w:val="28"/>
          <w:szCs w:val="28"/>
        </w:rPr>
        <w:t xml:space="preserve"> </w:t>
      </w:r>
      <w:r>
        <w:rPr>
          <w:rFonts w:ascii="FangSong_GB2312" w:hAnsi="FangSong_GB2312" w:eastAsia="FangSong_GB2312" w:cs="FangSong_GB2312"/>
          <w:spacing w:val="-4"/>
          <w:sz w:val="28"/>
          <w:szCs w:val="28"/>
        </w:rPr>
        <w:t>至</w:t>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pacing w:val="-4"/>
          <w:sz w:val="28"/>
          <w:szCs w:val="28"/>
        </w:rPr>
        <w:t>431.76</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pacing w:val="-4"/>
          <w:sz w:val="28"/>
          <w:szCs w:val="28"/>
        </w:rPr>
        <w:t>元/兆瓦时之间。</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零售用户与售电公司按套餐形成的常规电力电能量价格</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position w:val="-3"/>
          <w:sz w:val="13"/>
          <w:szCs w:val="13"/>
        </w:rPr>
        <w:t>常</w:t>
      </w:r>
      <w:r>
        <w:rPr>
          <w:rFonts w:ascii="FangSong_GB2312" w:hAnsi="FangSong_GB2312" w:eastAsia="FangSong_GB2312" w:cs="FangSong_GB2312"/>
          <w:spacing w:val="-3"/>
          <w:sz w:val="28"/>
          <w:szCs w:val="28"/>
        </w:rPr>
        <w:t>及</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3"/>
          <w:position w:val="-3"/>
          <w:sz w:val="13"/>
          <w:szCs w:val="13"/>
        </w:rPr>
        <w:t>常固</w:t>
      </w:r>
      <w:r>
        <w:rPr>
          <w:rFonts w:ascii="FangSong_GB2312" w:hAnsi="FangSong_GB2312" w:eastAsia="FangSong_GB2312" w:cs="FangSong_GB2312"/>
          <w:spacing w:val="-3"/>
          <w:sz w:val="28"/>
          <w:szCs w:val="28"/>
        </w:rPr>
        <w:t>，</w:t>
      </w:r>
      <w:r>
        <w:rPr>
          <w:rFonts w:ascii="FangSong_GB2312" w:hAnsi="FangSong_GB2312" w:eastAsia="FangSong_GB2312" w:cs="FangSong_GB2312"/>
          <w:spacing w:val="-4"/>
          <w:sz w:val="28"/>
          <w:szCs w:val="28"/>
        </w:rPr>
        <w:t>绿色电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力电能量价格</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4"/>
          <w:position w:val="-3"/>
          <w:sz w:val="13"/>
          <w:szCs w:val="13"/>
        </w:rPr>
        <w:t>绿</w:t>
      </w:r>
      <w:r>
        <w:rPr>
          <w:rFonts w:ascii="FangSong_GB2312" w:hAnsi="FangSong_GB2312" w:eastAsia="FangSong_GB2312" w:cs="FangSong_GB2312"/>
          <w:spacing w:val="-4"/>
          <w:sz w:val="28"/>
          <w:szCs w:val="28"/>
        </w:rPr>
        <w:t>及</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4"/>
          <w:position w:val="-3"/>
          <w:sz w:val="13"/>
          <w:szCs w:val="13"/>
        </w:rPr>
        <w:t>绿固</w:t>
      </w:r>
      <w:r>
        <w:rPr>
          <w:rFonts w:ascii="FangSong_GB2312" w:hAnsi="FangSong_GB2312" w:eastAsia="FangSong_GB2312" w:cs="FangSong_GB2312"/>
          <w:spacing w:val="-24"/>
          <w:position w:val="-3"/>
          <w:sz w:val="13"/>
          <w:szCs w:val="13"/>
        </w:rPr>
        <w:t xml:space="preserve"> </w:t>
      </w:r>
      <w:r>
        <w:rPr>
          <w:rFonts w:ascii="FangSong_GB2312" w:hAnsi="FangSong_GB2312" w:eastAsia="FangSong_GB2312" w:cs="FangSong_GB2312"/>
          <w:spacing w:val="-4"/>
          <w:sz w:val="28"/>
          <w:szCs w:val="28"/>
        </w:rPr>
        <w:t>，零售合同电能量价格上下限</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4"/>
          <w:position w:val="-3"/>
          <w:sz w:val="13"/>
          <w:szCs w:val="13"/>
        </w:rPr>
        <w:t>上限</w:t>
      </w:r>
      <w:r>
        <w:rPr>
          <w:rFonts w:ascii="FangSong_GB2312" w:hAnsi="FangSong_GB2312" w:eastAsia="FangSong_GB2312" w:cs="FangSong_GB2312"/>
          <w:spacing w:val="-29"/>
          <w:position w:val="-3"/>
          <w:sz w:val="13"/>
          <w:szCs w:val="13"/>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4"/>
          <w:position w:val="-3"/>
          <w:sz w:val="13"/>
          <w:szCs w:val="13"/>
        </w:rPr>
        <w:t>下限</w:t>
      </w:r>
      <w:r>
        <w:rPr>
          <w:rFonts w:ascii="FangSong_GB2312" w:hAnsi="FangSong_GB2312" w:eastAsia="FangSong_GB2312" w:cs="FangSong_GB2312"/>
          <w:spacing w:val="-24"/>
          <w:position w:val="-3"/>
          <w:sz w:val="13"/>
          <w:szCs w:val="13"/>
        </w:rPr>
        <w:t xml:space="preserve"> </w:t>
      </w:r>
      <w:r>
        <w:rPr>
          <w:rFonts w:ascii="FangSong_GB2312" w:hAnsi="FangSong_GB2312" w:eastAsia="FangSong_GB2312" w:cs="FangSong_GB2312"/>
          <w:spacing w:val="-4"/>
          <w:sz w:val="28"/>
          <w:szCs w:val="28"/>
        </w:rPr>
        <w:t>，按零售</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套餐计算的电能量均价</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2"/>
          <w:position w:val="-3"/>
          <w:sz w:val="13"/>
          <w:szCs w:val="13"/>
        </w:rPr>
        <w:t>计算</w:t>
      </w:r>
      <w:r>
        <w:rPr>
          <w:rFonts w:ascii="FangSong_GB2312" w:hAnsi="FangSong_GB2312" w:eastAsia="FangSong_GB2312" w:cs="FangSong_GB2312"/>
          <w:spacing w:val="2"/>
          <w:sz w:val="28"/>
          <w:szCs w:val="28"/>
        </w:rPr>
        <w:t>均应在上述范围内。例</w:t>
      </w:r>
      <w:r>
        <w:rPr>
          <w:rFonts w:ascii="FangSong_GB2312" w:hAnsi="FangSong_GB2312" w:eastAsia="FangSong_GB2312" w:cs="FangSong_GB2312"/>
          <w:spacing w:val="1"/>
          <w:sz w:val="28"/>
          <w:szCs w:val="28"/>
        </w:rPr>
        <w:t>如，当零售用户与售电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公司约定</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3"/>
          <w:position w:val="-3"/>
          <w:sz w:val="13"/>
          <w:szCs w:val="13"/>
        </w:rPr>
        <w:t>上限</w:t>
      </w:r>
      <w:r>
        <w:rPr>
          <w:rFonts w:ascii="FangSong_GB2312" w:hAnsi="FangSong_GB2312" w:eastAsia="FangSong_GB2312" w:cs="FangSong_GB2312"/>
          <w:spacing w:val="-3"/>
          <w:sz w:val="28"/>
          <w:szCs w:val="28"/>
        </w:rPr>
        <w:t>时，零售用户最终向售电公司支付的电能量价格</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4"/>
          <w:sz w:val="28"/>
          <w:szCs w:val="28"/>
        </w:rPr>
        <w:t>为</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4"/>
          <w:position w:val="-3"/>
          <w:sz w:val="13"/>
          <w:szCs w:val="13"/>
        </w:rPr>
        <w:t>计算</w:t>
      </w:r>
      <w:r>
        <w:rPr>
          <w:rFonts w:ascii="FangSong_GB2312" w:hAnsi="FangSong_GB2312" w:eastAsia="FangSong_GB2312" w:cs="FangSong_GB2312"/>
          <w:spacing w:val="-4"/>
          <w:sz w:val="28"/>
          <w:szCs w:val="28"/>
        </w:rPr>
        <w:t>、P</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position w:val="-3"/>
          <w:sz w:val="13"/>
          <w:szCs w:val="13"/>
        </w:rPr>
        <w:t>上限</w:t>
      </w:r>
      <w:r>
        <w:rPr>
          <w:rFonts w:ascii="FangSong_GB2312" w:hAnsi="FangSong_GB2312" w:eastAsia="FangSong_GB2312" w:cs="FangSong_GB2312"/>
          <w:spacing w:val="-26"/>
          <w:position w:val="-3"/>
          <w:sz w:val="13"/>
          <w:szCs w:val="13"/>
        </w:rPr>
        <w:t xml:space="preserve"> </w:t>
      </w:r>
      <w:r>
        <w:rPr>
          <w:rFonts w:ascii="FangSong_GB2312" w:hAnsi="FangSong_GB2312" w:eastAsia="FangSong_GB2312" w:cs="FangSong_GB2312"/>
          <w:spacing w:val="1"/>
          <w:sz w:val="28"/>
          <w:szCs w:val="28"/>
        </w:rPr>
        <w:t>、431.76</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1"/>
          <w:sz w:val="28"/>
          <w:szCs w:val="28"/>
        </w:rPr>
        <w:t>元/兆瓦时三者的最小值；若未约定</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1"/>
          <w:position w:val="-3"/>
          <w:sz w:val="13"/>
          <w:szCs w:val="13"/>
        </w:rPr>
        <w:t>上限</w:t>
      </w:r>
      <w:r>
        <w:rPr>
          <w:rFonts w:ascii="FangSong_GB2312" w:hAnsi="FangSong_GB2312" w:eastAsia="FangSong_GB2312" w:cs="FangSong_GB2312"/>
          <w:spacing w:val="-22"/>
          <w:position w:val="-3"/>
          <w:sz w:val="13"/>
          <w:szCs w:val="13"/>
        </w:rPr>
        <w:t xml:space="preserve"> </w:t>
      </w:r>
      <w:r>
        <w:rPr>
          <w:rFonts w:ascii="FangSong_GB2312" w:hAnsi="FangSong_GB2312" w:eastAsia="FangSong_GB2312" w:cs="FangSong_GB2312"/>
          <w:spacing w:val="1"/>
          <w:sz w:val="28"/>
          <w:szCs w:val="28"/>
        </w:rPr>
        <w:t>，零</w:t>
      </w:r>
      <w:r>
        <w:rPr>
          <w:rFonts w:ascii="FangSong_GB2312" w:hAnsi="FangSong_GB2312" w:eastAsia="FangSong_GB2312" w:cs="FangSong_GB2312"/>
          <w:sz w:val="28"/>
          <w:szCs w:val="28"/>
        </w:rPr>
        <w:t xml:space="preserve">售用户最终向售 </w:t>
      </w:r>
      <w:r>
        <w:rPr>
          <w:rFonts w:ascii="FangSong_GB2312" w:hAnsi="FangSong_GB2312" w:eastAsia="FangSong_GB2312" w:cs="FangSong_GB2312"/>
          <w:spacing w:val="-3"/>
          <w:sz w:val="28"/>
          <w:szCs w:val="28"/>
        </w:rPr>
        <w:t>电公司支付的电能量价格</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3"/>
          <w:sz w:val="28"/>
          <w:szCs w:val="28"/>
        </w:rPr>
        <w:t>为</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3"/>
          <w:position w:val="-3"/>
          <w:sz w:val="13"/>
          <w:szCs w:val="13"/>
        </w:rPr>
        <w:t>计算</w:t>
      </w:r>
      <w:r>
        <w:rPr>
          <w:rFonts w:ascii="FangSong_GB2312" w:hAnsi="FangSong_GB2312" w:eastAsia="FangSong_GB2312" w:cs="FangSong_GB2312"/>
          <w:spacing w:val="-29"/>
          <w:position w:val="-3"/>
          <w:sz w:val="13"/>
          <w:szCs w:val="13"/>
        </w:rPr>
        <w:t xml:space="preserve"> </w:t>
      </w:r>
      <w:r>
        <w:rPr>
          <w:rFonts w:ascii="FangSong_GB2312" w:hAnsi="FangSong_GB2312" w:eastAsia="FangSong_GB2312" w:cs="FangSong_GB2312"/>
          <w:spacing w:val="-3"/>
          <w:sz w:val="28"/>
          <w:szCs w:val="28"/>
        </w:rPr>
        <w:t>、431.76</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元/兆瓦时两者的较小值。</w:t>
      </w:r>
    </w:p>
    <w:p w14:paraId="711DC144">
      <w:pPr>
        <w:adjustRightInd w:val="0"/>
        <w:snapToGrid w:val="0"/>
        <w:spacing w:before="128" w:line="281" w:lineRule="auto"/>
        <w:ind w:left="6" w:firstLine="569"/>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4.4</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pacing w:val="1"/>
          <w:sz w:val="28"/>
          <w:szCs w:val="28"/>
        </w:rPr>
        <w:t>本合同约定的零售价格非用户最终到户价格。</w:t>
      </w:r>
      <w:r>
        <w:rPr>
          <w:rFonts w:ascii="FangSong_GB2312" w:hAnsi="FangSong_GB2312" w:eastAsia="FangSong_GB2312" w:cs="FangSong_GB2312"/>
          <w:spacing w:val="-83"/>
          <w:sz w:val="28"/>
          <w:szCs w:val="28"/>
        </w:rPr>
        <w:t xml:space="preserve"> </w:t>
      </w:r>
      <w:r>
        <w:rPr>
          <w:rFonts w:ascii="FangSong_GB2312" w:hAnsi="FangSong_GB2312" w:eastAsia="FangSong_GB2312" w:cs="FangSong_GB2312"/>
          <w:spacing w:val="1"/>
          <w:sz w:val="28"/>
          <w:szCs w:val="28"/>
        </w:rPr>
        <w:t>甲方（各时段）用</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电到户价格由电能量价格（以此作为平段价格参与</w:t>
      </w:r>
      <w:r>
        <w:rPr>
          <w:rFonts w:ascii="FangSong_GB2312" w:hAnsi="FangSong_GB2312" w:eastAsia="FangSong_GB2312" w:cs="FangSong_GB2312"/>
          <w:spacing w:val="1"/>
          <w:sz w:val="28"/>
          <w:szCs w:val="28"/>
        </w:rPr>
        <w:t>峰谷浮动）、绿色电力</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环境价值及补偿费用、北京电网输配电价、上网环</w:t>
      </w:r>
      <w:r>
        <w:rPr>
          <w:rFonts w:ascii="FangSong_GB2312" w:hAnsi="FangSong_GB2312" w:eastAsia="FangSong_GB2312" w:cs="FangSong_GB2312"/>
          <w:spacing w:val="1"/>
          <w:sz w:val="28"/>
          <w:szCs w:val="28"/>
        </w:rPr>
        <w:t>节线损费用、系统运行</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费用、政府性基金及附加、新增损益等构成。电能</w:t>
      </w:r>
      <w:r>
        <w:rPr>
          <w:rFonts w:ascii="FangSong_GB2312" w:hAnsi="FangSong_GB2312" w:eastAsia="FangSong_GB2312" w:cs="FangSong_GB2312"/>
          <w:spacing w:val="1"/>
          <w:sz w:val="28"/>
          <w:szCs w:val="28"/>
        </w:rPr>
        <w:t>量价格按双方约定的零</w:t>
      </w:r>
    </w:p>
    <w:p w14:paraId="7D433522">
      <w:pPr>
        <w:spacing w:line="281" w:lineRule="auto"/>
        <w:outlineLvl w:val="9"/>
        <w:rPr>
          <w:rFonts w:ascii="FangSong_GB2312" w:hAnsi="FangSong_GB2312" w:eastAsia="FangSong_GB2312" w:cs="FangSong_GB2312"/>
          <w:sz w:val="28"/>
          <w:szCs w:val="28"/>
        </w:rPr>
        <w:sectPr>
          <w:footerReference r:id="rId22" w:type="default"/>
          <w:pgSz w:w="11906" w:h="16839"/>
          <w:pgMar w:top="1431" w:right="1439" w:bottom="1180" w:left="1444" w:header="0" w:footer="966" w:gutter="0"/>
          <w:pgNumType w:fmt="decimal"/>
          <w:cols w:space="720" w:num="1"/>
        </w:sectPr>
      </w:pPr>
    </w:p>
    <w:p w14:paraId="434BD754">
      <w:pPr>
        <w:adjustRightInd w:val="0"/>
        <w:snapToGrid w:val="0"/>
        <w:spacing w:before="137" w:line="213" w:lineRule="auto"/>
        <w:ind w:left="8"/>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售结算模式计算得出，为零售用户最终向售电公司支付的电能量价格</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1"/>
          <w:sz w:val="28"/>
          <w:szCs w:val="28"/>
        </w:rPr>
        <w:t>P。</w:t>
      </w:r>
    </w:p>
    <w:p w14:paraId="39A0D5E7">
      <w:pPr>
        <w:adjustRightInd w:val="0"/>
        <w:snapToGrid w:val="0"/>
        <w:spacing w:before="137" w:line="281" w:lineRule="auto"/>
        <w:ind w:left="3" w:firstLine="572"/>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4.5</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零售用户峰谷分时浮动、北京电网输配电价、上网环节线损费用、</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系统运行费用、政府性基金及附加、新增损益、基本</w:t>
      </w:r>
      <w:r>
        <w:rPr>
          <w:rFonts w:ascii="FangSong_GB2312" w:hAnsi="FangSong_GB2312" w:eastAsia="FangSong_GB2312" w:cs="FangSong_GB2312"/>
          <w:spacing w:val="1"/>
          <w:sz w:val="28"/>
          <w:szCs w:val="28"/>
        </w:rPr>
        <w:t>电价、功率因数调整</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电费等事宜由国网北京市电力公司按照国家和北京市价格</w:t>
      </w:r>
      <w:r>
        <w:rPr>
          <w:rFonts w:ascii="FangSong_GB2312" w:hAnsi="FangSong_GB2312" w:eastAsia="FangSong_GB2312" w:cs="FangSong_GB2312"/>
          <w:spacing w:val="1"/>
          <w:sz w:val="28"/>
          <w:szCs w:val="28"/>
        </w:rPr>
        <w:t>主管部门相关文</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件执行。</w:t>
      </w:r>
    </w:p>
    <w:p w14:paraId="5F36244F">
      <w:pPr>
        <w:adjustRightInd w:val="0"/>
        <w:snapToGrid w:val="0"/>
        <w:spacing w:before="136" w:line="273" w:lineRule="auto"/>
        <w:ind w:left="6" w:right="87" w:firstLine="569"/>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4.6</w:t>
      </w:r>
      <w:r>
        <w:rPr>
          <w:rFonts w:ascii="FangSong_GB2312" w:hAnsi="FangSong_GB2312" w:eastAsia="FangSong_GB2312" w:cs="FangSong_GB2312"/>
          <w:spacing w:val="-44"/>
          <w:sz w:val="28"/>
          <w:szCs w:val="28"/>
        </w:rPr>
        <w:t xml:space="preserve"> </w:t>
      </w:r>
      <w:r>
        <w:rPr>
          <w:rFonts w:ascii="FangSong_GB2312" w:hAnsi="FangSong_GB2312" w:eastAsia="FangSong_GB2312" w:cs="FangSong_GB2312"/>
          <w:spacing w:val="3"/>
          <w:sz w:val="28"/>
          <w:szCs w:val="28"/>
        </w:rPr>
        <w:t>绿色电力零售交易在保证环境价值可追踪溯源的前提下</w:t>
      </w:r>
      <w:r>
        <w:rPr>
          <w:rFonts w:ascii="FangSong_GB2312" w:hAnsi="FangSong_GB2312" w:eastAsia="FangSong_GB2312" w:cs="FangSong_GB2312"/>
          <w:spacing w:val="2"/>
          <w:sz w:val="28"/>
          <w:szCs w:val="28"/>
        </w:rPr>
        <w:t>，电能量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部分按照“</w:t>
      </w:r>
      <w:r>
        <w:rPr>
          <w:rFonts w:ascii="FangSong_GB2312" w:hAnsi="FangSong_GB2312" w:eastAsia="FangSong_GB2312" w:cs="FangSong_GB2312"/>
          <w:spacing w:val="-108"/>
          <w:sz w:val="28"/>
          <w:szCs w:val="28"/>
        </w:rPr>
        <w:t xml:space="preserve"> </w:t>
      </w:r>
      <w:r>
        <w:rPr>
          <w:rFonts w:ascii="FangSong_GB2312" w:hAnsi="FangSong_GB2312" w:eastAsia="FangSong_GB2312" w:cs="FangSong_GB2312"/>
          <w:spacing w:val="1"/>
          <w:sz w:val="28"/>
          <w:szCs w:val="28"/>
        </w:rPr>
        <w:t>照付不议、偏差结算”开展结算，环境</w:t>
      </w:r>
      <w:r>
        <w:rPr>
          <w:rFonts w:ascii="FangSong_GB2312" w:hAnsi="FangSong_GB2312" w:eastAsia="FangSong_GB2312" w:cs="FangSong_GB2312"/>
          <w:sz w:val="28"/>
          <w:szCs w:val="28"/>
        </w:rPr>
        <w:t xml:space="preserve">价值按取小原则优先结 </w:t>
      </w:r>
      <w:r>
        <w:rPr>
          <w:rFonts w:ascii="FangSong_GB2312" w:hAnsi="FangSong_GB2312" w:eastAsia="FangSong_GB2312" w:cs="FangSong_GB2312"/>
          <w:spacing w:val="-1"/>
          <w:sz w:val="28"/>
          <w:szCs w:val="28"/>
        </w:rPr>
        <w:t>算。环境价值及补偿均以兆瓦时为单位取整数。</w:t>
      </w:r>
    </w:p>
    <w:p w14:paraId="11B5E3D8">
      <w:pPr>
        <w:adjustRightInd w:val="0"/>
        <w:snapToGrid w:val="0"/>
        <w:spacing w:before="139" w:line="285" w:lineRule="auto"/>
        <w:ind w:left="10" w:right="87" w:firstLine="56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4.7 乙方向甲方关联的绿色电力分配电量应等于本合同约定的绿色电</w:t>
      </w:r>
      <w:r>
        <w:rPr>
          <w:rFonts w:ascii="FangSong_GB2312" w:hAnsi="FangSong_GB2312" w:eastAsia="FangSong_GB2312" w:cs="FangSong_GB2312"/>
          <w:spacing w:val="13"/>
          <w:sz w:val="28"/>
          <w:szCs w:val="28"/>
        </w:rPr>
        <w:t xml:space="preserve"> </w:t>
      </w:r>
      <w:r>
        <w:rPr>
          <w:rFonts w:ascii="FangSong_GB2312" w:hAnsi="FangSong_GB2312" w:eastAsia="FangSong_GB2312" w:cs="FangSong_GB2312"/>
          <w:spacing w:val="1"/>
          <w:sz w:val="28"/>
          <w:szCs w:val="28"/>
        </w:rPr>
        <w:t>力合同电量，当绿色电力分配电量大于绿色电力合同电量时，在结算时乙</w:t>
      </w:r>
      <w:r>
        <w:rPr>
          <w:rFonts w:ascii="FangSong_GB2312" w:hAnsi="FangSong_GB2312" w:eastAsia="FangSong_GB2312" w:cs="FangSong_GB2312"/>
          <w:spacing w:val="17"/>
          <w:sz w:val="28"/>
          <w:szCs w:val="28"/>
        </w:rPr>
        <w:t xml:space="preserve"> </w:t>
      </w:r>
      <w:r>
        <w:rPr>
          <w:rFonts w:ascii="FangSong_GB2312" w:hAnsi="FangSong_GB2312" w:eastAsia="FangSong_GB2312" w:cs="FangSong_GB2312"/>
          <w:spacing w:val="1"/>
          <w:sz w:val="28"/>
          <w:szCs w:val="28"/>
        </w:rPr>
        <w:t>方向甲方关联的对应电量等比例削减（取整数</w:t>
      </w:r>
      <w:r>
        <w:rPr>
          <w:rFonts w:ascii="FangSong_GB2312" w:hAnsi="FangSong_GB2312" w:eastAsia="FangSong_GB2312" w:cs="FangSong_GB2312"/>
          <w:spacing w:val="14"/>
          <w:sz w:val="28"/>
          <w:szCs w:val="28"/>
        </w:rPr>
        <w:t>），</w:t>
      </w:r>
      <w:r>
        <w:rPr>
          <w:rFonts w:ascii="FangSong_GB2312" w:hAnsi="FangSong_GB2312" w:eastAsia="FangSong_GB2312" w:cs="FangSong_GB2312"/>
          <w:spacing w:val="1"/>
          <w:sz w:val="28"/>
          <w:szCs w:val="28"/>
        </w:rPr>
        <w:t>直</w:t>
      </w:r>
      <w:r>
        <w:rPr>
          <w:rFonts w:ascii="FangSong_GB2312" w:hAnsi="FangSong_GB2312" w:eastAsia="FangSong_GB2312" w:cs="FangSong_GB2312"/>
          <w:sz w:val="28"/>
          <w:szCs w:val="28"/>
        </w:rPr>
        <w:t>至二者相等。合同双</w:t>
      </w:r>
      <w:r>
        <w:rPr>
          <w:rFonts w:ascii="FangSong_GB2312" w:hAnsi="FangSong_GB2312" w:eastAsia="FangSong_GB2312" w:cs="FangSong_GB2312"/>
          <w:spacing w:val="1"/>
          <w:sz w:val="28"/>
          <w:szCs w:val="28"/>
        </w:rPr>
        <w:t xml:space="preserve"> 方若与发电企业签订多年</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z w:val="28"/>
          <w:szCs w:val="28"/>
        </w:rPr>
        <w:t>PPA</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pacing w:val="1"/>
          <w:sz w:val="28"/>
          <w:szCs w:val="28"/>
        </w:rPr>
        <w:t>购电协议，乙方须将相应合</w:t>
      </w:r>
      <w:r>
        <w:rPr>
          <w:rFonts w:ascii="FangSong_GB2312" w:hAnsi="FangSong_GB2312" w:eastAsia="FangSong_GB2312" w:cs="FangSong_GB2312"/>
          <w:sz w:val="28"/>
          <w:szCs w:val="28"/>
        </w:rPr>
        <w:t xml:space="preserve">同定向等量分配 </w:t>
      </w:r>
      <w:r>
        <w:rPr>
          <w:rFonts w:ascii="FangSong_GB2312" w:hAnsi="FangSong_GB2312" w:eastAsia="FangSong_GB2312" w:cs="FangSong_GB2312"/>
          <w:spacing w:val="-1"/>
          <w:sz w:val="28"/>
          <w:szCs w:val="28"/>
        </w:rPr>
        <w:t>至甲方，不得分配给其他零售用户。</w:t>
      </w:r>
    </w:p>
    <w:p w14:paraId="00E806DE">
      <w:pPr>
        <w:adjustRightInd w:val="0"/>
        <w:snapToGrid w:val="0"/>
        <w:spacing w:before="134" w:line="259" w:lineRule="auto"/>
        <w:ind w:left="27" w:right="87" w:firstLine="548"/>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4.8</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3"/>
          <w:sz w:val="28"/>
          <w:szCs w:val="28"/>
        </w:rPr>
        <w:t>售电公司依据零售用户实际用电量结算零售收入，以平段电价方</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式计算零售收入，售电公司收益为零售市场收入减去批发市场支</w:t>
      </w:r>
      <w:r>
        <w:rPr>
          <w:rFonts w:ascii="FangSong_GB2312" w:hAnsi="FangSong_GB2312" w:eastAsia="FangSong_GB2312" w:cs="FangSong_GB2312"/>
          <w:spacing w:val="-2"/>
          <w:sz w:val="28"/>
          <w:szCs w:val="28"/>
        </w:rPr>
        <w:t>出。</w:t>
      </w:r>
    </w:p>
    <w:p w14:paraId="09276B6E">
      <w:pPr>
        <w:widowControl w:val="0"/>
        <w:adjustRightInd w:val="0"/>
        <w:snapToGrid w:val="0"/>
        <w:spacing w:line="429" w:lineRule="auto"/>
        <w:jc w:val="both"/>
        <w:outlineLvl w:val="9"/>
        <w:rPr>
          <w:rFonts w:ascii="宋体" w:hAnsi="宋体" w:cs="宋体" w:eastAsiaTheme="minorEastAsia"/>
          <w:kern w:val="2"/>
          <w:sz w:val="24"/>
          <w:szCs w:val="24"/>
          <w:lang w:val="en-US" w:eastAsia="zh-CN" w:bidi="ar-SA"/>
        </w:rPr>
      </w:pPr>
    </w:p>
    <w:p w14:paraId="6EC9B7C0">
      <w:pPr>
        <w:adjustRightInd w:val="0"/>
        <w:snapToGrid w:val="0"/>
        <w:spacing w:before="101" w:line="226" w:lineRule="auto"/>
        <w:ind w:left="2352"/>
        <w:outlineLvl w:val="9"/>
        <w:rPr>
          <w:rFonts w:ascii="黑体" w:hAnsi="黑体" w:eastAsia="黑体" w:cs="黑体"/>
          <w:sz w:val="31"/>
          <w:szCs w:val="31"/>
        </w:rPr>
      </w:pPr>
      <w:r>
        <w:rPr>
          <w:rFonts w:ascii="黑体" w:hAnsi="黑体" w:eastAsia="黑体" w:cs="黑体"/>
          <w:b/>
          <w:bCs/>
          <w:spacing w:val="6"/>
          <w:sz w:val="31"/>
          <w:szCs w:val="31"/>
        </w:rPr>
        <w:t>第五章</w:t>
      </w:r>
      <w:r>
        <w:rPr>
          <w:rFonts w:ascii="黑体" w:hAnsi="黑体" w:eastAsia="黑体" w:cs="黑体"/>
          <w:spacing w:val="6"/>
          <w:sz w:val="31"/>
          <w:szCs w:val="31"/>
        </w:rPr>
        <w:t xml:space="preserve"> </w:t>
      </w:r>
      <w:r>
        <w:rPr>
          <w:rFonts w:ascii="黑体" w:hAnsi="黑体" w:eastAsia="黑体" w:cs="黑体"/>
          <w:b/>
          <w:bCs/>
          <w:spacing w:val="6"/>
          <w:sz w:val="31"/>
          <w:szCs w:val="31"/>
        </w:rPr>
        <w:t>合同生效、变更和解除</w:t>
      </w:r>
    </w:p>
    <w:p w14:paraId="5BD50504">
      <w:pPr>
        <w:adjustRightInd w:val="0"/>
        <w:snapToGrid w:val="0"/>
        <w:spacing w:before="118" w:line="288" w:lineRule="auto"/>
        <w:ind w:right="87" w:firstLine="579"/>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5.1</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1"/>
          <w:sz w:val="28"/>
          <w:szCs w:val="28"/>
        </w:rPr>
        <w:t>本合同经甲乙双方签订并加盖印章后生效。</w:t>
      </w:r>
      <w:r>
        <w:rPr>
          <w:rFonts w:ascii="FangSong_GB2312" w:hAnsi="FangSong_GB2312" w:eastAsia="FangSong_GB2312" w:cs="FangSong_GB2312"/>
          <w:spacing w:val="-83"/>
          <w:sz w:val="28"/>
          <w:szCs w:val="28"/>
        </w:rPr>
        <w:t xml:space="preserve"> </w:t>
      </w:r>
      <w:r>
        <w:rPr>
          <w:rFonts w:ascii="FangSong_GB2312" w:hAnsi="FangSong_GB2312" w:eastAsia="FangSong_GB2312" w:cs="FangSong_GB2312"/>
          <w:spacing w:val="1"/>
          <w:sz w:val="28"/>
          <w:szCs w:val="28"/>
        </w:rPr>
        <w:t>甲乙双方需将签订的</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纸质合同提交至交易中心登记备案，并在交易平台录入零售结算</w:t>
      </w:r>
      <w:r>
        <w:rPr>
          <w:rFonts w:ascii="FangSong_GB2312" w:hAnsi="FangSong_GB2312" w:eastAsia="FangSong_GB2312" w:cs="FangSong_GB2312"/>
          <w:spacing w:val="1"/>
          <w:sz w:val="28"/>
          <w:szCs w:val="28"/>
        </w:rPr>
        <w:t>参数、上</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传本合同扫描件，作为双方建立代理关系的依据。甲乙双方须保</w:t>
      </w:r>
      <w:r>
        <w:rPr>
          <w:rFonts w:ascii="FangSong_GB2312" w:hAnsi="FangSong_GB2312" w:eastAsia="FangSong_GB2312" w:cs="FangSong_GB2312"/>
          <w:spacing w:val="1"/>
          <w:sz w:val="28"/>
          <w:szCs w:val="28"/>
        </w:rPr>
        <w:t>证纸质文</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件、扫描件、平台录入参数一致。交易中心将以本合同为依据进</w:t>
      </w:r>
      <w:r>
        <w:rPr>
          <w:rFonts w:ascii="FangSong_GB2312" w:hAnsi="FangSong_GB2312" w:eastAsia="FangSong_GB2312" w:cs="FangSong_GB2312"/>
          <w:spacing w:val="1"/>
          <w:sz w:val="28"/>
          <w:szCs w:val="28"/>
        </w:rPr>
        <w:t>行零售市</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场月度结算，如纸质合同和平台录入结算参数两者有差异，交易</w:t>
      </w:r>
      <w:r>
        <w:rPr>
          <w:rFonts w:ascii="FangSong_GB2312" w:hAnsi="FangSong_GB2312" w:eastAsia="FangSong_GB2312" w:cs="FangSong_GB2312"/>
          <w:spacing w:val="1"/>
          <w:sz w:val="28"/>
          <w:szCs w:val="28"/>
        </w:rPr>
        <w:t>中心以交</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易平台录入数据为准开展结算。</w:t>
      </w:r>
    </w:p>
    <w:p w14:paraId="704B3EA4">
      <w:pPr>
        <w:adjustRightInd w:val="0"/>
        <w:snapToGrid w:val="0"/>
        <w:spacing w:before="136" w:line="281" w:lineRule="auto"/>
        <w:ind w:left="5" w:right="87" w:firstLine="57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5.2 甲乙双方可对本合同中尚未履约月份的零售结算参数进行变更，</w:t>
      </w:r>
      <w:r>
        <w:rPr>
          <w:rFonts w:ascii="FangSong_GB2312" w:hAnsi="FangSong_GB2312" w:eastAsia="FangSong_GB2312" w:cs="FangSong_GB2312"/>
          <w:spacing w:val="9"/>
          <w:sz w:val="28"/>
          <w:szCs w:val="28"/>
        </w:rPr>
        <w:t xml:space="preserve"> </w:t>
      </w:r>
      <w:r>
        <w:rPr>
          <w:rFonts w:ascii="FangSong_GB2312" w:hAnsi="FangSong_GB2312" w:eastAsia="FangSong_GB2312" w:cs="FangSong_GB2312"/>
          <w:spacing w:val="2"/>
          <w:sz w:val="28"/>
          <w:szCs w:val="28"/>
        </w:rPr>
        <w:t>须在交易平台进行零售结算参数的调整，并同步将变</w:t>
      </w:r>
      <w:r>
        <w:rPr>
          <w:rFonts w:ascii="FangSong_GB2312" w:hAnsi="FangSong_GB2312" w:eastAsia="FangSong_GB2312" w:cs="FangSong_GB2312"/>
          <w:spacing w:val="1"/>
          <w:sz w:val="28"/>
          <w:szCs w:val="28"/>
        </w:rPr>
        <w:t>更后的《北京市电力</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零售结算参数变更表</w:t>
      </w:r>
      <w:r>
        <w:rPr>
          <w:rFonts w:ascii="FangSong_GB2312" w:hAnsi="FangSong_GB2312" w:eastAsia="FangSong_GB2312" w:cs="FangSong_GB2312"/>
          <w:spacing w:val="17"/>
          <w:sz w:val="28"/>
          <w:szCs w:val="28"/>
        </w:rPr>
        <w:t>）（</w:t>
      </w:r>
      <w:r>
        <w:rPr>
          <w:rFonts w:ascii="FangSong_GB2312" w:hAnsi="FangSong_GB2312" w:eastAsia="FangSong_GB2312" w:cs="FangSong_GB2312"/>
          <w:spacing w:val="-2"/>
          <w:sz w:val="28"/>
          <w:szCs w:val="28"/>
        </w:rPr>
        <w:t>2025</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2"/>
          <w:sz w:val="28"/>
          <w:szCs w:val="28"/>
        </w:rPr>
        <w:t>年）》提交至交易中心备案。在未同步完成</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平台调整、纸质文件备案前，仍按照调整前的合同履行。</w:t>
      </w:r>
    </w:p>
    <w:p w14:paraId="62B8354F">
      <w:pPr>
        <w:adjustRightInd w:val="0"/>
        <w:snapToGrid w:val="0"/>
        <w:spacing w:before="137" w:line="274" w:lineRule="auto"/>
        <w:ind w:left="15" w:right="87" w:firstLine="56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5.3 因国家法律、法规发生变化或者政府有关部门、能源监管机构出</w:t>
      </w:r>
      <w:r>
        <w:rPr>
          <w:rFonts w:ascii="FangSong_GB2312" w:hAnsi="FangSong_GB2312" w:eastAsia="FangSong_GB2312" w:cs="FangSong_GB2312"/>
          <w:spacing w:val="8"/>
          <w:sz w:val="28"/>
          <w:szCs w:val="28"/>
        </w:rPr>
        <w:t xml:space="preserve"> </w:t>
      </w:r>
      <w:r>
        <w:rPr>
          <w:rFonts w:ascii="FangSong_GB2312" w:hAnsi="FangSong_GB2312" w:eastAsia="FangSong_GB2312" w:cs="FangSong_GB2312"/>
          <w:spacing w:val="1"/>
          <w:sz w:val="28"/>
          <w:szCs w:val="28"/>
        </w:rPr>
        <w:t>台有关规定、规则，导致双方不能正常履行合同约定时，双方依据法律法</w:t>
      </w:r>
      <w:r>
        <w:rPr>
          <w:rFonts w:ascii="FangSong_GB2312" w:hAnsi="FangSong_GB2312" w:eastAsia="FangSong_GB2312" w:cs="FangSong_GB2312"/>
          <w:spacing w:val="13"/>
          <w:sz w:val="28"/>
          <w:szCs w:val="28"/>
        </w:rPr>
        <w:t xml:space="preserve"> </w:t>
      </w:r>
      <w:r>
        <w:rPr>
          <w:rFonts w:ascii="FangSong_GB2312" w:hAnsi="FangSong_GB2312" w:eastAsia="FangSong_GB2312" w:cs="FangSong_GB2312"/>
          <w:spacing w:val="-3"/>
          <w:sz w:val="28"/>
          <w:szCs w:val="28"/>
        </w:rPr>
        <w:t>规妥善解决。</w:t>
      </w:r>
    </w:p>
    <w:p w14:paraId="570FBBF8">
      <w:pPr>
        <w:spacing w:line="274" w:lineRule="auto"/>
        <w:outlineLvl w:val="9"/>
        <w:rPr>
          <w:rFonts w:ascii="FangSong_GB2312" w:hAnsi="FangSong_GB2312" w:eastAsia="FangSong_GB2312" w:cs="FangSong_GB2312"/>
          <w:sz w:val="28"/>
          <w:szCs w:val="28"/>
        </w:rPr>
        <w:sectPr>
          <w:footerReference r:id="rId23" w:type="default"/>
          <w:pgSz w:w="11906" w:h="16839"/>
          <w:pgMar w:top="1431" w:right="1352" w:bottom="1180" w:left="1444" w:header="0" w:footer="966" w:gutter="0"/>
          <w:pgNumType w:fmt="decimal"/>
          <w:cols w:space="720" w:num="1"/>
        </w:sectPr>
      </w:pPr>
    </w:p>
    <w:p w14:paraId="5C35624F">
      <w:pPr>
        <w:adjustRightInd w:val="0"/>
        <w:snapToGrid w:val="0"/>
        <w:spacing w:before="136" w:line="261" w:lineRule="auto"/>
        <w:ind w:left="4" w:firstLine="573"/>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5.4</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任何一方发生下列事件，另一方有权在发出书面解除通知后解除</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本合同：</w:t>
      </w:r>
    </w:p>
    <w:p w14:paraId="21CEDC77">
      <w:pPr>
        <w:adjustRightInd w:val="0"/>
        <w:snapToGrid w:val="0"/>
        <w:spacing w:before="131" w:line="258" w:lineRule="auto"/>
        <w:ind w:left="6" w:firstLine="571"/>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5.4.1</w:t>
      </w:r>
      <w:r>
        <w:rPr>
          <w:rFonts w:ascii="FangSong_GB2312" w:hAnsi="FangSong_GB2312" w:eastAsia="FangSong_GB2312" w:cs="FangSong_GB2312"/>
          <w:spacing w:val="-24"/>
          <w:sz w:val="28"/>
          <w:szCs w:val="28"/>
        </w:rPr>
        <w:t xml:space="preserve"> </w:t>
      </w:r>
      <w:r>
        <w:rPr>
          <w:rFonts w:ascii="FangSong_GB2312" w:hAnsi="FangSong_GB2312" w:eastAsia="FangSong_GB2312" w:cs="FangSong_GB2312"/>
          <w:spacing w:val="2"/>
          <w:sz w:val="28"/>
          <w:szCs w:val="28"/>
        </w:rPr>
        <w:t>一方不具备法律法规、电力交易规则确定的参与电力市场的准</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入条件或退出电力市场；</w:t>
      </w:r>
    </w:p>
    <w:p w14:paraId="19F8A202">
      <w:pPr>
        <w:adjustRightInd w:val="0"/>
        <w:snapToGrid w:val="0"/>
        <w:spacing w:before="136" w:line="214" w:lineRule="auto"/>
        <w:ind w:left="578"/>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5.4.2</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pacing w:val="-2"/>
          <w:sz w:val="28"/>
          <w:szCs w:val="28"/>
        </w:rPr>
        <w:t>一方被申请破产、清算或被吊销</w:t>
      </w:r>
      <w:r>
        <w:rPr>
          <w:rFonts w:ascii="FangSong_GB2312" w:hAnsi="FangSong_GB2312" w:eastAsia="FangSong_GB2312" w:cs="FangSong_GB2312"/>
          <w:spacing w:val="-3"/>
          <w:sz w:val="28"/>
          <w:szCs w:val="28"/>
        </w:rPr>
        <w:t>营业执照；</w:t>
      </w:r>
    </w:p>
    <w:p w14:paraId="0A55149E">
      <w:pPr>
        <w:adjustRightInd w:val="0"/>
        <w:snapToGrid w:val="0"/>
        <w:spacing w:before="136" w:line="258" w:lineRule="auto"/>
        <w:ind w:left="22" w:firstLine="555"/>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5.4.3</w:t>
      </w:r>
      <w:r>
        <w:rPr>
          <w:rFonts w:ascii="FangSong_GB2312" w:hAnsi="FangSong_GB2312" w:eastAsia="FangSong_GB2312" w:cs="FangSong_GB2312"/>
          <w:spacing w:val="-24"/>
          <w:sz w:val="28"/>
          <w:szCs w:val="28"/>
        </w:rPr>
        <w:t xml:space="preserve"> </w:t>
      </w:r>
      <w:r>
        <w:rPr>
          <w:rFonts w:ascii="FangSong_GB2312" w:hAnsi="FangSong_GB2312" w:eastAsia="FangSong_GB2312" w:cs="FangSong_GB2312"/>
          <w:spacing w:val="2"/>
          <w:sz w:val="28"/>
          <w:szCs w:val="28"/>
        </w:rPr>
        <w:t>一方与另一实体联合、合并或将其所有或大部分资产转移给另</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一实体，而该存续的企业不能合理地承担其在本合同项下的所有义务；</w:t>
      </w:r>
    </w:p>
    <w:p w14:paraId="2355503E">
      <w:pPr>
        <w:adjustRightInd w:val="0"/>
        <w:snapToGrid w:val="0"/>
        <w:spacing w:before="135" w:line="259" w:lineRule="auto"/>
        <w:ind w:firstLine="578"/>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5.4.4</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3"/>
          <w:sz w:val="28"/>
          <w:szCs w:val="28"/>
        </w:rPr>
        <w:t>被行政机关、行政机关授权的单位、司法机关列入不良信用单</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位。</w:t>
      </w:r>
    </w:p>
    <w:p w14:paraId="3E0E8429">
      <w:pPr>
        <w:widowControl w:val="0"/>
        <w:adjustRightInd w:val="0"/>
        <w:snapToGrid w:val="0"/>
        <w:spacing w:line="428" w:lineRule="auto"/>
        <w:jc w:val="both"/>
        <w:outlineLvl w:val="9"/>
        <w:rPr>
          <w:rFonts w:ascii="宋体" w:hAnsi="宋体" w:cs="宋体" w:eastAsiaTheme="minorEastAsia"/>
          <w:kern w:val="2"/>
          <w:sz w:val="24"/>
          <w:szCs w:val="24"/>
          <w:lang w:val="en-US" w:eastAsia="zh-CN" w:bidi="ar-SA"/>
        </w:rPr>
      </w:pPr>
    </w:p>
    <w:p w14:paraId="41BAB39C">
      <w:pPr>
        <w:adjustRightInd w:val="0"/>
        <w:snapToGrid w:val="0"/>
        <w:spacing w:before="101" w:line="227" w:lineRule="auto"/>
        <w:ind w:left="3154"/>
        <w:outlineLvl w:val="9"/>
        <w:rPr>
          <w:rFonts w:ascii="黑体" w:hAnsi="黑体" w:eastAsia="黑体" w:cs="黑体"/>
          <w:sz w:val="31"/>
          <w:szCs w:val="31"/>
        </w:rPr>
      </w:pPr>
      <w:r>
        <w:rPr>
          <w:rFonts w:ascii="黑体" w:hAnsi="黑体" w:eastAsia="黑体" w:cs="黑体"/>
          <w:b/>
          <w:bCs/>
          <w:spacing w:val="5"/>
          <w:sz w:val="31"/>
          <w:szCs w:val="31"/>
        </w:rPr>
        <w:t>第六章</w:t>
      </w:r>
      <w:r>
        <w:rPr>
          <w:rFonts w:ascii="黑体" w:hAnsi="黑体" w:eastAsia="黑体" w:cs="黑体"/>
          <w:spacing w:val="5"/>
          <w:sz w:val="31"/>
          <w:szCs w:val="31"/>
        </w:rPr>
        <w:t xml:space="preserve"> </w:t>
      </w:r>
      <w:r>
        <w:rPr>
          <w:rFonts w:ascii="黑体" w:hAnsi="黑体" w:eastAsia="黑体" w:cs="黑体"/>
          <w:b/>
          <w:bCs/>
          <w:spacing w:val="5"/>
          <w:sz w:val="31"/>
          <w:szCs w:val="31"/>
        </w:rPr>
        <w:t>违约和赔偿</w:t>
      </w:r>
    </w:p>
    <w:p w14:paraId="7A236D15">
      <w:pPr>
        <w:adjustRightInd w:val="0"/>
        <w:snapToGrid w:val="0"/>
        <w:spacing w:before="112" w:line="260" w:lineRule="auto"/>
        <w:ind w:left="8" w:firstLine="567"/>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6.1</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任一方违反本合同约定条款视为违约，合同守约方有权要求违约</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方赔偿违约造成的经济损失。</w:t>
      </w:r>
    </w:p>
    <w:p w14:paraId="1A038322">
      <w:pPr>
        <w:adjustRightInd w:val="0"/>
        <w:snapToGrid w:val="0"/>
        <w:spacing w:before="132" w:line="214" w:lineRule="auto"/>
        <w:ind w:left="576"/>
        <w:outlineLvl w:val="9"/>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6.2</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4"/>
          <w:sz w:val="28"/>
          <w:szCs w:val="28"/>
        </w:rPr>
        <w:t>违约的处理原则</w:t>
      </w:r>
    </w:p>
    <w:p w14:paraId="2F6D0C4D">
      <w:pPr>
        <w:adjustRightInd w:val="0"/>
        <w:snapToGrid w:val="0"/>
        <w:spacing w:before="138" w:line="292" w:lineRule="auto"/>
        <w:ind w:left="3" w:firstLine="563"/>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在本合同履行期限届满前，任何一方明确表示或</w:t>
      </w:r>
      <w:r>
        <w:rPr>
          <w:rFonts w:ascii="FangSong_GB2312" w:hAnsi="FangSong_GB2312" w:eastAsia="FangSong_GB2312" w:cs="FangSong_GB2312"/>
          <w:spacing w:val="1"/>
          <w:sz w:val="28"/>
          <w:szCs w:val="28"/>
        </w:rPr>
        <w:t>以自己的行为表明不</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履行合同义务的，另一方可在履行期限届满解除合同</w:t>
      </w:r>
      <w:r>
        <w:rPr>
          <w:rFonts w:ascii="FangSong_GB2312" w:hAnsi="FangSong_GB2312" w:eastAsia="FangSong_GB2312" w:cs="FangSong_GB2312"/>
          <w:spacing w:val="1"/>
          <w:sz w:val="28"/>
          <w:szCs w:val="28"/>
        </w:rPr>
        <w:t>并要求其承担相应的</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违约责任，因不可抗力导致的除外。</w:t>
      </w:r>
    </w:p>
    <w:p w14:paraId="563796ED">
      <w:pPr>
        <w:adjustRightInd w:val="0"/>
        <w:snapToGrid w:val="0"/>
        <w:spacing w:before="50" w:line="216" w:lineRule="auto"/>
        <w:ind w:left="576"/>
        <w:outlineLvl w:val="9"/>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6.3</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6"/>
          <w:sz w:val="28"/>
          <w:szCs w:val="28"/>
        </w:rPr>
        <w:t>违约赔偿</w:t>
      </w:r>
    </w:p>
    <w:p w14:paraId="4BD46D63">
      <w:pPr>
        <w:adjustRightInd w:val="0"/>
        <w:snapToGrid w:val="0"/>
        <w:spacing w:before="131" w:line="293" w:lineRule="auto"/>
        <w:ind w:left="3" w:firstLine="569"/>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如发生提交虚假信息、停产、变更、退市等行为，影响企业（单位）</w:t>
      </w:r>
      <w:r>
        <w:rPr>
          <w:rFonts w:ascii="FangSong_GB2312" w:hAnsi="FangSong_GB2312" w:eastAsia="FangSong_GB2312" w:cs="FangSong_GB2312"/>
          <w:spacing w:val="15"/>
          <w:sz w:val="28"/>
          <w:szCs w:val="28"/>
        </w:rPr>
        <w:t xml:space="preserve"> </w:t>
      </w:r>
      <w:r>
        <w:rPr>
          <w:rFonts w:ascii="FangSong_GB2312" w:hAnsi="FangSong_GB2312" w:eastAsia="FangSong_GB2312" w:cs="FangSong_GB2312"/>
          <w:spacing w:val="2"/>
          <w:sz w:val="28"/>
          <w:szCs w:val="28"/>
        </w:rPr>
        <w:t>履行合同义务的情形，违约方给守约方造成的一切直</w:t>
      </w:r>
      <w:r>
        <w:rPr>
          <w:rFonts w:ascii="FangSong_GB2312" w:hAnsi="FangSong_GB2312" w:eastAsia="FangSong_GB2312" w:cs="FangSong_GB2312"/>
          <w:spacing w:val="1"/>
          <w:sz w:val="28"/>
          <w:szCs w:val="28"/>
        </w:rPr>
        <w:t>接及间接损失，由违</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约方承担违约赔偿责任。</w:t>
      </w:r>
    </w:p>
    <w:p w14:paraId="59EE8401">
      <w:pPr>
        <w:adjustRightInd w:val="0"/>
        <w:snapToGrid w:val="0"/>
        <w:spacing w:before="49" w:line="213" w:lineRule="auto"/>
        <w:ind w:left="576"/>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6.4</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3"/>
          <w:sz w:val="28"/>
          <w:szCs w:val="28"/>
        </w:rPr>
        <w:t>违约金计算及支付方式</w:t>
      </w:r>
    </w:p>
    <w:p w14:paraId="2A79BF31">
      <w:pPr>
        <w:adjustRightInd w:val="0"/>
        <w:snapToGrid w:val="0"/>
        <w:spacing w:before="200" w:line="340" w:lineRule="auto"/>
        <w:ind w:left="13" w:firstLine="553"/>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违约方应向守约方支付违约造成的经济损失，该</w:t>
      </w:r>
      <w:r>
        <w:rPr>
          <w:rFonts w:ascii="FangSong_GB2312" w:hAnsi="FangSong_GB2312" w:eastAsia="FangSong_GB2312" w:cs="FangSong_GB2312"/>
          <w:spacing w:val="1"/>
          <w:sz w:val="28"/>
          <w:szCs w:val="28"/>
        </w:rPr>
        <w:t>违约金由双方自行结</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算赔偿。违约金计算标准按照本合同附件二违约赔偿条款执行。</w:t>
      </w:r>
    </w:p>
    <w:p w14:paraId="28C6C347">
      <w:pPr>
        <w:widowControl w:val="0"/>
        <w:adjustRightInd w:val="0"/>
        <w:snapToGrid w:val="0"/>
        <w:spacing w:line="307" w:lineRule="auto"/>
        <w:jc w:val="both"/>
        <w:outlineLvl w:val="9"/>
        <w:rPr>
          <w:rFonts w:ascii="宋体" w:hAnsi="宋体" w:cs="宋体" w:eastAsiaTheme="minorEastAsia"/>
          <w:kern w:val="2"/>
          <w:sz w:val="24"/>
          <w:szCs w:val="24"/>
          <w:lang w:val="en-US" w:eastAsia="zh-CN" w:bidi="ar-SA"/>
        </w:rPr>
      </w:pPr>
    </w:p>
    <w:p w14:paraId="45F1D0C0">
      <w:pPr>
        <w:adjustRightInd w:val="0"/>
        <w:snapToGrid w:val="0"/>
        <w:spacing w:before="101" w:line="227" w:lineRule="auto"/>
        <w:ind w:left="3154"/>
        <w:outlineLvl w:val="9"/>
        <w:rPr>
          <w:rFonts w:ascii="黑体" w:hAnsi="黑体" w:eastAsia="黑体" w:cs="黑体"/>
          <w:sz w:val="31"/>
          <w:szCs w:val="31"/>
        </w:rPr>
      </w:pPr>
      <w:r>
        <w:rPr>
          <w:rFonts w:ascii="黑体" w:hAnsi="黑体" w:eastAsia="黑体" w:cs="黑体"/>
          <w:b/>
          <w:bCs/>
          <w:spacing w:val="3"/>
          <w:sz w:val="31"/>
          <w:szCs w:val="31"/>
        </w:rPr>
        <w:t>第七章</w:t>
      </w:r>
      <w:r>
        <w:rPr>
          <w:rFonts w:ascii="黑体" w:hAnsi="黑体" w:eastAsia="黑体" w:cs="黑体"/>
          <w:spacing w:val="28"/>
          <w:sz w:val="31"/>
          <w:szCs w:val="31"/>
        </w:rPr>
        <w:t xml:space="preserve"> </w:t>
      </w:r>
      <w:r>
        <w:rPr>
          <w:rFonts w:ascii="黑体" w:hAnsi="黑体" w:eastAsia="黑体" w:cs="黑体"/>
          <w:b/>
          <w:bCs/>
          <w:spacing w:val="3"/>
          <w:sz w:val="31"/>
          <w:szCs w:val="31"/>
        </w:rPr>
        <w:t>争议的解决</w:t>
      </w:r>
    </w:p>
    <w:p w14:paraId="58F15466">
      <w:pPr>
        <w:adjustRightInd w:val="0"/>
        <w:snapToGrid w:val="0"/>
        <w:spacing w:before="112" w:line="293" w:lineRule="auto"/>
        <w:ind w:left="1" w:firstLine="575"/>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7.1</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凡因执行本合同所发生的与本合同有关的一切争议，双方应协商</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解决，也可提请政府相关部门进行调解。协商或调解不成</w:t>
      </w:r>
      <w:r>
        <w:rPr>
          <w:rFonts w:ascii="FangSong_GB2312" w:hAnsi="FangSong_GB2312" w:eastAsia="FangSong_GB2312" w:cs="FangSong_GB2312"/>
          <w:spacing w:val="1"/>
          <w:sz w:val="28"/>
          <w:szCs w:val="28"/>
        </w:rPr>
        <w:t>的，按本合同附</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件二争议解决条款约定的方式解决（二选一</w:t>
      </w:r>
      <w:r>
        <w:rPr>
          <w:rFonts w:ascii="FangSong_GB2312" w:hAnsi="FangSong_GB2312" w:eastAsia="FangSong_GB2312" w:cs="FangSong_GB2312"/>
          <w:spacing w:val="5"/>
          <w:sz w:val="28"/>
          <w:szCs w:val="28"/>
        </w:rPr>
        <w:t>）：</w:t>
      </w:r>
    </w:p>
    <w:p w14:paraId="1B0277CA">
      <w:pPr>
        <w:adjustRightInd w:val="0"/>
        <w:snapToGrid w:val="0"/>
        <w:spacing w:before="49" w:line="214" w:lineRule="auto"/>
        <w:jc w:val="right"/>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方式一：双方同意提请北京仲裁委员会，请求</w:t>
      </w:r>
      <w:r>
        <w:rPr>
          <w:rFonts w:ascii="FangSong_GB2312" w:hAnsi="FangSong_GB2312" w:eastAsia="FangSong_GB2312" w:cs="FangSong_GB2312"/>
          <w:spacing w:val="1"/>
          <w:sz w:val="28"/>
          <w:szCs w:val="28"/>
        </w:rPr>
        <w:t>按照其仲裁规则进行仲</w:t>
      </w:r>
    </w:p>
    <w:p w14:paraId="56956064">
      <w:pPr>
        <w:spacing w:line="214" w:lineRule="auto"/>
        <w:outlineLvl w:val="9"/>
        <w:rPr>
          <w:rFonts w:ascii="FangSong_GB2312" w:hAnsi="FangSong_GB2312" w:eastAsia="FangSong_GB2312" w:cs="FangSong_GB2312"/>
          <w:sz w:val="28"/>
          <w:szCs w:val="28"/>
        </w:rPr>
        <w:sectPr>
          <w:footerReference r:id="rId24" w:type="default"/>
          <w:pgSz w:w="11906" w:h="16839"/>
          <w:pgMar w:top="1431" w:right="1439" w:bottom="1180" w:left="1446" w:header="0" w:footer="966" w:gutter="0"/>
          <w:pgNumType w:fmt="decimal"/>
          <w:cols w:space="720" w:num="1"/>
        </w:sectPr>
      </w:pPr>
    </w:p>
    <w:p w14:paraId="6F77799A">
      <w:pPr>
        <w:adjustRightInd w:val="0"/>
        <w:snapToGrid w:val="0"/>
        <w:spacing w:before="137" w:line="213" w:lineRule="auto"/>
        <w:ind w:left="10"/>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裁，仲裁裁决是终局的，对各方均具有法律约束力。</w:t>
      </w:r>
    </w:p>
    <w:p w14:paraId="6E8BE2EA">
      <w:pPr>
        <w:adjustRightInd w:val="0"/>
        <w:snapToGrid w:val="0"/>
        <w:spacing w:before="137" w:line="289" w:lineRule="auto"/>
        <w:ind w:left="11" w:firstLine="562"/>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方式二：任何一方依法提请原告方所在地人民</w:t>
      </w:r>
      <w:r>
        <w:rPr>
          <w:rFonts w:ascii="FangSong_GB2312" w:hAnsi="FangSong_GB2312" w:eastAsia="FangSong_GB2312" w:cs="FangSong_GB2312"/>
          <w:spacing w:val="1"/>
          <w:sz w:val="28"/>
          <w:szCs w:val="28"/>
        </w:rPr>
        <w:t>法院通过民事诉讼程序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解决。</w:t>
      </w:r>
    </w:p>
    <w:p w14:paraId="3AECC25D">
      <w:pPr>
        <w:adjustRightInd w:val="0"/>
        <w:snapToGrid w:val="0"/>
        <w:spacing w:before="320" w:line="227" w:lineRule="auto"/>
        <w:ind w:left="3640"/>
        <w:outlineLvl w:val="9"/>
        <w:rPr>
          <w:rFonts w:ascii="黑体" w:hAnsi="黑体" w:eastAsia="黑体" w:cs="黑体"/>
          <w:sz w:val="31"/>
          <w:szCs w:val="31"/>
        </w:rPr>
      </w:pPr>
      <w:r>
        <w:rPr>
          <w:rFonts w:ascii="黑体" w:hAnsi="黑体" w:eastAsia="黑体" w:cs="黑体"/>
          <w:b/>
          <w:bCs/>
          <w:spacing w:val="-2"/>
          <w:sz w:val="31"/>
          <w:szCs w:val="31"/>
        </w:rPr>
        <w:t>第八章</w:t>
      </w:r>
      <w:r>
        <w:rPr>
          <w:rFonts w:ascii="黑体" w:hAnsi="黑体" w:eastAsia="黑体" w:cs="黑体"/>
          <w:spacing w:val="39"/>
          <w:sz w:val="31"/>
          <w:szCs w:val="31"/>
        </w:rPr>
        <w:t xml:space="preserve"> </w:t>
      </w:r>
      <w:r>
        <w:rPr>
          <w:rFonts w:ascii="黑体" w:hAnsi="黑体" w:eastAsia="黑体" w:cs="黑体"/>
          <w:b/>
          <w:bCs/>
          <w:spacing w:val="-2"/>
          <w:sz w:val="31"/>
          <w:szCs w:val="31"/>
        </w:rPr>
        <w:t>附则</w:t>
      </w:r>
    </w:p>
    <w:p w14:paraId="5A677281">
      <w:pPr>
        <w:adjustRightInd w:val="0"/>
        <w:snapToGrid w:val="0"/>
        <w:spacing w:before="116" w:line="288" w:lineRule="auto"/>
        <w:ind w:firstLine="582"/>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8.1 甲乙双方对交易信息应履行保密义务，不得泄露商业机密。</w:t>
      </w:r>
      <w:r>
        <w:rPr>
          <w:rFonts w:ascii="FangSong_GB2312" w:hAnsi="FangSong_GB2312" w:eastAsia="FangSong_GB2312" w:cs="FangSong_GB2312"/>
          <w:spacing w:val="-66"/>
          <w:sz w:val="28"/>
          <w:szCs w:val="28"/>
        </w:rPr>
        <w:t xml:space="preserve"> </w:t>
      </w:r>
      <w:r>
        <w:rPr>
          <w:rFonts w:ascii="FangSong_GB2312" w:hAnsi="FangSong_GB2312" w:eastAsia="FangSong_GB2312" w:cs="FangSong_GB2312"/>
          <w:spacing w:val="-1"/>
          <w:sz w:val="28"/>
          <w:szCs w:val="28"/>
        </w:rPr>
        <w:t>甲乙</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1"/>
          <w:sz w:val="28"/>
          <w:szCs w:val="28"/>
        </w:rPr>
        <w:t>双方均应保证其从另一方取得的所有无法自公开渠道获得的资料和文件</w:t>
      </w:r>
      <w:r>
        <w:rPr>
          <w:rFonts w:ascii="FangSong_GB2312" w:hAnsi="FangSong_GB2312" w:eastAsia="FangSong_GB2312" w:cs="FangSong_GB2312"/>
          <w:spacing w:val="3"/>
          <w:sz w:val="28"/>
          <w:szCs w:val="28"/>
        </w:rPr>
        <w:t xml:space="preserve"> </w:t>
      </w:r>
      <w:r>
        <w:rPr>
          <w:rFonts w:ascii="FangSong_GB2312" w:hAnsi="FangSong_GB2312" w:eastAsia="FangSong_GB2312" w:cs="FangSong_GB2312"/>
          <w:spacing w:val="2"/>
          <w:sz w:val="28"/>
          <w:szCs w:val="28"/>
        </w:rPr>
        <w:t>（包括财务、技术等内容）予以保密。未经该资料和文件的原提供方书面</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同意，不得向任何第三方透露该资料和文件的全部或任何部分，但按照法</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律、法规规定可做出披露的情况除外，政府监管部门、市场交易机构等具</w:t>
      </w:r>
      <w:r>
        <w:rPr>
          <w:rFonts w:ascii="FangSong_GB2312" w:hAnsi="FangSong_GB2312" w:eastAsia="FangSong_GB2312" w:cs="FangSong_GB2312"/>
          <w:sz w:val="28"/>
          <w:szCs w:val="28"/>
        </w:rPr>
        <w:t xml:space="preserve"> 备查阅资格的单位除外。</w:t>
      </w:r>
    </w:p>
    <w:p w14:paraId="47483527">
      <w:pPr>
        <w:adjustRightInd w:val="0"/>
        <w:snapToGrid w:val="0"/>
        <w:spacing w:before="136" w:line="214" w:lineRule="auto"/>
        <w:ind w:left="582"/>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8.2</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2"/>
          <w:sz w:val="28"/>
          <w:szCs w:val="28"/>
        </w:rPr>
        <w:t>本合同中保密的条款在本合同解除后仍然有效。</w:t>
      </w:r>
    </w:p>
    <w:p w14:paraId="3DDC8933">
      <w:pPr>
        <w:adjustRightInd w:val="0"/>
        <w:snapToGrid w:val="0"/>
        <w:spacing w:before="138" w:line="273" w:lineRule="auto"/>
        <w:ind w:left="10" w:firstLine="572"/>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8.3</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本合同及其附件构成双方就本合同标的达成的全部内容，应视为</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构成合同文件不可分割的部分。交易中心按本合同</w:t>
      </w:r>
      <w:r>
        <w:rPr>
          <w:rFonts w:ascii="FangSong_GB2312" w:hAnsi="FangSong_GB2312" w:eastAsia="FangSong_GB2312" w:cs="FangSong_GB2312"/>
          <w:spacing w:val="1"/>
          <w:sz w:val="28"/>
          <w:szCs w:val="28"/>
        </w:rPr>
        <w:t>约定的结算模式出具结</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算依据。</w:t>
      </w:r>
    </w:p>
    <w:p w14:paraId="19773C5E">
      <w:pPr>
        <w:adjustRightInd w:val="0"/>
        <w:snapToGrid w:val="0"/>
        <w:spacing w:before="136" w:line="259" w:lineRule="auto"/>
        <w:ind w:left="17" w:firstLine="565"/>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8.4</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本合同的订立、效力、解释、履行和争议解决均适用中华人民共</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和国法律。</w:t>
      </w:r>
    </w:p>
    <w:p w14:paraId="3E2E1E1B">
      <w:pPr>
        <w:adjustRightInd w:val="0"/>
        <w:snapToGrid w:val="0"/>
        <w:spacing w:before="135" w:line="281" w:lineRule="auto"/>
        <w:ind w:left="8" w:firstLine="574"/>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8.5</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本合同签署页及附件一、附件二须由甲乙双方法定代表人或授权</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代理人签署并加盖公章或合同专用章后生效，合同正文</w:t>
      </w:r>
      <w:r>
        <w:rPr>
          <w:rFonts w:ascii="FangSong_GB2312" w:hAnsi="FangSong_GB2312" w:eastAsia="FangSong_GB2312" w:cs="FangSong_GB2312"/>
          <w:spacing w:val="1"/>
          <w:sz w:val="28"/>
          <w:szCs w:val="28"/>
        </w:rPr>
        <w:t>及附件需加盖骑缝</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章。合同签订日期以双方中最后一方签署并加盖公章或</w:t>
      </w:r>
      <w:r>
        <w:rPr>
          <w:rFonts w:ascii="FangSong_GB2312" w:hAnsi="FangSong_GB2312" w:eastAsia="FangSong_GB2312" w:cs="FangSong_GB2312"/>
          <w:spacing w:val="1"/>
          <w:sz w:val="28"/>
          <w:szCs w:val="28"/>
        </w:rPr>
        <w:t>合同专用章的日期</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为准。</w:t>
      </w:r>
    </w:p>
    <w:p w14:paraId="7248F9BD">
      <w:pPr>
        <w:adjustRightInd w:val="0"/>
        <w:snapToGrid w:val="0"/>
        <w:spacing w:before="135" w:line="258" w:lineRule="auto"/>
        <w:ind w:left="19" w:right="64" w:firstLine="563"/>
        <w:outlineLvl w:val="9"/>
        <w:rPr>
          <w:rFonts w:ascii="FangSong_GB2312" w:hAnsi="FangSong_GB2312" w:eastAsia="FangSong_GB2312" w:cs="FangSong_GB2312"/>
          <w:sz w:val="28"/>
          <w:szCs w:val="28"/>
        </w:rPr>
      </w:pPr>
      <w:r>
        <w:rPr>
          <w:rFonts w:ascii="FangSong_GB2312" w:hAnsi="FangSong_GB2312" w:eastAsia="FangSong_GB2312" w:cs="FangSong_GB2312"/>
          <w:sz w:val="28"/>
          <w:szCs w:val="28"/>
        </w:rPr>
        <w:t>8.6</w:t>
      </w:r>
      <w:r>
        <w:rPr>
          <w:rFonts w:ascii="FangSong_GB2312" w:hAnsi="FangSong_GB2312" w:eastAsia="FangSong_GB2312" w:cs="FangSong_GB2312"/>
          <w:spacing w:val="-45"/>
          <w:sz w:val="28"/>
          <w:szCs w:val="28"/>
        </w:rPr>
        <w:t xml:space="preserve"> </w:t>
      </w:r>
      <w:r>
        <w:rPr>
          <w:rFonts w:ascii="FangSong_GB2312" w:hAnsi="FangSong_GB2312" w:eastAsia="FangSong_GB2312" w:cs="FangSong_GB2312"/>
          <w:sz w:val="28"/>
          <w:szCs w:val="28"/>
        </w:rPr>
        <w:t>本合同一式</w:t>
      </w:r>
      <w:r>
        <w:rPr>
          <w:rFonts w:ascii="FangSong_GB2312" w:hAnsi="FangSong_GB2312" w:eastAsia="FangSong_GB2312" w:cs="FangSong_GB2312"/>
          <w:spacing w:val="-136"/>
          <w:sz w:val="28"/>
          <w:szCs w:val="28"/>
        </w:rPr>
        <w:t xml:space="preserve"> </w:t>
      </w:r>
      <w:r>
        <w:rPr>
          <w:rFonts w:ascii="FangSong_GB2312" w:hAnsi="FangSong_GB2312" w:eastAsia="FangSong_GB2312" w:cs="FangSong_GB2312"/>
          <w:spacing w:val="5"/>
          <w:sz w:val="28"/>
          <w:szCs w:val="28"/>
          <w:u w:val="single" w:color="auto"/>
        </w:rPr>
        <w:t xml:space="preserve">  </w:t>
      </w:r>
      <w:r>
        <w:rPr>
          <w:rFonts w:ascii="FangSong_GB2312" w:hAnsi="FangSong_GB2312" w:eastAsia="FangSong_GB2312" w:cs="FangSong_GB2312"/>
          <w:spacing w:val="-132"/>
          <w:sz w:val="28"/>
          <w:szCs w:val="28"/>
        </w:rPr>
        <w:t xml:space="preserve"> </w:t>
      </w:r>
      <w:r>
        <w:rPr>
          <w:rFonts w:ascii="FangSong_GB2312" w:hAnsi="FangSong_GB2312" w:eastAsia="FangSong_GB2312" w:cs="FangSong_GB2312"/>
          <w:sz w:val="28"/>
          <w:szCs w:val="28"/>
        </w:rPr>
        <w:t xml:space="preserve">份，甲、乙双方各执一份，报交易中心备案一份， </w:t>
      </w:r>
      <w:r>
        <w:rPr>
          <w:rFonts w:ascii="FangSong_GB2312" w:hAnsi="FangSong_GB2312" w:eastAsia="FangSong_GB2312" w:cs="FangSong_GB2312"/>
          <w:spacing w:val="-2"/>
          <w:sz w:val="28"/>
          <w:szCs w:val="28"/>
        </w:rPr>
        <w:t>具有同等法律效力。</w:t>
      </w:r>
    </w:p>
    <w:p w14:paraId="331C6EF7">
      <w:pPr>
        <w:adjustRightInd w:val="0"/>
        <w:snapToGrid w:val="0"/>
        <w:spacing w:before="136" w:line="214" w:lineRule="auto"/>
        <w:ind w:left="280"/>
        <w:outlineLvl w:val="9"/>
        <w:rPr>
          <w:rFonts w:ascii="FangSong_GB2312" w:hAnsi="FangSong_GB2312" w:eastAsia="FangSong_GB2312" w:cs="FangSong_GB2312"/>
          <w:sz w:val="28"/>
          <w:szCs w:val="28"/>
        </w:rPr>
      </w:pPr>
      <w:r>
        <w:rPr>
          <w:rFonts w:ascii="FangSong_GB2312" w:hAnsi="FangSong_GB2312" w:eastAsia="FangSong_GB2312" w:cs="FangSong_GB2312"/>
          <w:sz w:val="28"/>
          <w:szCs w:val="28"/>
        </w:rPr>
        <w:t>（以下无正文，为签署页）</w:t>
      </w:r>
    </w:p>
    <w:p w14:paraId="04DED027">
      <w:pPr>
        <w:spacing w:line="214" w:lineRule="auto"/>
        <w:outlineLvl w:val="9"/>
        <w:rPr>
          <w:rFonts w:ascii="FangSong_GB2312" w:hAnsi="FangSong_GB2312" w:eastAsia="FangSong_GB2312" w:cs="FangSong_GB2312"/>
          <w:sz w:val="28"/>
          <w:szCs w:val="28"/>
        </w:rPr>
        <w:sectPr>
          <w:footerReference r:id="rId25" w:type="default"/>
          <w:pgSz w:w="11906" w:h="16839"/>
          <w:pgMar w:top="1431" w:right="1439" w:bottom="1180" w:left="1440" w:header="0" w:footer="966" w:gutter="0"/>
          <w:pgNumType w:fmt="decimal"/>
          <w:cols w:space="720" w:num="1"/>
        </w:sectPr>
      </w:pPr>
    </w:p>
    <w:p w14:paraId="23EDB131">
      <w:pPr>
        <w:adjustRightInd w:val="0"/>
        <w:snapToGrid w:val="0"/>
        <w:spacing w:before="102" w:line="228" w:lineRule="auto"/>
        <w:ind w:left="3698"/>
        <w:outlineLvl w:val="9"/>
        <w:rPr>
          <w:rFonts w:ascii="黑体" w:hAnsi="黑体" w:eastAsia="黑体" w:cs="黑体"/>
          <w:sz w:val="31"/>
          <w:szCs w:val="31"/>
        </w:rPr>
      </w:pPr>
      <w:r>
        <w:rPr>
          <w:rFonts w:ascii="黑体" w:hAnsi="黑体" w:eastAsia="黑体" w:cs="黑体"/>
          <w:b/>
          <w:bCs/>
          <w:spacing w:val="3"/>
          <w:sz w:val="31"/>
          <w:szCs w:val="31"/>
        </w:rPr>
        <w:t>签署页</w:t>
      </w:r>
    </w:p>
    <w:p w14:paraId="4BA62F17">
      <w:pPr>
        <w:adjustRightInd w:val="0"/>
        <w:snapToGrid w:val="0"/>
        <w:spacing w:before="33" w:line="300" w:lineRule="auto"/>
        <w:outlineLvl w:val="9"/>
        <w:rPr>
          <w:rFonts w:asciiTheme="minorEastAsia" w:hAnsiTheme="minorHAnsi" w:eastAsiaTheme="minorEastAsia" w:cstheme="minorBidi"/>
          <w:sz w:val="24"/>
          <w:szCs w:val="21"/>
        </w:rPr>
      </w:pPr>
    </w:p>
    <w:p w14:paraId="310442ED">
      <w:pPr>
        <w:adjustRightInd w:val="0"/>
        <w:snapToGrid w:val="0"/>
        <w:spacing w:before="32" w:line="300" w:lineRule="auto"/>
        <w:outlineLvl w:val="9"/>
        <w:rPr>
          <w:rFonts w:asciiTheme="minorEastAsia" w:hAnsiTheme="minorHAnsi" w:eastAsiaTheme="minorEastAsia" w:cstheme="minorBidi"/>
          <w:sz w:val="24"/>
          <w:szCs w:val="21"/>
        </w:rPr>
      </w:pPr>
    </w:p>
    <w:p w14:paraId="3B111A46">
      <w:pPr>
        <w:adjustRightInd w:val="0"/>
        <w:snapToGrid w:val="0"/>
        <w:spacing w:before="32" w:line="300" w:lineRule="auto"/>
        <w:outlineLvl w:val="9"/>
        <w:rPr>
          <w:rFonts w:asciiTheme="minorEastAsia" w:hAnsiTheme="minorHAnsi" w:eastAsiaTheme="minorEastAsia" w:cstheme="minorBidi"/>
          <w:sz w:val="24"/>
          <w:szCs w:val="21"/>
        </w:rPr>
      </w:pPr>
    </w:p>
    <w:p w14:paraId="05E72CBD">
      <w:pPr>
        <w:adjustRightInd w:val="0"/>
        <w:snapToGrid w:val="0"/>
        <w:spacing w:before="32" w:line="300" w:lineRule="auto"/>
        <w:outlineLvl w:val="9"/>
        <w:rPr>
          <w:rFonts w:asciiTheme="minorEastAsia" w:hAnsiTheme="minorHAnsi" w:eastAsiaTheme="minorEastAsia" w:cstheme="minorBidi"/>
          <w:sz w:val="24"/>
          <w:szCs w:val="21"/>
        </w:rPr>
      </w:pPr>
    </w:p>
    <w:p w14:paraId="61812946">
      <w:pPr>
        <w:outlineLvl w:val="9"/>
        <w:sectPr>
          <w:footerReference r:id="rId26" w:type="default"/>
          <w:pgSz w:w="11906" w:h="16839"/>
          <w:pgMar w:top="1431" w:right="1785" w:bottom="1180" w:left="1785" w:header="0" w:footer="966" w:gutter="0"/>
          <w:pgNumType w:fmt="decimal"/>
          <w:cols w:equalWidth="0" w:num="1">
            <w:col w:w="8335"/>
          </w:cols>
        </w:sectPr>
      </w:pPr>
    </w:p>
    <w:p w14:paraId="0317F301">
      <w:pPr>
        <w:adjustRightInd w:val="0"/>
        <w:snapToGrid w:val="0"/>
        <w:spacing w:before="56" w:line="289" w:lineRule="auto"/>
        <w:ind w:left="14" w:right="2161" w:firstLine="51"/>
        <w:outlineLvl w:val="9"/>
        <w:rPr>
          <w:rFonts w:ascii="FangSong_GB2312" w:hAnsi="FangSong_GB2312" w:eastAsia="FangSong_GB2312" w:cs="FangSong_GB2312"/>
          <w:sz w:val="28"/>
          <w:szCs w:val="28"/>
        </w:rPr>
      </w:pPr>
      <w:r>
        <w:rPr>
          <w:rFonts w:ascii="FangSong_GB2312" w:hAnsi="FangSong_GB2312" w:eastAsia="FangSong_GB2312" w:cs="FangSong_GB2312"/>
          <w:spacing w:val="-16"/>
          <w:sz w:val="28"/>
          <w:szCs w:val="28"/>
        </w:rPr>
        <w:t>甲方（零售用户</w:t>
      </w:r>
      <w:r>
        <w:rPr>
          <w:rFonts w:ascii="FangSong_GB2312" w:hAnsi="FangSong_GB2312" w:eastAsia="FangSong_GB2312" w:cs="FangSong_GB2312"/>
          <w:spacing w:val="-48"/>
          <w:sz w:val="28"/>
          <w:szCs w:val="28"/>
        </w:rPr>
        <w:t>）：</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5"/>
          <w:sz w:val="28"/>
          <w:szCs w:val="28"/>
        </w:rPr>
        <w:t>（盖章）</w:t>
      </w:r>
    </w:p>
    <w:p w14:paraId="22A423D3">
      <w:pPr>
        <w:adjustRightInd w:val="0"/>
        <w:snapToGrid w:val="0"/>
        <w:spacing w:before="43" w:line="287" w:lineRule="auto"/>
        <w:ind w:left="22" w:right="1546" w:firstLine="12"/>
        <w:outlineLvl w:val="9"/>
        <w:rPr>
          <w:rFonts w:ascii="FangSong_GB2312" w:hAnsi="FangSong_GB2312" w:eastAsia="FangSong_GB2312" w:cs="FangSong_GB2312"/>
          <w:sz w:val="28"/>
          <w:szCs w:val="28"/>
        </w:rPr>
      </w:pPr>
      <w:r>
        <w:rPr>
          <w:rFonts w:ascii="FangSong_GB2312" w:hAnsi="FangSong_GB2312" w:eastAsia="FangSong_GB2312" w:cs="FangSong_GB2312"/>
          <w:spacing w:val="-11"/>
          <w:sz w:val="28"/>
          <w:szCs w:val="28"/>
        </w:rPr>
        <w:t>法定代表人（负责人）或</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0"/>
          <w:sz w:val="28"/>
          <w:szCs w:val="28"/>
        </w:rPr>
        <w:t>授权代表（签字</w:t>
      </w:r>
      <w:r>
        <w:rPr>
          <w:rFonts w:ascii="FangSong_GB2312" w:hAnsi="FangSong_GB2312" w:eastAsia="FangSong_GB2312" w:cs="FangSong_GB2312"/>
          <w:spacing w:val="3"/>
          <w:sz w:val="28"/>
          <w:szCs w:val="28"/>
        </w:rPr>
        <w:t>）：</w:t>
      </w:r>
    </w:p>
    <w:p w14:paraId="1BAB8472">
      <w:pPr>
        <w:adjustRightInd w:val="0"/>
        <w:snapToGrid w:val="0"/>
        <w:spacing w:before="49" w:line="291" w:lineRule="auto"/>
        <w:ind w:left="22" w:right="3241" w:firstLine="10"/>
        <w:outlineLvl w:val="9"/>
        <w:rPr>
          <w:rFonts w:ascii="FangSong_GB2312" w:hAnsi="FangSong_GB2312" w:eastAsia="FangSong_GB2312" w:cs="FangSong_GB2312"/>
          <w:sz w:val="28"/>
          <w:szCs w:val="28"/>
        </w:rPr>
      </w:pPr>
      <w:r>
        <w:rPr>
          <w:rFonts w:ascii="FangSong_GB2312" w:hAnsi="FangSong_GB2312" w:eastAsia="FangSong_GB2312" w:cs="FangSong_GB2312"/>
          <w:spacing w:val="-27"/>
          <w:sz w:val="28"/>
          <w:szCs w:val="28"/>
        </w:rPr>
        <w:t>签订日期：</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7"/>
          <w:sz w:val="28"/>
          <w:szCs w:val="28"/>
        </w:rPr>
        <w:t>地址：</w:t>
      </w:r>
    </w:p>
    <w:p w14:paraId="4F88A743">
      <w:pPr>
        <w:adjustRightInd w:val="0"/>
        <w:snapToGrid w:val="0"/>
        <w:spacing w:before="37" w:line="214" w:lineRule="auto"/>
        <w:ind w:left="37"/>
        <w:outlineLvl w:val="9"/>
        <w:rPr>
          <w:rFonts w:ascii="FangSong_GB2312" w:hAnsi="FangSong_GB2312" w:eastAsia="FangSong_GB2312" w:cs="FangSong_GB2312"/>
          <w:sz w:val="28"/>
          <w:szCs w:val="28"/>
        </w:rPr>
      </w:pPr>
      <w:r>
        <w:rPr>
          <w:rFonts w:ascii="FangSong_GB2312" w:hAnsi="FangSong_GB2312" w:eastAsia="FangSong_GB2312" w:cs="FangSong_GB2312"/>
          <w:spacing w:val="-12"/>
          <w:sz w:val="28"/>
          <w:szCs w:val="28"/>
        </w:rPr>
        <w:t>邮编：</w:t>
      </w:r>
    </w:p>
    <w:p w14:paraId="1592B417">
      <w:pPr>
        <w:adjustRightInd w:val="0"/>
        <w:snapToGrid w:val="0"/>
        <w:spacing w:before="136" w:line="244" w:lineRule="auto"/>
        <w:ind w:left="57" w:right="3513" w:hanging="32"/>
        <w:outlineLvl w:val="9"/>
        <w:rPr>
          <w:rFonts w:ascii="FangSong_GB2312" w:hAnsi="FangSong_GB2312" w:eastAsia="FangSong_GB2312" w:cs="FangSong_GB2312"/>
          <w:sz w:val="28"/>
          <w:szCs w:val="28"/>
        </w:rPr>
      </w:pPr>
      <w:r>
        <w:rPr>
          <w:rFonts w:ascii="FangSong_GB2312" w:hAnsi="FangSong_GB2312" w:eastAsia="FangSong_GB2312" w:cs="FangSong_GB2312"/>
          <w:spacing w:val="-30"/>
          <w:sz w:val="28"/>
          <w:szCs w:val="28"/>
        </w:rPr>
        <w:t>联系人：</w:t>
      </w:r>
      <w:r>
        <w:rPr>
          <w:rFonts w:ascii="FangSong_GB2312" w:hAnsi="FangSong_GB2312" w:eastAsia="FangSong_GB2312" w:cs="FangSong_GB2312"/>
          <w:spacing w:val="2"/>
          <w:sz w:val="28"/>
          <w:szCs w:val="28"/>
        </w:rPr>
        <w:t xml:space="preserve"> </w:t>
      </w:r>
      <w:r>
        <w:rPr>
          <w:rFonts w:ascii="FangSong_GB2312" w:hAnsi="FangSong_GB2312" w:eastAsia="FangSong_GB2312" w:cs="FangSong_GB2312"/>
          <w:spacing w:val="-19"/>
          <w:sz w:val="28"/>
          <w:szCs w:val="28"/>
        </w:rPr>
        <w:t>电话：</w:t>
      </w:r>
    </w:p>
    <w:p w14:paraId="59134111">
      <w:pPr>
        <w:widowControl w:val="0"/>
        <w:adjustRightInd w:val="0"/>
        <w:snapToGrid w:val="0"/>
        <w:spacing w:line="14" w:lineRule="auto"/>
        <w:jc w:val="both"/>
        <w:outlineLvl w:val="9"/>
        <w:rPr>
          <w:rFonts w:ascii="宋体" w:hAnsi="宋体" w:cs="宋体" w:eastAsiaTheme="minorEastAsia"/>
          <w:kern w:val="2"/>
          <w:sz w:val="2"/>
          <w:szCs w:val="24"/>
          <w:lang w:val="en-US" w:eastAsia="zh-CN" w:bidi="ar-SA"/>
        </w:rPr>
      </w:pPr>
      <w:r>
        <w:rPr>
          <w:rFonts w:ascii="宋体" w:hAnsi="宋体" w:cs="宋体" w:eastAsiaTheme="minorEastAsia"/>
          <w:kern w:val="2"/>
          <w:sz w:val="2"/>
          <w:szCs w:val="2"/>
          <w:lang w:val="en-US" w:eastAsia="zh-CN" w:bidi="ar-SA"/>
        </w:rPr>
        <w:br w:type="column"/>
      </w:r>
    </w:p>
    <w:p w14:paraId="39A346BF">
      <w:pPr>
        <w:adjustRightInd w:val="0"/>
        <w:snapToGrid w:val="0"/>
        <w:spacing w:before="54" w:line="289" w:lineRule="auto"/>
        <w:ind w:right="1327" w:firstLine="48"/>
        <w:outlineLvl w:val="9"/>
        <w:rPr>
          <w:rFonts w:ascii="FangSong_GB2312" w:hAnsi="FangSong_GB2312" w:eastAsia="FangSong_GB2312" w:cs="FangSong_GB2312"/>
          <w:sz w:val="28"/>
          <w:szCs w:val="28"/>
        </w:rPr>
      </w:pPr>
      <w:r>
        <w:rPr>
          <w:rFonts w:ascii="FangSong_GB2312" w:hAnsi="FangSong_GB2312" w:eastAsia="FangSong_GB2312" w:cs="FangSong_GB2312"/>
          <w:spacing w:val="-16"/>
          <w:sz w:val="28"/>
          <w:szCs w:val="28"/>
        </w:rPr>
        <w:t>乙方（售电公司</w:t>
      </w:r>
      <w:r>
        <w:rPr>
          <w:rFonts w:ascii="FangSong_GB2312" w:hAnsi="FangSong_GB2312" w:eastAsia="FangSong_GB2312" w:cs="FangSong_GB2312"/>
          <w:spacing w:val="-47"/>
          <w:sz w:val="28"/>
          <w:szCs w:val="28"/>
        </w:rPr>
        <w:t>）：</w:t>
      </w:r>
      <w:r>
        <w:rPr>
          <w:rFonts w:ascii="FangSong_GB2312" w:hAnsi="FangSong_GB2312" w:eastAsia="FangSong_GB2312" w:cs="FangSong_GB2312"/>
          <w:spacing w:val="1"/>
          <w:sz w:val="28"/>
          <w:szCs w:val="28"/>
        </w:rPr>
        <w:t xml:space="preserve"> </w:t>
      </w:r>
      <w:r>
        <w:rPr>
          <w:rFonts w:ascii="FangSong_GB2312" w:hAnsi="FangSong_GB2312" w:eastAsia="FangSong_GB2312" w:cs="FangSong_GB2312"/>
          <w:spacing w:val="-5"/>
          <w:sz w:val="28"/>
          <w:szCs w:val="28"/>
        </w:rPr>
        <w:t>（盖章）</w:t>
      </w:r>
    </w:p>
    <w:p w14:paraId="7BD2244B">
      <w:pPr>
        <w:adjustRightInd w:val="0"/>
        <w:snapToGrid w:val="0"/>
        <w:spacing w:before="43" w:line="287" w:lineRule="auto"/>
        <w:ind w:left="8" w:right="711" w:firstLine="12"/>
        <w:outlineLvl w:val="9"/>
        <w:rPr>
          <w:rFonts w:ascii="FangSong_GB2312" w:hAnsi="FangSong_GB2312" w:eastAsia="FangSong_GB2312" w:cs="FangSong_GB2312"/>
          <w:sz w:val="28"/>
          <w:szCs w:val="28"/>
        </w:rPr>
      </w:pPr>
      <w:r>
        <w:rPr>
          <w:rFonts w:ascii="FangSong_GB2312" w:hAnsi="FangSong_GB2312" w:eastAsia="FangSong_GB2312" w:cs="FangSong_GB2312"/>
          <w:spacing w:val="-11"/>
          <w:sz w:val="28"/>
          <w:szCs w:val="28"/>
        </w:rPr>
        <w:t>法定代表人（负责人）或</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0"/>
          <w:sz w:val="28"/>
          <w:szCs w:val="28"/>
        </w:rPr>
        <w:t>授权代表（签字</w:t>
      </w:r>
      <w:r>
        <w:rPr>
          <w:rFonts w:ascii="FangSong_GB2312" w:hAnsi="FangSong_GB2312" w:eastAsia="FangSong_GB2312" w:cs="FangSong_GB2312"/>
          <w:spacing w:val="3"/>
          <w:sz w:val="28"/>
          <w:szCs w:val="28"/>
        </w:rPr>
        <w:t>）：</w:t>
      </w:r>
    </w:p>
    <w:p w14:paraId="1DFB3BC9">
      <w:pPr>
        <w:adjustRightInd w:val="0"/>
        <w:snapToGrid w:val="0"/>
        <w:spacing w:before="49" w:line="291" w:lineRule="auto"/>
        <w:ind w:left="8" w:right="2407" w:firstLine="10"/>
        <w:outlineLvl w:val="9"/>
        <w:rPr>
          <w:rFonts w:ascii="FangSong_GB2312" w:hAnsi="FangSong_GB2312" w:eastAsia="FangSong_GB2312" w:cs="FangSong_GB2312"/>
          <w:sz w:val="28"/>
          <w:szCs w:val="28"/>
        </w:rPr>
      </w:pPr>
      <w:r>
        <w:rPr>
          <w:rFonts w:ascii="FangSong_GB2312" w:hAnsi="FangSong_GB2312" w:eastAsia="FangSong_GB2312" w:cs="FangSong_GB2312"/>
          <w:spacing w:val="-27"/>
          <w:sz w:val="28"/>
          <w:szCs w:val="28"/>
        </w:rPr>
        <w:t>签订日期：</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7"/>
          <w:sz w:val="28"/>
          <w:szCs w:val="28"/>
        </w:rPr>
        <w:t>地址：</w:t>
      </w:r>
    </w:p>
    <w:p w14:paraId="181DA718">
      <w:pPr>
        <w:adjustRightInd w:val="0"/>
        <w:snapToGrid w:val="0"/>
        <w:spacing w:before="37" w:line="214" w:lineRule="auto"/>
        <w:ind w:left="22"/>
        <w:outlineLvl w:val="9"/>
        <w:rPr>
          <w:rFonts w:ascii="FangSong_GB2312" w:hAnsi="FangSong_GB2312" w:eastAsia="FangSong_GB2312" w:cs="FangSong_GB2312"/>
          <w:sz w:val="28"/>
          <w:szCs w:val="28"/>
        </w:rPr>
      </w:pPr>
      <w:r>
        <w:rPr>
          <w:rFonts w:ascii="FangSong_GB2312" w:hAnsi="FangSong_GB2312" w:eastAsia="FangSong_GB2312" w:cs="FangSong_GB2312"/>
          <w:spacing w:val="-12"/>
          <w:sz w:val="28"/>
          <w:szCs w:val="28"/>
        </w:rPr>
        <w:t>邮编：</w:t>
      </w:r>
    </w:p>
    <w:p w14:paraId="7626C1BA">
      <w:pPr>
        <w:adjustRightInd w:val="0"/>
        <w:snapToGrid w:val="0"/>
        <w:spacing w:before="137" w:line="244" w:lineRule="auto"/>
        <w:ind w:left="42" w:right="2678" w:hanging="32"/>
        <w:outlineLvl w:val="9"/>
        <w:rPr>
          <w:rFonts w:ascii="FangSong_GB2312" w:hAnsi="FangSong_GB2312" w:eastAsia="FangSong_GB2312" w:cs="FangSong_GB2312"/>
          <w:sz w:val="28"/>
          <w:szCs w:val="28"/>
        </w:rPr>
      </w:pPr>
      <w:r>
        <w:rPr>
          <w:rFonts w:ascii="FangSong_GB2312" w:hAnsi="FangSong_GB2312" w:eastAsia="FangSong_GB2312" w:cs="FangSong_GB2312"/>
          <w:spacing w:val="-30"/>
          <w:sz w:val="28"/>
          <w:szCs w:val="28"/>
        </w:rPr>
        <w:t>联系人：</w:t>
      </w:r>
      <w:r>
        <w:rPr>
          <w:rFonts w:ascii="FangSong_GB2312" w:hAnsi="FangSong_GB2312" w:eastAsia="FangSong_GB2312" w:cs="FangSong_GB2312"/>
          <w:spacing w:val="2"/>
          <w:sz w:val="28"/>
          <w:szCs w:val="28"/>
        </w:rPr>
        <w:t xml:space="preserve"> </w:t>
      </w:r>
      <w:r>
        <w:rPr>
          <w:rFonts w:ascii="FangSong_GB2312" w:hAnsi="FangSong_GB2312" w:eastAsia="FangSong_GB2312" w:cs="FangSong_GB2312"/>
          <w:spacing w:val="-19"/>
          <w:sz w:val="28"/>
          <w:szCs w:val="28"/>
        </w:rPr>
        <w:t>电话：</w:t>
      </w:r>
    </w:p>
    <w:p w14:paraId="61F24122">
      <w:pPr>
        <w:spacing w:line="244" w:lineRule="auto"/>
        <w:outlineLvl w:val="9"/>
        <w:rPr>
          <w:rFonts w:ascii="FangSong_GB2312" w:hAnsi="FangSong_GB2312" w:eastAsia="FangSong_GB2312" w:cs="FangSong_GB2312"/>
          <w:sz w:val="28"/>
          <w:szCs w:val="28"/>
        </w:rPr>
        <w:sectPr>
          <w:type w:val="continuous"/>
          <w:pgSz w:w="11906" w:h="16839"/>
          <w:pgMar w:top="1431" w:right="1785" w:bottom="1180" w:left="1785" w:header="0" w:footer="966" w:gutter="0"/>
          <w:pgNumType w:fmt="decimal"/>
          <w:cols w:equalWidth="0" w:num="2">
            <w:col w:w="4542" w:space="100"/>
            <w:col w:w="3693"/>
          </w:cols>
        </w:sectPr>
      </w:pPr>
    </w:p>
    <w:p w14:paraId="79DB5FC7">
      <w:pPr>
        <w:adjustRightInd w:val="0"/>
        <w:snapToGrid w:val="0"/>
        <w:spacing w:before="198" w:line="230" w:lineRule="auto"/>
        <w:ind w:left="44"/>
        <w:rPr>
          <w:rFonts w:ascii="黑体" w:hAnsi="黑体" w:eastAsia="黑体" w:cs="黑体"/>
          <w:sz w:val="31"/>
          <w:szCs w:val="31"/>
        </w:rPr>
      </w:pPr>
      <w:r>
        <w:rPr>
          <w:rFonts w:ascii="黑体" w:hAnsi="黑体" w:eastAsia="黑体" w:cs="黑体"/>
          <w:spacing w:val="-1"/>
          <w:sz w:val="31"/>
          <w:szCs w:val="31"/>
        </w:rPr>
        <w:t>附件一：</w:t>
      </w:r>
    </w:p>
    <w:p w14:paraId="337AF8EE">
      <w:pPr>
        <w:adjustRightInd w:val="0"/>
        <w:snapToGrid w:val="0"/>
        <w:spacing w:before="159" w:line="223" w:lineRule="auto"/>
        <w:ind w:left="2194"/>
        <w:outlineLvl w:val="9"/>
        <w:rPr>
          <w:rFonts w:ascii="宋体" w:hAnsi="宋体" w:eastAsia="宋体" w:cs="宋体"/>
          <w:sz w:val="35"/>
          <w:szCs w:val="35"/>
        </w:rPr>
      </w:pPr>
      <w:r>
        <w:rPr>
          <w:rFonts w:ascii="宋体" w:hAnsi="宋体" w:eastAsia="宋体" w:cs="宋体"/>
          <w:b/>
          <w:bCs/>
          <w:spacing w:val="6"/>
          <w:sz w:val="35"/>
          <w:szCs w:val="35"/>
        </w:rPr>
        <w:t>煤电容量电价政策知情书</w:t>
      </w:r>
    </w:p>
    <w:p w14:paraId="2C7939CD">
      <w:pPr>
        <w:widowControl w:val="0"/>
        <w:adjustRightInd w:val="0"/>
        <w:snapToGrid w:val="0"/>
        <w:spacing w:line="464" w:lineRule="auto"/>
        <w:jc w:val="both"/>
        <w:rPr>
          <w:rFonts w:ascii="宋体" w:hAnsi="宋体" w:cs="宋体" w:eastAsiaTheme="minorEastAsia"/>
          <w:kern w:val="2"/>
          <w:sz w:val="24"/>
          <w:szCs w:val="24"/>
          <w:lang w:val="en-US" w:eastAsia="zh-CN" w:bidi="ar-SA"/>
        </w:rPr>
      </w:pPr>
    </w:p>
    <w:p w14:paraId="0EB12562">
      <w:pPr>
        <w:adjustRightInd w:val="0"/>
        <w:snapToGrid w:val="0"/>
        <w:spacing w:before="91" w:line="300" w:lineRule="auto"/>
        <w:ind w:left="29" w:firstLine="553"/>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零售合同中约定的电能量电价，非用户最终到户电价（详见合同</w:t>
      </w:r>
      <w:r>
        <w:rPr>
          <w:rFonts w:ascii="FangSong_GB2312" w:hAnsi="FangSong_GB2312" w:eastAsia="FangSong_GB2312" w:cs="FangSong_GB2312"/>
          <w:spacing w:val="4"/>
          <w:sz w:val="28"/>
          <w:szCs w:val="28"/>
        </w:rPr>
        <w:t xml:space="preserve">  </w:t>
      </w:r>
      <w:r>
        <w:rPr>
          <w:rFonts w:ascii="FangSong_GB2312" w:hAnsi="FangSong_GB2312" w:eastAsia="FangSong_GB2312" w:cs="FangSong_GB2312"/>
          <w:spacing w:val="-5"/>
          <w:sz w:val="28"/>
          <w:szCs w:val="28"/>
        </w:rPr>
        <w:t>文本</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5"/>
          <w:sz w:val="28"/>
          <w:szCs w:val="28"/>
        </w:rPr>
        <w:t>4.4</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5"/>
          <w:sz w:val="28"/>
          <w:szCs w:val="28"/>
        </w:rPr>
        <w:t>条）。根据《国家发展改革委国家能源局关于建立煤电容量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5"/>
          <w:sz w:val="28"/>
          <w:szCs w:val="28"/>
        </w:rPr>
        <w:t>电价机制的通知》（发改价格〔2023〕1501</w:t>
      </w:r>
      <w:r>
        <w:rPr>
          <w:rFonts w:ascii="FangSong_GB2312" w:hAnsi="FangSong_GB2312" w:eastAsia="FangSong_GB2312" w:cs="FangSong_GB2312"/>
          <w:spacing w:val="-34"/>
          <w:sz w:val="28"/>
          <w:szCs w:val="28"/>
        </w:rPr>
        <w:t xml:space="preserve"> </w:t>
      </w:r>
      <w:r>
        <w:rPr>
          <w:rFonts w:ascii="FangSong_GB2312" w:hAnsi="FangSong_GB2312" w:eastAsia="FangSong_GB2312" w:cs="FangSong_GB2312"/>
          <w:spacing w:val="-5"/>
          <w:sz w:val="28"/>
          <w:szCs w:val="28"/>
        </w:rPr>
        <w:t>号）要求，</w:t>
      </w:r>
      <w:r>
        <w:rPr>
          <w:rFonts w:ascii="FangSong_GB2312" w:hAnsi="FangSong_GB2312" w:eastAsia="FangSong_GB2312" w:cs="FangSong_GB2312"/>
          <w:spacing w:val="-80"/>
          <w:sz w:val="28"/>
          <w:szCs w:val="28"/>
        </w:rPr>
        <w:t xml:space="preserve"> </w:t>
      </w:r>
      <w:r>
        <w:rPr>
          <w:rFonts w:ascii="FangSong_GB2312" w:hAnsi="FangSong_GB2312" w:eastAsia="FangSong_GB2312" w:cs="FangSong_GB2312"/>
          <w:spacing w:val="-5"/>
          <w:sz w:val="28"/>
          <w:szCs w:val="28"/>
        </w:rPr>
        <w:t>自</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pacing w:val="-5"/>
          <w:sz w:val="28"/>
          <w:szCs w:val="28"/>
        </w:rPr>
        <w:t>2024</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5"/>
          <w:sz w:val="28"/>
          <w:szCs w:val="28"/>
        </w:rPr>
        <w:t>年</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5"/>
          <w:sz w:val="28"/>
          <w:szCs w:val="28"/>
        </w:rPr>
        <w:t>1</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7"/>
          <w:sz w:val="28"/>
          <w:szCs w:val="28"/>
        </w:rPr>
        <w:t>月</w:t>
      </w:r>
      <w:r>
        <w:rPr>
          <w:rFonts w:ascii="FangSong_GB2312" w:hAnsi="FangSong_GB2312" w:eastAsia="FangSong_GB2312" w:cs="FangSong_GB2312"/>
          <w:spacing w:val="-33"/>
          <w:sz w:val="28"/>
          <w:szCs w:val="28"/>
        </w:rPr>
        <w:t xml:space="preserve"> </w:t>
      </w:r>
      <w:r>
        <w:rPr>
          <w:rFonts w:ascii="FangSong_GB2312" w:hAnsi="FangSong_GB2312" w:eastAsia="FangSong_GB2312" w:cs="FangSong_GB2312"/>
          <w:spacing w:val="-7"/>
          <w:sz w:val="28"/>
          <w:szCs w:val="28"/>
        </w:rPr>
        <w:t>1 日起，煤电机组发电价格由单一制电价调整为两部制电价，其中</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5"/>
          <w:sz w:val="28"/>
          <w:szCs w:val="28"/>
        </w:rPr>
        <w:t>电量电价通过市场化方式形成，容量电价由全体工商业用户按月分</w:t>
      </w:r>
      <w:r>
        <w:rPr>
          <w:rFonts w:ascii="FangSong_GB2312" w:hAnsi="FangSong_GB2312" w:eastAsia="FangSong_GB2312" w:cs="FangSong_GB2312"/>
          <w:spacing w:val="-6"/>
          <w:sz w:val="28"/>
          <w:szCs w:val="28"/>
        </w:rPr>
        <w:t>摊，</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北京地区工商业用户目前统一通过“系统运行费用—煤电容量电费”</w:t>
      </w:r>
      <w:r>
        <w:rPr>
          <w:rFonts w:ascii="FangSong_GB2312" w:hAnsi="FangSong_GB2312" w:eastAsia="FangSong_GB2312" w:cs="FangSong_GB2312"/>
          <w:spacing w:val="3"/>
          <w:sz w:val="28"/>
          <w:szCs w:val="28"/>
        </w:rPr>
        <w:t xml:space="preserve"> </w:t>
      </w:r>
      <w:r>
        <w:rPr>
          <w:rFonts w:ascii="FangSong_GB2312" w:hAnsi="FangSong_GB2312" w:eastAsia="FangSong_GB2312" w:cs="FangSong_GB2312"/>
          <w:spacing w:val="-4"/>
          <w:sz w:val="28"/>
          <w:szCs w:val="28"/>
        </w:rPr>
        <w:t>收取。本合同双方约定的电能量价格均为电量电价部分，不包含煤电</w:t>
      </w:r>
      <w:r>
        <w:rPr>
          <w:rFonts w:ascii="FangSong_GB2312" w:hAnsi="FangSong_GB2312" w:eastAsia="FangSong_GB2312" w:cs="FangSong_GB2312"/>
          <w:spacing w:val="5"/>
          <w:sz w:val="28"/>
          <w:szCs w:val="28"/>
        </w:rPr>
        <w:t xml:space="preserve">  </w:t>
      </w:r>
      <w:r>
        <w:rPr>
          <w:rFonts w:ascii="FangSong_GB2312" w:hAnsi="FangSong_GB2312" w:eastAsia="FangSong_GB2312" w:cs="FangSong_GB2312"/>
          <w:spacing w:val="-3"/>
          <w:sz w:val="28"/>
          <w:szCs w:val="28"/>
        </w:rPr>
        <w:t>容量电价。</w:t>
      </w:r>
    </w:p>
    <w:p w14:paraId="4816B0B4">
      <w:pPr>
        <w:adjustRightInd w:val="0"/>
        <w:snapToGrid w:val="0"/>
        <w:spacing w:before="44" w:line="297" w:lineRule="auto"/>
        <w:ind w:left="25" w:firstLine="558"/>
        <w:jc w:val="both"/>
        <w:rPr>
          <w:rFonts w:ascii="FangSong_GB2312" w:hAnsi="FangSong_GB2312" w:eastAsia="FangSong_GB2312" w:cs="FangSong_GB2312"/>
          <w:sz w:val="28"/>
          <w:szCs w:val="28"/>
        </w:rPr>
      </w:pPr>
      <w:r>
        <w:rPr>
          <w:rFonts w:ascii="FangSong_GB2312" w:hAnsi="FangSong_GB2312" w:eastAsia="FangSong_GB2312" w:cs="FangSong_GB2312"/>
          <w:sz w:val="28"/>
          <w:szCs w:val="28"/>
        </w:rPr>
        <w:t>零售用户可通过</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z w:val="28"/>
          <w:szCs w:val="28"/>
        </w:rPr>
        <w:t>2024</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z w:val="28"/>
          <w:szCs w:val="28"/>
        </w:rPr>
        <w:t xml:space="preserve">年电费账单“系统运行费用—煤电容量电  </w:t>
      </w:r>
      <w:r>
        <w:rPr>
          <w:rFonts w:ascii="FangSong_GB2312" w:hAnsi="FangSong_GB2312" w:eastAsia="FangSong_GB2312" w:cs="FangSong_GB2312"/>
          <w:spacing w:val="3"/>
          <w:sz w:val="28"/>
          <w:szCs w:val="28"/>
        </w:rPr>
        <w:t>费”中查看各月容量电价实际分摊执行水平，也可通过“</w:t>
      </w:r>
      <w:r>
        <w:rPr>
          <w:rFonts w:ascii="FangSong_GB2312" w:hAnsi="FangSong_GB2312" w:eastAsia="FangSong_GB2312" w:cs="FangSong_GB2312"/>
          <w:spacing w:val="-99"/>
          <w:sz w:val="28"/>
          <w:szCs w:val="28"/>
        </w:rPr>
        <w:t xml:space="preserve"> </w:t>
      </w:r>
      <w:r>
        <w:rPr>
          <w:rFonts w:ascii="FangSong_GB2312" w:hAnsi="FangSong_GB2312" w:eastAsia="FangSong_GB2312" w:cs="FangSong_GB2312"/>
          <w:spacing w:val="3"/>
          <w:sz w:val="28"/>
          <w:szCs w:val="28"/>
        </w:rPr>
        <w:t>网上</w:t>
      </w:r>
      <w:r>
        <w:rPr>
          <w:rFonts w:ascii="FangSong_GB2312" w:hAnsi="FangSong_GB2312" w:eastAsia="FangSong_GB2312" w:cs="FangSong_GB2312"/>
          <w:spacing w:val="2"/>
          <w:sz w:val="28"/>
          <w:szCs w:val="28"/>
        </w:rPr>
        <w:t>国网”</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的“</w:t>
      </w:r>
      <w:r>
        <w:rPr>
          <w:rFonts w:ascii="FangSong_GB2312" w:hAnsi="FangSong_GB2312" w:eastAsia="FangSong_GB2312" w:cs="FangSong_GB2312"/>
          <w:spacing w:val="-76"/>
          <w:sz w:val="28"/>
          <w:szCs w:val="28"/>
        </w:rPr>
        <w:t xml:space="preserve"> </w:t>
      </w:r>
      <w:r>
        <w:rPr>
          <w:rFonts w:ascii="FangSong_GB2312" w:hAnsi="FangSong_GB2312" w:eastAsia="FangSong_GB2312" w:cs="FangSong_GB2312"/>
          <w:spacing w:val="-1"/>
          <w:sz w:val="28"/>
          <w:szCs w:val="28"/>
        </w:rPr>
        <w:t>电力市场服务专区-代理购电价格公示”查看，或者通过首都电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力交易平台信息披露模块“市场运营—电网代理购电信息—代理购电</w:t>
      </w:r>
      <w:r>
        <w:rPr>
          <w:rFonts w:ascii="FangSong_GB2312" w:hAnsi="FangSong_GB2312" w:eastAsia="FangSong_GB2312" w:cs="FangSong_GB2312"/>
          <w:spacing w:val="7"/>
          <w:sz w:val="28"/>
          <w:szCs w:val="28"/>
        </w:rPr>
        <w:t xml:space="preserve">  </w:t>
      </w:r>
      <w:r>
        <w:rPr>
          <w:rFonts w:ascii="FangSong_GB2312" w:hAnsi="FangSong_GB2312" w:eastAsia="FangSong_GB2312" w:cs="FangSong_GB2312"/>
          <w:spacing w:val="-8"/>
          <w:sz w:val="28"/>
          <w:szCs w:val="28"/>
        </w:rPr>
        <w:t>价格公示表”中“系统运行费用—煤电容量电费折合度电水平”查看。</w:t>
      </w:r>
    </w:p>
    <w:p w14:paraId="0658519F">
      <w:pPr>
        <w:widowControl w:val="0"/>
        <w:adjustRightInd w:val="0"/>
        <w:snapToGrid w:val="0"/>
        <w:spacing w:line="272" w:lineRule="auto"/>
        <w:jc w:val="both"/>
        <w:rPr>
          <w:rFonts w:ascii="宋体" w:hAnsi="宋体" w:cs="宋体" w:eastAsiaTheme="minorEastAsia"/>
          <w:kern w:val="2"/>
          <w:sz w:val="24"/>
          <w:szCs w:val="24"/>
          <w:lang w:val="en-US" w:eastAsia="zh-CN" w:bidi="ar-SA"/>
        </w:rPr>
      </w:pPr>
    </w:p>
    <w:p w14:paraId="3832A96F">
      <w:pPr>
        <w:widowControl w:val="0"/>
        <w:adjustRightInd w:val="0"/>
        <w:snapToGrid w:val="0"/>
        <w:spacing w:line="272" w:lineRule="auto"/>
        <w:jc w:val="both"/>
        <w:rPr>
          <w:rFonts w:ascii="宋体" w:hAnsi="宋体" w:cs="宋体" w:eastAsiaTheme="minorEastAsia"/>
          <w:kern w:val="2"/>
          <w:sz w:val="24"/>
          <w:szCs w:val="24"/>
          <w:lang w:val="en-US" w:eastAsia="zh-CN" w:bidi="ar-SA"/>
        </w:rPr>
      </w:pPr>
    </w:p>
    <w:p w14:paraId="5B9FB74D">
      <w:pPr>
        <w:widowControl w:val="0"/>
        <w:adjustRightInd w:val="0"/>
        <w:snapToGrid w:val="0"/>
        <w:spacing w:line="272" w:lineRule="auto"/>
        <w:jc w:val="both"/>
        <w:rPr>
          <w:rFonts w:ascii="宋体" w:hAnsi="宋体" w:cs="宋体" w:eastAsiaTheme="minorEastAsia"/>
          <w:kern w:val="2"/>
          <w:sz w:val="24"/>
          <w:szCs w:val="24"/>
          <w:lang w:val="en-US" w:eastAsia="zh-CN" w:bidi="ar-SA"/>
        </w:rPr>
      </w:pPr>
    </w:p>
    <w:p w14:paraId="58F79A46">
      <w:pPr>
        <w:widowControl w:val="0"/>
        <w:adjustRightInd w:val="0"/>
        <w:snapToGrid w:val="0"/>
        <w:spacing w:line="272" w:lineRule="auto"/>
        <w:jc w:val="both"/>
        <w:rPr>
          <w:rFonts w:ascii="宋体" w:hAnsi="宋体" w:cs="宋体" w:eastAsiaTheme="minorEastAsia"/>
          <w:kern w:val="2"/>
          <w:sz w:val="24"/>
          <w:szCs w:val="24"/>
          <w:lang w:val="en-US" w:eastAsia="zh-CN" w:bidi="ar-SA"/>
        </w:rPr>
      </w:pPr>
    </w:p>
    <w:p w14:paraId="5954D5AF">
      <w:pPr>
        <w:widowControl w:val="0"/>
        <w:adjustRightInd w:val="0"/>
        <w:snapToGrid w:val="0"/>
        <w:spacing w:line="272" w:lineRule="auto"/>
        <w:jc w:val="both"/>
        <w:rPr>
          <w:rFonts w:ascii="宋体" w:hAnsi="宋体" w:cs="宋体" w:eastAsiaTheme="minorEastAsia"/>
          <w:kern w:val="2"/>
          <w:sz w:val="24"/>
          <w:szCs w:val="24"/>
          <w:lang w:val="en-US" w:eastAsia="zh-CN" w:bidi="ar-SA"/>
        </w:rPr>
      </w:pPr>
    </w:p>
    <w:p w14:paraId="45B46E41">
      <w:pPr>
        <w:adjustRightInd w:val="0"/>
        <w:snapToGrid w:val="0"/>
        <w:spacing w:before="92" w:line="214" w:lineRule="auto"/>
        <w:ind w:left="65"/>
        <w:rPr>
          <w:rFonts w:ascii="FangSong_GB2312" w:hAnsi="FangSong_GB2312" w:eastAsia="FangSong_GB2312" w:cs="FangSong_GB2312"/>
          <w:sz w:val="28"/>
          <w:szCs w:val="28"/>
        </w:rPr>
      </w:pPr>
      <w:r>
        <w:rPr>
          <w:rFonts w:ascii="FangSong_GB2312" w:hAnsi="FangSong_GB2312" w:eastAsia="FangSong_GB2312" w:cs="FangSong_GB2312"/>
          <w:spacing w:val="-8"/>
          <w:sz w:val="28"/>
          <w:szCs w:val="28"/>
        </w:rPr>
        <w:t>甲方（零售用户</w:t>
      </w:r>
      <w:r>
        <w:rPr>
          <w:rFonts w:ascii="FangSong_GB2312" w:hAnsi="FangSong_GB2312" w:eastAsia="FangSong_GB2312" w:cs="FangSong_GB2312"/>
          <w:spacing w:val="2"/>
          <w:sz w:val="28"/>
          <w:szCs w:val="28"/>
        </w:rPr>
        <w:t>）：</w:t>
      </w:r>
      <w:r>
        <w:rPr>
          <w:rFonts w:ascii="FangSong_GB2312" w:hAnsi="FangSong_GB2312" w:eastAsia="FangSong_GB2312" w:cs="FangSong_GB2312"/>
          <w:spacing w:val="3"/>
          <w:sz w:val="28"/>
          <w:szCs w:val="28"/>
        </w:rPr>
        <w:t xml:space="preserve">               </w:t>
      </w:r>
      <w:r>
        <w:rPr>
          <w:rFonts w:ascii="FangSong_GB2312" w:hAnsi="FangSong_GB2312" w:eastAsia="FangSong_GB2312" w:cs="FangSong_GB2312"/>
          <w:spacing w:val="-8"/>
          <w:sz w:val="28"/>
          <w:szCs w:val="28"/>
        </w:rPr>
        <w:t>乙方（售电公司</w:t>
      </w:r>
      <w:r>
        <w:rPr>
          <w:rFonts w:ascii="FangSong_GB2312" w:hAnsi="FangSong_GB2312" w:eastAsia="FangSong_GB2312" w:cs="FangSong_GB2312"/>
          <w:spacing w:val="2"/>
          <w:sz w:val="28"/>
          <w:szCs w:val="28"/>
        </w:rPr>
        <w:t>）：</w:t>
      </w:r>
    </w:p>
    <w:p w14:paraId="4A55650A">
      <w:pPr>
        <w:widowControl w:val="0"/>
        <w:adjustRightInd w:val="0"/>
        <w:snapToGrid w:val="0"/>
        <w:spacing w:line="281" w:lineRule="auto"/>
        <w:jc w:val="both"/>
        <w:rPr>
          <w:rFonts w:ascii="宋体" w:hAnsi="宋体" w:cs="宋体" w:eastAsiaTheme="minorEastAsia"/>
          <w:kern w:val="2"/>
          <w:sz w:val="24"/>
          <w:szCs w:val="24"/>
          <w:lang w:val="en-US" w:eastAsia="zh-CN" w:bidi="ar-SA"/>
        </w:rPr>
      </w:pPr>
    </w:p>
    <w:p w14:paraId="7252756F">
      <w:pPr>
        <w:adjustRightInd w:val="0"/>
        <w:snapToGrid w:val="0"/>
        <w:spacing w:before="91" w:line="216" w:lineRule="auto"/>
        <w:ind w:left="14"/>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（盖章</w:t>
      </w:r>
      <w:r>
        <w:rPr>
          <w:rFonts w:ascii="FangSong_GB2312" w:hAnsi="FangSong_GB2312" w:eastAsia="FangSong_GB2312" w:cs="FangSong_GB2312"/>
          <w:spacing w:val="-44"/>
          <w:sz w:val="28"/>
          <w:szCs w:val="28"/>
        </w:rPr>
        <w:t>）</w:t>
      </w:r>
      <w:r>
        <w:rPr>
          <w:rFonts w:ascii="FangSong_GB2312" w:hAnsi="FangSong_GB2312" w:eastAsia="FangSong_GB2312" w:cs="FangSong_GB2312"/>
          <w:spacing w:val="4"/>
          <w:sz w:val="28"/>
          <w:szCs w:val="28"/>
        </w:rPr>
        <w:t xml:space="preserve">                           </w:t>
      </w:r>
      <w:r>
        <w:rPr>
          <w:rFonts w:ascii="FangSong_GB2312" w:hAnsi="FangSong_GB2312" w:eastAsia="FangSong_GB2312" w:cs="FangSong_GB2312"/>
          <w:spacing w:val="-44"/>
          <w:sz w:val="28"/>
          <w:szCs w:val="28"/>
        </w:rPr>
        <w:t>（</w:t>
      </w:r>
      <w:r>
        <w:rPr>
          <w:rFonts w:ascii="FangSong_GB2312" w:hAnsi="FangSong_GB2312" w:eastAsia="FangSong_GB2312" w:cs="FangSong_GB2312"/>
          <w:spacing w:val="6"/>
          <w:sz w:val="28"/>
          <w:szCs w:val="28"/>
        </w:rPr>
        <w:t>盖章）</w:t>
      </w:r>
    </w:p>
    <w:p w14:paraId="1C493735">
      <w:pPr>
        <w:adjustRightInd w:val="0"/>
        <w:snapToGrid w:val="0"/>
        <w:spacing w:line="300" w:lineRule="auto"/>
        <w:jc w:val="both"/>
        <w:rPr>
          <w:rFonts w:hint="eastAsia" w:asciiTheme="minorEastAsia" w:hAnsiTheme="minorEastAsia" w:eastAsiaTheme="minorEastAsia" w:cstheme="minorEastAsia"/>
          <w:b/>
          <w:sz w:val="36"/>
          <w:szCs w:val="36"/>
        </w:rPr>
      </w:pPr>
    </w:p>
    <w:p w14:paraId="5410135D">
      <w:pPr>
        <w:bidi w:val="0"/>
        <w:adjustRightInd w:val="0"/>
        <w:snapToGrid w:val="0"/>
        <w:spacing w:line="300" w:lineRule="auto"/>
        <w:rPr>
          <w:rFonts w:hint="eastAsia" w:asciiTheme="minorEastAsia" w:hAnsiTheme="minorEastAsia" w:eastAsiaTheme="minorEastAsia" w:cstheme="minorEastAsia"/>
          <w:sz w:val="24"/>
          <w:szCs w:val="21"/>
        </w:rPr>
      </w:pPr>
    </w:p>
    <w:p w14:paraId="5F93EC88">
      <w:pPr>
        <w:bidi w:val="0"/>
        <w:adjustRightInd w:val="0"/>
        <w:snapToGrid w:val="0"/>
        <w:spacing w:line="300" w:lineRule="auto"/>
        <w:rPr>
          <w:rFonts w:hint="eastAsia" w:asciiTheme="minorEastAsia" w:hAnsiTheme="minorEastAsia" w:eastAsiaTheme="minorEastAsia" w:cstheme="minorEastAsia"/>
          <w:sz w:val="24"/>
          <w:szCs w:val="21"/>
        </w:rPr>
      </w:pPr>
    </w:p>
    <w:p w14:paraId="4C85BBD7">
      <w:pPr>
        <w:bidi w:val="0"/>
        <w:adjustRightInd w:val="0"/>
        <w:snapToGrid w:val="0"/>
        <w:spacing w:line="300" w:lineRule="auto"/>
        <w:rPr>
          <w:rFonts w:hint="eastAsia" w:asciiTheme="minorEastAsia" w:hAnsiTheme="minorEastAsia" w:eastAsiaTheme="minorEastAsia" w:cstheme="minorEastAsia"/>
          <w:sz w:val="24"/>
          <w:szCs w:val="21"/>
        </w:rPr>
      </w:pPr>
    </w:p>
    <w:p w14:paraId="7C6A2693">
      <w:pPr>
        <w:bidi w:val="0"/>
        <w:adjustRightInd w:val="0"/>
        <w:snapToGrid w:val="0"/>
        <w:spacing w:line="300" w:lineRule="auto"/>
        <w:rPr>
          <w:rFonts w:hint="eastAsia" w:asciiTheme="minorEastAsia" w:hAnsiTheme="minorEastAsia" w:eastAsiaTheme="minorEastAsia" w:cstheme="minorEastAsia"/>
          <w:sz w:val="24"/>
          <w:szCs w:val="21"/>
        </w:rPr>
      </w:pPr>
    </w:p>
    <w:p w14:paraId="56604BEC">
      <w:pPr>
        <w:bidi w:val="0"/>
        <w:adjustRightInd w:val="0"/>
        <w:snapToGrid w:val="0"/>
        <w:spacing w:line="300" w:lineRule="auto"/>
        <w:jc w:val="center"/>
        <w:rPr>
          <w:rFonts w:hint="eastAsia" w:asciiTheme="minorEastAsia" w:hAnsiTheme="minorEastAsia" w:eastAsiaTheme="minorEastAsia" w:cstheme="minorEastAsia"/>
          <w:sz w:val="24"/>
          <w:szCs w:val="21"/>
        </w:rPr>
      </w:pPr>
    </w:p>
    <w:p w14:paraId="66F4B285">
      <w:pPr>
        <w:adjustRightInd w:val="0"/>
        <w:snapToGrid w:val="0"/>
        <w:spacing w:line="300" w:lineRule="auto"/>
        <w:rPr>
          <w:rFonts w:asciiTheme="minorEastAsia" w:hAnsiTheme="minorHAnsi" w:eastAsiaTheme="minorEastAsia" w:cstheme="minorBidi"/>
          <w:sz w:val="24"/>
          <w:szCs w:val="21"/>
        </w:rPr>
      </w:pPr>
    </w:p>
    <w:p w14:paraId="199D7518">
      <w:pPr>
        <w:adjustRightInd w:val="0"/>
        <w:snapToGrid w:val="0"/>
        <w:spacing w:line="300" w:lineRule="auto"/>
        <w:rPr>
          <w:rFonts w:asciiTheme="minorEastAsia" w:hAnsiTheme="minorHAnsi" w:eastAsiaTheme="minorEastAsia" w:cstheme="minorBidi"/>
          <w:sz w:val="24"/>
          <w:szCs w:val="21"/>
        </w:rPr>
      </w:pPr>
      <w:r>
        <w:rPr>
          <w:rFonts w:asciiTheme="minorEastAsia" w:hAnsiTheme="minorHAnsi" w:eastAsiaTheme="minorEastAsia" w:cstheme="minorBidi"/>
          <w:sz w:val="24"/>
          <w:szCs w:val="21"/>
        </w:rPr>
        <w:br w:type="page"/>
      </w:r>
    </w:p>
    <w:p w14:paraId="274B21D1">
      <w:pPr>
        <w:adjustRightInd w:val="0"/>
        <w:snapToGrid w:val="0"/>
        <w:spacing w:line="300" w:lineRule="auto"/>
        <w:jc w:val="center"/>
        <w:rPr>
          <w:rFonts w:asciiTheme="minorEastAsia" w:hAnsiTheme="minorHAnsi" w:eastAsiaTheme="minorEastAsia" w:cstheme="minorBidi"/>
          <w:sz w:val="24"/>
          <w:szCs w:val="21"/>
        </w:rPr>
      </w:pPr>
      <w:r>
        <w:rPr>
          <w:rFonts w:asciiTheme="minorEastAsia" w:hAnsiTheme="minorHAnsi" w:eastAsiaTheme="minorEastAsia" w:cstheme="minorBidi"/>
          <w:sz w:val="24"/>
          <w:szCs w:val="21"/>
        </w:rPr>
        <w:drawing>
          <wp:inline distT="0" distB="0" distL="114300" distR="114300">
            <wp:extent cx="5982335" cy="8048625"/>
            <wp:effectExtent l="0" t="0" r="18415" b="9525"/>
            <wp:docPr id="10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2"/>
                    <pic:cNvPicPr>
                      <a:picLocks noChangeAspect="1"/>
                    </pic:cNvPicPr>
                  </pic:nvPicPr>
                  <pic:blipFill>
                    <a:blip r:embed="rId34"/>
                    <a:stretch>
                      <a:fillRect/>
                    </a:stretch>
                  </pic:blipFill>
                  <pic:spPr>
                    <a:xfrm>
                      <a:off x="0" y="0"/>
                      <a:ext cx="5982335" cy="8048625"/>
                    </a:xfrm>
                    <a:prstGeom prst="rect">
                      <a:avLst/>
                    </a:prstGeom>
                    <a:noFill/>
                    <a:ln>
                      <a:noFill/>
                    </a:ln>
                  </pic:spPr>
                </pic:pic>
              </a:graphicData>
            </a:graphic>
          </wp:inline>
        </w:drawing>
      </w:r>
    </w:p>
    <w:p w14:paraId="139DC2D9">
      <w:pPr>
        <w:adjustRightInd w:val="0"/>
        <w:snapToGrid w:val="0"/>
        <w:spacing w:line="300" w:lineRule="auto"/>
        <w:rPr>
          <w:rFonts w:asciiTheme="minorEastAsia" w:hAnsiTheme="minorHAnsi" w:eastAsiaTheme="minorEastAsia" w:cstheme="minorBidi"/>
          <w:sz w:val="24"/>
          <w:szCs w:val="21"/>
        </w:rPr>
      </w:pPr>
    </w:p>
    <w:p w14:paraId="109BE16C">
      <w:pPr>
        <w:adjustRightInd w:val="0"/>
        <w:snapToGrid w:val="0"/>
        <w:spacing w:line="300" w:lineRule="auto"/>
        <w:rPr>
          <w:rFonts w:asciiTheme="minorEastAsia" w:hAnsiTheme="minorHAnsi" w:eastAsiaTheme="minorEastAsia" w:cstheme="minorBidi"/>
          <w:sz w:val="24"/>
          <w:szCs w:val="21"/>
        </w:rPr>
      </w:pPr>
    </w:p>
    <w:p w14:paraId="476C6DBF">
      <w:pPr>
        <w:adjustRightInd w:val="0"/>
        <w:snapToGrid w:val="0"/>
        <w:spacing w:line="300" w:lineRule="auto"/>
        <w:rPr>
          <w:rFonts w:asciiTheme="minorEastAsia" w:hAnsiTheme="minorHAnsi" w:eastAsiaTheme="minorEastAsia" w:cstheme="minorBidi"/>
          <w:sz w:val="24"/>
          <w:szCs w:val="21"/>
        </w:rPr>
      </w:pPr>
    </w:p>
    <w:p w14:paraId="728971DF">
      <w:pPr>
        <w:adjustRightInd w:val="0"/>
        <w:snapToGrid w:val="0"/>
        <w:spacing w:line="300" w:lineRule="auto"/>
        <w:rPr>
          <w:rFonts w:asciiTheme="minorEastAsia" w:hAnsiTheme="minorHAnsi" w:eastAsiaTheme="minorEastAsia" w:cstheme="minorBidi"/>
          <w:sz w:val="24"/>
          <w:szCs w:val="21"/>
        </w:rPr>
      </w:pPr>
    </w:p>
    <w:p w14:paraId="0E12CA56">
      <w:pPr>
        <w:adjustRightInd w:val="0"/>
        <w:snapToGrid w:val="0"/>
        <w:spacing w:line="300" w:lineRule="auto"/>
        <w:rPr>
          <w:rFonts w:asciiTheme="minorEastAsia" w:hAnsiTheme="minorHAnsi" w:eastAsiaTheme="minorEastAsia" w:cstheme="minorBidi"/>
          <w:sz w:val="24"/>
          <w:szCs w:val="21"/>
        </w:rPr>
      </w:pPr>
    </w:p>
    <w:tbl>
      <w:tblPr>
        <w:tblStyle w:val="246"/>
        <w:tblW w:w="10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149"/>
        <w:gridCol w:w="83"/>
        <w:gridCol w:w="1238"/>
        <w:gridCol w:w="933"/>
        <w:gridCol w:w="1238"/>
        <w:gridCol w:w="258"/>
        <w:gridCol w:w="980"/>
        <w:gridCol w:w="936"/>
        <w:gridCol w:w="292"/>
        <w:gridCol w:w="960"/>
        <w:gridCol w:w="1169"/>
      </w:tblGrid>
      <w:tr w14:paraId="5FD2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0003" w:type="dxa"/>
            <w:gridSpan w:val="12"/>
            <w:vAlign w:val="top"/>
          </w:tcPr>
          <w:p w14:paraId="2F5A2837">
            <w:pPr>
              <w:autoSpaceDE w:val="0"/>
              <w:autoSpaceDN w:val="0"/>
              <w:adjustRightInd w:val="0"/>
              <w:snapToGrid w:val="0"/>
              <w:spacing w:before="176" w:line="220" w:lineRule="auto"/>
              <w:ind w:left="3704"/>
              <w:rPr>
                <w:rFonts w:ascii="黑体" w:hAnsi="黑体" w:eastAsia="黑体" w:cs="黑体"/>
                <w:sz w:val="22"/>
                <w:szCs w:val="22"/>
              </w:rPr>
            </w:pPr>
            <w:r>
              <w:rPr>
                <w:rFonts w:ascii="黑体" w:hAnsi="黑体" w:eastAsia="黑体" w:cs="黑体"/>
                <w:b/>
                <w:bCs/>
                <w:spacing w:val="-13"/>
                <w:sz w:val="28"/>
                <w:szCs w:val="28"/>
              </w:rPr>
              <w:t>2.零售套餐电量参数</w:t>
            </w:r>
            <w:r>
              <w:rPr>
                <w:rFonts w:ascii="黑体" w:hAnsi="黑体" w:eastAsia="黑体" w:cs="黑体"/>
                <w:spacing w:val="11"/>
                <w:sz w:val="28"/>
                <w:szCs w:val="28"/>
              </w:rPr>
              <w:t xml:space="preserve">     </w:t>
            </w:r>
            <w:r>
              <w:rPr>
                <w:rFonts w:ascii="黑体" w:hAnsi="黑体" w:eastAsia="黑体" w:cs="黑体"/>
                <w:spacing w:val="-13"/>
                <w:sz w:val="22"/>
                <w:szCs w:val="22"/>
              </w:rPr>
              <w:t>（单位：兆瓦时，保留3位小数）</w:t>
            </w:r>
          </w:p>
        </w:tc>
      </w:tr>
      <w:tr w14:paraId="7DB31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767" w:type="dxa"/>
            <w:vMerge w:val="restart"/>
            <w:tcBorders>
              <w:bottom w:val="nil"/>
            </w:tcBorders>
            <w:vAlign w:val="top"/>
          </w:tcPr>
          <w:p w14:paraId="5157736E">
            <w:pPr>
              <w:autoSpaceDE w:val="0"/>
              <w:autoSpaceDN w:val="0"/>
              <w:adjustRightInd w:val="0"/>
              <w:snapToGrid w:val="0"/>
              <w:spacing w:line="248" w:lineRule="auto"/>
              <w:rPr>
                <w:rFonts w:ascii="Arial" w:hAnsiTheme="minorHAnsi" w:eastAsiaTheme="minorEastAsia" w:cstheme="minorBidi"/>
                <w:sz w:val="21"/>
                <w:szCs w:val="21"/>
              </w:rPr>
            </w:pPr>
          </w:p>
          <w:p w14:paraId="63C6D45C">
            <w:pPr>
              <w:autoSpaceDE w:val="0"/>
              <w:autoSpaceDN w:val="0"/>
              <w:adjustRightInd w:val="0"/>
              <w:snapToGrid w:val="0"/>
              <w:spacing w:line="248" w:lineRule="auto"/>
              <w:rPr>
                <w:rFonts w:ascii="Arial" w:hAnsiTheme="minorHAnsi" w:eastAsiaTheme="minorEastAsia" w:cstheme="minorBidi"/>
                <w:sz w:val="21"/>
                <w:szCs w:val="21"/>
              </w:rPr>
            </w:pPr>
          </w:p>
          <w:p w14:paraId="128C990D">
            <w:pPr>
              <w:autoSpaceDE w:val="0"/>
              <w:autoSpaceDN w:val="0"/>
              <w:adjustRightInd w:val="0"/>
              <w:snapToGrid w:val="0"/>
              <w:spacing w:before="78" w:line="223" w:lineRule="auto"/>
              <w:ind w:left="168"/>
              <w:rPr>
                <w:rFonts w:ascii="黑体" w:hAnsi="黑体" w:eastAsia="黑体" w:cs="黑体"/>
                <w:sz w:val="24"/>
                <w:szCs w:val="24"/>
              </w:rPr>
            </w:pPr>
            <w:r>
              <w:rPr>
                <w:rFonts w:ascii="黑体" w:hAnsi="黑体" w:eastAsia="黑体" w:cs="黑体"/>
                <w:b/>
                <w:bCs/>
                <w:spacing w:val="-11"/>
                <w:sz w:val="24"/>
                <w:szCs w:val="24"/>
              </w:rPr>
              <w:t>月份</w:t>
            </w:r>
          </w:p>
        </w:tc>
        <w:tc>
          <w:tcPr>
            <w:tcW w:w="2470" w:type="dxa"/>
            <w:gridSpan w:val="3"/>
            <w:vAlign w:val="top"/>
          </w:tcPr>
          <w:p w14:paraId="151D6E20">
            <w:pPr>
              <w:autoSpaceDE w:val="0"/>
              <w:autoSpaceDN w:val="0"/>
              <w:adjustRightInd w:val="0"/>
              <w:snapToGrid w:val="0"/>
              <w:spacing w:before="160" w:line="223" w:lineRule="auto"/>
              <w:ind w:left="771"/>
              <w:rPr>
                <w:rFonts w:ascii="黑体" w:hAnsi="黑体" w:eastAsia="黑体" w:cs="黑体"/>
                <w:sz w:val="24"/>
                <w:szCs w:val="24"/>
              </w:rPr>
            </w:pPr>
            <w:r>
              <w:rPr>
                <w:rFonts w:ascii="黑体" w:hAnsi="黑体" w:eastAsia="黑体" w:cs="黑体"/>
                <w:b/>
                <w:bCs/>
                <w:spacing w:val="-8"/>
                <w:sz w:val="24"/>
                <w:szCs w:val="24"/>
              </w:rPr>
              <w:t>合同电量</w:t>
            </w:r>
          </w:p>
        </w:tc>
        <w:tc>
          <w:tcPr>
            <w:tcW w:w="933" w:type="dxa"/>
            <w:vMerge w:val="restart"/>
            <w:tcBorders>
              <w:bottom w:val="nil"/>
            </w:tcBorders>
            <w:vAlign w:val="top"/>
          </w:tcPr>
          <w:p w14:paraId="21ED8935">
            <w:pPr>
              <w:autoSpaceDE w:val="0"/>
              <w:autoSpaceDN w:val="0"/>
              <w:adjustRightInd w:val="0"/>
              <w:snapToGrid w:val="0"/>
              <w:spacing w:line="248" w:lineRule="auto"/>
              <w:rPr>
                <w:rFonts w:ascii="Arial" w:hAnsiTheme="minorHAnsi" w:eastAsiaTheme="minorEastAsia" w:cstheme="minorBidi"/>
                <w:sz w:val="21"/>
                <w:szCs w:val="21"/>
              </w:rPr>
            </w:pPr>
          </w:p>
          <w:p w14:paraId="65C42080">
            <w:pPr>
              <w:autoSpaceDE w:val="0"/>
              <w:autoSpaceDN w:val="0"/>
              <w:adjustRightInd w:val="0"/>
              <w:snapToGrid w:val="0"/>
              <w:spacing w:line="248" w:lineRule="auto"/>
              <w:rPr>
                <w:rFonts w:ascii="Arial" w:hAnsiTheme="minorHAnsi" w:eastAsiaTheme="minorEastAsia" w:cstheme="minorBidi"/>
                <w:sz w:val="21"/>
                <w:szCs w:val="21"/>
              </w:rPr>
            </w:pPr>
          </w:p>
          <w:p w14:paraId="10FAE35E">
            <w:pPr>
              <w:autoSpaceDE w:val="0"/>
              <w:autoSpaceDN w:val="0"/>
              <w:adjustRightInd w:val="0"/>
              <w:snapToGrid w:val="0"/>
              <w:spacing w:before="78" w:line="223" w:lineRule="auto"/>
              <w:ind w:left="252"/>
              <w:rPr>
                <w:rFonts w:ascii="黑体" w:hAnsi="黑体" w:eastAsia="黑体" w:cs="黑体"/>
                <w:sz w:val="24"/>
                <w:szCs w:val="24"/>
              </w:rPr>
            </w:pPr>
            <w:r>
              <w:rPr>
                <w:rFonts w:ascii="黑体" w:hAnsi="黑体" w:eastAsia="黑体" w:cs="黑体"/>
                <w:b/>
                <w:bCs/>
                <w:spacing w:val="-11"/>
                <w:sz w:val="24"/>
                <w:szCs w:val="24"/>
              </w:rPr>
              <w:t>月份</w:t>
            </w:r>
          </w:p>
        </w:tc>
        <w:tc>
          <w:tcPr>
            <w:tcW w:w="2476" w:type="dxa"/>
            <w:gridSpan w:val="3"/>
            <w:vAlign w:val="top"/>
          </w:tcPr>
          <w:p w14:paraId="43557EEF">
            <w:pPr>
              <w:autoSpaceDE w:val="0"/>
              <w:autoSpaceDN w:val="0"/>
              <w:adjustRightInd w:val="0"/>
              <w:snapToGrid w:val="0"/>
              <w:spacing w:before="160" w:line="223" w:lineRule="auto"/>
              <w:ind w:left="776"/>
              <w:rPr>
                <w:rFonts w:ascii="黑体" w:hAnsi="黑体" w:eastAsia="黑体" w:cs="黑体"/>
                <w:sz w:val="24"/>
                <w:szCs w:val="24"/>
              </w:rPr>
            </w:pPr>
            <w:r>
              <w:rPr>
                <w:rFonts w:ascii="黑体" w:hAnsi="黑体" w:eastAsia="黑体" w:cs="黑体"/>
                <w:b/>
                <w:bCs/>
                <w:spacing w:val="-8"/>
                <w:sz w:val="24"/>
                <w:szCs w:val="24"/>
              </w:rPr>
              <w:t>合同电量</w:t>
            </w:r>
          </w:p>
        </w:tc>
        <w:tc>
          <w:tcPr>
            <w:tcW w:w="936" w:type="dxa"/>
            <w:vMerge w:val="restart"/>
            <w:tcBorders>
              <w:bottom w:val="nil"/>
            </w:tcBorders>
            <w:vAlign w:val="top"/>
          </w:tcPr>
          <w:p w14:paraId="025BC2F4">
            <w:pPr>
              <w:autoSpaceDE w:val="0"/>
              <w:autoSpaceDN w:val="0"/>
              <w:adjustRightInd w:val="0"/>
              <w:snapToGrid w:val="0"/>
              <w:spacing w:line="248" w:lineRule="auto"/>
              <w:rPr>
                <w:rFonts w:ascii="Arial" w:hAnsiTheme="minorHAnsi" w:eastAsiaTheme="minorEastAsia" w:cstheme="minorBidi"/>
                <w:sz w:val="21"/>
                <w:szCs w:val="21"/>
              </w:rPr>
            </w:pPr>
          </w:p>
          <w:p w14:paraId="12ECE364">
            <w:pPr>
              <w:autoSpaceDE w:val="0"/>
              <w:autoSpaceDN w:val="0"/>
              <w:adjustRightInd w:val="0"/>
              <w:snapToGrid w:val="0"/>
              <w:spacing w:line="248" w:lineRule="auto"/>
              <w:rPr>
                <w:rFonts w:ascii="Arial" w:hAnsiTheme="minorHAnsi" w:eastAsiaTheme="minorEastAsia" w:cstheme="minorBidi"/>
                <w:sz w:val="21"/>
                <w:szCs w:val="21"/>
              </w:rPr>
            </w:pPr>
          </w:p>
          <w:p w14:paraId="17432BCC">
            <w:pPr>
              <w:autoSpaceDE w:val="0"/>
              <w:autoSpaceDN w:val="0"/>
              <w:adjustRightInd w:val="0"/>
              <w:snapToGrid w:val="0"/>
              <w:spacing w:before="78" w:line="223" w:lineRule="auto"/>
              <w:ind w:left="256"/>
              <w:rPr>
                <w:rFonts w:ascii="黑体" w:hAnsi="黑体" w:eastAsia="黑体" w:cs="黑体"/>
                <w:sz w:val="24"/>
                <w:szCs w:val="24"/>
              </w:rPr>
            </w:pPr>
            <w:r>
              <w:rPr>
                <w:rFonts w:ascii="黑体" w:hAnsi="黑体" w:eastAsia="黑体" w:cs="黑体"/>
                <w:b/>
                <w:bCs/>
                <w:spacing w:val="-11"/>
                <w:sz w:val="24"/>
                <w:szCs w:val="24"/>
              </w:rPr>
              <w:t>月份</w:t>
            </w:r>
          </w:p>
        </w:tc>
        <w:tc>
          <w:tcPr>
            <w:tcW w:w="2421" w:type="dxa"/>
            <w:gridSpan w:val="3"/>
            <w:vAlign w:val="top"/>
          </w:tcPr>
          <w:p w14:paraId="1BD98621">
            <w:pPr>
              <w:autoSpaceDE w:val="0"/>
              <w:autoSpaceDN w:val="0"/>
              <w:adjustRightInd w:val="0"/>
              <w:snapToGrid w:val="0"/>
              <w:spacing w:before="160" w:line="223" w:lineRule="auto"/>
              <w:ind w:left="748"/>
              <w:rPr>
                <w:rFonts w:ascii="黑体" w:hAnsi="黑体" w:eastAsia="黑体" w:cs="黑体"/>
                <w:sz w:val="24"/>
                <w:szCs w:val="24"/>
              </w:rPr>
            </w:pPr>
            <w:r>
              <w:rPr>
                <w:rFonts w:ascii="黑体" w:hAnsi="黑体" w:eastAsia="黑体" w:cs="黑体"/>
                <w:b/>
                <w:bCs/>
                <w:spacing w:val="-8"/>
                <w:sz w:val="24"/>
                <w:szCs w:val="24"/>
              </w:rPr>
              <w:t>合同电量</w:t>
            </w:r>
          </w:p>
        </w:tc>
      </w:tr>
      <w:tr w14:paraId="5398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767" w:type="dxa"/>
            <w:vMerge w:val="continue"/>
            <w:tcBorders>
              <w:top w:val="nil"/>
            </w:tcBorders>
            <w:vAlign w:val="top"/>
          </w:tcPr>
          <w:p w14:paraId="240E22B7">
            <w:pPr>
              <w:autoSpaceDE w:val="0"/>
              <w:autoSpaceDN w:val="0"/>
              <w:adjustRightInd w:val="0"/>
              <w:snapToGrid w:val="0"/>
              <w:spacing w:line="300" w:lineRule="auto"/>
              <w:rPr>
                <w:rFonts w:ascii="Arial" w:hAnsiTheme="minorHAnsi" w:eastAsiaTheme="minorEastAsia" w:cstheme="minorBidi"/>
                <w:sz w:val="21"/>
                <w:szCs w:val="21"/>
              </w:rPr>
            </w:pPr>
          </w:p>
        </w:tc>
        <w:tc>
          <w:tcPr>
            <w:tcW w:w="1232" w:type="dxa"/>
            <w:gridSpan w:val="2"/>
            <w:vAlign w:val="top"/>
          </w:tcPr>
          <w:p w14:paraId="11245D26">
            <w:pPr>
              <w:autoSpaceDE w:val="0"/>
              <w:autoSpaceDN w:val="0"/>
              <w:adjustRightInd w:val="0"/>
              <w:snapToGrid w:val="0"/>
              <w:spacing w:before="139" w:line="244" w:lineRule="auto"/>
              <w:ind w:left="445" w:right="139" w:hanging="285"/>
              <w:rPr>
                <w:rFonts w:ascii="黑体" w:hAnsi="黑体" w:eastAsia="黑体" w:cs="黑体"/>
                <w:sz w:val="12"/>
                <w:szCs w:val="12"/>
              </w:rPr>
            </w:pPr>
            <w:r>
              <w:rPr>
                <w:rFonts w:ascii="黑体" w:hAnsi="黑体" w:eastAsia="黑体" w:cs="黑体"/>
                <w:b/>
                <w:bCs/>
                <w:spacing w:val="-11"/>
                <w:sz w:val="24"/>
                <w:szCs w:val="24"/>
              </w:rPr>
              <w:t>常规电力</w:t>
            </w:r>
            <w:r>
              <w:rPr>
                <w:rFonts w:ascii="黑体" w:hAnsi="黑体" w:eastAsia="黑体" w:cs="黑体"/>
                <w:sz w:val="24"/>
                <w:szCs w:val="24"/>
              </w:rPr>
              <w:t xml:space="preserve"> </w:t>
            </w:r>
            <w:r>
              <w:rPr>
                <w:rFonts w:ascii="黑体" w:hAnsi="黑体" w:eastAsia="黑体" w:cs="黑体"/>
                <w:b/>
                <w:bCs/>
                <w:spacing w:val="-6"/>
                <w:position w:val="1"/>
                <w:sz w:val="24"/>
                <w:szCs w:val="24"/>
              </w:rPr>
              <w:t>Q</w:t>
            </w:r>
            <w:r>
              <w:rPr>
                <w:rFonts w:ascii="黑体" w:hAnsi="黑体" w:eastAsia="黑体" w:cs="黑体"/>
                <w:b/>
                <w:bCs/>
                <w:spacing w:val="-6"/>
                <w:position w:val="-1"/>
                <w:sz w:val="12"/>
                <w:szCs w:val="12"/>
              </w:rPr>
              <w:t>常合</w:t>
            </w:r>
          </w:p>
        </w:tc>
        <w:tc>
          <w:tcPr>
            <w:tcW w:w="1238" w:type="dxa"/>
            <w:vAlign w:val="top"/>
          </w:tcPr>
          <w:p w14:paraId="030E3EAE">
            <w:pPr>
              <w:autoSpaceDE w:val="0"/>
              <w:autoSpaceDN w:val="0"/>
              <w:adjustRightInd w:val="0"/>
              <w:snapToGrid w:val="0"/>
              <w:spacing w:before="138" w:line="244" w:lineRule="auto"/>
              <w:ind w:left="449" w:right="141" w:hanging="293"/>
              <w:rPr>
                <w:rFonts w:ascii="黑体" w:hAnsi="黑体" w:eastAsia="黑体" w:cs="黑体"/>
                <w:sz w:val="12"/>
                <w:szCs w:val="12"/>
              </w:rPr>
            </w:pPr>
            <w:r>
              <w:rPr>
                <w:rFonts w:ascii="黑体" w:hAnsi="黑体" w:eastAsia="黑体" w:cs="黑体"/>
                <w:b/>
                <w:bCs/>
                <w:spacing w:val="-9"/>
                <w:sz w:val="24"/>
                <w:szCs w:val="24"/>
              </w:rPr>
              <w:t>绿色电力</w:t>
            </w:r>
            <w:r>
              <w:rPr>
                <w:rFonts w:ascii="黑体" w:hAnsi="黑体" w:eastAsia="黑体" w:cs="黑体"/>
                <w:sz w:val="24"/>
                <w:szCs w:val="24"/>
              </w:rPr>
              <w:t xml:space="preserve"> </w:t>
            </w:r>
            <w:r>
              <w:rPr>
                <w:rFonts w:ascii="黑体" w:hAnsi="黑体" w:eastAsia="黑体" w:cs="黑体"/>
                <w:b/>
                <w:bCs/>
                <w:spacing w:val="-6"/>
                <w:position w:val="1"/>
                <w:sz w:val="24"/>
                <w:szCs w:val="24"/>
              </w:rPr>
              <w:t>Q</w:t>
            </w:r>
            <w:r>
              <w:rPr>
                <w:rFonts w:ascii="黑体" w:hAnsi="黑体" w:eastAsia="黑体" w:cs="黑体"/>
                <w:b/>
                <w:bCs/>
                <w:spacing w:val="-6"/>
                <w:position w:val="-1"/>
                <w:sz w:val="12"/>
                <w:szCs w:val="12"/>
              </w:rPr>
              <w:t>绿合</w:t>
            </w:r>
          </w:p>
        </w:tc>
        <w:tc>
          <w:tcPr>
            <w:tcW w:w="933" w:type="dxa"/>
            <w:vMerge w:val="continue"/>
            <w:tcBorders>
              <w:top w:val="nil"/>
            </w:tcBorders>
            <w:vAlign w:val="top"/>
          </w:tcPr>
          <w:p w14:paraId="4584C02C">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vAlign w:val="top"/>
          </w:tcPr>
          <w:p w14:paraId="6A9AC47E">
            <w:pPr>
              <w:autoSpaceDE w:val="0"/>
              <w:autoSpaceDN w:val="0"/>
              <w:adjustRightInd w:val="0"/>
              <w:snapToGrid w:val="0"/>
              <w:spacing w:before="139" w:line="244" w:lineRule="auto"/>
              <w:ind w:left="450" w:right="140" w:hanging="285"/>
              <w:rPr>
                <w:rFonts w:ascii="黑体" w:hAnsi="黑体" w:eastAsia="黑体" w:cs="黑体"/>
                <w:sz w:val="12"/>
                <w:szCs w:val="12"/>
              </w:rPr>
            </w:pPr>
            <w:r>
              <w:rPr>
                <w:rFonts w:ascii="黑体" w:hAnsi="黑体" w:eastAsia="黑体" w:cs="黑体"/>
                <w:b/>
                <w:bCs/>
                <w:spacing w:val="-11"/>
                <w:sz w:val="24"/>
                <w:szCs w:val="24"/>
              </w:rPr>
              <w:t>常规电力</w:t>
            </w:r>
            <w:r>
              <w:rPr>
                <w:rFonts w:ascii="黑体" w:hAnsi="黑体" w:eastAsia="黑体" w:cs="黑体"/>
                <w:sz w:val="24"/>
                <w:szCs w:val="24"/>
              </w:rPr>
              <w:t xml:space="preserve"> </w:t>
            </w:r>
            <w:r>
              <w:rPr>
                <w:rFonts w:ascii="黑体" w:hAnsi="黑体" w:eastAsia="黑体" w:cs="黑体"/>
                <w:b/>
                <w:bCs/>
                <w:spacing w:val="-6"/>
                <w:position w:val="1"/>
                <w:sz w:val="24"/>
                <w:szCs w:val="24"/>
              </w:rPr>
              <w:t>Q</w:t>
            </w:r>
            <w:r>
              <w:rPr>
                <w:rFonts w:ascii="黑体" w:hAnsi="黑体" w:eastAsia="黑体" w:cs="黑体"/>
                <w:b/>
                <w:bCs/>
                <w:spacing w:val="-6"/>
                <w:position w:val="-1"/>
                <w:sz w:val="12"/>
                <w:szCs w:val="12"/>
              </w:rPr>
              <w:t>常合</w:t>
            </w:r>
          </w:p>
        </w:tc>
        <w:tc>
          <w:tcPr>
            <w:tcW w:w="1238" w:type="dxa"/>
            <w:gridSpan w:val="2"/>
            <w:vAlign w:val="top"/>
          </w:tcPr>
          <w:p w14:paraId="02004F30">
            <w:pPr>
              <w:autoSpaceDE w:val="0"/>
              <w:autoSpaceDN w:val="0"/>
              <w:adjustRightInd w:val="0"/>
              <w:snapToGrid w:val="0"/>
              <w:spacing w:before="138" w:line="244" w:lineRule="auto"/>
              <w:ind w:left="450" w:right="139" w:hanging="293"/>
              <w:rPr>
                <w:rFonts w:ascii="黑体" w:hAnsi="黑体" w:eastAsia="黑体" w:cs="黑体"/>
                <w:sz w:val="12"/>
                <w:szCs w:val="12"/>
              </w:rPr>
            </w:pPr>
            <w:r>
              <w:rPr>
                <w:rFonts w:ascii="黑体" w:hAnsi="黑体" w:eastAsia="黑体" w:cs="黑体"/>
                <w:b/>
                <w:bCs/>
                <w:spacing w:val="-9"/>
                <w:sz w:val="24"/>
                <w:szCs w:val="24"/>
              </w:rPr>
              <w:t>绿色电力</w:t>
            </w:r>
            <w:r>
              <w:rPr>
                <w:rFonts w:ascii="黑体" w:hAnsi="黑体" w:eastAsia="黑体" w:cs="黑体"/>
                <w:sz w:val="24"/>
                <w:szCs w:val="24"/>
              </w:rPr>
              <w:t xml:space="preserve"> </w:t>
            </w:r>
            <w:r>
              <w:rPr>
                <w:rFonts w:ascii="黑体" w:hAnsi="黑体" w:eastAsia="黑体" w:cs="黑体"/>
                <w:b/>
                <w:bCs/>
                <w:spacing w:val="-5"/>
                <w:position w:val="1"/>
                <w:sz w:val="24"/>
                <w:szCs w:val="24"/>
              </w:rPr>
              <w:t>Q</w:t>
            </w:r>
            <w:r>
              <w:rPr>
                <w:rFonts w:ascii="黑体" w:hAnsi="黑体" w:eastAsia="黑体" w:cs="黑体"/>
                <w:b/>
                <w:bCs/>
                <w:spacing w:val="-5"/>
                <w:position w:val="-1"/>
                <w:sz w:val="12"/>
                <w:szCs w:val="12"/>
              </w:rPr>
              <w:t>绿合</w:t>
            </w:r>
          </w:p>
        </w:tc>
        <w:tc>
          <w:tcPr>
            <w:tcW w:w="936" w:type="dxa"/>
            <w:vMerge w:val="continue"/>
            <w:tcBorders>
              <w:top w:val="nil"/>
            </w:tcBorders>
            <w:vAlign w:val="top"/>
          </w:tcPr>
          <w:p w14:paraId="6C9F0790">
            <w:pPr>
              <w:autoSpaceDE w:val="0"/>
              <w:autoSpaceDN w:val="0"/>
              <w:adjustRightInd w:val="0"/>
              <w:snapToGrid w:val="0"/>
              <w:spacing w:line="300" w:lineRule="auto"/>
              <w:rPr>
                <w:rFonts w:ascii="Arial" w:hAnsiTheme="minorHAnsi" w:eastAsiaTheme="minorEastAsia" w:cstheme="minorBidi"/>
                <w:sz w:val="21"/>
                <w:szCs w:val="21"/>
              </w:rPr>
            </w:pPr>
          </w:p>
        </w:tc>
        <w:tc>
          <w:tcPr>
            <w:tcW w:w="1252" w:type="dxa"/>
            <w:gridSpan w:val="2"/>
            <w:vAlign w:val="top"/>
          </w:tcPr>
          <w:p w14:paraId="4790AC82">
            <w:pPr>
              <w:autoSpaceDE w:val="0"/>
              <w:autoSpaceDN w:val="0"/>
              <w:adjustRightInd w:val="0"/>
              <w:snapToGrid w:val="0"/>
              <w:spacing w:before="139" w:line="244" w:lineRule="auto"/>
              <w:ind w:left="458" w:right="146" w:hanging="285"/>
              <w:rPr>
                <w:rFonts w:ascii="黑体" w:hAnsi="黑体" w:eastAsia="黑体" w:cs="黑体"/>
                <w:sz w:val="12"/>
                <w:szCs w:val="12"/>
              </w:rPr>
            </w:pPr>
            <w:r>
              <w:rPr>
                <w:rFonts w:ascii="黑体" w:hAnsi="黑体" w:eastAsia="黑体" w:cs="黑体"/>
                <w:b/>
                <w:bCs/>
                <w:spacing w:val="-11"/>
                <w:sz w:val="24"/>
                <w:szCs w:val="24"/>
              </w:rPr>
              <w:t>常规电力</w:t>
            </w:r>
            <w:r>
              <w:rPr>
                <w:rFonts w:ascii="黑体" w:hAnsi="黑体" w:eastAsia="黑体" w:cs="黑体"/>
                <w:sz w:val="24"/>
                <w:szCs w:val="24"/>
              </w:rPr>
              <w:t xml:space="preserve"> </w:t>
            </w:r>
            <w:r>
              <w:rPr>
                <w:rFonts w:ascii="黑体" w:hAnsi="黑体" w:eastAsia="黑体" w:cs="黑体"/>
                <w:b/>
                <w:bCs/>
                <w:spacing w:val="-6"/>
                <w:position w:val="1"/>
                <w:sz w:val="24"/>
                <w:szCs w:val="24"/>
              </w:rPr>
              <w:t>Q</w:t>
            </w:r>
            <w:r>
              <w:rPr>
                <w:rFonts w:ascii="黑体" w:hAnsi="黑体" w:eastAsia="黑体" w:cs="黑体"/>
                <w:b/>
                <w:bCs/>
                <w:spacing w:val="-6"/>
                <w:position w:val="-1"/>
                <w:sz w:val="12"/>
                <w:szCs w:val="12"/>
              </w:rPr>
              <w:t>常合</w:t>
            </w:r>
          </w:p>
        </w:tc>
        <w:tc>
          <w:tcPr>
            <w:tcW w:w="1169" w:type="dxa"/>
            <w:vAlign w:val="top"/>
          </w:tcPr>
          <w:p w14:paraId="76D6603B">
            <w:pPr>
              <w:autoSpaceDE w:val="0"/>
              <w:autoSpaceDN w:val="0"/>
              <w:adjustRightInd w:val="0"/>
              <w:snapToGrid w:val="0"/>
              <w:spacing w:before="138" w:line="244" w:lineRule="auto"/>
              <w:ind w:left="414" w:right="105" w:hanging="291"/>
              <w:rPr>
                <w:rFonts w:ascii="黑体" w:hAnsi="黑体" w:eastAsia="黑体" w:cs="黑体"/>
                <w:sz w:val="12"/>
                <w:szCs w:val="12"/>
              </w:rPr>
            </w:pPr>
            <w:r>
              <w:rPr>
                <w:rFonts w:ascii="黑体" w:hAnsi="黑体" w:eastAsia="黑体" w:cs="黑体"/>
                <w:b/>
                <w:bCs/>
                <w:spacing w:val="-9"/>
                <w:sz w:val="24"/>
                <w:szCs w:val="24"/>
              </w:rPr>
              <w:t>绿色电力</w:t>
            </w:r>
            <w:r>
              <w:rPr>
                <w:rFonts w:ascii="黑体" w:hAnsi="黑体" w:eastAsia="黑体" w:cs="黑体"/>
                <w:sz w:val="24"/>
                <w:szCs w:val="24"/>
              </w:rPr>
              <w:t xml:space="preserve"> </w:t>
            </w:r>
            <w:r>
              <w:rPr>
                <w:rFonts w:ascii="黑体" w:hAnsi="黑体" w:eastAsia="黑体" w:cs="黑体"/>
                <w:b/>
                <w:bCs/>
                <w:spacing w:val="-5"/>
                <w:position w:val="1"/>
                <w:sz w:val="24"/>
                <w:szCs w:val="24"/>
              </w:rPr>
              <w:t>Q</w:t>
            </w:r>
            <w:r>
              <w:rPr>
                <w:rFonts w:ascii="黑体" w:hAnsi="黑体" w:eastAsia="黑体" w:cs="黑体"/>
                <w:b/>
                <w:bCs/>
                <w:spacing w:val="-5"/>
                <w:position w:val="-1"/>
                <w:sz w:val="12"/>
                <w:szCs w:val="12"/>
              </w:rPr>
              <w:t>绿合</w:t>
            </w:r>
          </w:p>
        </w:tc>
      </w:tr>
      <w:tr w14:paraId="53BB9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767" w:type="dxa"/>
            <w:vAlign w:val="top"/>
          </w:tcPr>
          <w:p w14:paraId="1BA85D2C">
            <w:pPr>
              <w:widowControl w:val="0"/>
              <w:autoSpaceDE w:val="0"/>
              <w:autoSpaceDN w:val="0"/>
              <w:adjustRightInd w:val="0"/>
              <w:snapToGrid w:val="0"/>
              <w:spacing w:before="159" w:line="226" w:lineRule="auto"/>
              <w:ind w:left="237"/>
              <w:jc w:val="both"/>
              <w:rPr>
                <w:rFonts w:ascii="楷体" w:hAnsi="楷体" w:eastAsia="楷体" w:cs="楷体"/>
                <w:kern w:val="2"/>
                <w:sz w:val="24"/>
                <w:szCs w:val="24"/>
                <w:lang w:val="en-US" w:eastAsia="en-US" w:bidi="ar-SA"/>
              </w:rPr>
            </w:pPr>
            <w:r>
              <w:rPr>
                <w:rFonts w:ascii="楷体" w:hAnsi="楷体" w:eastAsia="楷体" w:cs="楷体"/>
                <w:spacing w:val="-11"/>
                <w:kern w:val="2"/>
                <w:sz w:val="24"/>
                <w:szCs w:val="24"/>
                <w:lang w:val="en-US" w:eastAsia="en-US" w:bidi="ar-SA"/>
              </w:rPr>
              <w:t>1月</w:t>
            </w:r>
          </w:p>
        </w:tc>
        <w:tc>
          <w:tcPr>
            <w:tcW w:w="1232" w:type="dxa"/>
            <w:gridSpan w:val="2"/>
            <w:vAlign w:val="top"/>
          </w:tcPr>
          <w:p w14:paraId="7EFDD804">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vAlign w:val="top"/>
          </w:tcPr>
          <w:p w14:paraId="61D5686A">
            <w:pPr>
              <w:autoSpaceDE w:val="0"/>
              <w:autoSpaceDN w:val="0"/>
              <w:adjustRightInd w:val="0"/>
              <w:snapToGrid w:val="0"/>
              <w:spacing w:line="300" w:lineRule="auto"/>
              <w:rPr>
                <w:rFonts w:ascii="Arial" w:hAnsiTheme="minorHAnsi" w:eastAsiaTheme="minorEastAsia" w:cstheme="minorBidi"/>
                <w:sz w:val="21"/>
                <w:szCs w:val="21"/>
              </w:rPr>
            </w:pPr>
          </w:p>
        </w:tc>
        <w:tc>
          <w:tcPr>
            <w:tcW w:w="933" w:type="dxa"/>
            <w:vAlign w:val="top"/>
          </w:tcPr>
          <w:p w14:paraId="4C9FD7BB">
            <w:pPr>
              <w:widowControl w:val="0"/>
              <w:autoSpaceDE w:val="0"/>
              <w:autoSpaceDN w:val="0"/>
              <w:adjustRightInd w:val="0"/>
              <w:snapToGrid w:val="0"/>
              <w:spacing w:before="159" w:line="226" w:lineRule="auto"/>
              <w:ind w:left="289"/>
              <w:jc w:val="both"/>
              <w:rPr>
                <w:rFonts w:ascii="楷体" w:hAnsi="楷体" w:eastAsia="楷体" w:cs="楷体"/>
                <w:kern w:val="2"/>
                <w:sz w:val="24"/>
                <w:szCs w:val="24"/>
                <w:lang w:val="en-US" w:eastAsia="en-US" w:bidi="ar-SA"/>
              </w:rPr>
            </w:pPr>
            <w:r>
              <w:rPr>
                <w:rFonts w:ascii="楷体" w:hAnsi="楷体" w:eastAsia="楷体" w:cs="楷体"/>
                <w:spacing w:val="-2"/>
                <w:kern w:val="2"/>
                <w:sz w:val="24"/>
                <w:szCs w:val="24"/>
                <w:lang w:val="en-US" w:eastAsia="en-US" w:bidi="ar-SA"/>
              </w:rPr>
              <w:t>5月</w:t>
            </w:r>
          </w:p>
        </w:tc>
        <w:tc>
          <w:tcPr>
            <w:tcW w:w="1238" w:type="dxa"/>
            <w:vAlign w:val="top"/>
          </w:tcPr>
          <w:p w14:paraId="4278C498">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gridSpan w:val="2"/>
            <w:vAlign w:val="top"/>
          </w:tcPr>
          <w:p w14:paraId="3C9AD7EE">
            <w:pPr>
              <w:autoSpaceDE w:val="0"/>
              <w:autoSpaceDN w:val="0"/>
              <w:adjustRightInd w:val="0"/>
              <w:snapToGrid w:val="0"/>
              <w:spacing w:line="300" w:lineRule="auto"/>
              <w:rPr>
                <w:rFonts w:ascii="Arial" w:hAnsiTheme="minorHAnsi" w:eastAsiaTheme="minorEastAsia" w:cstheme="minorBidi"/>
                <w:sz w:val="21"/>
                <w:szCs w:val="21"/>
              </w:rPr>
            </w:pPr>
          </w:p>
        </w:tc>
        <w:tc>
          <w:tcPr>
            <w:tcW w:w="936" w:type="dxa"/>
            <w:vAlign w:val="top"/>
          </w:tcPr>
          <w:p w14:paraId="5AA30340">
            <w:pPr>
              <w:widowControl w:val="0"/>
              <w:autoSpaceDE w:val="0"/>
              <w:autoSpaceDN w:val="0"/>
              <w:adjustRightInd w:val="0"/>
              <w:snapToGrid w:val="0"/>
              <w:spacing w:before="159" w:line="226" w:lineRule="auto"/>
              <w:ind w:left="292"/>
              <w:jc w:val="both"/>
              <w:rPr>
                <w:rFonts w:ascii="楷体" w:hAnsi="楷体" w:eastAsia="楷体" w:cs="楷体"/>
                <w:kern w:val="2"/>
                <w:sz w:val="24"/>
                <w:szCs w:val="24"/>
                <w:lang w:val="en-US" w:eastAsia="en-US" w:bidi="ar-SA"/>
              </w:rPr>
            </w:pPr>
            <w:r>
              <w:rPr>
                <w:rFonts w:ascii="楷体" w:hAnsi="楷体" w:eastAsia="楷体" w:cs="楷体"/>
                <w:spacing w:val="-2"/>
                <w:kern w:val="2"/>
                <w:sz w:val="24"/>
                <w:szCs w:val="24"/>
                <w:lang w:val="en-US" w:eastAsia="en-US" w:bidi="ar-SA"/>
              </w:rPr>
              <w:t>9月</w:t>
            </w:r>
          </w:p>
        </w:tc>
        <w:tc>
          <w:tcPr>
            <w:tcW w:w="1252" w:type="dxa"/>
            <w:gridSpan w:val="2"/>
            <w:vAlign w:val="top"/>
          </w:tcPr>
          <w:p w14:paraId="3699B796">
            <w:pPr>
              <w:autoSpaceDE w:val="0"/>
              <w:autoSpaceDN w:val="0"/>
              <w:adjustRightInd w:val="0"/>
              <w:snapToGrid w:val="0"/>
              <w:spacing w:line="300" w:lineRule="auto"/>
              <w:rPr>
                <w:rFonts w:ascii="Arial" w:hAnsiTheme="minorHAnsi" w:eastAsiaTheme="minorEastAsia" w:cstheme="minorBidi"/>
                <w:sz w:val="21"/>
                <w:szCs w:val="21"/>
              </w:rPr>
            </w:pPr>
          </w:p>
        </w:tc>
        <w:tc>
          <w:tcPr>
            <w:tcW w:w="1169" w:type="dxa"/>
            <w:vAlign w:val="top"/>
          </w:tcPr>
          <w:p w14:paraId="33FF2976">
            <w:pPr>
              <w:autoSpaceDE w:val="0"/>
              <w:autoSpaceDN w:val="0"/>
              <w:adjustRightInd w:val="0"/>
              <w:snapToGrid w:val="0"/>
              <w:spacing w:line="300" w:lineRule="auto"/>
              <w:rPr>
                <w:rFonts w:ascii="Arial" w:hAnsiTheme="minorHAnsi" w:eastAsiaTheme="minorEastAsia" w:cstheme="minorBidi"/>
                <w:sz w:val="21"/>
                <w:szCs w:val="21"/>
              </w:rPr>
            </w:pPr>
          </w:p>
        </w:tc>
      </w:tr>
      <w:tr w14:paraId="46893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767" w:type="dxa"/>
            <w:vAlign w:val="top"/>
          </w:tcPr>
          <w:p w14:paraId="31A757C0">
            <w:pPr>
              <w:widowControl w:val="0"/>
              <w:autoSpaceDE w:val="0"/>
              <w:autoSpaceDN w:val="0"/>
              <w:adjustRightInd w:val="0"/>
              <w:snapToGrid w:val="0"/>
              <w:spacing w:before="159" w:line="226" w:lineRule="auto"/>
              <w:ind w:left="213"/>
              <w:jc w:val="both"/>
              <w:rPr>
                <w:rFonts w:ascii="楷体" w:hAnsi="楷体" w:eastAsia="楷体" w:cs="楷体"/>
                <w:kern w:val="2"/>
                <w:sz w:val="24"/>
                <w:szCs w:val="24"/>
                <w:lang w:val="en-US" w:eastAsia="en-US" w:bidi="ar-SA"/>
              </w:rPr>
            </w:pPr>
            <w:r>
              <w:rPr>
                <w:rFonts w:ascii="楷体" w:hAnsi="楷体" w:eastAsia="楷体" w:cs="楷体"/>
                <w:spacing w:val="-4"/>
                <w:kern w:val="2"/>
                <w:sz w:val="24"/>
                <w:szCs w:val="24"/>
                <w:lang w:val="en-US" w:eastAsia="en-US" w:bidi="ar-SA"/>
              </w:rPr>
              <w:t>2月</w:t>
            </w:r>
          </w:p>
        </w:tc>
        <w:tc>
          <w:tcPr>
            <w:tcW w:w="1232" w:type="dxa"/>
            <w:gridSpan w:val="2"/>
            <w:vAlign w:val="top"/>
          </w:tcPr>
          <w:p w14:paraId="7A6C344F">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vAlign w:val="top"/>
          </w:tcPr>
          <w:p w14:paraId="2F59A868">
            <w:pPr>
              <w:autoSpaceDE w:val="0"/>
              <w:autoSpaceDN w:val="0"/>
              <w:adjustRightInd w:val="0"/>
              <w:snapToGrid w:val="0"/>
              <w:spacing w:line="300" w:lineRule="auto"/>
              <w:rPr>
                <w:rFonts w:ascii="Arial" w:hAnsiTheme="minorHAnsi" w:eastAsiaTheme="minorEastAsia" w:cstheme="minorBidi"/>
                <w:sz w:val="21"/>
                <w:szCs w:val="21"/>
              </w:rPr>
            </w:pPr>
          </w:p>
        </w:tc>
        <w:tc>
          <w:tcPr>
            <w:tcW w:w="933" w:type="dxa"/>
            <w:vAlign w:val="top"/>
          </w:tcPr>
          <w:p w14:paraId="7969843B">
            <w:pPr>
              <w:widowControl w:val="0"/>
              <w:autoSpaceDE w:val="0"/>
              <w:autoSpaceDN w:val="0"/>
              <w:adjustRightInd w:val="0"/>
              <w:snapToGrid w:val="0"/>
              <w:spacing w:before="159" w:line="226" w:lineRule="auto"/>
              <w:ind w:left="299"/>
              <w:jc w:val="both"/>
              <w:rPr>
                <w:rFonts w:ascii="楷体" w:hAnsi="楷体" w:eastAsia="楷体" w:cs="楷体"/>
                <w:kern w:val="2"/>
                <w:sz w:val="24"/>
                <w:szCs w:val="24"/>
                <w:lang w:val="en-US" w:eastAsia="en-US" w:bidi="ar-SA"/>
              </w:rPr>
            </w:pPr>
            <w:r>
              <w:rPr>
                <w:rFonts w:ascii="楷体" w:hAnsi="楷体" w:eastAsia="楷体" w:cs="楷体"/>
                <w:spacing w:val="-5"/>
                <w:kern w:val="2"/>
                <w:sz w:val="24"/>
                <w:szCs w:val="24"/>
                <w:lang w:val="en-US" w:eastAsia="en-US" w:bidi="ar-SA"/>
              </w:rPr>
              <w:t>6月</w:t>
            </w:r>
          </w:p>
        </w:tc>
        <w:tc>
          <w:tcPr>
            <w:tcW w:w="1238" w:type="dxa"/>
            <w:vAlign w:val="top"/>
          </w:tcPr>
          <w:p w14:paraId="0D16C5E1">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gridSpan w:val="2"/>
            <w:vAlign w:val="top"/>
          </w:tcPr>
          <w:p w14:paraId="4C12A72B">
            <w:pPr>
              <w:autoSpaceDE w:val="0"/>
              <w:autoSpaceDN w:val="0"/>
              <w:adjustRightInd w:val="0"/>
              <w:snapToGrid w:val="0"/>
              <w:spacing w:line="300" w:lineRule="auto"/>
              <w:rPr>
                <w:rFonts w:ascii="Arial" w:hAnsiTheme="minorHAnsi" w:eastAsiaTheme="minorEastAsia" w:cstheme="minorBidi"/>
                <w:sz w:val="21"/>
                <w:szCs w:val="21"/>
              </w:rPr>
            </w:pPr>
          </w:p>
        </w:tc>
        <w:tc>
          <w:tcPr>
            <w:tcW w:w="936" w:type="dxa"/>
            <w:vAlign w:val="top"/>
          </w:tcPr>
          <w:p w14:paraId="4583C8A6">
            <w:pPr>
              <w:widowControl w:val="0"/>
              <w:autoSpaceDE w:val="0"/>
              <w:autoSpaceDN w:val="0"/>
              <w:adjustRightInd w:val="0"/>
              <w:snapToGrid w:val="0"/>
              <w:spacing w:before="159" w:line="226" w:lineRule="auto"/>
              <w:ind w:left="256"/>
              <w:jc w:val="both"/>
              <w:rPr>
                <w:rFonts w:ascii="楷体" w:hAnsi="楷体" w:eastAsia="楷体" w:cs="楷体"/>
                <w:kern w:val="2"/>
                <w:sz w:val="24"/>
                <w:szCs w:val="24"/>
                <w:lang w:val="en-US" w:eastAsia="en-US" w:bidi="ar-SA"/>
              </w:rPr>
            </w:pPr>
            <w:r>
              <w:rPr>
                <w:rFonts w:ascii="楷体" w:hAnsi="楷体" w:eastAsia="楷体" w:cs="楷体"/>
                <w:spacing w:val="-9"/>
                <w:kern w:val="2"/>
                <w:sz w:val="24"/>
                <w:szCs w:val="24"/>
                <w:lang w:val="en-US" w:eastAsia="en-US" w:bidi="ar-SA"/>
              </w:rPr>
              <w:t>10月</w:t>
            </w:r>
          </w:p>
        </w:tc>
        <w:tc>
          <w:tcPr>
            <w:tcW w:w="1252" w:type="dxa"/>
            <w:gridSpan w:val="2"/>
            <w:vAlign w:val="top"/>
          </w:tcPr>
          <w:p w14:paraId="5F70F422">
            <w:pPr>
              <w:autoSpaceDE w:val="0"/>
              <w:autoSpaceDN w:val="0"/>
              <w:adjustRightInd w:val="0"/>
              <w:snapToGrid w:val="0"/>
              <w:spacing w:line="300" w:lineRule="auto"/>
              <w:rPr>
                <w:rFonts w:ascii="Arial" w:hAnsiTheme="minorHAnsi" w:eastAsiaTheme="minorEastAsia" w:cstheme="minorBidi"/>
                <w:sz w:val="21"/>
                <w:szCs w:val="21"/>
              </w:rPr>
            </w:pPr>
          </w:p>
        </w:tc>
        <w:tc>
          <w:tcPr>
            <w:tcW w:w="1169" w:type="dxa"/>
            <w:vAlign w:val="top"/>
          </w:tcPr>
          <w:p w14:paraId="64B85C8C">
            <w:pPr>
              <w:autoSpaceDE w:val="0"/>
              <w:autoSpaceDN w:val="0"/>
              <w:adjustRightInd w:val="0"/>
              <w:snapToGrid w:val="0"/>
              <w:spacing w:line="300" w:lineRule="auto"/>
              <w:rPr>
                <w:rFonts w:ascii="Arial" w:hAnsiTheme="minorHAnsi" w:eastAsiaTheme="minorEastAsia" w:cstheme="minorBidi"/>
                <w:sz w:val="21"/>
                <w:szCs w:val="21"/>
              </w:rPr>
            </w:pPr>
          </w:p>
        </w:tc>
      </w:tr>
      <w:tr w14:paraId="5D0ED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767" w:type="dxa"/>
            <w:vAlign w:val="top"/>
          </w:tcPr>
          <w:p w14:paraId="59D938ED">
            <w:pPr>
              <w:widowControl w:val="0"/>
              <w:autoSpaceDE w:val="0"/>
              <w:autoSpaceDN w:val="0"/>
              <w:adjustRightInd w:val="0"/>
              <w:snapToGrid w:val="0"/>
              <w:spacing w:before="158" w:line="226" w:lineRule="auto"/>
              <w:ind w:left="217"/>
              <w:jc w:val="both"/>
              <w:rPr>
                <w:rFonts w:ascii="楷体" w:hAnsi="楷体" w:eastAsia="楷体" w:cs="楷体"/>
                <w:kern w:val="2"/>
                <w:sz w:val="24"/>
                <w:szCs w:val="24"/>
                <w:lang w:val="en-US" w:eastAsia="en-US" w:bidi="ar-SA"/>
              </w:rPr>
            </w:pPr>
            <w:r>
              <w:rPr>
                <w:rFonts w:ascii="楷体" w:hAnsi="楷体" w:eastAsia="楷体" w:cs="楷体"/>
                <w:spacing w:val="-5"/>
                <w:kern w:val="2"/>
                <w:sz w:val="24"/>
                <w:szCs w:val="24"/>
                <w:lang w:val="en-US" w:eastAsia="en-US" w:bidi="ar-SA"/>
              </w:rPr>
              <w:t>3月</w:t>
            </w:r>
          </w:p>
        </w:tc>
        <w:tc>
          <w:tcPr>
            <w:tcW w:w="1232" w:type="dxa"/>
            <w:gridSpan w:val="2"/>
            <w:vAlign w:val="top"/>
          </w:tcPr>
          <w:p w14:paraId="7AF7EC6F">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vAlign w:val="top"/>
          </w:tcPr>
          <w:p w14:paraId="5D35D866">
            <w:pPr>
              <w:autoSpaceDE w:val="0"/>
              <w:autoSpaceDN w:val="0"/>
              <w:adjustRightInd w:val="0"/>
              <w:snapToGrid w:val="0"/>
              <w:spacing w:line="300" w:lineRule="auto"/>
              <w:rPr>
                <w:rFonts w:ascii="Arial" w:hAnsiTheme="minorHAnsi" w:eastAsiaTheme="minorEastAsia" w:cstheme="minorBidi"/>
                <w:sz w:val="21"/>
                <w:szCs w:val="21"/>
              </w:rPr>
            </w:pPr>
          </w:p>
        </w:tc>
        <w:tc>
          <w:tcPr>
            <w:tcW w:w="933" w:type="dxa"/>
            <w:vAlign w:val="top"/>
          </w:tcPr>
          <w:p w14:paraId="1F4C29E0">
            <w:pPr>
              <w:widowControl w:val="0"/>
              <w:autoSpaceDE w:val="0"/>
              <w:autoSpaceDN w:val="0"/>
              <w:adjustRightInd w:val="0"/>
              <w:snapToGrid w:val="0"/>
              <w:spacing w:before="158" w:line="226" w:lineRule="auto"/>
              <w:ind w:left="300"/>
              <w:jc w:val="both"/>
              <w:rPr>
                <w:rFonts w:ascii="楷体" w:hAnsi="楷体" w:eastAsia="楷体" w:cs="楷体"/>
                <w:kern w:val="2"/>
                <w:sz w:val="24"/>
                <w:szCs w:val="24"/>
                <w:lang w:val="en-US" w:eastAsia="en-US" w:bidi="ar-SA"/>
              </w:rPr>
            </w:pPr>
            <w:r>
              <w:rPr>
                <w:rFonts w:ascii="楷体" w:hAnsi="楷体" w:eastAsia="楷体" w:cs="楷体"/>
                <w:spacing w:val="-6"/>
                <w:kern w:val="2"/>
                <w:sz w:val="24"/>
                <w:szCs w:val="24"/>
                <w:lang w:val="en-US" w:eastAsia="en-US" w:bidi="ar-SA"/>
              </w:rPr>
              <w:t>7月</w:t>
            </w:r>
          </w:p>
        </w:tc>
        <w:tc>
          <w:tcPr>
            <w:tcW w:w="1238" w:type="dxa"/>
            <w:vAlign w:val="top"/>
          </w:tcPr>
          <w:p w14:paraId="3279579E">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gridSpan w:val="2"/>
            <w:vAlign w:val="top"/>
          </w:tcPr>
          <w:p w14:paraId="0736730D">
            <w:pPr>
              <w:autoSpaceDE w:val="0"/>
              <w:autoSpaceDN w:val="0"/>
              <w:adjustRightInd w:val="0"/>
              <w:snapToGrid w:val="0"/>
              <w:spacing w:line="300" w:lineRule="auto"/>
              <w:rPr>
                <w:rFonts w:ascii="Arial" w:hAnsiTheme="minorHAnsi" w:eastAsiaTheme="minorEastAsia" w:cstheme="minorBidi"/>
                <w:sz w:val="21"/>
                <w:szCs w:val="21"/>
              </w:rPr>
            </w:pPr>
          </w:p>
        </w:tc>
        <w:tc>
          <w:tcPr>
            <w:tcW w:w="936" w:type="dxa"/>
            <w:vAlign w:val="top"/>
          </w:tcPr>
          <w:p w14:paraId="52E0074C">
            <w:pPr>
              <w:widowControl w:val="0"/>
              <w:autoSpaceDE w:val="0"/>
              <w:autoSpaceDN w:val="0"/>
              <w:adjustRightInd w:val="0"/>
              <w:snapToGrid w:val="0"/>
              <w:spacing w:before="158" w:line="226" w:lineRule="auto"/>
              <w:ind w:left="256"/>
              <w:jc w:val="both"/>
              <w:rPr>
                <w:rFonts w:ascii="楷体" w:hAnsi="楷体" w:eastAsia="楷体" w:cs="楷体"/>
                <w:kern w:val="2"/>
                <w:sz w:val="24"/>
                <w:szCs w:val="24"/>
                <w:lang w:val="en-US" w:eastAsia="en-US" w:bidi="ar-SA"/>
              </w:rPr>
            </w:pPr>
            <w:r>
              <w:rPr>
                <w:rFonts w:ascii="楷体" w:hAnsi="楷体" w:eastAsia="楷体" w:cs="楷体"/>
                <w:spacing w:val="-9"/>
                <w:kern w:val="2"/>
                <w:sz w:val="24"/>
                <w:szCs w:val="24"/>
                <w:lang w:val="en-US" w:eastAsia="en-US" w:bidi="ar-SA"/>
              </w:rPr>
              <w:t>11月</w:t>
            </w:r>
          </w:p>
        </w:tc>
        <w:tc>
          <w:tcPr>
            <w:tcW w:w="1252" w:type="dxa"/>
            <w:gridSpan w:val="2"/>
            <w:vAlign w:val="top"/>
          </w:tcPr>
          <w:p w14:paraId="3F5FE7C7">
            <w:pPr>
              <w:autoSpaceDE w:val="0"/>
              <w:autoSpaceDN w:val="0"/>
              <w:adjustRightInd w:val="0"/>
              <w:snapToGrid w:val="0"/>
              <w:spacing w:line="300" w:lineRule="auto"/>
              <w:rPr>
                <w:rFonts w:ascii="Arial" w:hAnsiTheme="minorHAnsi" w:eastAsiaTheme="minorEastAsia" w:cstheme="minorBidi"/>
                <w:sz w:val="21"/>
                <w:szCs w:val="21"/>
              </w:rPr>
            </w:pPr>
          </w:p>
        </w:tc>
        <w:tc>
          <w:tcPr>
            <w:tcW w:w="1169" w:type="dxa"/>
            <w:vAlign w:val="top"/>
          </w:tcPr>
          <w:p w14:paraId="1B32644B">
            <w:pPr>
              <w:autoSpaceDE w:val="0"/>
              <w:autoSpaceDN w:val="0"/>
              <w:adjustRightInd w:val="0"/>
              <w:snapToGrid w:val="0"/>
              <w:spacing w:line="300" w:lineRule="auto"/>
              <w:rPr>
                <w:rFonts w:ascii="Arial" w:hAnsiTheme="minorHAnsi" w:eastAsiaTheme="minorEastAsia" w:cstheme="minorBidi"/>
                <w:sz w:val="21"/>
                <w:szCs w:val="21"/>
              </w:rPr>
            </w:pPr>
          </w:p>
        </w:tc>
      </w:tr>
      <w:tr w14:paraId="006EE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767" w:type="dxa"/>
            <w:vAlign w:val="top"/>
          </w:tcPr>
          <w:p w14:paraId="45E79ABC">
            <w:pPr>
              <w:widowControl w:val="0"/>
              <w:autoSpaceDE w:val="0"/>
              <w:autoSpaceDN w:val="0"/>
              <w:adjustRightInd w:val="0"/>
              <w:snapToGrid w:val="0"/>
              <w:spacing w:before="160" w:line="226" w:lineRule="auto"/>
              <w:ind w:left="206"/>
              <w:jc w:val="both"/>
              <w:rPr>
                <w:rFonts w:ascii="楷体" w:hAnsi="楷体" w:eastAsia="楷体" w:cs="楷体"/>
                <w:kern w:val="2"/>
                <w:sz w:val="24"/>
                <w:szCs w:val="24"/>
                <w:lang w:val="en-US" w:eastAsia="en-US" w:bidi="ar-SA"/>
              </w:rPr>
            </w:pPr>
            <w:r>
              <w:rPr>
                <w:rFonts w:ascii="楷体" w:hAnsi="楷体" w:eastAsia="楷体" w:cs="楷体"/>
                <w:spacing w:val="-2"/>
                <w:kern w:val="2"/>
                <w:sz w:val="24"/>
                <w:szCs w:val="24"/>
                <w:lang w:val="en-US" w:eastAsia="en-US" w:bidi="ar-SA"/>
              </w:rPr>
              <w:t>4月</w:t>
            </w:r>
          </w:p>
        </w:tc>
        <w:tc>
          <w:tcPr>
            <w:tcW w:w="1232" w:type="dxa"/>
            <w:gridSpan w:val="2"/>
            <w:vAlign w:val="top"/>
          </w:tcPr>
          <w:p w14:paraId="3AC41653">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vAlign w:val="top"/>
          </w:tcPr>
          <w:p w14:paraId="73DD6824">
            <w:pPr>
              <w:autoSpaceDE w:val="0"/>
              <w:autoSpaceDN w:val="0"/>
              <w:adjustRightInd w:val="0"/>
              <w:snapToGrid w:val="0"/>
              <w:spacing w:line="300" w:lineRule="auto"/>
              <w:rPr>
                <w:rFonts w:ascii="Arial" w:hAnsiTheme="minorHAnsi" w:eastAsiaTheme="minorEastAsia" w:cstheme="minorBidi"/>
                <w:sz w:val="21"/>
                <w:szCs w:val="21"/>
              </w:rPr>
            </w:pPr>
          </w:p>
        </w:tc>
        <w:tc>
          <w:tcPr>
            <w:tcW w:w="933" w:type="dxa"/>
            <w:vAlign w:val="top"/>
          </w:tcPr>
          <w:p w14:paraId="3655A688">
            <w:pPr>
              <w:widowControl w:val="0"/>
              <w:autoSpaceDE w:val="0"/>
              <w:autoSpaceDN w:val="0"/>
              <w:adjustRightInd w:val="0"/>
              <w:snapToGrid w:val="0"/>
              <w:spacing w:before="160" w:line="226" w:lineRule="auto"/>
              <w:ind w:left="294"/>
              <w:jc w:val="both"/>
              <w:rPr>
                <w:rFonts w:ascii="楷体" w:hAnsi="楷体" w:eastAsia="楷体" w:cs="楷体"/>
                <w:kern w:val="2"/>
                <w:sz w:val="24"/>
                <w:szCs w:val="24"/>
                <w:lang w:val="en-US" w:eastAsia="en-US" w:bidi="ar-SA"/>
              </w:rPr>
            </w:pPr>
            <w:r>
              <w:rPr>
                <w:rFonts w:ascii="楷体" w:hAnsi="楷体" w:eastAsia="楷体" w:cs="楷体"/>
                <w:spacing w:val="-4"/>
                <w:kern w:val="2"/>
                <w:sz w:val="24"/>
                <w:szCs w:val="24"/>
                <w:lang w:val="en-US" w:eastAsia="en-US" w:bidi="ar-SA"/>
              </w:rPr>
              <w:t>8月</w:t>
            </w:r>
          </w:p>
        </w:tc>
        <w:tc>
          <w:tcPr>
            <w:tcW w:w="1238" w:type="dxa"/>
            <w:vAlign w:val="top"/>
          </w:tcPr>
          <w:p w14:paraId="49F587A5">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gridSpan w:val="2"/>
            <w:vAlign w:val="top"/>
          </w:tcPr>
          <w:p w14:paraId="73E93B6D">
            <w:pPr>
              <w:autoSpaceDE w:val="0"/>
              <w:autoSpaceDN w:val="0"/>
              <w:adjustRightInd w:val="0"/>
              <w:snapToGrid w:val="0"/>
              <w:spacing w:line="300" w:lineRule="auto"/>
              <w:rPr>
                <w:rFonts w:ascii="Arial" w:hAnsiTheme="minorHAnsi" w:eastAsiaTheme="minorEastAsia" w:cstheme="minorBidi"/>
                <w:sz w:val="21"/>
                <w:szCs w:val="21"/>
              </w:rPr>
            </w:pPr>
          </w:p>
        </w:tc>
        <w:tc>
          <w:tcPr>
            <w:tcW w:w="936" w:type="dxa"/>
            <w:vAlign w:val="top"/>
          </w:tcPr>
          <w:p w14:paraId="090BE839">
            <w:pPr>
              <w:widowControl w:val="0"/>
              <w:autoSpaceDE w:val="0"/>
              <w:autoSpaceDN w:val="0"/>
              <w:adjustRightInd w:val="0"/>
              <w:snapToGrid w:val="0"/>
              <w:spacing w:before="160" w:line="226" w:lineRule="auto"/>
              <w:ind w:left="253"/>
              <w:jc w:val="both"/>
              <w:rPr>
                <w:rFonts w:ascii="楷体" w:hAnsi="楷体" w:eastAsia="楷体" w:cs="楷体"/>
                <w:kern w:val="2"/>
                <w:sz w:val="24"/>
                <w:szCs w:val="24"/>
                <w:lang w:val="en-US" w:eastAsia="en-US" w:bidi="ar-SA"/>
              </w:rPr>
            </w:pPr>
            <w:r>
              <w:rPr>
                <w:rFonts w:ascii="楷体" w:hAnsi="楷体" w:eastAsia="楷体" w:cs="楷体"/>
                <w:spacing w:val="-8"/>
                <w:kern w:val="2"/>
                <w:sz w:val="24"/>
                <w:szCs w:val="24"/>
                <w:lang w:val="en-US" w:eastAsia="en-US" w:bidi="ar-SA"/>
              </w:rPr>
              <w:t>12月</w:t>
            </w:r>
          </w:p>
        </w:tc>
        <w:tc>
          <w:tcPr>
            <w:tcW w:w="1252" w:type="dxa"/>
            <w:gridSpan w:val="2"/>
            <w:vAlign w:val="top"/>
          </w:tcPr>
          <w:p w14:paraId="121BEBEF">
            <w:pPr>
              <w:autoSpaceDE w:val="0"/>
              <w:autoSpaceDN w:val="0"/>
              <w:adjustRightInd w:val="0"/>
              <w:snapToGrid w:val="0"/>
              <w:spacing w:line="300" w:lineRule="auto"/>
              <w:rPr>
                <w:rFonts w:ascii="Arial" w:hAnsiTheme="minorHAnsi" w:eastAsiaTheme="minorEastAsia" w:cstheme="minorBidi"/>
                <w:sz w:val="21"/>
                <w:szCs w:val="21"/>
              </w:rPr>
            </w:pPr>
          </w:p>
        </w:tc>
        <w:tc>
          <w:tcPr>
            <w:tcW w:w="1169" w:type="dxa"/>
            <w:vAlign w:val="top"/>
          </w:tcPr>
          <w:p w14:paraId="4C2B01E3">
            <w:pPr>
              <w:autoSpaceDE w:val="0"/>
              <w:autoSpaceDN w:val="0"/>
              <w:adjustRightInd w:val="0"/>
              <w:snapToGrid w:val="0"/>
              <w:spacing w:line="300" w:lineRule="auto"/>
              <w:rPr>
                <w:rFonts w:ascii="Arial" w:hAnsiTheme="minorHAnsi" w:eastAsiaTheme="minorEastAsia" w:cstheme="minorBidi"/>
                <w:sz w:val="21"/>
                <w:szCs w:val="21"/>
              </w:rPr>
            </w:pPr>
          </w:p>
        </w:tc>
      </w:tr>
      <w:tr w14:paraId="390A1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jc w:val="center"/>
        </w:trPr>
        <w:tc>
          <w:tcPr>
            <w:tcW w:w="10003" w:type="dxa"/>
            <w:gridSpan w:val="12"/>
            <w:vAlign w:val="top"/>
          </w:tcPr>
          <w:p w14:paraId="3FF73E02">
            <w:pPr>
              <w:widowControl w:val="0"/>
              <w:autoSpaceDE w:val="0"/>
              <w:autoSpaceDN w:val="0"/>
              <w:adjustRightInd w:val="0"/>
              <w:snapToGrid w:val="0"/>
              <w:spacing w:before="70" w:line="227" w:lineRule="auto"/>
              <w:ind w:left="8"/>
              <w:jc w:val="both"/>
              <w:rPr>
                <w:rFonts w:ascii="楷体" w:hAnsi="楷体" w:eastAsia="楷体" w:cs="楷体"/>
                <w:kern w:val="2"/>
                <w:sz w:val="24"/>
                <w:szCs w:val="24"/>
                <w:lang w:val="en-US" w:eastAsia="en-US" w:bidi="ar-SA"/>
              </w:rPr>
            </w:pPr>
            <w:r>
              <w:rPr>
                <w:rFonts w:ascii="楷体" w:hAnsi="楷体" w:eastAsia="楷体" w:cs="楷体"/>
                <w:spacing w:val="12"/>
                <w:kern w:val="2"/>
                <w:sz w:val="24"/>
                <w:szCs w:val="24"/>
                <w:lang w:val="en-US" w:eastAsia="en-US" w:bidi="ar-SA"/>
              </w:rPr>
              <w:t>备注:</w:t>
            </w:r>
          </w:p>
          <w:p w14:paraId="140E5ECB">
            <w:pPr>
              <w:widowControl w:val="0"/>
              <w:autoSpaceDE w:val="0"/>
              <w:autoSpaceDN w:val="0"/>
              <w:adjustRightInd w:val="0"/>
              <w:snapToGrid w:val="0"/>
              <w:spacing w:before="17" w:line="230" w:lineRule="auto"/>
              <w:ind w:left="46" w:right="36" w:firstLine="238"/>
              <w:jc w:val="both"/>
              <w:rPr>
                <w:rFonts w:ascii="楷体" w:hAnsi="楷体" w:eastAsia="楷体" w:cs="楷体"/>
                <w:kern w:val="2"/>
                <w:sz w:val="24"/>
                <w:szCs w:val="24"/>
                <w:lang w:val="en-US" w:eastAsia="en-US" w:bidi="ar-SA"/>
              </w:rPr>
            </w:pPr>
            <w:r>
              <w:rPr>
                <w:rFonts w:ascii="楷体" w:hAnsi="楷体" w:eastAsia="楷体" w:cs="楷体"/>
                <w:spacing w:val="16"/>
                <w:kern w:val="2"/>
                <w:sz w:val="24"/>
                <w:szCs w:val="24"/>
                <w:lang w:val="en-US" w:eastAsia="en-US" w:bidi="ar-SA"/>
              </w:rPr>
              <w:t>1、合同电量为甲方全部计划电量，包括常规电力和绿色电力两部分</w:t>
            </w:r>
            <w:r>
              <w:rPr>
                <w:rFonts w:ascii="楷体" w:hAnsi="楷体" w:eastAsia="楷体" w:cs="楷体"/>
                <w:spacing w:val="-53"/>
                <w:kern w:val="2"/>
                <w:sz w:val="24"/>
                <w:szCs w:val="24"/>
                <w:lang w:val="en-US" w:eastAsia="en-US" w:bidi="ar-SA"/>
              </w:rPr>
              <w:t xml:space="preserve"> </w:t>
            </w:r>
            <w:r>
              <w:rPr>
                <w:rFonts w:ascii="楷体" w:hAnsi="楷体" w:eastAsia="楷体" w:cs="楷体"/>
                <w:spacing w:val="16"/>
                <w:kern w:val="2"/>
                <w:sz w:val="24"/>
                <w:szCs w:val="24"/>
                <w:lang w:val="en-US" w:eastAsia="en-US" w:bidi="ar-SA"/>
              </w:rPr>
              <w:t>。如甲方未参与绿</w:t>
            </w:r>
            <w:r>
              <w:rPr>
                <w:rFonts w:ascii="楷体" w:hAnsi="楷体" w:eastAsia="楷体" w:cs="楷体"/>
                <w:kern w:val="2"/>
                <w:sz w:val="24"/>
                <w:szCs w:val="24"/>
                <w:lang w:val="en-US" w:eastAsia="en-US" w:bidi="ar-SA"/>
              </w:rPr>
              <w:t xml:space="preserve"> </w:t>
            </w:r>
            <w:r>
              <w:rPr>
                <w:rFonts w:ascii="楷体" w:hAnsi="楷体" w:eastAsia="楷体" w:cs="楷体"/>
                <w:spacing w:val="14"/>
                <w:kern w:val="2"/>
                <w:sz w:val="24"/>
                <w:szCs w:val="24"/>
                <w:lang w:val="en-US" w:eastAsia="en-US" w:bidi="ar-SA"/>
              </w:rPr>
              <w:t>色电力交易，表中绿色电力合同电量填写“/</w:t>
            </w:r>
            <w:r>
              <w:rPr>
                <w:rFonts w:ascii="楷体" w:hAnsi="楷体" w:eastAsia="楷体" w:cs="楷体"/>
                <w:spacing w:val="-71"/>
                <w:kern w:val="2"/>
                <w:sz w:val="24"/>
                <w:szCs w:val="24"/>
                <w:lang w:val="en-US" w:eastAsia="en-US" w:bidi="ar-SA"/>
              </w:rPr>
              <w:t xml:space="preserve"> </w:t>
            </w:r>
            <w:r>
              <w:rPr>
                <w:rFonts w:ascii="楷体" w:hAnsi="楷体" w:eastAsia="楷体" w:cs="楷体"/>
                <w:spacing w:val="14"/>
                <w:kern w:val="2"/>
                <w:sz w:val="24"/>
                <w:szCs w:val="24"/>
                <w:lang w:val="en-US" w:eastAsia="en-US" w:bidi="ar-SA"/>
              </w:rPr>
              <w:t>”。</w:t>
            </w:r>
          </w:p>
          <w:p w14:paraId="755CBCEA">
            <w:pPr>
              <w:widowControl w:val="0"/>
              <w:autoSpaceDE w:val="0"/>
              <w:autoSpaceDN w:val="0"/>
              <w:adjustRightInd w:val="0"/>
              <w:snapToGrid w:val="0"/>
              <w:spacing w:before="26" w:line="220" w:lineRule="auto"/>
              <w:ind w:left="259"/>
              <w:jc w:val="both"/>
              <w:rPr>
                <w:rFonts w:ascii="楷体" w:hAnsi="楷体" w:eastAsia="楷体" w:cs="楷体"/>
                <w:kern w:val="2"/>
                <w:sz w:val="24"/>
                <w:szCs w:val="24"/>
                <w:lang w:val="en-US" w:eastAsia="en-US" w:bidi="ar-SA"/>
              </w:rPr>
            </w:pPr>
            <w:r>
              <w:rPr>
                <w:rFonts w:ascii="楷体" w:hAnsi="楷体" w:eastAsia="楷体" w:cs="楷体"/>
                <w:spacing w:val="7"/>
                <w:kern w:val="2"/>
                <w:sz w:val="24"/>
                <w:szCs w:val="24"/>
                <w:lang w:val="en-US" w:eastAsia="en-US" w:bidi="ar-SA"/>
              </w:rPr>
              <w:t>2、绿色电力交易以1兆瓦时为最小交易单位，填写绿色电力电量时应为整数。</w:t>
            </w:r>
          </w:p>
        </w:tc>
      </w:tr>
      <w:tr w14:paraId="7A7D7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003" w:type="dxa"/>
            <w:gridSpan w:val="12"/>
            <w:vAlign w:val="top"/>
          </w:tcPr>
          <w:p w14:paraId="030D0AF8">
            <w:pPr>
              <w:autoSpaceDE w:val="0"/>
              <w:autoSpaceDN w:val="0"/>
              <w:adjustRightInd w:val="0"/>
              <w:snapToGrid w:val="0"/>
              <w:spacing w:before="171" w:line="222" w:lineRule="auto"/>
              <w:ind w:left="3807"/>
              <w:rPr>
                <w:rFonts w:ascii="黑体" w:hAnsi="黑体" w:eastAsia="黑体" w:cs="黑体"/>
                <w:sz w:val="28"/>
                <w:szCs w:val="28"/>
              </w:rPr>
            </w:pPr>
            <w:r>
              <w:rPr>
                <w:rFonts w:ascii="黑体" w:hAnsi="黑体" w:eastAsia="黑体" w:cs="黑体"/>
                <w:b/>
                <w:bCs/>
                <w:spacing w:val="-13"/>
                <w:sz w:val="28"/>
                <w:szCs w:val="28"/>
              </w:rPr>
              <w:t>3.零售套餐其他参数</w:t>
            </w:r>
          </w:p>
        </w:tc>
      </w:tr>
      <w:tr w14:paraId="521E0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jc w:val="center"/>
        </w:trPr>
        <w:tc>
          <w:tcPr>
            <w:tcW w:w="1916" w:type="dxa"/>
            <w:gridSpan w:val="2"/>
            <w:vAlign w:val="top"/>
          </w:tcPr>
          <w:p w14:paraId="24304196">
            <w:pPr>
              <w:autoSpaceDE w:val="0"/>
              <w:autoSpaceDN w:val="0"/>
              <w:adjustRightInd w:val="0"/>
              <w:snapToGrid w:val="0"/>
              <w:spacing w:line="350" w:lineRule="auto"/>
              <w:rPr>
                <w:rFonts w:ascii="Arial" w:hAnsiTheme="minorHAnsi" w:eastAsiaTheme="minorEastAsia" w:cstheme="minorBidi"/>
                <w:sz w:val="21"/>
                <w:szCs w:val="21"/>
              </w:rPr>
            </w:pPr>
          </w:p>
          <w:p w14:paraId="75467902">
            <w:pPr>
              <w:widowControl w:val="0"/>
              <w:autoSpaceDE w:val="0"/>
              <w:autoSpaceDN w:val="0"/>
              <w:adjustRightInd w:val="0"/>
              <w:snapToGrid w:val="0"/>
              <w:spacing w:before="78" w:line="224" w:lineRule="auto"/>
              <w:ind w:left="83"/>
              <w:jc w:val="both"/>
              <w:rPr>
                <w:rFonts w:ascii="楷体" w:hAnsi="楷体" w:eastAsia="楷体" w:cs="楷体"/>
                <w:kern w:val="2"/>
                <w:sz w:val="24"/>
                <w:szCs w:val="24"/>
                <w:lang w:val="en-US" w:eastAsia="en-US" w:bidi="ar-SA"/>
              </w:rPr>
            </w:pPr>
            <w:r>
              <w:rPr>
                <w:rFonts w:ascii="楷体" w:hAnsi="楷体" w:eastAsia="楷体" w:cs="楷体"/>
                <w:b/>
                <w:bCs/>
                <w:spacing w:val="-7"/>
                <w:kern w:val="2"/>
                <w:sz w:val="24"/>
                <w:szCs w:val="24"/>
                <w:lang w:val="en-US" w:eastAsia="en-US" w:bidi="ar-SA"/>
              </w:rPr>
              <w:t>3.1违约赔偿条款</w:t>
            </w:r>
          </w:p>
        </w:tc>
        <w:tc>
          <w:tcPr>
            <w:tcW w:w="8087" w:type="dxa"/>
            <w:gridSpan w:val="10"/>
            <w:vAlign w:val="top"/>
          </w:tcPr>
          <w:p w14:paraId="1B3E604E">
            <w:pPr>
              <w:widowControl w:val="0"/>
              <w:tabs>
                <w:tab w:val="left" w:pos="4536"/>
                <w:tab w:val="left" w:pos="7997"/>
              </w:tabs>
              <w:autoSpaceDE w:val="0"/>
              <w:autoSpaceDN w:val="0"/>
              <w:adjustRightInd w:val="0"/>
              <w:snapToGrid w:val="0"/>
              <w:spacing w:before="117" w:line="234" w:lineRule="auto"/>
              <w:ind w:firstLine="38"/>
              <w:jc w:val="both"/>
              <w:rPr>
                <w:rFonts w:ascii="楷体" w:hAnsi="楷体" w:eastAsia="楷体" w:cs="楷体"/>
                <w:kern w:val="2"/>
                <w:sz w:val="24"/>
                <w:szCs w:val="24"/>
                <w:lang w:val="en-US" w:eastAsia="en-US" w:bidi="ar-SA"/>
              </w:rPr>
            </w:pPr>
            <w:r>
              <w:rPr>
                <w:rFonts w:ascii="楷体" w:hAnsi="楷体" w:eastAsia="楷体" w:cs="楷体"/>
                <w:spacing w:val="-5"/>
                <w:kern w:val="2"/>
                <w:sz w:val="24"/>
                <w:szCs w:val="24"/>
                <w:lang w:val="en-US" w:eastAsia="en-US" w:bidi="ar-SA"/>
              </w:rPr>
              <w:t>当任何一方违反本合同约定出现违约行为，违约方应向守约方支付违约造成的</w:t>
            </w:r>
            <w:r>
              <w:rPr>
                <w:rFonts w:ascii="楷体" w:hAnsi="楷体" w:eastAsia="楷体" w:cs="楷体"/>
                <w:spacing w:val="3"/>
                <w:kern w:val="2"/>
                <w:sz w:val="24"/>
                <w:szCs w:val="24"/>
                <w:lang w:val="en-US" w:eastAsia="en-US" w:bidi="ar-SA"/>
              </w:rPr>
              <w:t xml:space="preserve"> </w:t>
            </w:r>
            <w:r>
              <w:rPr>
                <w:rFonts w:ascii="楷体" w:hAnsi="楷体" w:eastAsia="楷体" w:cs="楷体"/>
                <w:spacing w:val="-2"/>
                <w:kern w:val="2"/>
                <w:sz w:val="24"/>
                <w:szCs w:val="24"/>
                <w:lang w:val="en-US" w:eastAsia="en-US" w:bidi="ar-SA"/>
              </w:rPr>
              <w:t>经济损失，违约金的计算标准为：</w:t>
            </w:r>
            <w:r>
              <w:rPr>
                <w:rFonts w:ascii="楷体" w:hAnsi="楷体" w:eastAsia="楷体" w:cs="楷体"/>
                <w:kern w:val="2"/>
                <w:sz w:val="24"/>
                <w:szCs w:val="24"/>
                <w:u w:val="single" w:color="auto"/>
                <w:lang w:val="en-US" w:eastAsia="en-US" w:bidi="ar-SA"/>
              </w:rPr>
              <w:tab/>
            </w:r>
            <w:r>
              <w:rPr>
                <w:rFonts w:ascii="楷体" w:hAnsi="楷体" w:eastAsia="楷体" w:cs="楷体"/>
                <w:kern w:val="2"/>
                <w:sz w:val="24"/>
                <w:szCs w:val="24"/>
                <w:u w:val="single" w:color="auto"/>
                <w:lang w:val="en-US" w:eastAsia="en-US" w:bidi="ar-SA"/>
              </w:rPr>
              <w:tab/>
            </w:r>
            <w:r>
              <w:rPr>
                <w:rFonts w:ascii="楷体" w:hAnsi="楷体" w:eastAsia="楷体" w:cs="楷体"/>
                <w:kern w:val="2"/>
                <w:sz w:val="24"/>
                <w:szCs w:val="24"/>
                <w:lang w:val="en-US" w:eastAsia="en-US" w:bidi="ar-SA"/>
              </w:rPr>
              <w:t xml:space="preserve"> </w:t>
            </w:r>
            <w:r>
              <w:rPr>
                <w:rFonts w:ascii="楷体" w:hAnsi="楷体" w:eastAsia="楷体" w:cs="楷体"/>
                <w:kern w:val="2"/>
                <w:sz w:val="24"/>
                <w:szCs w:val="24"/>
                <w:u w:val="single" w:color="auto"/>
                <w:lang w:val="en-US" w:eastAsia="en-US" w:bidi="ar-SA"/>
              </w:rPr>
              <w:tab/>
            </w:r>
            <w:r>
              <w:rPr>
                <w:rFonts w:ascii="楷体" w:hAnsi="楷体" w:eastAsia="楷体" w:cs="楷体"/>
                <w:spacing w:val="-85"/>
                <w:kern w:val="2"/>
                <w:sz w:val="24"/>
                <w:szCs w:val="24"/>
                <w:lang w:val="en-US" w:eastAsia="en-US" w:bidi="ar-SA"/>
              </w:rPr>
              <w:t xml:space="preserve"> </w:t>
            </w:r>
            <w:r>
              <w:rPr>
                <w:rFonts w:ascii="楷体" w:hAnsi="楷体" w:eastAsia="楷体" w:cs="楷体"/>
                <w:spacing w:val="-10"/>
                <w:kern w:val="2"/>
                <w:sz w:val="24"/>
                <w:szCs w:val="24"/>
                <w:lang w:val="en-US" w:eastAsia="en-US" w:bidi="ar-SA"/>
              </w:rPr>
              <w:t>,</w:t>
            </w:r>
            <w:r>
              <w:rPr>
                <w:rFonts w:ascii="楷体" w:hAnsi="楷体" w:eastAsia="楷体" w:cs="楷体"/>
                <w:spacing w:val="59"/>
                <w:kern w:val="2"/>
                <w:sz w:val="24"/>
                <w:szCs w:val="24"/>
                <w:lang w:val="en-US" w:eastAsia="en-US" w:bidi="ar-SA"/>
              </w:rPr>
              <w:t xml:space="preserve"> </w:t>
            </w:r>
            <w:r>
              <w:rPr>
                <w:rFonts w:ascii="楷体" w:hAnsi="楷体" w:eastAsia="楷体" w:cs="楷体"/>
                <w:spacing w:val="-10"/>
                <w:kern w:val="2"/>
                <w:sz w:val="24"/>
                <w:szCs w:val="24"/>
                <w:lang w:val="en-US" w:eastAsia="en-US" w:bidi="ar-SA"/>
              </w:rPr>
              <w:t>该违约金由双方自行结算补偿。</w:t>
            </w:r>
          </w:p>
        </w:tc>
      </w:tr>
      <w:tr w14:paraId="1DF94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916" w:type="dxa"/>
            <w:gridSpan w:val="2"/>
            <w:vMerge w:val="restart"/>
            <w:tcBorders>
              <w:bottom w:val="nil"/>
            </w:tcBorders>
            <w:vAlign w:val="top"/>
          </w:tcPr>
          <w:p w14:paraId="316CDDBA">
            <w:pPr>
              <w:widowControl w:val="0"/>
              <w:autoSpaceDE w:val="0"/>
              <w:autoSpaceDN w:val="0"/>
              <w:adjustRightInd w:val="0"/>
              <w:snapToGrid w:val="0"/>
              <w:spacing w:before="289" w:line="224" w:lineRule="auto"/>
              <w:ind w:left="13"/>
              <w:jc w:val="both"/>
              <w:rPr>
                <w:rFonts w:ascii="楷体" w:hAnsi="楷体" w:eastAsia="楷体" w:cs="楷体"/>
                <w:kern w:val="2"/>
                <w:sz w:val="24"/>
                <w:szCs w:val="24"/>
                <w:lang w:val="en-US" w:eastAsia="en-US" w:bidi="ar-SA"/>
              </w:rPr>
            </w:pPr>
            <w:r>
              <w:rPr>
                <w:rFonts w:ascii="楷体" w:hAnsi="楷体" w:eastAsia="楷体" w:cs="楷体"/>
                <w:b/>
                <w:bCs/>
                <w:spacing w:val="-7"/>
                <w:kern w:val="2"/>
                <w:sz w:val="24"/>
                <w:szCs w:val="24"/>
                <w:lang w:val="en-US" w:eastAsia="en-US" w:bidi="ar-SA"/>
              </w:rPr>
              <w:t>3.2争议解决条款</w:t>
            </w:r>
          </w:p>
          <w:p w14:paraId="6F8B77B6">
            <w:pPr>
              <w:widowControl w:val="0"/>
              <w:autoSpaceDE w:val="0"/>
              <w:autoSpaceDN w:val="0"/>
              <w:adjustRightInd w:val="0"/>
              <w:snapToGrid w:val="0"/>
              <w:spacing w:before="19" w:line="237" w:lineRule="auto"/>
              <w:ind w:left="399"/>
              <w:jc w:val="both"/>
              <w:rPr>
                <w:rFonts w:ascii="楷体" w:hAnsi="楷体" w:eastAsia="楷体" w:cs="楷体"/>
                <w:kern w:val="2"/>
                <w:sz w:val="24"/>
                <w:szCs w:val="24"/>
                <w:lang w:val="en-US" w:eastAsia="en-US" w:bidi="ar-SA"/>
              </w:rPr>
            </w:pPr>
            <w:r>
              <w:rPr>
                <w:rFonts w:ascii="楷体" w:hAnsi="楷体" w:eastAsia="楷体" w:cs="楷体"/>
                <w:b/>
                <w:bCs/>
                <w:spacing w:val="-12"/>
                <w:kern w:val="2"/>
                <w:sz w:val="24"/>
                <w:szCs w:val="24"/>
                <w:lang w:val="en-US" w:eastAsia="en-US" w:bidi="ar-SA"/>
              </w:rPr>
              <w:t>（二选一）</w:t>
            </w:r>
          </w:p>
        </w:tc>
        <w:tc>
          <w:tcPr>
            <w:tcW w:w="3750" w:type="dxa"/>
            <w:gridSpan w:val="5"/>
            <w:vAlign w:val="top"/>
          </w:tcPr>
          <w:p w14:paraId="18317A69">
            <w:pPr>
              <w:widowControl w:val="0"/>
              <w:autoSpaceDE w:val="0"/>
              <w:autoSpaceDN w:val="0"/>
              <w:adjustRightInd w:val="0"/>
              <w:snapToGrid w:val="0"/>
              <w:spacing w:before="161" w:line="224" w:lineRule="auto"/>
              <w:ind w:left="1356"/>
              <w:jc w:val="both"/>
              <w:rPr>
                <w:rFonts w:ascii="楷体" w:hAnsi="楷体" w:eastAsia="楷体" w:cs="楷体"/>
                <w:kern w:val="2"/>
                <w:sz w:val="24"/>
                <w:szCs w:val="24"/>
                <w:lang w:val="en-US" w:eastAsia="en-US" w:bidi="ar-SA"/>
              </w:rPr>
            </w:pPr>
            <w:r>
              <w:rPr>
                <w:rFonts w:ascii="楷体" w:hAnsi="楷体" w:eastAsia="楷体" w:cs="楷体"/>
                <w:spacing w:val="14"/>
                <w:kern w:val="2"/>
                <w:sz w:val="24"/>
                <w:szCs w:val="24"/>
                <w:lang w:val="en-US" w:eastAsia="en-US" w:bidi="ar-SA"/>
              </w:rPr>
              <w:t>提请仲裁</w:t>
            </w:r>
          </w:p>
        </w:tc>
        <w:tc>
          <w:tcPr>
            <w:tcW w:w="2208" w:type="dxa"/>
            <w:gridSpan w:val="3"/>
            <w:vAlign w:val="top"/>
          </w:tcPr>
          <w:p w14:paraId="14700CE8">
            <w:pPr>
              <w:autoSpaceDE w:val="0"/>
              <w:autoSpaceDN w:val="0"/>
              <w:adjustRightInd w:val="0"/>
              <w:snapToGrid w:val="0"/>
              <w:spacing w:line="300" w:lineRule="auto"/>
              <w:rPr>
                <w:rFonts w:ascii="Arial" w:hAnsiTheme="minorHAnsi" w:eastAsiaTheme="minorEastAsia" w:cstheme="minorBidi"/>
                <w:sz w:val="21"/>
                <w:szCs w:val="21"/>
              </w:rPr>
            </w:pPr>
          </w:p>
        </w:tc>
        <w:tc>
          <w:tcPr>
            <w:tcW w:w="2129" w:type="dxa"/>
            <w:gridSpan w:val="2"/>
            <w:vMerge w:val="restart"/>
            <w:tcBorders>
              <w:bottom w:val="nil"/>
            </w:tcBorders>
            <w:vAlign w:val="top"/>
          </w:tcPr>
          <w:p w14:paraId="1D452321">
            <w:pPr>
              <w:widowControl w:val="0"/>
              <w:autoSpaceDE w:val="0"/>
              <w:autoSpaceDN w:val="0"/>
              <w:adjustRightInd w:val="0"/>
              <w:snapToGrid w:val="0"/>
              <w:spacing w:before="132" w:line="227" w:lineRule="auto"/>
              <w:ind w:left="25"/>
              <w:jc w:val="both"/>
              <w:rPr>
                <w:rFonts w:ascii="楷体" w:hAnsi="楷体" w:eastAsia="楷体" w:cs="楷体"/>
                <w:kern w:val="2"/>
                <w:sz w:val="24"/>
                <w:szCs w:val="24"/>
                <w:lang w:val="en-US" w:eastAsia="en-US" w:bidi="ar-SA"/>
              </w:rPr>
            </w:pPr>
            <w:r>
              <w:rPr>
                <w:rFonts w:ascii="楷体" w:hAnsi="楷体" w:eastAsia="楷体" w:cs="楷体"/>
                <w:spacing w:val="10"/>
                <w:kern w:val="2"/>
                <w:sz w:val="24"/>
                <w:szCs w:val="24"/>
                <w:lang w:val="en-US" w:eastAsia="en-US" w:bidi="ar-SA"/>
              </w:rPr>
              <w:t>备注：</w:t>
            </w:r>
            <w:r>
              <w:rPr>
                <w:rFonts w:ascii="楷体" w:hAnsi="楷体" w:eastAsia="楷体" w:cs="楷体"/>
                <w:spacing w:val="-66"/>
                <w:kern w:val="2"/>
                <w:sz w:val="24"/>
                <w:szCs w:val="24"/>
                <w:lang w:val="en-US" w:eastAsia="en-US" w:bidi="ar-SA"/>
              </w:rPr>
              <w:t xml:space="preserve"> </w:t>
            </w:r>
            <w:r>
              <w:rPr>
                <w:rFonts w:ascii="楷体" w:hAnsi="楷体" w:eastAsia="楷体" w:cs="楷体"/>
                <w:spacing w:val="10"/>
                <w:kern w:val="2"/>
                <w:sz w:val="24"/>
                <w:szCs w:val="24"/>
                <w:lang w:val="en-US" w:eastAsia="en-US" w:bidi="ar-SA"/>
              </w:rPr>
              <w:t>选择的一项</w:t>
            </w:r>
          </w:p>
          <w:p w14:paraId="0DAF7B55">
            <w:pPr>
              <w:widowControl w:val="0"/>
              <w:autoSpaceDE w:val="0"/>
              <w:autoSpaceDN w:val="0"/>
              <w:adjustRightInd w:val="0"/>
              <w:snapToGrid w:val="0"/>
              <w:spacing w:before="17" w:line="220" w:lineRule="auto"/>
              <w:ind w:left="34"/>
              <w:jc w:val="both"/>
              <w:rPr>
                <w:rFonts w:ascii="楷体" w:hAnsi="楷体" w:eastAsia="楷体" w:cs="楷体"/>
                <w:kern w:val="2"/>
                <w:sz w:val="24"/>
                <w:szCs w:val="24"/>
                <w:lang w:val="en-US" w:eastAsia="en-US" w:bidi="ar-SA"/>
              </w:rPr>
            </w:pPr>
            <w:r>
              <w:rPr>
                <w:rFonts w:ascii="楷体" w:hAnsi="楷体" w:eastAsia="楷体" w:cs="楷体"/>
                <w:spacing w:val="9"/>
                <w:kern w:val="2"/>
                <w:sz w:val="24"/>
                <w:szCs w:val="24"/>
                <w:lang w:val="en-US" w:eastAsia="en-US" w:bidi="ar-SA"/>
              </w:rPr>
              <w:t>填“是</w:t>
            </w:r>
            <w:r>
              <w:rPr>
                <w:rFonts w:ascii="楷体" w:hAnsi="楷体" w:eastAsia="楷体" w:cs="楷体"/>
                <w:spacing w:val="-68"/>
                <w:kern w:val="2"/>
                <w:sz w:val="24"/>
                <w:szCs w:val="24"/>
                <w:lang w:val="en-US" w:eastAsia="en-US" w:bidi="ar-SA"/>
              </w:rPr>
              <w:t xml:space="preserve"> </w:t>
            </w:r>
            <w:r>
              <w:rPr>
                <w:rFonts w:ascii="楷体" w:hAnsi="楷体" w:eastAsia="楷体" w:cs="楷体"/>
                <w:spacing w:val="9"/>
                <w:kern w:val="2"/>
                <w:sz w:val="24"/>
                <w:szCs w:val="24"/>
                <w:lang w:val="en-US" w:eastAsia="en-US" w:bidi="ar-SA"/>
              </w:rPr>
              <w:t>”，另一项</w:t>
            </w:r>
          </w:p>
          <w:p w14:paraId="1D07DB1B">
            <w:pPr>
              <w:widowControl w:val="0"/>
              <w:autoSpaceDE w:val="0"/>
              <w:autoSpaceDN w:val="0"/>
              <w:adjustRightInd w:val="0"/>
              <w:snapToGrid w:val="0"/>
              <w:spacing w:before="25" w:line="227" w:lineRule="auto"/>
              <w:ind w:left="555"/>
              <w:jc w:val="both"/>
              <w:rPr>
                <w:rFonts w:ascii="楷体" w:hAnsi="楷体" w:eastAsia="楷体" w:cs="楷体"/>
                <w:kern w:val="2"/>
                <w:sz w:val="24"/>
                <w:szCs w:val="24"/>
                <w:lang w:val="en-US" w:eastAsia="en-US" w:bidi="ar-SA"/>
              </w:rPr>
            </w:pPr>
            <w:r>
              <w:rPr>
                <w:rFonts w:ascii="楷体" w:hAnsi="楷体" w:eastAsia="楷体" w:cs="楷体"/>
                <w:spacing w:val="27"/>
                <w:kern w:val="2"/>
                <w:sz w:val="24"/>
                <w:szCs w:val="24"/>
                <w:lang w:val="en-US" w:eastAsia="en-US" w:bidi="ar-SA"/>
              </w:rPr>
              <w:t>填“否</w:t>
            </w:r>
            <w:r>
              <w:rPr>
                <w:rFonts w:ascii="楷体" w:hAnsi="楷体" w:eastAsia="楷体" w:cs="楷体"/>
                <w:spacing w:val="-67"/>
                <w:kern w:val="2"/>
                <w:sz w:val="24"/>
                <w:szCs w:val="24"/>
                <w:lang w:val="en-US" w:eastAsia="en-US" w:bidi="ar-SA"/>
              </w:rPr>
              <w:t xml:space="preserve"> </w:t>
            </w:r>
            <w:r>
              <w:rPr>
                <w:rFonts w:ascii="楷体" w:hAnsi="楷体" w:eastAsia="楷体" w:cs="楷体"/>
                <w:spacing w:val="27"/>
                <w:kern w:val="2"/>
                <w:sz w:val="24"/>
                <w:szCs w:val="24"/>
                <w:lang w:val="en-US" w:eastAsia="en-US" w:bidi="ar-SA"/>
              </w:rPr>
              <w:t>”</w:t>
            </w:r>
          </w:p>
        </w:tc>
      </w:tr>
      <w:tr w14:paraId="5797F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916" w:type="dxa"/>
            <w:gridSpan w:val="2"/>
            <w:vMerge w:val="continue"/>
            <w:tcBorders>
              <w:top w:val="nil"/>
            </w:tcBorders>
            <w:vAlign w:val="top"/>
          </w:tcPr>
          <w:p w14:paraId="09907E45">
            <w:pPr>
              <w:autoSpaceDE w:val="0"/>
              <w:autoSpaceDN w:val="0"/>
              <w:adjustRightInd w:val="0"/>
              <w:snapToGrid w:val="0"/>
              <w:spacing w:line="300" w:lineRule="auto"/>
              <w:rPr>
                <w:rFonts w:ascii="Arial" w:hAnsiTheme="minorHAnsi" w:eastAsiaTheme="minorEastAsia" w:cstheme="minorBidi"/>
                <w:sz w:val="21"/>
                <w:szCs w:val="21"/>
              </w:rPr>
            </w:pPr>
          </w:p>
        </w:tc>
        <w:tc>
          <w:tcPr>
            <w:tcW w:w="3750" w:type="dxa"/>
            <w:gridSpan w:val="5"/>
            <w:vAlign w:val="top"/>
          </w:tcPr>
          <w:p w14:paraId="66601B54">
            <w:pPr>
              <w:widowControl w:val="0"/>
              <w:autoSpaceDE w:val="0"/>
              <w:autoSpaceDN w:val="0"/>
              <w:adjustRightInd w:val="0"/>
              <w:snapToGrid w:val="0"/>
              <w:spacing w:before="160" w:line="224" w:lineRule="auto"/>
              <w:ind w:left="1379"/>
              <w:jc w:val="both"/>
              <w:rPr>
                <w:rFonts w:ascii="楷体" w:hAnsi="楷体" w:eastAsia="楷体" w:cs="楷体"/>
                <w:kern w:val="2"/>
                <w:sz w:val="24"/>
                <w:szCs w:val="24"/>
                <w:lang w:val="en-US" w:eastAsia="en-US" w:bidi="ar-SA"/>
              </w:rPr>
            </w:pPr>
            <w:r>
              <w:rPr>
                <w:rFonts w:ascii="楷体" w:hAnsi="楷体" w:eastAsia="楷体" w:cs="楷体"/>
                <w:spacing w:val="8"/>
                <w:kern w:val="2"/>
                <w:sz w:val="24"/>
                <w:szCs w:val="24"/>
                <w:lang w:val="en-US" w:eastAsia="en-US" w:bidi="ar-SA"/>
              </w:rPr>
              <w:t>法院诉讼</w:t>
            </w:r>
          </w:p>
        </w:tc>
        <w:tc>
          <w:tcPr>
            <w:tcW w:w="2208" w:type="dxa"/>
            <w:gridSpan w:val="3"/>
            <w:vAlign w:val="top"/>
          </w:tcPr>
          <w:p w14:paraId="5709D7B0">
            <w:pPr>
              <w:autoSpaceDE w:val="0"/>
              <w:autoSpaceDN w:val="0"/>
              <w:adjustRightInd w:val="0"/>
              <w:snapToGrid w:val="0"/>
              <w:spacing w:line="300" w:lineRule="auto"/>
              <w:rPr>
                <w:rFonts w:ascii="Arial" w:hAnsiTheme="minorHAnsi" w:eastAsiaTheme="minorEastAsia" w:cstheme="minorBidi"/>
                <w:sz w:val="21"/>
                <w:szCs w:val="21"/>
              </w:rPr>
            </w:pPr>
          </w:p>
        </w:tc>
        <w:tc>
          <w:tcPr>
            <w:tcW w:w="2129" w:type="dxa"/>
            <w:gridSpan w:val="2"/>
            <w:vMerge w:val="continue"/>
            <w:tcBorders>
              <w:top w:val="nil"/>
            </w:tcBorders>
            <w:vAlign w:val="top"/>
          </w:tcPr>
          <w:p w14:paraId="4DF2436B">
            <w:pPr>
              <w:autoSpaceDE w:val="0"/>
              <w:autoSpaceDN w:val="0"/>
              <w:adjustRightInd w:val="0"/>
              <w:snapToGrid w:val="0"/>
              <w:spacing w:line="300" w:lineRule="auto"/>
              <w:rPr>
                <w:rFonts w:ascii="Arial" w:hAnsiTheme="minorHAnsi" w:eastAsiaTheme="minorEastAsia" w:cstheme="minorBidi"/>
                <w:sz w:val="21"/>
                <w:szCs w:val="21"/>
              </w:rPr>
            </w:pPr>
          </w:p>
        </w:tc>
      </w:tr>
      <w:tr w14:paraId="3D11E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jc w:val="center"/>
        </w:trPr>
        <w:tc>
          <w:tcPr>
            <w:tcW w:w="10003" w:type="dxa"/>
            <w:gridSpan w:val="12"/>
            <w:vAlign w:val="top"/>
          </w:tcPr>
          <w:p w14:paraId="25854A7F">
            <w:pPr>
              <w:widowControl w:val="0"/>
              <w:autoSpaceDE w:val="0"/>
              <w:autoSpaceDN w:val="0"/>
              <w:adjustRightInd w:val="0"/>
              <w:snapToGrid w:val="0"/>
              <w:spacing w:before="40" w:line="226" w:lineRule="auto"/>
              <w:ind w:left="17"/>
              <w:jc w:val="both"/>
              <w:rPr>
                <w:rFonts w:ascii="楷体" w:hAnsi="楷体" w:eastAsia="楷体" w:cs="楷体"/>
                <w:kern w:val="2"/>
                <w:sz w:val="24"/>
                <w:szCs w:val="24"/>
                <w:lang w:val="en-US" w:eastAsia="en-US" w:bidi="ar-SA"/>
              </w:rPr>
            </w:pPr>
            <w:r>
              <w:rPr>
                <w:rFonts w:ascii="楷体" w:hAnsi="楷体" w:eastAsia="楷体" w:cs="楷体"/>
                <w:spacing w:val="9"/>
                <w:kern w:val="2"/>
                <w:sz w:val="24"/>
                <w:szCs w:val="24"/>
                <w:lang w:val="en-US" w:eastAsia="en-US" w:bidi="ar-SA"/>
              </w:rPr>
              <w:t>填写要求：</w:t>
            </w:r>
          </w:p>
          <w:p w14:paraId="6F07C7CA">
            <w:pPr>
              <w:widowControl w:val="0"/>
              <w:autoSpaceDE w:val="0"/>
              <w:autoSpaceDN w:val="0"/>
              <w:adjustRightInd w:val="0"/>
              <w:snapToGrid w:val="0"/>
              <w:spacing w:before="19" w:line="233" w:lineRule="auto"/>
              <w:ind w:left="31" w:right="24" w:firstLine="253"/>
              <w:jc w:val="both"/>
              <w:rPr>
                <w:rFonts w:ascii="楷体" w:hAnsi="楷体" w:eastAsia="楷体" w:cs="楷体"/>
                <w:kern w:val="2"/>
                <w:sz w:val="24"/>
                <w:szCs w:val="24"/>
                <w:lang w:val="en-US" w:eastAsia="en-US" w:bidi="ar-SA"/>
              </w:rPr>
            </w:pPr>
            <w:r>
              <w:rPr>
                <w:rFonts w:ascii="楷体" w:hAnsi="楷体" w:eastAsia="楷体" w:cs="楷体"/>
                <w:spacing w:val="18"/>
                <w:kern w:val="2"/>
                <w:sz w:val="24"/>
                <w:szCs w:val="24"/>
                <w:lang w:val="en-US" w:eastAsia="en-US" w:bidi="ar-SA"/>
              </w:rPr>
              <w:t>1、零售套餐价格参数、电量参数及其他参数由合同双方填写之处，合同双方应根据实</w:t>
            </w:r>
            <w:r>
              <w:rPr>
                <w:rFonts w:ascii="楷体" w:hAnsi="楷体" w:eastAsia="楷体" w:cs="楷体"/>
                <w:spacing w:val="3"/>
                <w:kern w:val="2"/>
                <w:sz w:val="24"/>
                <w:szCs w:val="24"/>
                <w:lang w:val="en-US" w:eastAsia="en-US" w:bidi="ar-SA"/>
              </w:rPr>
              <w:t xml:space="preserve"> </w:t>
            </w:r>
            <w:r>
              <w:rPr>
                <w:rFonts w:ascii="楷体" w:hAnsi="楷体" w:eastAsia="楷体" w:cs="楷体"/>
                <w:spacing w:val="13"/>
                <w:kern w:val="2"/>
                <w:sz w:val="24"/>
                <w:szCs w:val="24"/>
                <w:lang w:val="en-US" w:eastAsia="en-US" w:bidi="ar-SA"/>
              </w:rPr>
              <w:t>际情况填写</w:t>
            </w:r>
            <w:r>
              <w:rPr>
                <w:rFonts w:ascii="楷体" w:hAnsi="楷体" w:eastAsia="楷体" w:cs="楷体"/>
                <w:spacing w:val="-52"/>
                <w:kern w:val="2"/>
                <w:sz w:val="24"/>
                <w:szCs w:val="24"/>
                <w:lang w:val="en-US" w:eastAsia="en-US" w:bidi="ar-SA"/>
              </w:rPr>
              <w:t xml:space="preserve"> </w:t>
            </w:r>
            <w:r>
              <w:rPr>
                <w:rFonts w:ascii="楷体" w:hAnsi="楷体" w:eastAsia="楷体" w:cs="楷体"/>
                <w:spacing w:val="13"/>
                <w:kern w:val="2"/>
                <w:sz w:val="24"/>
                <w:szCs w:val="24"/>
                <w:lang w:val="en-US" w:eastAsia="en-US" w:bidi="ar-SA"/>
              </w:rPr>
              <w:t>。如合同双方约定无需填写的，则应注明“</w:t>
            </w:r>
            <w:r>
              <w:rPr>
                <w:rFonts w:ascii="楷体" w:hAnsi="楷体" w:eastAsia="楷体" w:cs="楷体"/>
                <w:spacing w:val="-89"/>
                <w:kern w:val="2"/>
                <w:sz w:val="24"/>
                <w:szCs w:val="24"/>
                <w:lang w:val="en-US" w:eastAsia="en-US" w:bidi="ar-SA"/>
              </w:rPr>
              <w:t xml:space="preserve"> </w:t>
            </w:r>
            <w:r>
              <w:rPr>
                <w:rFonts w:ascii="楷体" w:hAnsi="楷体" w:eastAsia="楷体" w:cs="楷体"/>
                <w:spacing w:val="13"/>
                <w:kern w:val="2"/>
                <w:sz w:val="24"/>
                <w:szCs w:val="24"/>
                <w:lang w:val="en-US" w:eastAsia="en-US" w:bidi="ar-SA"/>
              </w:rPr>
              <w:t>无</w:t>
            </w:r>
            <w:r>
              <w:rPr>
                <w:rFonts w:ascii="楷体" w:hAnsi="楷体" w:eastAsia="楷体" w:cs="楷体"/>
                <w:spacing w:val="-67"/>
                <w:kern w:val="2"/>
                <w:sz w:val="24"/>
                <w:szCs w:val="24"/>
                <w:lang w:val="en-US" w:eastAsia="en-US" w:bidi="ar-SA"/>
              </w:rPr>
              <w:t xml:space="preserve"> </w:t>
            </w:r>
            <w:r>
              <w:rPr>
                <w:rFonts w:ascii="楷体" w:hAnsi="楷体" w:eastAsia="楷体" w:cs="楷体"/>
                <w:spacing w:val="13"/>
                <w:kern w:val="2"/>
                <w:sz w:val="24"/>
                <w:szCs w:val="24"/>
                <w:lang w:val="en-US" w:eastAsia="en-US" w:bidi="ar-SA"/>
              </w:rPr>
              <w:t>”或划“/</w:t>
            </w:r>
            <w:r>
              <w:rPr>
                <w:rFonts w:ascii="楷体" w:hAnsi="楷体" w:eastAsia="楷体" w:cs="楷体"/>
                <w:spacing w:val="-78"/>
                <w:kern w:val="2"/>
                <w:sz w:val="24"/>
                <w:szCs w:val="24"/>
                <w:lang w:val="en-US" w:eastAsia="en-US" w:bidi="ar-SA"/>
              </w:rPr>
              <w:t xml:space="preserve"> </w:t>
            </w:r>
            <w:r>
              <w:rPr>
                <w:rFonts w:ascii="楷体" w:hAnsi="楷体" w:eastAsia="楷体" w:cs="楷体"/>
                <w:spacing w:val="13"/>
                <w:kern w:val="2"/>
                <w:sz w:val="24"/>
                <w:szCs w:val="24"/>
                <w:lang w:val="en-US" w:eastAsia="en-US" w:bidi="ar-SA"/>
              </w:rPr>
              <w:t>”，若需填写处为空</w:t>
            </w:r>
            <w:r>
              <w:rPr>
                <w:rFonts w:ascii="楷体" w:hAnsi="楷体" w:eastAsia="楷体" w:cs="楷体"/>
                <w:kern w:val="2"/>
                <w:sz w:val="24"/>
                <w:szCs w:val="24"/>
                <w:lang w:val="en-US" w:eastAsia="en-US" w:bidi="ar-SA"/>
              </w:rPr>
              <w:t xml:space="preserve"> </w:t>
            </w:r>
            <w:r>
              <w:rPr>
                <w:rFonts w:ascii="楷体" w:hAnsi="楷体" w:eastAsia="楷体" w:cs="楷体"/>
                <w:spacing w:val="13"/>
                <w:kern w:val="2"/>
                <w:sz w:val="24"/>
                <w:szCs w:val="24"/>
                <w:lang w:val="en-US" w:eastAsia="en-US" w:bidi="ar-SA"/>
              </w:rPr>
              <w:t>白且合同范本未规定的，则按照“</w:t>
            </w:r>
            <w:r>
              <w:rPr>
                <w:rFonts w:ascii="楷体" w:hAnsi="楷体" w:eastAsia="楷体" w:cs="楷体"/>
                <w:spacing w:val="-78"/>
                <w:kern w:val="2"/>
                <w:sz w:val="24"/>
                <w:szCs w:val="24"/>
                <w:lang w:val="en-US" w:eastAsia="en-US" w:bidi="ar-SA"/>
              </w:rPr>
              <w:t xml:space="preserve"> </w:t>
            </w:r>
            <w:r>
              <w:rPr>
                <w:rFonts w:ascii="楷体" w:hAnsi="楷体" w:eastAsia="楷体" w:cs="楷体"/>
                <w:spacing w:val="13"/>
                <w:kern w:val="2"/>
                <w:sz w:val="24"/>
                <w:szCs w:val="24"/>
                <w:lang w:val="en-US" w:eastAsia="en-US" w:bidi="ar-SA"/>
              </w:rPr>
              <w:t>无</w:t>
            </w:r>
            <w:r>
              <w:rPr>
                <w:rFonts w:ascii="楷体" w:hAnsi="楷体" w:eastAsia="楷体" w:cs="楷体"/>
                <w:spacing w:val="-69"/>
                <w:kern w:val="2"/>
                <w:sz w:val="24"/>
                <w:szCs w:val="24"/>
                <w:lang w:val="en-US" w:eastAsia="en-US" w:bidi="ar-SA"/>
              </w:rPr>
              <w:t xml:space="preserve"> </w:t>
            </w:r>
            <w:r>
              <w:rPr>
                <w:rFonts w:ascii="楷体" w:hAnsi="楷体" w:eastAsia="楷体" w:cs="楷体"/>
                <w:spacing w:val="13"/>
                <w:kern w:val="2"/>
                <w:sz w:val="24"/>
                <w:szCs w:val="24"/>
                <w:lang w:val="en-US" w:eastAsia="en-US" w:bidi="ar-SA"/>
              </w:rPr>
              <w:t>”处理。</w:t>
            </w:r>
          </w:p>
          <w:p w14:paraId="097B2D0E">
            <w:pPr>
              <w:widowControl w:val="0"/>
              <w:autoSpaceDE w:val="0"/>
              <w:autoSpaceDN w:val="0"/>
              <w:adjustRightInd w:val="0"/>
              <w:snapToGrid w:val="0"/>
              <w:spacing w:before="25" w:line="223" w:lineRule="auto"/>
              <w:ind w:right="21"/>
              <w:jc w:val="right"/>
              <w:rPr>
                <w:rFonts w:ascii="楷体" w:hAnsi="楷体" w:eastAsia="楷体" w:cs="楷体"/>
                <w:kern w:val="2"/>
                <w:sz w:val="24"/>
                <w:szCs w:val="24"/>
                <w:lang w:val="en-US" w:eastAsia="en-US" w:bidi="ar-SA"/>
              </w:rPr>
            </w:pPr>
            <w:r>
              <w:rPr>
                <w:rFonts w:ascii="楷体" w:hAnsi="楷体" w:eastAsia="楷体" w:cs="楷体"/>
                <w:spacing w:val="19"/>
                <w:kern w:val="2"/>
                <w:sz w:val="24"/>
                <w:szCs w:val="24"/>
                <w:lang w:val="en-US" w:eastAsia="en-US" w:bidi="ar-SA"/>
              </w:rPr>
              <w:t>2、零售套餐价格参数中常规电力合同电量电</w:t>
            </w:r>
            <w:r>
              <w:rPr>
                <w:rFonts w:ascii="楷体" w:hAnsi="楷体" w:eastAsia="楷体" w:cs="楷体"/>
                <w:spacing w:val="18"/>
                <w:kern w:val="2"/>
                <w:sz w:val="24"/>
                <w:szCs w:val="24"/>
                <w:lang w:val="en-US" w:eastAsia="en-US" w:bidi="ar-SA"/>
              </w:rPr>
              <w:t>价与绿色电力合同电量电价至少二选一。</w:t>
            </w:r>
          </w:p>
        </w:tc>
      </w:tr>
    </w:tbl>
    <w:p w14:paraId="0D94DF4C">
      <w:pPr>
        <w:spacing w:line="360" w:lineRule="auto"/>
        <w:jc w:val="center"/>
        <w:outlineLvl w:val="0"/>
        <w:rPr>
          <w:b/>
          <w:sz w:val="36"/>
          <w:szCs w:val="36"/>
        </w:rPr>
      </w:pPr>
    </w:p>
    <w:p w14:paraId="06D6164A">
      <w:pPr>
        <w:spacing w:line="360" w:lineRule="auto"/>
        <w:jc w:val="center"/>
        <w:outlineLvl w:val="0"/>
        <w:rPr>
          <w:b/>
          <w:sz w:val="36"/>
          <w:szCs w:val="36"/>
        </w:rPr>
      </w:pPr>
    </w:p>
    <w:p w14:paraId="285A5A54">
      <w:pPr>
        <w:spacing w:line="360" w:lineRule="auto"/>
        <w:jc w:val="center"/>
        <w:outlineLvl w:val="0"/>
        <w:rPr>
          <w:b/>
          <w:sz w:val="36"/>
          <w:szCs w:val="36"/>
        </w:rPr>
      </w:pPr>
    </w:p>
    <w:p w14:paraId="57673D6D">
      <w:pPr>
        <w:spacing w:line="360" w:lineRule="auto"/>
        <w:jc w:val="center"/>
        <w:outlineLvl w:val="0"/>
        <w:rPr>
          <w:b/>
          <w:sz w:val="36"/>
          <w:szCs w:val="36"/>
        </w:rPr>
      </w:pPr>
    </w:p>
    <w:p w14:paraId="4FC2D7D5">
      <w:pPr>
        <w:spacing w:line="360" w:lineRule="auto"/>
        <w:jc w:val="center"/>
        <w:outlineLvl w:val="0"/>
        <w:rPr>
          <w:b/>
          <w:sz w:val="36"/>
          <w:szCs w:val="36"/>
        </w:rPr>
      </w:pPr>
    </w:p>
    <w:p w14:paraId="24B154CF">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廉政</w:t>
      </w:r>
      <w:r>
        <w:rPr>
          <w:rFonts w:hint="eastAsia" w:ascii="宋体" w:hAnsi="宋体" w:eastAsia="宋体" w:cs="宋体"/>
          <w:sz w:val="24"/>
          <w:szCs w:val="24"/>
          <w:lang w:eastAsia="zh-CN"/>
        </w:rPr>
        <w:t>合同</w:t>
      </w:r>
    </w:p>
    <w:p w14:paraId="5145B7CC">
      <w:pPr>
        <w:keepNext w:val="0"/>
        <w:keepLines w:val="0"/>
        <w:pageBreakBefore w:val="0"/>
        <w:kinsoku/>
        <w:wordWrap/>
        <w:overflowPunct/>
        <w:topLinePunct w:val="0"/>
        <w:autoSpaceDE/>
        <w:autoSpaceDN/>
        <w:bidi w:val="0"/>
        <w:adjustRightInd/>
        <w:snapToGrid/>
        <w:spacing w:line="550" w:lineRule="exact"/>
        <w:textAlignment w:val="auto"/>
        <w:outlineLvl w:val="9"/>
        <w:rPr>
          <w:rFonts w:hint="eastAsia" w:ascii="宋体" w:hAnsi="宋体" w:eastAsia="宋体" w:cs="宋体"/>
          <w:sz w:val="24"/>
          <w:szCs w:val="24"/>
          <w:lang w:eastAsia="zh-CN"/>
        </w:rPr>
      </w:pPr>
    </w:p>
    <w:p w14:paraId="50861712">
      <w:pPr>
        <w:keepNext w:val="0"/>
        <w:keepLines w:val="0"/>
        <w:pageBreakBefore w:val="0"/>
        <w:kinsoku/>
        <w:wordWrap/>
        <w:overflowPunct/>
        <w:topLinePunct w:val="0"/>
        <w:autoSpaceDE/>
        <w:autoSpaceDN/>
        <w:bidi w:val="0"/>
        <w:adjustRightInd/>
        <w:snapToGrid/>
        <w:spacing w:line="550" w:lineRule="exac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甲方：</w:t>
      </w:r>
      <w:r>
        <w:rPr>
          <w:rFonts w:hint="eastAsia" w:ascii="宋体" w:hAnsi="宋体" w:cs="宋体"/>
          <w:sz w:val="24"/>
          <w:szCs w:val="24"/>
          <w:lang w:eastAsia="zh-CN"/>
        </w:rPr>
        <w:t>北京市丰台区市场监督管理局</w:t>
      </w:r>
    </w:p>
    <w:p w14:paraId="163C0B48">
      <w:pPr>
        <w:keepNext w:val="0"/>
        <w:keepLines w:val="0"/>
        <w:pageBreakBefore w:val="0"/>
        <w:kinsoku/>
        <w:wordWrap/>
        <w:overflowPunct/>
        <w:topLinePunct w:val="0"/>
        <w:autoSpaceDE/>
        <w:autoSpaceDN/>
        <w:bidi w:val="0"/>
        <w:adjustRightInd/>
        <w:snapToGrid/>
        <w:spacing w:line="550" w:lineRule="exac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乙方：</w:t>
      </w:r>
    </w:p>
    <w:p w14:paraId="0A22F6E5">
      <w:pPr>
        <w:keepNext w:val="0"/>
        <w:keepLines w:val="0"/>
        <w:pageBreakBefore w:val="0"/>
        <w:widowControl/>
        <w:kinsoku/>
        <w:wordWrap/>
        <w:overflowPunct/>
        <w:topLinePunct w:val="0"/>
        <w:autoSpaceDE/>
        <w:autoSpaceDN/>
        <w:bidi w:val="0"/>
        <w:adjustRightInd/>
        <w:snapToGrid/>
        <w:spacing w:line="55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w:t>
      </w:r>
      <w:r>
        <w:rPr>
          <w:rFonts w:hint="eastAsia" w:ascii="宋体" w:hAnsi="宋体" w:eastAsia="宋体" w:cs="宋体"/>
          <w:sz w:val="24"/>
          <w:szCs w:val="24"/>
          <w:lang w:eastAsia="zh-CN"/>
        </w:rPr>
        <w:t>规范采购活动、双方合作及合同履行，</w:t>
      </w:r>
      <w:r>
        <w:rPr>
          <w:rFonts w:hint="eastAsia" w:ascii="宋体" w:hAnsi="宋体" w:eastAsia="宋体" w:cs="宋体"/>
          <w:sz w:val="24"/>
          <w:szCs w:val="24"/>
        </w:rPr>
        <w:t>确保公平、公正、公开，</w:t>
      </w:r>
      <w:r>
        <w:rPr>
          <w:rFonts w:hint="eastAsia" w:ascii="宋体" w:hAnsi="宋体" w:eastAsia="宋体" w:cs="宋体"/>
          <w:sz w:val="24"/>
          <w:szCs w:val="24"/>
          <w:lang w:eastAsia="zh-CN"/>
        </w:rPr>
        <w:t>防止发生行贿等违纪违规违法现象，甲乙双方根据</w:t>
      </w:r>
      <w:r>
        <w:rPr>
          <w:rFonts w:hint="eastAsia" w:ascii="宋体" w:hAnsi="宋体" w:eastAsia="宋体" w:cs="宋体"/>
          <w:sz w:val="24"/>
          <w:szCs w:val="24"/>
        </w:rPr>
        <w:t>国家相关法律法规</w:t>
      </w:r>
      <w:r>
        <w:rPr>
          <w:rFonts w:hint="eastAsia" w:ascii="宋体" w:hAnsi="宋体" w:eastAsia="宋体" w:cs="宋体"/>
          <w:sz w:val="24"/>
          <w:szCs w:val="24"/>
          <w:lang w:eastAsia="zh-CN"/>
        </w:rPr>
        <w:t>和廉政建设责任制规定</w:t>
      </w:r>
      <w:r>
        <w:rPr>
          <w:rFonts w:hint="eastAsia" w:ascii="宋体" w:hAnsi="宋体" w:eastAsia="宋体" w:cs="宋体"/>
          <w:sz w:val="24"/>
          <w:szCs w:val="24"/>
        </w:rPr>
        <w:t>，</w:t>
      </w:r>
      <w:r>
        <w:rPr>
          <w:rFonts w:hint="eastAsia" w:ascii="宋体" w:hAnsi="宋体" w:eastAsia="宋体" w:cs="宋体"/>
          <w:sz w:val="24"/>
          <w:szCs w:val="24"/>
          <w:lang w:eastAsia="zh-CN"/>
        </w:rPr>
        <w:t>特订立廉政合同</w:t>
      </w:r>
      <w:r>
        <w:rPr>
          <w:rFonts w:hint="eastAsia" w:ascii="宋体" w:hAnsi="宋体" w:eastAsia="宋体" w:cs="宋体"/>
          <w:sz w:val="24"/>
          <w:szCs w:val="24"/>
        </w:rPr>
        <w:t>：</w:t>
      </w:r>
    </w:p>
    <w:p w14:paraId="5D684688">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甲方责任</w:t>
      </w:r>
    </w:p>
    <w:p w14:paraId="741CD698">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（一）不准向乙方和相关单位索要或接受礼物、礼金、有价证券、贵重物品及回扣、好处费、感谢费等。</w:t>
      </w:r>
    </w:p>
    <w:p w14:paraId="6BC48DA6">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（二）不准在乙方和相关单位报销任何应由甲方或个人支付的费用。</w:t>
      </w:r>
    </w:p>
    <w:p w14:paraId="20952BB3">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（三）不准要求、暗示或接受乙方和相关单位为个人装修住房、婚丧嫁娶、配偶子女的工作安排以及出国（境）、旅游等提供方便。</w:t>
      </w:r>
    </w:p>
    <w:p w14:paraId="5F80723E">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（四）不准参加有可能影响公正执行公务的乙方和相关单位的宴请和免费旅游、健身、娱乐等活动。</w:t>
      </w:r>
    </w:p>
    <w:p w14:paraId="69DC1AAD">
      <w:pPr>
        <w:keepNext w:val="0"/>
        <w:keepLines w:val="0"/>
        <w:pageBreakBefore w:val="0"/>
        <w:widowControl/>
        <w:kinsoku/>
        <w:wordWrap/>
        <w:overflowPunct/>
        <w:topLinePunct w:val="0"/>
        <w:autoSpaceDE/>
        <w:autoSpaceDN/>
        <w:bidi w:val="0"/>
        <w:adjustRightInd/>
        <w:snapToGrid/>
        <w:spacing w:line="550" w:lineRule="exact"/>
        <w:ind w:firstLine="641"/>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第二条 </w:t>
      </w:r>
      <w:r>
        <w:rPr>
          <w:rFonts w:hint="eastAsia" w:ascii="宋体" w:hAnsi="宋体" w:eastAsia="宋体" w:cs="宋体"/>
          <w:b w:val="0"/>
          <w:bCs w:val="0"/>
          <w:sz w:val="24"/>
          <w:szCs w:val="24"/>
          <w:lang w:val="en-US" w:eastAsia="zh-CN"/>
        </w:rPr>
        <w:t>乙方责任</w:t>
      </w:r>
    </w:p>
    <w:p w14:paraId="19DC5CE9">
      <w:pPr>
        <w:keepNext w:val="0"/>
        <w:keepLines w:val="0"/>
        <w:pageBreakBefore w:val="0"/>
        <w:widowControl/>
        <w:kinsoku/>
        <w:wordWrap/>
        <w:overflowPunct/>
        <w:topLinePunct w:val="0"/>
        <w:autoSpaceDE/>
        <w:autoSpaceDN/>
        <w:bidi w:val="0"/>
        <w:adjustRightInd/>
        <w:snapToGrid/>
        <w:spacing w:line="550" w:lineRule="exact"/>
        <w:ind w:firstLine="641"/>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（一）不准以任何理由向甲方及其工作人员（包括其直系亲属）赠送或索要、接受礼物、礼金、有价证券、贵重物品及回扣、好处费、感谢费等。</w:t>
      </w:r>
    </w:p>
    <w:p w14:paraId="54498D7C">
      <w:pPr>
        <w:keepNext w:val="0"/>
        <w:keepLines w:val="0"/>
        <w:pageBreakBefore w:val="0"/>
        <w:widowControl/>
        <w:kinsoku/>
        <w:wordWrap/>
        <w:overflowPunct/>
        <w:topLinePunct w:val="0"/>
        <w:autoSpaceDE/>
        <w:autoSpaceDN/>
        <w:bidi w:val="0"/>
        <w:adjustRightInd/>
        <w:snapToGrid/>
        <w:spacing w:line="550" w:lineRule="exact"/>
        <w:ind w:firstLine="641"/>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（二）不准以任何理由为甲方及其工作人员（包括其直系亲属）报销应由对方或个人支付的费用。</w:t>
      </w:r>
    </w:p>
    <w:p w14:paraId="55F779CB">
      <w:pPr>
        <w:keepNext w:val="0"/>
        <w:keepLines w:val="0"/>
        <w:pageBreakBefore w:val="0"/>
        <w:widowControl/>
        <w:kinsoku/>
        <w:wordWrap/>
        <w:overflowPunct/>
        <w:topLinePunct w:val="0"/>
        <w:autoSpaceDE/>
        <w:autoSpaceDN/>
        <w:bidi w:val="0"/>
        <w:adjustRightInd/>
        <w:snapToGrid/>
        <w:spacing w:line="550" w:lineRule="exact"/>
        <w:ind w:firstLine="641"/>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（三）不准接受或暗示为甲方、相关单位或个人装修住房、婚丧嫁娶、配偶子女的工作安排以及出国（境）、旅游等提供方便。</w:t>
      </w:r>
    </w:p>
    <w:p w14:paraId="6C4A2FEC">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（四）不准以任何理由为甲方及其工作人员（包括其直系亲属）、相关单位组织有可能影响公正执行公务的宴请和免费旅游、健身、娱乐等活动。</w:t>
      </w:r>
    </w:p>
    <w:p w14:paraId="4692AA44">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第三条</w:t>
      </w:r>
      <w:r>
        <w:rPr>
          <w:rFonts w:hint="eastAsia" w:ascii="宋体" w:hAnsi="宋体" w:eastAsia="宋体" w:cs="宋体"/>
          <w:sz w:val="24"/>
          <w:szCs w:val="24"/>
          <w:lang w:val="en-US" w:eastAsia="zh-CN"/>
        </w:rPr>
        <w:t xml:space="preserve"> 甲乙任何一方发现对方在业务活动中有违规、违纪、违法和违反本合同行为或倾向的，应及时提醒对方，向其上级主管部门或纪检监察、司法等有关机关举报。同时积极配合进行调查。</w:t>
      </w:r>
    </w:p>
    <w:p w14:paraId="1E9C16E2">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第四条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w:t>
      </w:r>
      <w:r>
        <w:rPr>
          <w:rFonts w:hint="eastAsia" w:ascii="宋体" w:hAnsi="宋体" w:eastAsia="宋体" w:cs="宋体"/>
          <w:sz w:val="24"/>
          <w:szCs w:val="24"/>
          <w:lang w:eastAsia="zh-CN"/>
        </w:rPr>
        <w:t>合同</w:t>
      </w:r>
      <w:r>
        <w:rPr>
          <w:rFonts w:hint="eastAsia" w:ascii="宋体" w:hAnsi="宋体" w:eastAsia="宋体" w:cs="宋体"/>
          <w:sz w:val="24"/>
          <w:szCs w:val="24"/>
        </w:rPr>
        <w:t>作为</w:t>
      </w:r>
      <w:r>
        <w:rPr>
          <w:rFonts w:hint="eastAsia" w:ascii="宋体" w:hAnsi="宋体" w:eastAsia="宋体" w:cs="宋体"/>
          <w:sz w:val="24"/>
          <w:szCs w:val="24"/>
          <w:lang w:eastAsia="zh-CN"/>
        </w:rPr>
        <w:t>合同</w:t>
      </w:r>
      <w:r>
        <w:rPr>
          <w:rFonts w:hint="eastAsia" w:ascii="宋体" w:hAnsi="宋体" w:eastAsia="宋体" w:cs="宋体"/>
          <w:sz w:val="24"/>
          <w:szCs w:val="24"/>
        </w:rPr>
        <w:t>的附件，具有同等的效力。</w:t>
      </w:r>
    </w:p>
    <w:p w14:paraId="32E77788">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rPr>
      </w:pPr>
      <w:r>
        <w:rPr>
          <w:rFonts w:hint="eastAsia" w:ascii="宋体" w:hAnsi="宋体" w:eastAsia="宋体" w:cs="宋体"/>
          <w:b/>
          <w:bCs/>
          <w:sz w:val="24"/>
          <w:szCs w:val="24"/>
          <w:lang w:eastAsia="zh-CN"/>
        </w:rPr>
        <w:t>第五条</w:t>
      </w:r>
      <w:r>
        <w:rPr>
          <w:rFonts w:hint="eastAsia" w:ascii="宋体" w:hAnsi="宋体" w:eastAsia="宋体" w:cs="宋体"/>
          <w:sz w:val="24"/>
          <w:szCs w:val="24"/>
          <w:lang w:val="en-US" w:eastAsia="zh-CN"/>
        </w:rPr>
        <w:t xml:space="preserve"> 甲乙任何一方</w:t>
      </w:r>
      <w:r>
        <w:rPr>
          <w:rFonts w:hint="eastAsia" w:ascii="宋体" w:hAnsi="宋体" w:eastAsia="宋体" w:cs="宋体"/>
          <w:sz w:val="24"/>
          <w:szCs w:val="24"/>
        </w:rPr>
        <w:t>违反上述</w:t>
      </w:r>
      <w:r>
        <w:rPr>
          <w:rFonts w:hint="eastAsia" w:ascii="宋体" w:hAnsi="宋体" w:eastAsia="宋体" w:cs="宋体"/>
          <w:sz w:val="24"/>
          <w:szCs w:val="24"/>
          <w:lang w:eastAsia="zh-CN"/>
        </w:rPr>
        <w:t>约定</w:t>
      </w:r>
      <w:r>
        <w:rPr>
          <w:rFonts w:hint="eastAsia" w:ascii="宋体" w:hAnsi="宋体" w:eastAsia="宋体" w:cs="宋体"/>
          <w:sz w:val="24"/>
          <w:szCs w:val="24"/>
        </w:rPr>
        <w:t>，</w:t>
      </w:r>
      <w:r>
        <w:rPr>
          <w:rFonts w:hint="eastAsia" w:ascii="宋体" w:hAnsi="宋体" w:eastAsia="宋体" w:cs="宋体"/>
          <w:sz w:val="24"/>
          <w:szCs w:val="24"/>
          <w:lang w:eastAsia="zh-CN"/>
        </w:rPr>
        <w:t>另一方均</w:t>
      </w:r>
      <w:r>
        <w:rPr>
          <w:rFonts w:hint="eastAsia" w:ascii="宋体" w:hAnsi="宋体" w:eastAsia="宋体" w:cs="宋体"/>
          <w:sz w:val="24"/>
          <w:szCs w:val="24"/>
        </w:rPr>
        <w:t>有权</w:t>
      </w:r>
      <w:r>
        <w:rPr>
          <w:rFonts w:hint="eastAsia" w:ascii="宋体" w:hAnsi="宋体" w:eastAsia="宋体" w:cs="宋体"/>
          <w:sz w:val="24"/>
          <w:szCs w:val="24"/>
          <w:lang w:eastAsia="zh-CN"/>
        </w:rPr>
        <w:t>采取终止采购合作、追究相关民事、行政和刑事责任等措施</w:t>
      </w:r>
      <w:r>
        <w:rPr>
          <w:rFonts w:hint="eastAsia" w:ascii="宋体" w:hAnsi="宋体" w:eastAsia="宋体" w:cs="宋体"/>
          <w:sz w:val="24"/>
          <w:szCs w:val="24"/>
        </w:rPr>
        <w:t>。</w:t>
      </w:r>
    </w:p>
    <w:p w14:paraId="62355A29">
      <w:pPr>
        <w:keepNext w:val="0"/>
        <w:keepLines w:val="0"/>
        <w:pageBreakBefore w:val="0"/>
        <w:widowControl/>
        <w:kinsoku/>
        <w:wordWrap/>
        <w:overflowPunct/>
        <w:topLinePunct w:val="0"/>
        <w:autoSpaceDE/>
        <w:autoSpaceDN/>
        <w:bidi w:val="0"/>
        <w:adjustRightInd/>
        <w:snapToGrid/>
        <w:spacing w:line="550" w:lineRule="exact"/>
        <w:ind w:firstLine="0" w:firstLineChars="0"/>
        <w:textAlignment w:val="auto"/>
        <w:outlineLvl w:val="9"/>
        <w:rPr>
          <w:rFonts w:hint="eastAsia" w:ascii="宋体" w:hAnsi="宋体" w:eastAsia="宋体" w:cs="宋体"/>
          <w:sz w:val="24"/>
          <w:szCs w:val="24"/>
          <w:lang w:eastAsia="zh-CN"/>
        </w:rPr>
      </w:pPr>
    </w:p>
    <w:p w14:paraId="051EE7A5">
      <w:pPr>
        <w:keepNext w:val="0"/>
        <w:keepLines w:val="0"/>
        <w:pageBreakBefore w:val="0"/>
        <w:widowControl/>
        <w:kinsoku/>
        <w:wordWrap/>
        <w:overflowPunct/>
        <w:topLinePunct w:val="0"/>
        <w:autoSpaceDE/>
        <w:autoSpaceDN/>
        <w:bidi w:val="0"/>
        <w:adjustRightInd/>
        <w:snapToGrid/>
        <w:spacing w:line="550" w:lineRule="exact"/>
        <w:ind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甲方</w:t>
      </w: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乙方</w:t>
      </w:r>
      <w:r>
        <w:rPr>
          <w:rFonts w:hint="eastAsia" w:ascii="宋体" w:hAnsi="宋体" w:eastAsia="宋体" w:cs="宋体"/>
          <w:sz w:val="24"/>
          <w:szCs w:val="24"/>
        </w:rPr>
        <w:t>（盖章）</w:t>
      </w:r>
    </w:p>
    <w:p w14:paraId="1E997EEC">
      <w:pPr>
        <w:keepNext w:val="0"/>
        <w:keepLines w:val="0"/>
        <w:pageBreakBefore w:val="0"/>
        <w:widowControl/>
        <w:kinsoku/>
        <w:wordWrap/>
        <w:overflowPunct/>
        <w:topLinePunct w:val="0"/>
        <w:autoSpaceDE/>
        <w:autoSpaceDN/>
        <w:bidi w:val="0"/>
        <w:adjustRightInd/>
        <w:snapToGrid/>
        <w:spacing w:before="157" w:beforeLines="50" w:line="550" w:lineRule="exact"/>
        <w:ind w:firstLine="0" w:firstLineChars="0"/>
        <w:textAlignment w:val="auto"/>
        <w:outlineLvl w:val="9"/>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eastAsia="zh-CN"/>
        </w:rPr>
        <w:t>法定代表人</w:t>
      </w:r>
      <w:r>
        <w:rPr>
          <w:rFonts w:hint="eastAsia" w:ascii="宋体" w:hAnsi="宋体" w:eastAsia="宋体" w:cs="宋体"/>
          <w:spacing w:val="-17"/>
          <w:sz w:val="24"/>
          <w:szCs w:val="24"/>
          <w:lang w:val="en-US" w:eastAsia="zh-CN"/>
        </w:rPr>
        <w:t xml:space="preserve">：                        </w:t>
      </w:r>
      <w:r>
        <w:rPr>
          <w:rFonts w:hint="eastAsia" w:ascii="宋体" w:hAnsi="宋体" w:eastAsia="宋体" w:cs="宋体"/>
          <w:spacing w:val="-17"/>
          <w:sz w:val="24"/>
          <w:szCs w:val="24"/>
          <w:lang w:eastAsia="zh-CN"/>
        </w:rPr>
        <w:t>法定代表人：</w:t>
      </w:r>
    </w:p>
    <w:p w14:paraId="3442B047">
      <w:pPr>
        <w:keepNext w:val="0"/>
        <w:keepLines w:val="0"/>
        <w:pageBreakBefore w:val="0"/>
        <w:widowControl/>
        <w:kinsoku/>
        <w:wordWrap/>
        <w:overflowPunct/>
        <w:topLinePunct w:val="0"/>
        <w:autoSpaceDE/>
        <w:autoSpaceDN/>
        <w:bidi w:val="0"/>
        <w:adjustRightInd/>
        <w:snapToGrid/>
        <w:spacing w:line="550" w:lineRule="exact"/>
        <w:ind w:firstLine="0" w:firstLineChars="0"/>
        <w:textAlignment w:val="auto"/>
        <w:outlineLvl w:val="9"/>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授权代表</w:t>
      </w:r>
      <w:r>
        <w:rPr>
          <w:rFonts w:hint="eastAsia" w:ascii="宋体" w:hAnsi="宋体" w:eastAsia="宋体" w:cs="宋体"/>
          <w:spacing w:val="-17"/>
          <w:sz w:val="24"/>
          <w:szCs w:val="24"/>
        </w:rPr>
        <w:t>（签字）：</w:t>
      </w:r>
      <w:r>
        <w:rPr>
          <w:rFonts w:hint="eastAsia" w:ascii="宋体" w:hAnsi="宋体" w:eastAsia="宋体" w:cs="宋体"/>
          <w:spacing w:val="-17"/>
          <w:sz w:val="24"/>
          <w:szCs w:val="24"/>
          <w:lang w:val="en-US" w:eastAsia="zh-CN"/>
        </w:rPr>
        <w:t xml:space="preserve">                授权代表</w:t>
      </w:r>
      <w:r>
        <w:rPr>
          <w:rFonts w:hint="eastAsia" w:ascii="宋体" w:hAnsi="宋体" w:eastAsia="宋体" w:cs="宋体"/>
          <w:spacing w:val="-17"/>
          <w:sz w:val="24"/>
          <w:szCs w:val="24"/>
        </w:rPr>
        <w:t>（签字）：</w:t>
      </w:r>
    </w:p>
    <w:p w14:paraId="01AECF1E">
      <w:pPr>
        <w:keepNext w:val="0"/>
        <w:keepLines w:val="0"/>
        <w:pageBreakBefore w:val="0"/>
        <w:widowControl/>
        <w:tabs>
          <w:tab w:val="right" w:pos="4210"/>
        </w:tabs>
        <w:kinsoku/>
        <w:wordWrap/>
        <w:overflowPunct/>
        <w:topLinePunct w:val="0"/>
        <w:autoSpaceDE/>
        <w:autoSpaceDN/>
        <w:bidi w:val="0"/>
        <w:adjustRightInd/>
        <w:snapToGrid/>
        <w:spacing w:before="157" w:beforeLines="50" w:line="550" w:lineRule="exact"/>
        <w:ind w:firstLine="0" w:firstLine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lang w:eastAsia="zh-CN"/>
        </w:rPr>
        <w:t>：</w:t>
      </w:r>
    </w:p>
    <w:p w14:paraId="5E87547E">
      <w:pPr>
        <w:spacing w:line="360" w:lineRule="auto"/>
        <w:jc w:val="left"/>
        <w:outlineLvl w:val="0"/>
        <w:rPr>
          <w:b/>
          <w:sz w:val="36"/>
          <w:szCs w:val="36"/>
        </w:rPr>
      </w:pPr>
      <w:r>
        <w:rPr>
          <w:b/>
          <w:sz w:val="36"/>
          <w:szCs w:val="36"/>
        </w:rPr>
        <w:br w:type="page"/>
      </w:r>
      <w:bookmarkStart w:id="850" w:name="_Toc99301426"/>
      <w:r>
        <w:rPr>
          <w:b/>
          <w:sz w:val="36"/>
          <w:szCs w:val="36"/>
        </w:rPr>
        <w:t>第七章   投标文件格式</w:t>
      </w:r>
      <w:bookmarkEnd w:id="850"/>
    </w:p>
    <w:p w14:paraId="37FBE215">
      <w:pPr>
        <w:tabs>
          <w:tab w:val="left" w:pos="900"/>
          <w:tab w:val="left" w:pos="1980"/>
        </w:tabs>
        <w:snapToGrid w:val="0"/>
        <w:spacing w:line="360" w:lineRule="auto"/>
        <w:ind w:left="142"/>
        <w:rPr>
          <w:b/>
          <w:sz w:val="24"/>
        </w:rPr>
      </w:pPr>
    </w:p>
    <w:p w14:paraId="256F45FC">
      <w:pPr>
        <w:tabs>
          <w:tab w:val="left" w:pos="900"/>
          <w:tab w:val="left" w:pos="1980"/>
        </w:tabs>
        <w:snapToGrid w:val="0"/>
        <w:spacing w:line="360" w:lineRule="auto"/>
        <w:ind w:left="142"/>
        <w:rPr>
          <w:b/>
          <w:sz w:val="24"/>
        </w:rPr>
      </w:pPr>
    </w:p>
    <w:p w14:paraId="155A7607">
      <w:pPr>
        <w:tabs>
          <w:tab w:val="left" w:pos="900"/>
          <w:tab w:val="left" w:pos="1980"/>
        </w:tabs>
        <w:snapToGrid w:val="0"/>
        <w:spacing w:line="360" w:lineRule="auto"/>
        <w:ind w:left="142"/>
        <w:rPr>
          <w:sz w:val="24"/>
        </w:rPr>
      </w:pPr>
      <w:r>
        <w:rPr>
          <w:b/>
          <w:sz w:val="24"/>
        </w:rPr>
        <w:t>投标人编制文件须知</w:t>
      </w:r>
    </w:p>
    <w:p w14:paraId="6FC5869C">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E941E09">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B30CE2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B895E07">
      <w:pPr>
        <w:tabs>
          <w:tab w:val="left" w:pos="900"/>
          <w:tab w:val="left" w:pos="1980"/>
        </w:tabs>
        <w:snapToGrid w:val="0"/>
        <w:spacing w:line="360" w:lineRule="auto"/>
        <w:ind w:left="142"/>
        <w:rPr>
          <w:sz w:val="24"/>
        </w:rPr>
      </w:pPr>
      <w:r>
        <w:rPr>
          <w:rFonts w:hint="eastAsia"/>
          <w:sz w:val="24"/>
          <w:highlight w:val="yellow"/>
        </w:rPr>
        <w:t>4、本章提供的实质性格式和非实质性格式内容中中括号“【】”括起来内容表示填写说明或举例说明，并非给定内容，投标人应根据自身投标情况保留、修改或据实填写。本章提供的格式中“注：”或“说明：”的内容也是填写说明，也非给定内容；本章提供的实质性格式和非实质性格式中的排序序号、编号也非给定内容。</w:t>
      </w:r>
    </w:p>
    <w:p w14:paraId="7AEC0B6E">
      <w:pPr>
        <w:widowControl/>
        <w:jc w:val="left"/>
        <w:rPr>
          <w:sz w:val="24"/>
        </w:rPr>
      </w:pPr>
      <w:r>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4992C805">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A10A835">
      <w:pPr>
        <w:rPr>
          <w:b/>
          <w:spacing w:val="20"/>
          <w:szCs w:val="21"/>
        </w:rPr>
      </w:pPr>
    </w:p>
    <w:p w14:paraId="187D6C87">
      <w:pPr>
        <w:rPr>
          <w:b/>
          <w:sz w:val="24"/>
        </w:rPr>
      </w:pPr>
      <w:r>
        <w:rPr>
          <w:b/>
          <w:spacing w:val="20"/>
          <w:sz w:val="24"/>
        </w:rPr>
        <w:t>投标文件（资格证明文件）</w:t>
      </w:r>
      <w:r>
        <w:rPr>
          <w:b/>
          <w:sz w:val="24"/>
        </w:rPr>
        <w:t>封面（非实质性格式）</w:t>
      </w:r>
    </w:p>
    <w:p w14:paraId="5BDFB788">
      <w:pPr>
        <w:jc w:val="center"/>
        <w:rPr>
          <w:szCs w:val="21"/>
        </w:rPr>
      </w:pPr>
    </w:p>
    <w:p w14:paraId="75CC9ACA">
      <w:pPr>
        <w:jc w:val="center"/>
        <w:rPr>
          <w:b/>
          <w:spacing w:val="60"/>
          <w:sz w:val="84"/>
          <w:szCs w:val="84"/>
        </w:rPr>
      </w:pPr>
      <w:r>
        <w:rPr>
          <w:b/>
          <w:spacing w:val="60"/>
          <w:sz w:val="84"/>
          <w:szCs w:val="84"/>
        </w:rPr>
        <w:t>投 标 文 件</w:t>
      </w:r>
    </w:p>
    <w:p w14:paraId="13E0DC98">
      <w:pPr>
        <w:jc w:val="center"/>
        <w:rPr>
          <w:b/>
          <w:spacing w:val="60"/>
          <w:sz w:val="52"/>
          <w:szCs w:val="52"/>
        </w:rPr>
      </w:pPr>
      <w:r>
        <w:rPr>
          <w:b/>
          <w:spacing w:val="60"/>
          <w:sz w:val="52"/>
          <w:szCs w:val="52"/>
        </w:rPr>
        <w:t>（资格证明文件）</w:t>
      </w:r>
    </w:p>
    <w:p w14:paraId="6FFA0EDD">
      <w:pPr>
        <w:ind w:firstLine="542" w:firstLineChars="150"/>
        <w:rPr>
          <w:b/>
          <w:spacing w:val="20"/>
          <w:sz w:val="32"/>
          <w:szCs w:val="32"/>
        </w:rPr>
      </w:pPr>
    </w:p>
    <w:p w14:paraId="28A23C73">
      <w:pPr>
        <w:ind w:firstLine="542" w:firstLineChars="150"/>
        <w:rPr>
          <w:b/>
          <w:spacing w:val="20"/>
          <w:sz w:val="32"/>
          <w:szCs w:val="32"/>
        </w:rPr>
      </w:pPr>
    </w:p>
    <w:p w14:paraId="47A70A5F">
      <w:pPr>
        <w:ind w:firstLine="542" w:firstLineChars="150"/>
        <w:rPr>
          <w:b/>
          <w:spacing w:val="20"/>
          <w:sz w:val="32"/>
          <w:szCs w:val="32"/>
        </w:rPr>
      </w:pPr>
      <w:r>
        <w:rPr>
          <w:b/>
          <w:spacing w:val="20"/>
          <w:sz w:val="32"/>
          <w:szCs w:val="32"/>
        </w:rPr>
        <w:t>项目名称:</w:t>
      </w:r>
    </w:p>
    <w:p w14:paraId="5BA3A2CF">
      <w:pPr>
        <w:ind w:firstLine="542" w:firstLineChars="150"/>
        <w:rPr>
          <w:b/>
          <w:spacing w:val="20"/>
          <w:sz w:val="32"/>
          <w:szCs w:val="32"/>
        </w:rPr>
      </w:pPr>
      <w:r>
        <w:rPr>
          <w:b/>
          <w:spacing w:val="20"/>
          <w:sz w:val="32"/>
          <w:szCs w:val="32"/>
        </w:rPr>
        <w:t>项目编号/包号：</w:t>
      </w:r>
    </w:p>
    <w:p w14:paraId="79C47E4D">
      <w:pPr>
        <w:ind w:firstLine="542" w:firstLineChars="150"/>
        <w:rPr>
          <w:b/>
          <w:spacing w:val="20"/>
          <w:sz w:val="32"/>
          <w:szCs w:val="32"/>
        </w:rPr>
      </w:pPr>
    </w:p>
    <w:p w14:paraId="7B1DCA3A">
      <w:pPr>
        <w:ind w:firstLine="542" w:firstLineChars="150"/>
        <w:rPr>
          <w:b/>
          <w:spacing w:val="20"/>
          <w:sz w:val="32"/>
          <w:szCs w:val="32"/>
        </w:rPr>
      </w:pPr>
    </w:p>
    <w:p w14:paraId="1BD51993">
      <w:pPr>
        <w:jc w:val="center"/>
        <w:rPr>
          <w:b/>
          <w:sz w:val="32"/>
          <w:szCs w:val="32"/>
        </w:rPr>
      </w:pPr>
    </w:p>
    <w:p w14:paraId="56949D3D">
      <w:pPr>
        <w:jc w:val="center"/>
        <w:rPr>
          <w:b/>
          <w:sz w:val="32"/>
          <w:szCs w:val="32"/>
        </w:rPr>
      </w:pPr>
    </w:p>
    <w:p w14:paraId="1670AC42">
      <w:pPr>
        <w:jc w:val="center"/>
        <w:rPr>
          <w:b/>
          <w:sz w:val="32"/>
          <w:szCs w:val="32"/>
        </w:rPr>
      </w:pPr>
    </w:p>
    <w:p w14:paraId="45BA3084">
      <w:pPr>
        <w:jc w:val="center"/>
        <w:rPr>
          <w:b/>
          <w:spacing w:val="20"/>
          <w:sz w:val="32"/>
          <w:szCs w:val="32"/>
        </w:rPr>
      </w:pPr>
    </w:p>
    <w:p w14:paraId="34D994CD">
      <w:pPr>
        <w:jc w:val="center"/>
        <w:rPr>
          <w:b/>
          <w:spacing w:val="20"/>
          <w:sz w:val="32"/>
          <w:szCs w:val="32"/>
        </w:rPr>
      </w:pPr>
    </w:p>
    <w:p w14:paraId="291CB2B4">
      <w:pPr>
        <w:jc w:val="center"/>
        <w:rPr>
          <w:b/>
          <w:spacing w:val="20"/>
          <w:sz w:val="32"/>
          <w:szCs w:val="32"/>
        </w:rPr>
      </w:pPr>
    </w:p>
    <w:p w14:paraId="2653CB9D">
      <w:pPr>
        <w:spacing w:line="360" w:lineRule="auto"/>
        <w:ind w:firstLine="1445" w:firstLineChars="400"/>
        <w:jc w:val="left"/>
        <w:rPr>
          <w:b/>
          <w:spacing w:val="20"/>
          <w:sz w:val="32"/>
          <w:szCs w:val="32"/>
        </w:rPr>
      </w:pPr>
      <w:r>
        <w:rPr>
          <w:b/>
          <w:spacing w:val="20"/>
          <w:sz w:val="32"/>
          <w:szCs w:val="32"/>
        </w:rPr>
        <w:t>投标人名称：</w:t>
      </w:r>
    </w:p>
    <w:p w14:paraId="50B2550E">
      <w:pPr>
        <w:jc w:val="center"/>
        <w:rPr>
          <w:b/>
          <w:sz w:val="32"/>
          <w:szCs w:val="32"/>
        </w:rPr>
      </w:pPr>
    </w:p>
    <w:p w14:paraId="6CBC5078">
      <w:pPr>
        <w:rPr>
          <w:b/>
        </w:rPr>
      </w:pPr>
      <w:r>
        <w:rPr>
          <w:b/>
          <w:spacing w:val="20"/>
          <w:sz w:val="32"/>
          <w:szCs w:val="32"/>
        </w:rPr>
        <w:br w:type="page"/>
      </w:r>
    </w:p>
    <w:p w14:paraId="57E61A51">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62470798">
      <w:pPr>
        <w:spacing w:line="360" w:lineRule="auto"/>
        <w:outlineLvl w:val="2"/>
        <w:rPr>
          <w:color w:val="000000"/>
          <w:sz w:val="24"/>
          <w:szCs w:val="20"/>
        </w:rPr>
      </w:pPr>
      <w:r>
        <w:rPr>
          <w:color w:val="000000"/>
          <w:sz w:val="24"/>
          <w:szCs w:val="20"/>
        </w:rPr>
        <w:t>1-1 营业执照等证明文件</w:t>
      </w:r>
    </w:p>
    <w:p w14:paraId="5E182A53">
      <w:pPr>
        <w:tabs>
          <w:tab w:val="left" w:pos="1080"/>
        </w:tabs>
        <w:snapToGrid w:val="0"/>
        <w:rPr>
          <w:sz w:val="24"/>
        </w:rPr>
      </w:pPr>
    </w:p>
    <w:p w14:paraId="58208A93">
      <w:pPr>
        <w:widowControl/>
        <w:jc w:val="left"/>
        <w:rPr>
          <w:color w:val="000000"/>
          <w:sz w:val="24"/>
          <w:szCs w:val="20"/>
        </w:rPr>
      </w:pPr>
      <w:r>
        <w:rPr>
          <w:color w:val="000000"/>
          <w:sz w:val="24"/>
        </w:rPr>
        <w:br w:type="page"/>
      </w:r>
    </w:p>
    <w:p w14:paraId="3D95F469">
      <w:pPr>
        <w:pStyle w:val="4"/>
        <w:rPr>
          <w:rFonts w:ascii="Times New Roman"/>
          <w:b w:val="0"/>
          <w:bCs/>
          <w:color w:val="000000"/>
          <w:u w:val="none"/>
        </w:rPr>
      </w:pPr>
      <w:r>
        <w:rPr>
          <w:rFonts w:ascii="Times New Roman"/>
          <w:b w:val="0"/>
          <w:color w:val="000000"/>
          <w:u w:val="none"/>
        </w:rPr>
        <w:t>1-2 投标人资格声明书</w:t>
      </w:r>
      <w:r>
        <w:rPr>
          <w:rFonts w:hint="eastAsia" w:ascii="Times New Roman"/>
          <w:b w:val="0"/>
          <w:color w:val="000000"/>
          <w:u w:val="none"/>
        </w:rPr>
        <w:t>格式</w:t>
      </w:r>
    </w:p>
    <w:p w14:paraId="18765928">
      <w:pPr>
        <w:jc w:val="center"/>
        <w:rPr>
          <w:b/>
          <w:color w:val="000000"/>
          <w:sz w:val="36"/>
          <w:szCs w:val="36"/>
        </w:rPr>
      </w:pPr>
      <w:r>
        <w:rPr>
          <w:b/>
          <w:color w:val="000000"/>
          <w:sz w:val="36"/>
          <w:szCs w:val="36"/>
        </w:rPr>
        <w:t>投标人资格声明书</w:t>
      </w:r>
    </w:p>
    <w:p w14:paraId="0A2D0626">
      <w:pPr>
        <w:tabs>
          <w:tab w:val="left" w:pos="5580"/>
        </w:tabs>
        <w:spacing w:line="360" w:lineRule="auto"/>
        <w:rPr>
          <w:sz w:val="24"/>
        </w:rPr>
      </w:pPr>
    </w:p>
    <w:p w14:paraId="42492D14">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14:paraId="0DE6E036">
      <w:pPr>
        <w:spacing w:line="360" w:lineRule="auto"/>
        <w:ind w:firstLine="480" w:firstLineChars="200"/>
        <w:rPr>
          <w:sz w:val="24"/>
        </w:rPr>
      </w:pPr>
      <w:r>
        <w:rPr>
          <w:sz w:val="24"/>
        </w:rPr>
        <w:t>在参与本次项目投标中，我单位承诺：</w:t>
      </w:r>
    </w:p>
    <w:p w14:paraId="442395DE">
      <w:pPr>
        <w:numPr>
          <w:ilvl w:val="0"/>
          <w:numId w:val="16"/>
        </w:numPr>
        <w:spacing w:line="360" w:lineRule="auto"/>
        <w:ind w:left="1134"/>
        <w:rPr>
          <w:sz w:val="24"/>
          <w:szCs w:val="22"/>
        </w:rPr>
      </w:pPr>
      <w:r>
        <w:rPr>
          <w:sz w:val="24"/>
          <w:szCs w:val="22"/>
        </w:rPr>
        <w:t>具有良好的商业信誉和健全的财务会计制度；</w:t>
      </w:r>
    </w:p>
    <w:p w14:paraId="4733606E">
      <w:pPr>
        <w:numPr>
          <w:ilvl w:val="0"/>
          <w:numId w:val="16"/>
        </w:numPr>
        <w:spacing w:line="360" w:lineRule="auto"/>
        <w:ind w:left="1134"/>
        <w:rPr>
          <w:sz w:val="24"/>
          <w:szCs w:val="22"/>
        </w:rPr>
      </w:pPr>
      <w:r>
        <w:rPr>
          <w:sz w:val="24"/>
          <w:szCs w:val="22"/>
        </w:rPr>
        <w:t>具有履行合同所必需的设备和专业技术能力；</w:t>
      </w:r>
    </w:p>
    <w:p w14:paraId="7EBD63D1">
      <w:pPr>
        <w:numPr>
          <w:ilvl w:val="0"/>
          <w:numId w:val="16"/>
        </w:numPr>
        <w:spacing w:line="360" w:lineRule="auto"/>
        <w:ind w:left="1134"/>
        <w:rPr>
          <w:sz w:val="24"/>
          <w:szCs w:val="22"/>
        </w:rPr>
      </w:pPr>
      <w:r>
        <w:rPr>
          <w:sz w:val="24"/>
          <w:szCs w:val="22"/>
        </w:rPr>
        <w:t>有依法缴纳税收和社会保障资金的良好记录；</w:t>
      </w:r>
    </w:p>
    <w:p w14:paraId="56BB23E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DE7C18">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CB2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AB9992">
            <w:pPr>
              <w:jc w:val="center"/>
              <w:rPr>
                <w:sz w:val="24"/>
              </w:rPr>
            </w:pPr>
            <w:r>
              <w:rPr>
                <w:sz w:val="24"/>
              </w:rPr>
              <w:t>序号</w:t>
            </w:r>
          </w:p>
        </w:tc>
        <w:tc>
          <w:tcPr>
            <w:tcW w:w="4574" w:type="dxa"/>
            <w:vAlign w:val="center"/>
          </w:tcPr>
          <w:p w14:paraId="16673620">
            <w:pPr>
              <w:jc w:val="center"/>
              <w:rPr>
                <w:sz w:val="24"/>
              </w:rPr>
            </w:pPr>
            <w:r>
              <w:rPr>
                <w:sz w:val="24"/>
              </w:rPr>
              <w:t>单位名称</w:t>
            </w:r>
          </w:p>
        </w:tc>
        <w:tc>
          <w:tcPr>
            <w:tcW w:w="2976" w:type="dxa"/>
            <w:vAlign w:val="center"/>
          </w:tcPr>
          <w:p w14:paraId="43A070D3">
            <w:pPr>
              <w:jc w:val="center"/>
              <w:rPr>
                <w:sz w:val="24"/>
              </w:rPr>
            </w:pPr>
            <w:r>
              <w:rPr>
                <w:sz w:val="24"/>
              </w:rPr>
              <w:t>相互关系</w:t>
            </w:r>
          </w:p>
        </w:tc>
      </w:tr>
      <w:tr w14:paraId="44236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C823A1">
            <w:pPr>
              <w:jc w:val="center"/>
              <w:rPr>
                <w:sz w:val="24"/>
              </w:rPr>
            </w:pPr>
            <w:r>
              <w:rPr>
                <w:sz w:val="24"/>
              </w:rPr>
              <w:t>1</w:t>
            </w:r>
          </w:p>
        </w:tc>
        <w:tc>
          <w:tcPr>
            <w:tcW w:w="4574" w:type="dxa"/>
            <w:vAlign w:val="center"/>
          </w:tcPr>
          <w:p w14:paraId="1AC509AE">
            <w:pPr>
              <w:jc w:val="left"/>
              <w:rPr>
                <w:sz w:val="24"/>
              </w:rPr>
            </w:pPr>
            <w:r>
              <w:rPr>
                <w:rFonts w:hint="eastAsia"/>
                <w:sz w:val="24"/>
              </w:rPr>
              <w:t>【如不存在与投标人单位负责人同一人或者与直接控股、管理关系的供应商，可在此处填写“无”】</w:t>
            </w:r>
          </w:p>
        </w:tc>
        <w:tc>
          <w:tcPr>
            <w:tcW w:w="2976" w:type="dxa"/>
            <w:vAlign w:val="center"/>
          </w:tcPr>
          <w:p w14:paraId="7635A225">
            <w:pPr>
              <w:jc w:val="left"/>
              <w:rPr>
                <w:sz w:val="24"/>
              </w:rPr>
            </w:pPr>
            <w:r>
              <w:rPr>
                <w:rFonts w:hint="eastAsia"/>
                <w:sz w:val="24"/>
              </w:rPr>
              <w:t>【填写举例：单位负责人为同一人、直接控股我方、直接管理我方、由我方直接控股或由我方直接管理】</w:t>
            </w:r>
          </w:p>
        </w:tc>
      </w:tr>
      <w:tr w14:paraId="4E96C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D3C718">
            <w:pPr>
              <w:jc w:val="center"/>
              <w:rPr>
                <w:sz w:val="24"/>
              </w:rPr>
            </w:pPr>
            <w:r>
              <w:rPr>
                <w:sz w:val="24"/>
              </w:rPr>
              <w:t>2</w:t>
            </w:r>
          </w:p>
        </w:tc>
        <w:tc>
          <w:tcPr>
            <w:tcW w:w="4574" w:type="dxa"/>
            <w:vAlign w:val="center"/>
          </w:tcPr>
          <w:p w14:paraId="39595A1E">
            <w:pPr>
              <w:jc w:val="center"/>
              <w:rPr>
                <w:sz w:val="24"/>
              </w:rPr>
            </w:pPr>
          </w:p>
        </w:tc>
        <w:tc>
          <w:tcPr>
            <w:tcW w:w="2976" w:type="dxa"/>
            <w:vAlign w:val="center"/>
          </w:tcPr>
          <w:p w14:paraId="43267B01">
            <w:pPr>
              <w:jc w:val="center"/>
              <w:rPr>
                <w:sz w:val="24"/>
              </w:rPr>
            </w:pPr>
          </w:p>
        </w:tc>
      </w:tr>
      <w:tr w14:paraId="1D24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AC468B">
            <w:pPr>
              <w:jc w:val="center"/>
              <w:rPr>
                <w:sz w:val="24"/>
              </w:rPr>
            </w:pPr>
            <w:r>
              <w:rPr>
                <w:sz w:val="24"/>
              </w:rPr>
              <w:t>…</w:t>
            </w:r>
          </w:p>
        </w:tc>
        <w:tc>
          <w:tcPr>
            <w:tcW w:w="4574" w:type="dxa"/>
            <w:vAlign w:val="center"/>
          </w:tcPr>
          <w:p w14:paraId="393AAFF5">
            <w:pPr>
              <w:jc w:val="center"/>
              <w:rPr>
                <w:sz w:val="24"/>
              </w:rPr>
            </w:pPr>
          </w:p>
        </w:tc>
        <w:tc>
          <w:tcPr>
            <w:tcW w:w="2976" w:type="dxa"/>
            <w:vAlign w:val="center"/>
          </w:tcPr>
          <w:p w14:paraId="4413D12A">
            <w:pPr>
              <w:jc w:val="center"/>
              <w:rPr>
                <w:sz w:val="24"/>
              </w:rPr>
            </w:pPr>
          </w:p>
        </w:tc>
      </w:tr>
    </w:tbl>
    <w:p w14:paraId="7A7608B3"/>
    <w:p w14:paraId="377F3444">
      <w:pPr>
        <w:ind w:firstLine="480" w:firstLineChars="200"/>
        <w:rPr>
          <w:sz w:val="24"/>
          <w:szCs w:val="22"/>
        </w:rPr>
      </w:pPr>
      <w:r>
        <w:rPr>
          <w:sz w:val="24"/>
        </w:rPr>
        <w:t>上述声明真实有效，否则我方负全部责任。</w:t>
      </w:r>
    </w:p>
    <w:p w14:paraId="0EA48D07">
      <w:pPr>
        <w:spacing w:line="360" w:lineRule="auto"/>
        <w:rPr>
          <w:sz w:val="24"/>
        </w:rPr>
      </w:pPr>
    </w:p>
    <w:p w14:paraId="3E41DDA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4056476">
      <w:pPr>
        <w:spacing w:line="360" w:lineRule="auto"/>
        <w:ind w:right="360" w:firstLine="480"/>
        <w:jc w:val="right"/>
        <w:rPr>
          <w:sz w:val="24"/>
        </w:rPr>
      </w:pPr>
      <w:r>
        <w:rPr>
          <w:color w:val="000000"/>
          <w:sz w:val="24"/>
          <w:szCs w:val="20"/>
        </w:rPr>
        <w:t xml:space="preserve">日期：_____年______月______日   </w:t>
      </w:r>
    </w:p>
    <w:p w14:paraId="3DFFEE2B">
      <w:pPr>
        <w:spacing w:line="360" w:lineRule="auto"/>
        <w:rPr>
          <w:sz w:val="24"/>
        </w:rPr>
      </w:pPr>
      <w:r>
        <w:rPr>
          <w:sz w:val="24"/>
        </w:rPr>
        <w:t>说明：供应商承诺不实的，依据《政府采购法》第七十七条“提供虚假材料谋取中标、成交的”有关规定予以处理。</w:t>
      </w:r>
    </w:p>
    <w:p w14:paraId="39A1322E">
      <w:pPr>
        <w:tabs>
          <w:tab w:val="left" w:pos="5580"/>
        </w:tabs>
        <w:spacing w:line="360" w:lineRule="auto"/>
        <w:rPr>
          <w:sz w:val="24"/>
        </w:rPr>
        <w:sectPr>
          <w:footerReference r:id="rId27" w:type="default"/>
          <w:pgSz w:w="11907" w:h="16840"/>
          <w:pgMar w:top="1418" w:right="1134" w:bottom="1418" w:left="1701" w:header="851" w:footer="851" w:gutter="0"/>
          <w:cols w:space="720" w:num="1"/>
          <w:docGrid w:linePitch="462" w:charSpace="0"/>
        </w:sectPr>
      </w:pPr>
    </w:p>
    <w:p w14:paraId="2797DAA6">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4967756">
      <w:pPr>
        <w:spacing w:line="360" w:lineRule="auto"/>
        <w:outlineLvl w:val="2"/>
        <w:rPr>
          <w:color w:val="000000"/>
          <w:sz w:val="24"/>
          <w:szCs w:val="20"/>
        </w:rPr>
      </w:pPr>
      <w:r>
        <w:rPr>
          <w:color w:val="000000"/>
          <w:sz w:val="24"/>
          <w:szCs w:val="20"/>
        </w:rPr>
        <w:t>2-1 中小企业政策证明文件</w:t>
      </w:r>
    </w:p>
    <w:p w14:paraId="6BA07CC1">
      <w:pPr>
        <w:tabs>
          <w:tab w:val="left" w:pos="5580"/>
        </w:tabs>
        <w:spacing w:line="360" w:lineRule="auto"/>
        <w:rPr>
          <w:sz w:val="24"/>
        </w:rPr>
      </w:pPr>
      <w:r>
        <w:rPr>
          <w:sz w:val="24"/>
        </w:rPr>
        <w:t>说明：</w:t>
      </w:r>
    </w:p>
    <w:p w14:paraId="16845A7D">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B7BE848">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D2ECDCE">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73A06FF">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51" w:name="_Hlk145526067"/>
      <w:r>
        <w:rPr>
          <w:sz w:val="24"/>
        </w:rPr>
        <w:t>如供应商为联合体的，</w:t>
      </w:r>
      <w:bookmarkEnd w:id="85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594E1F2">
      <w:pPr>
        <w:tabs>
          <w:tab w:val="left" w:pos="5580"/>
        </w:tabs>
        <w:spacing w:line="360" w:lineRule="auto"/>
        <w:rPr>
          <w:sz w:val="24"/>
        </w:rPr>
      </w:pPr>
      <w:r>
        <w:rPr>
          <w:sz w:val="24"/>
        </w:rPr>
        <w:t>（5）中小企业声明函填写注意事项</w:t>
      </w:r>
    </w:p>
    <w:p w14:paraId="3584893B">
      <w:pPr>
        <w:tabs>
          <w:tab w:val="left" w:pos="5580"/>
        </w:tabs>
        <w:spacing w:line="360" w:lineRule="auto"/>
        <w:rPr>
          <w:sz w:val="24"/>
        </w:rPr>
      </w:pPr>
      <w:r>
        <w:rPr>
          <w:sz w:val="24"/>
        </w:rPr>
        <w:t>1）《中小企业声明函》由参加政府采购活动的投标人出具。联合体投标的，《中小企业声明函》可由牵头人出具。</w:t>
      </w:r>
    </w:p>
    <w:p w14:paraId="3C19E8B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10902B">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6FFCD74">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5EAA737">
      <w:pPr>
        <w:tabs>
          <w:tab w:val="left" w:pos="5580"/>
        </w:tabs>
        <w:spacing w:line="360" w:lineRule="auto"/>
        <w:rPr>
          <w:sz w:val="24"/>
        </w:rPr>
      </w:pPr>
    </w:p>
    <w:p w14:paraId="45B0D36C">
      <w:pPr>
        <w:tabs>
          <w:tab w:val="left" w:pos="5580"/>
        </w:tabs>
        <w:spacing w:line="360" w:lineRule="auto"/>
        <w:rPr>
          <w:sz w:val="24"/>
        </w:rPr>
      </w:pPr>
      <w:r>
        <w:rPr>
          <w:sz w:val="24"/>
        </w:rPr>
        <w:br w:type="page"/>
      </w:r>
    </w:p>
    <w:p w14:paraId="70ACA466">
      <w:pPr>
        <w:pStyle w:val="6"/>
      </w:pPr>
      <w:r>
        <w:t>2-1-1 中小企业证明文件</w:t>
      </w:r>
    </w:p>
    <w:p w14:paraId="5A5F0E38">
      <w:pPr>
        <w:outlineLvl w:val="9"/>
        <w:rPr>
          <w:spacing w:val="6"/>
          <w:sz w:val="24"/>
        </w:rPr>
      </w:pPr>
      <w:r>
        <w:rPr>
          <w:spacing w:val="6"/>
          <w:sz w:val="24"/>
        </w:rPr>
        <w:t>中小企业声明函（工程、服务）格式</w:t>
      </w:r>
    </w:p>
    <w:p w14:paraId="2D2CD11A">
      <w:pPr>
        <w:spacing w:before="240" w:beforeLines="100" w:after="240" w:afterLines="100" w:line="360" w:lineRule="auto"/>
        <w:jc w:val="center"/>
        <w:rPr>
          <w:b/>
          <w:color w:val="000000"/>
          <w:sz w:val="36"/>
          <w:szCs w:val="36"/>
        </w:rPr>
      </w:pPr>
      <w:r>
        <w:rPr>
          <w:b/>
          <w:bCs/>
          <w:color w:val="000000"/>
          <w:sz w:val="36"/>
          <w:szCs w:val="36"/>
        </w:rPr>
        <w:t>中小企业声明函</w:t>
      </w:r>
    </w:p>
    <w:p w14:paraId="2A725466">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rFonts w:hint="eastAsia"/>
          <w:spacing w:val="6"/>
          <w:sz w:val="24"/>
          <w:u w:val="single"/>
        </w:rPr>
        <w:t>【采购人</w:t>
      </w:r>
      <w:r>
        <w:rPr>
          <w:spacing w:val="6"/>
          <w:sz w:val="24"/>
          <w:u w:val="single"/>
        </w:rPr>
        <w:t>名称</w:t>
      </w:r>
      <w:r>
        <w:rPr>
          <w:rFonts w:hint="eastAsia"/>
          <w:spacing w:val="6"/>
          <w:sz w:val="24"/>
          <w:u w:val="single"/>
        </w:rPr>
        <w:t>】</w:t>
      </w:r>
      <w:r>
        <w:rPr>
          <w:spacing w:val="6"/>
          <w:sz w:val="24"/>
        </w:rPr>
        <w:t>的</w:t>
      </w:r>
      <w:r>
        <w:rPr>
          <w:rFonts w:hint="eastAsia"/>
          <w:spacing w:val="6"/>
          <w:sz w:val="24"/>
          <w:u w:val="single"/>
        </w:rPr>
        <w:t>【</w:t>
      </w:r>
      <w:r>
        <w:rPr>
          <w:spacing w:val="6"/>
          <w:sz w:val="24"/>
          <w:u w:val="single"/>
        </w:rPr>
        <w:t>项目名称</w:t>
      </w:r>
      <w:r>
        <w:rPr>
          <w:rFonts w:hint="eastAsia"/>
          <w:spacing w:val="6"/>
          <w:sz w:val="24"/>
          <w:u w:val="single"/>
        </w:rPr>
        <w:t>，注：对于联合体中由中小企业承担的部分，或者分包给中小企业的部分，必须全部由中小企业制造、承建或者承接。投标人应当在声明函此项“项目名称”处标明联合体中中小企业承担的具体内容或者中小企业的具体分包内容。】</w:t>
      </w:r>
      <w:r>
        <w:rPr>
          <w:spacing w:val="6"/>
          <w:sz w:val="24"/>
        </w:rPr>
        <w:t>采购活动，</w:t>
      </w:r>
      <w:r>
        <w:rPr>
          <w:rFonts w:hint="eastAsia"/>
          <w:spacing w:val="6"/>
          <w:sz w:val="24"/>
          <w:u w:val="single"/>
        </w:rPr>
        <w:t>【</w:t>
      </w:r>
      <w:r>
        <w:rPr>
          <w:spacing w:val="6"/>
          <w:sz w:val="24"/>
          <w:u w:val="single"/>
        </w:rPr>
        <w:t>工程的施工单位全部为符合政策要求的中小企业</w:t>
      </w:r>
      <w:r>
        <w:rPr>
          <w:rFonts w:hint="eastAsia"/>
          <w:spacing w:val="6"/>
          <w:sz w:val="24"/>
          <w:u w:val="single"/>
        </w:rPr>
        <w:t>（</w:t>
      </w:r>
      <w:r>
        <w:rPr>
          <w:spacing w:val="6"/>
          <w:sz w:val="24"/>
          <w:u w:val="single"/>
        </w:rPr>
        <w:t>或者：服务全部由符合政策要求的中小企业承接</w:t>
      </w:r>
      <w:r>
        <w:rPr>
          <w:rFonts w:hint="eastAsia"/>
          <w:spacing w:val="6"/>
          <w:sz w:val="24"/>
          <w:u w:val="single"/>
        </w:rPr>
        <w:t>）】</w:t>
      </w:r>
      <w:r>
        <w:rPr>
          <w:spacing w:val="6"/>
          <w:sz w:val="24"/>
        </w:rPr>
        <w:t>。相关企业（含联合体中的中小企业、签订分包意向协议的中小企业）的具体情况如下：</w:t>
      </w:r>
    </w:p>
    <w:p w14:paraId="0C5B5AF7">
      <w:pPr>
        <w:spacing w:line="360" w:lineRule="auto"/>
        <w:ind w:firstLine="504"/>
        <w:rPr>
          <w:spacing w:val="6"/>
          <w:sz w:val="24"/>
        </w:rPr>
      </w:pPr>
      <w:r>
        <w:rPr>
          <w:spacing w:val="6"/>
          <w:sz w:val="24"/>
        </w:rPr>
        <w:t>1.</w:t>
      </w:r>
      <w:r>
        <w:rPr>
          <w:rFonts w:hint="eastAsia"/>
          <w:spacing w:val="6"/>
          <w:sz w:val="24"/>
          <w:u w:val="single"/>
        </w:rPr>
        <w:t xml:space="preserve"> 【电力市场化交易服务项目】</w:t>
      </w:r>
      <w:r>
        <w:rPr>
          <w:spacing w:val="6"/>
          <w:sz w:val="24"/>
        </w:rPr>
        <w:t>，属于</w:t>
      </w:r>
      <w:r>
        <w:rPr>
          <w:rFonts w:hint="eastAsia"/>
          <w:spacing w:val="6"/>
          <w:sz w:val="24"/>
          <w:u w:val="single"/>
        </w:rPr>
        <w:t>【招标文件投标人须知前附表第5.2.5条中明确的所属行业】</w:t>
      </w:r>
      <w:r>
        <w:rPr>
          <w:spacing w:val="6"/>
          <w:sz w:val="24"/>
        </w:rPr>
        <w:t>行业；承建（承接）企业为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2217E0CB">
      <w:pPr>
        <w:spacing w:line="360" w:lineRule="auto"/>
        <w:ind w:firstLine="504"/>
        <w:rPr>
          <w:spacing w:val="6"/>
          <w:sz w:val="24"/>
        </w:rPr>
      </w:pPr>
      <w:r>
        <w:rPr>
          <w:rFonts w:hint="eastAsia"/>
          <w:spacing w:val="6"/>
          <w:sz w:val="24"/>
        </w:rPr>
        <w:t>【</w:t>
      </w:r>
      <w:r>
        <w:rPr>
          <w:spacing w:val="6"/>
          <w:sz w:val="24"/>
        </w:rPr>
        <w:t>……</w:t>
      </w:r>
      <w:r>
        <w:rPr>
          <w:rFonts w:hint="eastAsia"/>
          <w:spacing w:val="6"/>
          <w:sz w:val="24"/>
        </w:rPr>
        <w:t>】</w:t>
      </w:r>
    </w:p>
    <w:p w14:paraId="50815D9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1805AA2">
      <w:pPr>
        <w:spacing w:line="360" w:lineRule="auto"/>
        <w:ind w:firstLine="504"/>
        <w:rPr>
          <w:spacing w:val="6"/>
          <w:sz w:val="24"/>
        </w:rPr>
      </w:pPr>
      <w:r>
        <w:rPr>
          <w:spacing w:val="6"/>
          <w:sz w:val="24"/>
        </w:rPr>
        <w:t>本企业对上述声明内容的真实性负责。如有虚假，将依法承担相应责任。</w:t>
      </w:r>
    </w:p>
    <w:p w14:paraId="7D1D9BAB">
      <w:pPr>
        <w:spacing w:line="360" w:lineRule="auto"/>
        <w:ind w:right="360" w:firstLine="480"/>
        <w:jc w:val="right"/>
        <w:rPr>
          <w:color w:val="000000"/>
          <w:sz w:val="24"/>
        </w:rPr>
      </w:pPr>
    </w:p>
    <w:p w14:paraId="6DC865BF">
      <w:pPr>
        <w:spacing w:line="360" w:lineRule="auto"/>
        <w:ind w:right="360" w:firstLine="480"/>
        <w:jc w:val="right"/>
        <w:rPr>
          <w:color w:val="000000"/>
          <w:sz w:val="24"/>
        </w:rPr>
      </w:pPr>
      <w:r>
        <w:rPr>
          <w:color w:val="000000"/>
          <w:sz w:val="24"/>
        </w:rPr>
        <w:t>企业名称（盖章）：________</w:t>
      </w:r>
    </w:p>
    <w:p w14:paraId="7164A426">
      <w:pPr>
        <w:spacing w:line="360" w:lineRule="auto"/>
        <w:ind w:right="360" w:firstLine="480"/>
        <w:jc w:val="right"/>
        <w:rPr>
          <w:color w:val="000000"/>
          <w:sz w:val="24"/>
        </w:rPr>
      </w:pPr>
      <w:r>
        <w:rPr>
          <w:color w:val="000000"/>
          <w:sz w:val="24"/>
        </w:rPr>
        <w:t>日 期：________</w:t>
      </w:r>
    </w:p>
    <w:p w14:paraId="5664EAD8">
      <w:pPr>
        <w:adjustRightInd w:val="0"/>
        <w:snapToGrid w:val="0"/>
        <w:jc w:val="left"/>
        <w:rPr>
          <w:color w:val="000000"/>
          <w:sz w:val="24"/>
          <w:szCs w:val="21"/>
        </w:rPr>
      </w:pPr>
    </w:p>
    <w:p w14:paraId="339CD45F">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EFD28D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0A683D8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2B14E58">
      <w:pPr>
        <w:adjustRightInd w:val="0"/>
        <w:snapToGrid w:val="0"/>
        <w:jc w:val="left"/>
        <w:rPr>
          <w:color w:val="000000"/>
          <w:szCs w:val="21"/>
          <w:vertAlign w:val="superscript"/>
        </w:rPr>
      </w:pPr>
    </w:p>
    <w:p w14:paraId="4A9975EF">
      <w:pPr>
        <w:spacing w:line="360" w:lineRule="auto"/>
        <w:ind w:right="360" w:firstLine="480"/>
        <w:jc w:val="right"/>
        <w:rPr>
          <w:color w:val="000000"/>
          <w:sz w:val="24"/>
        </w:rPr>
      </w:pPr>
    </w:p>
    <w:p w14:paraId="134E6BF5">
      <w:pPr>
        <w:spacing w:line="360" w:lineRule="auto"/>
        <w:ind w:right="360" w:firstLine="480"/>
        <w:jc w:val="right"/>
        <w:rPr>
          <w:color w:val="000000"/>
          <w:sz w:val="24"/>
        </w:rPr>
      </w:pPr>
    </w:p>
    <w:p w14:paraId="055C0C4B">
      <w:pPr>
        <w:spacing w:line="360" w:lineRule="auto"/>
        <w:ind w:right="360" w:firstLine="480"/>
        <w:jc w:val="right"/>
        <w:rPr>
          <w:color w:val="000000"/>
          <w:sz w:val="24"/>
        </w:rPr>
      </w:pPr>
    </w:p>
    <w:p w14:paraId="0BDB67E8">
      <w:pPr>
        <w:spacing w:line="360" w:lineRule="auto"/>
        <w:ind w:right="360" w:firstLine="480"/>
        <w:jc w:val="right"/>
        <w:rPr>
          <w:color w:val="000000"/>
          <w:sz w:val="24"/>
        </w:rPr>
      </w:pPr>
    </w:p>
    <w:p w14:paraId="593E9A2B">
      <w:pPr>
        <w:spacing w:line="360" w:lineRule="auto"/>
        <w:ind w:firstLine="504"/>
        <w:rPr>
          <w:spacing w:val="6"/>
          <w:sz w:val="24"/>
        </w:rPr>
      </w:pPr>
      <w:r>
        <w:rPr>
          <w:spacing w:val="6"/>
          <w:sz w:val="24"/>
        </w:rPr>
        <w:t>残疾人福利性单位声明函格式</w:t>
      </w:r>
    </w:p>
    <w:p w14:paraId="1A3560C5">
      <w:pPr>
        <w:spacing w:before="240" w:beforeLines="100" w:after="240" w:afterLines="100" w:line="360" w:lineRule="auto"/>
        <w:jc w:val="center"/>
        <w:rPr>
          <w:b/>
          <w:color w:val="000000"/>
          <w:sz w:val="36"/>
          <w:szCs w:val="36"/>
        </w:rPr>
      </w:pPr>
      <w:r>
        <w:rPr>
          <w:b/>
          <w:bCs/>
          <w:color w:val="000000"/>
          <w:sz w:val="36"/>
          <w:szCs w:val="36"/>
        </w:rPr>
        <w:t>残疾人福利性单位声明函</w:t>
      </w:r>
    </w:p>
    <w:p w14:paraId="5238C7A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A61982C">
      <w:pPr>
        <w:spacing w:line="588" w:lineRule="exact"/>
        <w:ind w:firstLine="482"/>
        <w:rPr>
          <w:rFonts w:hint="eastAsia"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26BA4B77">
      <w:pPr>
        <w:spacing w:line="588" w:lineRule="exact"/>
        <w:ind w:firstLine="482"/>
        <w:rPr>
          <w:rFonts w:hint="eastAsia"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1024E14">
      <w:pPr>
        <w:spacing w:line="588" w:lineRule="exact"/>
        <w:ind w:firstLine="506" w:firstLineChars="200"/>
        <w:rPr>
          <w:rFonts w:hint="eastAsia"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3948C357">
      <w:pPr>
        <w:spacing w:line="588" w:lineRule="exact"/>
        <w:ind w:firstLine="504" w:firstLineChars="200"/>
        <w:rPr>
          <w:spacing w:val="6"/>
          <w:sz w:val="24"/>
        </w:rPr>
      </w:pPr>
    </w:p>
    <w:p w14:paraId="2142A10C">
      <w:pPr>
        <w:spacing w:line="588" w:lineRule="exact"/>
        <w:ind w:firstLine="504" w:firstLineChars="200"/>
        <w:rPr>
          <w:spacing w:val="6"/>
          <w:sz w:val="24"/>
        </w:rPr>
      </w:pPr>
    </w:p>
    <w:p w14:paraId="08AE21FD">
      <w:pPr>
        <w:tabs>
          <w:tab w:val="left" w:pos="4860"/>
        </w:tabs>
        <w:spacing w:line="588" w:lineRule="exact"/>
        <w:ind w:right="1560" w:firstLine="504" w:firstLineChars="200"/>
        <w:jc w:val="center"/>
        <w:rPr>
          <w:spacing w:val="6"/>
          <w:sz w:val="24"/>
        </w:rPr>
      </w:pPr>
      <w:r>
        <w:rPr>
          <w:spacing w:val="6"/>
          <w:sz w:val="24"/>
        </w:rPr>
        <w:t xml:space="preserve">               单位名称（盖章）：</w:t>
      </w:r>
    </w:p>
    <w:p w14:paraId="283D62F6">
      <w:pPr>
        <w:tabs>
          <w:tab w:val="left" w:pos="4860"/>
        </w:tabs>
        <w:spacing w:line="588" w:lineRule="exact"/>
        <w:ind w:right="1560" w:firstLine="504" w:firstLineChars="200"/>
        <w:jc w:val="center"/>
        <w:rPr>
          <w:spacing w:val="6"/>
          <w:sz w:val="24"/>
        </w:rPr>
      </w:pPr>
      <w:r>
        <w:rPr>
          <w:spacing w:val="6"/>
          <w:sz w:val="24"/>
        </w:rPr>
        <w:t xml:space="preserve">       日  期：</w:t>
      </w:r>
    </w:p>
    <w:p w14:paraId="7CC3C9D2">
      <w:pPr>
        <w:widowControl/>
        <w:jc w:val="left"/>
        <w:rPr>
          <w:color w:val="000000"/>
          <w:sz w:val="24"/>
          <w:szCs w:val="20"/>
        </w:rPr>
      </w:pPr>
      <w:r>
        <w:rPr>
          <w:color w:val="000000"/>
          <w:sz w:val="24"/>
          <w:szCs w:val="20"/>
        </w:rPr>
        <w:br w:type="page"/>
      </w:r>
    </w:p>
    <w:p w14:paraId="52E2B4EC">
      <w:pPr>
        <w:pStyle w:val="6"/>
      </w:pPr>
      <w:r>
        <w:t>2-1-2 拟分包情况说明及分包意向协议</w:t>
      </w:r>
    </w:p>
    <w:p w14:paraId="3825FF4D">
      <w:pPr>
        <w:autoSpaceDE w:val="0"/>
        <w:autoSpaceDN w:val="0"/>
        <w:adjustRightInd w:val="0"/>
        <w:spacing w:line="360" w:lineRule="auto"/>
        <w:jc w:val="center"/>
        <w:rPr>
          <w:b/>
          <w:color w:val="000000"/>
          <w:sz w:val="36"/>
          <w:szCs w:val="36"/>
        </w:rPr>
      </w:pPr>
      <w:r>
        <w:rPr>
          <w:b/>
          <w:color w:val="000000"/>
          <w:sz w:val="36"/>
          <w:szCs w:val="36"/>
        </w:rPr>
        <w:t>拟分包情况说明</w:t>
      </w:r>
    </w:p>
    <w:p w14:paraId="4A8EC109">
      <w:pPr>
        <w:tabs>
          <w:tab w:val="left" w:pos="5580"/>
        </w:tabs>
        <w:spacing w:line="360" w:lineRule="auto"/>
        <w:rPr>
          <w:color w:val="000000"/>
          <w:sz w:val="24"/>
        </w:rPr>
      </w:pPr>
      <w:r>
        <w:rPr>
          <w:color w:val="000000"/>
          <w:sz w:val="24"/>
        </w:rPr>
        <w:t>致：</w:t>
      </w:r>
      <w:r>
        <w:rPr>
          <w:rFonts w:hint="eastAsia"/>
          <w:sz w:val="24"/>
          <w:u w:val="single"/>
        </w:rPr>
        <w:t>【</w:t>
      </w:r>
      <w:r>
        <w:rPr>
          <w:sz w:val="24"/>
          <w:u w:val="single"/>
        </w:rPr>
        <w:t>采购人或采购代理机构</w:t>
      </w:r>
      <w:r>
        <w:rPr>
          <w:rFonts w:hint="eastAsia"/>
          <w:sz w:val="24"/>
          <w:u w:val="single"/>
        </w:rPr>
        <w:t>】</w:t>
      </w:r>
    </w:p>
    <w:p w14:paraId="00464424">
      <w:pPr>
        <w:adjustRightInd w:val="0"/>
        <w:snapToGrid w:val="0"/>
        <w:spacing w:line="360" w:lineRule="auto"/>
        <w:ind w:firstLine="480" w:firstLineChars="200"/>
        <w:jc w:val="left"/>
        <w:rPr>
          <w:sz w:val="24"/>
        </w:rPr>
      </w:pPr>
      <w:r>
        <w:rPr>
          <w:sz w:val="24"/>
        </w:rPr>
        <w:t>我单位参加贵单位组织采购的项目编号为</w:t>
      </w:r>
      <w:r>
        <w:rPr>
          <w:rFonts w:hint="eastAsia"/>
          <w:sz w:val="24"/>
          <w:u w:val="single"/>
        </w:rPr>
        <w:t>【填写项目编号】</w:t>
      </w:r>
      <w:r>
        <w:rPr>
          <w:sz w:val="24"/>
        </w:rPr>
        <w:t>的</w:t>
      </w:r>
      <w:r>
        <w:rPr>
          <w:rFonts w:hint="eastAsia"/>
          <w:sz w:val="24"/>
          <w:u w:val="single"/>
        </w:rPr>
        <w:t>【</w:t>
      </w:r>
      <w:r>
        <w:rPr>
          <w:sz w:val="24"/>
          <w:u w:val="single"/>
        </w:rPr>
        <w:t>填写采购项目名称</w:t>
      </w:r>
      <w:r>
        <w:rPr>
          <w:rFonts w:hint="eastAsia"/>
          <w:sz w:val="24"/>
          <w:u w:val="single"/>
        </w:rPr>
        <w:t>】</w:t>
      </w:r>
      <w:r>
        <w:rPr>
          <w:sz w:val="24"/>
        </w:rPr>
        <w:t>项目中</w:t>
      </w:r>
      <w:r>
        <w:rPr>
          <w:rFonts w:hint="eastAsia"/>
          <w:sz w:val="24"/>
          <w:u w:val="single"/>
        </w:rPr>
        <w:t>【</w:t>
      </w:r>
      <w:r>
        <w:rPr>
          <w:sz w:val="24"/>
          <w:u w:val="single"/>
        </w:rPr>
        <w:t>填写包号</w:t>
      </w:r>
      <w:r>
        <w:rPr>
          <w:rFonts w:hint="eastAsia"/>
          <w:sz w:val="24"/>
          <w:u w:val="single"/>
        </w:rPr>
        <w:t>】</w:t>
      </w:r>
      <w:r>
        <w:rPr>
          <w:sz w:val="24"/>
        </w:rPr>
        <w:t>包的投标。拟签订分包合同的单位情况如下表所示，我单位承诺一旦在该项目中获得采购合同将按下表所列情况进行分包，同时承诺分包承担主体不再次分包。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BF6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0BC07F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97BEC9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524B9B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20CF7A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3ED9E3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254F27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766ECC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C6FBA8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143102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74A54F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1C8C8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965AFE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2D11ED1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0743AE4">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6AFB73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FAD5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42C3A4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B1A28DC">
            <w:pPr>
              <w:pStyle w:val="247"/>
              <w:jc w:val="center"/>
              <w:rPr>
                <w:rFonts w:ascii="Times New Roman" w:hAnsi="Times New Roman" w:cs="Times New Roman" w:eastAsiaTheme="minorEastAsia"/>
                <w:sz w:val="30"/>
              </w:rPr>
            </w:pPr>
          </w:p>
        </w:tc>
        <w:tc>
          <w:tcPr>
            <w:tcW w:w="1513" w:type="dxa"/>
            <w:vAlign w:val="center"/>
          </w:tcPr>
          <w:p w14:paraId="40EF20FE">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17319675">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2CC75292">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3FF91461">
            <w:pPr>
              <w:pStyle w:val="247"/>
              <w:jc w:val="center"/>
              <w:rPr>
                <w:rFonts w:ascii="Times New Roman" w:hAnsi="Times New Roman" w:cs="Times New Roman" w:eastAsiaTheme="minorEastAsia"/>
                <w:sz w:val="30"/>
                <w:lang w:eastAsia="zh-CN"/>
              </w:rPr>
            </w:pPr>
          </w:p>
        </w:tc>
        <w:tc>
          <w:tcPr>
            <w:tcW w:w="1558" w:type="dxa"/>
            <w:vAlign w:val="center"/>
          </w:tcPr>
          <w:p w14:paraId="5939B983">
            <w:pPr>
              <w:pStyle w:val="247"/>
              <w:jc w:val="center"/>
              <w:rPr>
                <w:rFonts w:ascii="Times New Roman" w:hAnsi="Times New Roman" w:cs="Times New Roman" w:eastAsiaTheme="minorEastAsia"/>
                <w:sz w:val="30"/>
                <w:lang w:eastAsia="zh-CN"/>
              </w:rPr>
            </w:pPr>
          </w:p>
        </w:tc>
        <w:tc>
          <w:tcPr>
            <w:tcW w:w="1498" w:type="dxa"/>
            <w:vAlign w:val="center"/>
          </w:tcPr>
          <w:p w14:paraId="5F9655A3">
            <w:pPr>
              <w:pStyle w:val="247"/>
              <w:jc w:val="center"/>
              <w:rPr>
                <w:rFonts w:ascii="Times New Roman" w:hAnsi="Times New Roman" w:cs="Times New Roman" w:eastAsiaTheme="minorEastAsia"/>
                <w:sz w:val="30"/>
                <w:lang w:eastAsia="zh-CN"/>
              </w:rPr>
            </w:pPr>
          </w:p>
        </w:tc>
        <w:tc>
          <w:tcPr>
            <w:tcW w:w="1564" w:type="dxa"/>
            <w:vAlign w:val="center"/>
          </w:tcPr>
          <w:p w14:paraId="4645D946">
            <w:pPr>
              <w:pStyle w:val="247"/>
              <w:jc w:val="center"/>
              <w:rPr>
                <w:rFonts w:ascii="Times New Roman" w:hAnsi="Times New Roman" w:cs="Times New Roman" w:eastAsiaTheme="minorEastAsia"/>
                <w:sz w:val="30"/>
                <w:lang w:eastAsia="zh-CN"/>
              </w:rPr>
            </w:pPr>
          </w:p>
        </w:tc>
      </w:tr>
      <w:tr w14:paraId="708EF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F46CB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D3A6DA0">
            <w:pPr>
              <w:pStyle w:val="247"/>
              <w:jc w:val="center"/>
              <w:rPr>
                <w:rFonts w:ascii="Times New Roman" w:hAnsi="Times New Roman" w:cs="Times New Roman" w:eastAsiaTheme="minorEastAsia"/>
                <w:sz w:val="30"/>
              </w:rPr>
            </w:pPr>
          </w:p>
        </w:tc>
        <w:tc>
          <w:tcPr>
            <w:tcW w:w="1513" w:type="dxa"/>
            <w:vAlign w:val="center"/>
          </w:tcPr>
          <w:p w14:paraId="46D7A265">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04389D31">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228AB881">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4F290619">
            <w:pPr>
              <w:pStyle w:val="247"/>
              <w:jc w:val="center"/>
              <w:rPr>
                <w:rFonts w:ascii="Times New Roman" w:hAnsi="Times New Roman" w:cs="Times New Roman" w:eastAsiaTheme="minorEastAsia"/>
                <w:sz w:val="30"/>
                <w:lang w:eastAsia="zh-CN"/>
              </w:rPr>
            </w:pPr>
          </w:p>
        </w:tc>
        <w:tc>
          <w:tcPr>
            <w:tcW w:w="1558" w:type="dxa"/>
            <w:vAlign w:val="center"/>
          </w:tcPr>
          <w:p w14:paraId="09909E47">
            <w:pPr>
              <w:pStyle w:val="247"/>
              <w:jc w:val="center"/>
              <w:rPr>
                <w:rFonts w:ascii="Times New Roman" w:hAnsi="Times New Roman" w:cs="Times New Roman" w:eastAsiaTheme="minorEastAsia"/>
                <w:sz w:val="30"/>
                <w:lang w:eastAsia="zh-CN"/>
              </w:rPr>
            </w:pPr>
          </w:p>
        </w:tc>
        <w:tc>
          <w:tcPr>
            <w:tcW w:w="1498" w:type="dxa"/>
            <w:vAlign w:val="center"/>
          </w:tcPr>
          <w:p w14:paraId="175D386A">
            <w:pPr>
              <w:pStyle w:val="247"/>
              <w:jc w:val="center"/>
              <w:rPr>
                <w:rFonts w:ascii="Times New Roman" w:hAnsi="Times New Roman" w:cs="Times New Roman" w:eastAsiaTheme="minorEastAsia"/>
                <w:sz w:val="30"/>
                <w:lang w:eastAsia="zh-CN"/>
              </w:rPr>
            </w:pPr>
          </w:p>
        </w:tc>
        <w:tc>
          <w:tcPr>
            <w:tcW w:w="1564" w:type="dxa"/>
            <w:vAlign w:val="center"/>
          </w:tcPr>
          <w:p w14:paraId="329C92B6">
            <w:pPr>
              <w:pStyle w:val="247"/>
              <w:jc w:val="center"/>
              <w:rPr>
                <w:rFonts w:ascii="Times New Roman" w:hAnsi="Times New Roman" w:cs="Times New Roman" w:eastAsiaTheme="minorEastAsia"/>
                <w:sz w:val="30"/>
                <w:lang w:eastAsia="zh-CN"/>
              </w:rPr>
            </w:pPr>
          </w:p>
        </w:tc>
      </w:tr>
      <w:tr w14:paraId="33A59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ACB32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30907D7">
            <w:pPr>
              <w:pStyle w:val="247"/>
              <w:jc w:val="center"/>
              <w:rPr>
                <w:rFonts w:ascii="Times New Roman" w:hAnsi="Times New Roman" w:cs="Times New Roman" w:eastAsiaTheme="minorEastAsia"/>
                <w:sz w:val="30"/>
              </w:rPr>
            </w:pPr>
          </w:p>
        </w:tc>
        <w:tc>
          <w:tcPr>
            <w:tcW w:w="1513" w:type="dxa"/>
            <w:vAlign w:val="center"/>
          </w:tcPr>
          <w:p w14:paraId="7B99618A">
            <w:pPr>
              <w:pStyle w:val="247"/>
              <w:tabs>
                <w:tab w:val="left" w:pos="235"/>
              </w:tabs>
              <w:jc w:val="center"/>
              <w:rPr>
                <w:rFonts w:ascii="Times New Roman" w:hAnsi="Times New Roman" w:cs="Times New Roman" w:eastAsiaTheme="minorEastAsia"/>
                <w:sz w:val="24"/>
              </w:rPr>
            </w:pPr>
          </w:p>
        </w:tc>
        <w:tc>
          <w:tcPr>
            <w:tcW w:w="1125" w:type="dxa"/>
            <w:vAlign w:val="center"/>
          </w:tcPr>
          <w:p w14:paraId="38CDCA06">
            <w:pPr>
              <w:pStyle w:val="247"/>
              <w:jc w:val="center"/>
              <w:rPr>
                <w:rFonts w:ascii="Times New Roman" w:hAnsi="Times New Roman" w:cs="Times New Roman" w:eastAsiaTheme="minorEastAsia"/>
                <w:sz w:val="30"/>
              </w:rPr>
            </w:pPr>
          </w:p>
        </w:tc>
        <w:tc>
          <w:tcPr>
            <w:tcW w:w="1558" w:type="dxa"/>
            <w:vAlign w:val="center"/>
          </w:tcPr>
          <w:p w14:paraId="1F329D21">
            <w:pPr>
              <w:pStyle w:val="247"/>
              <w:jc w:val="center"/>
              <w:rPr>
                <w:rFonts w:ascii="Times New Roman" w:hAnsi="Times New Roman" w:cs="Times New Roman" w:eastAsiaTheme="minorEastAsia"/>
                <w:sz w:val="30"/>
              </w:rPr>
            </w:pPr>
          </w:p>
        </w:tc>
        <w:tc>
          <w:tcPr>
            <w:tcW w:w="1498" w:type="dxa"/>
            <w:vAlign w:val="center"/>
          </w:tcPr>
          <w:p w14:paraId="7F3ECD15">
            <w:pPr>
              <w:pStyle w:val="247"/>
              <w:jc w:val="center"/>
              <w:rPr>
                <w:rFonts w:ascii="Times New Roman" w:hAnsi="Times New Roman" w:cs="Times New Roman" w:eastAsiaTheme="minorEastAsia"/>
                <w:sz w:val="30"/>
              </w:rPr>
            </w:pPr>
          </w:p>
        </w:tc>
        <w:tc>
          <w:tcPr>
            <w:tcW w:w="1564" w:type="dxa"/>
            <w:vAlign w:val="center"/>
          </w:tcPr>
          <w:p w14:paraId="3648FF8F">
            <w:pPr>
              <w:pStyle w:val="247"/>
              <w:jc w:val="center"/>
              <w:rPr>
                <w:rFonts w:ascii="Times New Roman" w:hAnsi="Times New Roman" w:cs="Times New Roman" w:eastAsiaTheme="minorEastAsia"/>
                <w:sz w:val="30"/>
              </w:rPr>
            </w:pPr>
          </w:p>
        </w:tc>
      </w:tr>
      <w:tr w14:paraId="1BA47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2DDC2CA">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B04233B">
            <w:pPr>
              <w:pStyle w:val="247"/>
              <w:jc w:val="center"/>
              <w:rPr>
                <w:rFonts w:ascii="Times New Roman" w:hAnsi="Times New Roman" w:cs="Times New Roman" w:eastAsiaTheme="minorEastAsia"/>
                <w:sz w:val="30"/>
              </w:rPr>
            </w:pPr>
          </w:p>
        </w:tc>
        <w:tc>
          <w:tcPr>
            <w:tcW w:w="1564" w:type="dxa"/>
            <w:vAlign w:val="center"/>
          </w:tcPr>
          <w:p w14:paraId="26ED5495">
            <w:pPr>
              <w:pStyle w:val="247"/>
              <w:jc w:val="center"/>
              <w:rPr>
                <w:rFonts w:ascii="Times New Roman" w:hAnsi="Times New Roman" w:cs="Times New Roman" w:eastAsiaTheme="minorEastAsia"/>
                <w:sz w:val="30"/>
              </w:rPr>
            </w:pPr>
          </w:p>
        </w:tc>
      </w:tr>
    </w:tbl>
    <w:p w14:paraId="109773C0">
      <w:pPr>
        <w:adjustRightInd w:val="0"/>
        <w:snapToGrid w:val="0"/>
        <w:spacing w:line="360" w:lineRule="auto"/>
        <w:ind w:firstLine="480" w:firstLineChars="200"/>
        <w:jc w:val="left"/>
        <w:rPr>
          <w:sz w:val="24"/>
        </w:rPr>
      </w:pPr>
    </w:p>
    <w:p w14:paraId="505E4600">
      <w:pPr>
        <w:adjustRightInd w:val="0"/>
        <w:snapToGrid w:val="0"/>
        <w:spacing w:line="360" w:lineRule="auto"/>
        <w:jc w:val="left"/>
        <w:rPr>
          <w:sz w:val="24"/>
        </w:rPr>
      </w:pPr>
    </w:p>
    <w:p w14:paraId="247CAAF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C686AF2">
      <w:pPr>
        <w:spacing w:line="360" w:lineRule="auto"/>
        <w:ind w:right="-57" w:firstLine="480"/>
        <w:jc w:val="right"/>
        <w:rPr>
          <w:color w:val="000000"/>
          <w:sz w:val="24"/>
        </w:rPr>
      </w:pPr>
      <w:r>
        <w:rPr>
          <w:color w:val="000000"/>
          <w:sz w:val="24"/>
          <w:szCs w:val="20"/>
        </w:rPr>
        <w:t>日期：_____年______月______日</w:t>
      </w:r>
    </w:p>
    <w:p w14:paraId="6DDA6424">
      <w:pPr>
        <w:adjustRightInd w:val="0"/>
        <w:snapToGrid w:val="0"/>
        <w:spacing w:line="360" w:lineRule="auto"/>
        <w:jc w:val="left"/>
        <w:rPr>
          <w:sz w:val="24"/>
        </w:rPr>
      </w:pPr>
      <w:r>
        <w:rPr>
          <w:sz w:val="24"/>
        </w:rPr>
        <w:t>注：</w:t>
      </w:r>
    </w:p>
    <w:p w14:paraId="59097C06">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02EC567">
      <w:pPr>
        <w:adjustRightInd w:val="0"/>
        <w:snapToGrid w:val="0"/>
        <w:spacing w:line="360" w:lineRule="auto"/>
        <w:jc w:val="left"/>
        <w:rPr>
          <w:color w:val="000000"/>
          <w:sz w:val="30"/>
          <w:szCs w:val="30"/>
        </w:rPr>
      </w:pPr>
    </w:p>
    <w:p w14:paraId="4290DE7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2AC5B21C">
      <w:pPr>
        <w:adjustRightInd w:val="0"/>
        <w:snapToGrid w:val="0"/>
        <w:spacing w:line="360" w:lineRule="auto"/>
        <w:ind w:firstLine="480" w:firstLineChars="200"/>
        <w:jc w:val="left"/>
        <w:rPr>
          <w:sz w:val="24"/>
        </w:rPr>
      </w:pPr>
      <w:r>
        <w:rPr>
          <w:sz w:val="24"/>
        </w:rPr>
        <w:t>甲方（投标人）：________</w:t>
      </w:r>
    </w:p>
    <w:p w14:paraId="42543015">
      <w:pPr>
        <w:adjustRightInd w:val="0"/>
        <w:snapToGrid w:val="0"/>
        <w:spacing w:line="360" w:lineRule="auto"/>
        <w:ind w:firstLine="480" w:firstLineChars="200"/>
        <w:jc w:val="left"/>
        <w:rPr>
          <w:sz w:val="24"/>
        </w:rPr>
      </w:pPr>
      <w:r>
        <w:rPr>
          <w:sz w:val="24"/>
        </w:rPr>
        <w:t>乙方（拟分包单位）：________</w:t>
      </w:r>
    </w:p>
    <w:p w14:paraId="30F77E5B">
      <w:pPr>
        <w:adjustRightInd w:val="0"/>
        <w:snapToGrid w:val="0"/>
        <w:spacing w:line="360" w:lineRule="auto"/>
        <w:ind w:firstLine="480" w:firstLineChars="200"/>
        <w:jc w:val="left"/>
        <w:rPr>
          <w:sz w:val="24"/>
        </w:rPr>
      </w:pPr>
      <w:r>
        <w:rPr>
          <w:sz w:val="24"/>
        </w:rPr>
        <w:t>甲方承诺，一旦在</w:t>
      </w:r>
      <w:r>
        <w:rPr>
          <w:rFonts w:hint="eastAsia"/>
          <w:sz w:val="24"/>
          <w:u w:val="single"/>
        </w:rPr>
        <w:t xml:space="preserve">       【</w:t>
      </w:r>
      <w:r>
        <w:rPr>
          <w:sz w:val="24"/>
          <w:u w:val="single"/>
        </w:rPr>
        <w:t>采购项目名称</w:t>
      </w:r>
      <w:r>
        <w:rPr>
          <w:rFonts w:hint="eastAsia"/>
          <w:sz w:val="24"/>
          <w:u w:val="single"/>
        </w:rPr>
        <w:t>】</w:t>
      </w:r>
      <w:r>
        <w:rPr>
          <w:sz w:val="24"/>
        </w:rPr>
        <w:t>（项目编号/包号为：_______）招标采购项目中获得采购合同，将按照下述约定将合同项下部分内容分包给乙方：</w:t>
      </w:r>
    </w:p>
    <w:p w14:paraId="1AF66622">
      <w:pPr>
        <w:adjustRightInd w:val="0"/>
        <w:snapToGrid w:val="0"/>
        <w:spacing w:line="360" w:lineRule="auto"/>
        <w:ind w:firstLine="480" w:firstLineChars="200"/>
        <w:jc w:val="left"/>
        <w:rPr>
          <w:sz w:val="24"/>
        </w:rPr>
      </w:pPr>
      <w:r>
        <w:rPr>
          <w:sz w:val="24"/>
        </w:rPr>
        <w:t>1.分包内容：_____。</w:t>
      </w:r>
    </w:p>
    <w:p w14:paraId="002247D5">
      <w:pPr>
        <w:adjustRightInd w:val="0"/>
        <w:snapToGrid w:val="0"/>
        <w:spacing w:line="360" w:lineRule="auto"/>
        <w:ind w:firstLine="480" w:firstLineChars="200"/>
        <w:jc w:val="left"/>
        <w:rPr>
          <w:sz w:val="24"/>
        </w:rPr>
      </w:pPr>
      <w:r>
        <w:rPr>
          <w:sz w:val="24"/>
        </w:rPr>
        <w:t>2.分包金额：_____，该金额占该采购包合同金额的比例为___%。</w:t>
      </w:r>
    </w:p>
    <w:p w14:paraId="52B5D9B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F37D62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E3A9A6A">
      <w:pPr>
        <w:spacing w:line="360" w:lineRule="auto"/>
        <w:ind w:firstLine="471"/>
        <w:rPr>
          <w:b/>
          <w:color w:val="000000"/>
          <w:sz w:val="24"/>
        </w:rPr>
      </w:pPr>
    </w:p>
    <w:p w14:paraId="31C10559">
      <w:pPr>
        <w:spacing w:line="360" w:lineRule="auto"/>
        <w:ind w:firstLine="471"/>
        <w:rPr>
          <w:b/>
          <w:color w:val="000000"/>
          <w:sz w:val="24"/>
        </w:rPr>
      </w:pPr>
      <w:r>
        <w:rPr>
          <w:color w:val="000000"/>
          <w:sz w:val="24"/>
        </w:rPr>
        <w:t>甲方（盖章）：_________                 乙方（盖章）：_________</w:t>
      </w:r>
    </w:p>
    <w:p w14:paraId="0FAA2005">
      <w:pPr>
        <w:spacing w:line="360" w:lineRule="auto"/>
        <w:ind w:left="480"/>
        <w:jc w:val="right"/>
        <w:rPr>
          <w:color w:val="000000"/>
          <w:sz w:val="24"/>
        </w:rPr>
      </w:pPr>
    </w:p>
    <w:p w14:paraId="6CE9A35D">
      <w:pPr>
        <w:wordWrap w:val="0"/>
        <w:spacing w:line="360" w:lineRule="auto"/>
        <w:ind w:left="480"/>
        <w:jc w:val="right"/>
        <w:rPr>
          <w:b/>
          <w:color w:val="000000"/>
          <w:sz w:val="24"/>
        </w:rPr>
      </w:pPr>
      <w:r>
        <w:rPr>
          <w:color w:val="000000"/>
          <w:sz w:val="24"/>
          <w:szCs w:val="20"/>
        </w:rPr>
        <w:t xml:space="preserve">日期：_____年______月______日   </w:t>
      </w:r>
    </w:p>
    <w:p w14:paraId="7BD6898F">
      <w:pPr>
        <w:tabs>
          <w:tab w:val="left" w:pos="8280"/>
        </w:tabs>
        <w:spacing w:line="360" w:lineRule="auto"/>
        <w:ind w:firstLine="480"/>
        <w:rPr>
          <w:color w:val="000000"/>
          <w:sz w:val="24"/>
        </w:rPr>
      </w:pPr>
    </w:p>
    <w:p w14:paraId="060C62A2">
      <w:pPr>
        <w:tabs>
          <w:tab w:val="left" w:pos="8280"/>
        </w:tabs>
        <w:spacing w:line="360" w:lineRule="auto"/>
        <w:rPr>
          <w:color w:val="000000"/>
          <w:sz w:val="24"/>
        </w:rPr>
      </w:pPr>
      <w:r>
        <w:rPr>
          <w:color w:val="000000"/>
          <w:sz w:val="24"/>
        </w:rPr>
        <w:t>注：</w:t>
      </w:r>
    </w:p>
    <w:p w14:paraId="77B06F86">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43493EB">
      <w:pPr>
        <w:widowControl/>
        <w:jc w:val="left"/>
        <w:rPr>
          <w:color w:val="000000"/>
          <w:sz w:val="24"/>
          <w:szCs w:val="20"/>
        </w:rPr>
      </w:pPr>
      <w:r>
        <w:rPr>
          <w:color w:val="000000"/>
          <w:sz w:val="24"/>
          <w:szCs w:val="20"/>
        </w:rPr>
        <w:br w:type="page"/>
      </w:r>
    </w:p>
    <w:p w14:paraId="75E94906">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C029E16">
      <w:pPr>
        <w:widowControl/>
        <w:jc w:val="left"/>
        <w:rPr>
          <w:sz w:val="24"/>
        </w:rPr>
      </w:pPr>
    </w:p>
    <w:p w14:paraId="07499836">
      <w:pPr>
        <w:widowControl/>
        <w:jc w:val="left"/>
        <w:rPr>
          <w:sz w:val="24"/>
        </w:rPr>
      </w:pPr>
      <w:r>
        <w:rPr>
          <w:sz w:val="24"/>
        </w:rPr>
        <w:br w:type="page"/>
      </w:r>
    </w:p>
    <w:p w14:paraId="3705F68C">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5C0D5774">
      <w:pPr>
        <w:spacing w:line="360" w:lineRule="auto"/>
        <w:outlineLvl w:val="2"/>
        <w:rPr>
          <w:color w:val="000000"/>
          <w:sz w:val="24"/>
          <w:szCs w:val="20"/>
        </w:rPr>
      </w:pPr>
      <w:r>
        <w:rPr>
          <w:color w:val="000000"/>
          <w:sz w:val="24"/>
          <w:szCs w:val="20"/>
        </w:rPr>
        <w:t>3-1 联合协议（如有）</w:t>
      </w:r>
    </w:p>
    <w:p w14:paraId="170C72F0">
      <w:pPr>
        <w:autoSpaceDE w:val="0"/>
        <w:autoSpaceDN w:val="0"/>
        <w:adjustRightInd w:val="0"/>
        <w:spacing w:line="360" w:lineRule="auto"/>
        <w:jc w:val="center"/>
        <w:rPr>
          <w:b/>
          <w:color w:val="000000"/>
          <w:sz w:val="36"/>
          <w:szCs w:val="36"/>
        </w:rPr>
      </w:pPr>
      <w:r>
        <w:rPr>
          <w:b/>
          <w:color w:val="000000"/>
          <w:sz w:val="36"/>
          <w:szCs w:val="36"/>
        </w:rPr>
        <w:t>联合协议</w:t>
      </w:r>
    </w:p>
    <w:p w14:paraId="1FC69A4B">
      <w:pPr>
        <w:spacing w:line="360" w:lineRule="auto"/>
        <w:ind w:firstLine="828" w:firstLineChars="345"/>
        <w:rPr>
          <w:bCs/>
          <w:color w:val="000000"/>
        </w:rPr>
      </w:pPr>
      <w:r>
        <w:rPr>
          <w:bCs/>
          <w:color w:val="000000"/>
          <w:sz w:val="24"/>
        </w:rPr>
        <w:t>______ 、 _____ 及 _____就“________</w:t>
      </w:r>
      <w:r>
        <w:rPr>
          <w:rFonts w:hint="eastAsia"/>
          <w:bCs/>
          <w:color w:val="000000"/>
          <w:sz w:val="24"/>
          <w:u w:val="single"/>
        </w:rPr>
        <w:t>【</w:t>
      </w:r>
      <w:r>
        <w:rPr>
          <w:bCs/>
          <w:color w:val="000000"/>
          <w:sz w:val="24"/>
          <w:u w:val="single"/>
        </w:rPr>
        <w:t>项目名称</w:t>
      </w:r>
      <w:r>
        <w:rPr>
          <w:rFonts w:hint="eastAsia"/>
          <w:bCs/>
          <w:color w:val="000000"/>
          <w:sz w:val="24"/>
          <w:u w:val="single"/>
        </w:rPr>
        <w:t>】</w:t>
      </w:r>
      <w:r>
        <w:rPr>
          <w:color w:val="000000"/>
          <w:sz w:val="24"/>
        </w:rPr>
        <w:t>”____包</w:t>
      </w:r>
      <w:r>
        <w:rPr>
          <w:bCs/>
          <w:color w:val="000000"/>
          <w:sz w:val="24"/>
        </w:rPr>
        <w:t>招标项目的投标事宜，经各方充分协商一致，达成如下协议：</w:t>
      </w:r>
    </w:p>
    <w:p w14:paraId="667FF8EB">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37A6D45A">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61149FFC">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79944CF">
      <w:pPr>
        <w:numPr>
          <w:ilvl w:val="0"/>
          <w:numId w:val="17"/>
        </w:numPr>
        <w:spacing w:line="360" w:lineRule="auto"/>
        <w:rPr>
          <w:bCs/>
          <w:color w:val="000000"/>
          <w:sz w:val="24"/>
        </w:rPr>
      </w:pPr>
      <w:r>
        <w:rPr>
          <w:bCs/>
          <w:color w:val="000000"/>
          <w:sz w:val="24"/>
        </w:rPr>
        <w:t>牵头人为项目的总负责单位；组织各参加方进行项目实施工作。</w:t>
      </w:r>
    </w:p>
    <w:p w14:paraId="706FADB0">
      <w:pPr>
        <w:numPr>
          <w:ilvl w:val="0"/>
          <w:numId w:val="17"/>
        </w:numPr>
        <w:spacing w:line="360" w:lineRule="auto"/>
        <w:rPr>
          <w:bCs/>
          <w:color w:val="000000"/>
          <w:sz w:val="24"/>
        </w:rPr>
      </w:pPr>
      <w:r>
        <w:rPr>
          <w:bCs/>
          <w:color w:val="000000"/>
          <w:sz w:val="24"/>
        </w:rPr>
        <w:t>______负责_____，具体工作范围、内容以投标文件及合同为准。</w:t>
      </w:r>
    </w:p>
    <w:p w14:paraId="463686A9">
      <w:pPr>
        <w:numPr>
          <w:ilvl w:val="0"/>
          <w:numId w:val="17"/>
        </w:numPr>
        <w:spacing w:line="360" w:lineRule="auto"/>
        <w:rPr>
          <w:bCs/>
          <w:color w:val="000000"/>
          <w:sz w:val="24"/>
        </w:rPr>
      </w:pPr>
      <w:r>
        <w:rPr>
          <w:bCs/>
          <w:color w:val="000000"/>
          <w:sz w:val="24"/>
        </w:rPr>
        <w:t>______负责_____，具体工作范围、内容以投标文件及合同为准。</w:t>
      </w:r>
    </w:p>
    <w:p w14:paraId="50C54BB0">
      <w:pPr>
        <w:numPr>
          <w:ilvl w:val="0"/>
          <w:numId w:val="17"/>
        </w:numPr>
        <w:spacing w:line="360" w:lineRule="auto"/>
        <w:rPr>
          <w:bCs/>
          <w:color w:val="000000"/>
          <w:sz w:val="24"/>
        </w:rPr>
      </w:pPr>
      <w:r>
        <w:rPr>
          <w:bCs/>
          <w:color w:val="000000"/>
          <w:sz w:val="24"/>
        </w:rPr>
        <w:t>______负责_____（如有），具体工作范围、内容以投标文件及合同为准。</w:t>
      </w:r>
    </w:p>
    <w:p w14:paraId="3FF7245E">
      <w:pPr>
        <w:numPr>
          <w:ilvl w:val="0"/>
          <w:numId w:val="17"/>
        </w:numPr>
        <w:spacing w:line="360" w:lineRule="auto"/>
        <w:rPr>
          <w:sz w:val="24"/>
        </w:rPr>
      </w:pPr>
      <w:r>
        <w:rPr>
          <w:sz w:val="24"/>
        </w:rPr>
        <w:t>本项目联合协议合同总额为________元，联合体各成员按照如下比例分摊（按联合体成员分别列明）：</w:t>
      </w:r>
    </w:p>
    <w:p w14:paraId="1CD6714F">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（1）</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47EF0878">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（2）</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4A4B45CC">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104C6796">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2B558F33">
      <w:pPr>
        <w:numPr>
          <w:ilvl w:val="0"/>
          <w:numId w:val="17"/>
        </w:numPr>
        <w:spacing w:line="360" w:lineRule="auto"/>
        <w:rPr>
          <w:bCs/>
          <w:color w:val="000000"/>
          <w:sz w:val="24"/>
        </w:rPr>
      </w:pPr>
      <w:r>
        <w:rPr>
          <w:bCs/>
          <w:color w:val="000000"/>
          <w:sz w:val="24"/>
        </w:rPr>
        <w:t>其他约定（如有）：_______。</w:t>
      </w:r>
    </w:p>
    <w:p w14:paraId="0C218D07">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3B3BE082">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474615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908DED3">
      <w:pPr>
        <w:spacing w:line="360" w:lineRule="auto"/>
        <w:ind w:firstLine="471"/>
        <w:rPr>
          <w:color w:val="000000"/>
          <w:sz w:val="24"/>
        </w:rPr>
      </w:pPr>
    </w:p>
    <w:p w14:paraId="1B8A2C9B">
      <w:pPr>
        <w:spacing w:line="360" w:lineRule="auto"/>
        <w:ind w:firstLine="471"/>
        <w:rPr>
          <w:color w:val="000000"/>
          <w:sz w:val="24"/>
        </w:rPr>
      </w:pPr>
    </w:p>
    <w:p w14:paraId="0E380C01">
      <w:pPr>
        <w:spacing w:line="360" w:lineRule="auto"/>
        <w:ind w:firstLine="471"/>
        <w:rPr>
          <w:color w:val="000000"/>
          <w:sz w:val="24"/>
        </w:rPr>
      </w:pPr>
      <w:r>
        <w:rPr>
          <w:color w:val="000000"/>
          <w:sz w:val="24"/>
        </w:rPr>
        <w:t>联合体成员名称：</w:t>
      </w:r>
      <w:r>
        <w:rPr>
          <w:color w:val="000000"/>
          <w:sz w:val="24"/>
          <w:szCs w:val="20"/>
        </w:rPr>
        <w:t>______</w:t>
      </w:r>
    </w:p>
    <w:p w14:paraId="49681EC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5E8E90F">
      <w:pPr>
        <w:spacing w:line="360" w:lineRule="auto"/>
        <w:ind w:firstLine="471"/>
        <w:rPr>
          <w:color w:val="000000"/>
          <w:sz w:val="24"/>
        </w:rPr>
      </w:pPr>
    </w:p>
    <w:p w14:paraId="0CFE4C88">
      <w:pPr>
        <w:spacing w:line="360" w:lineRule="auto"/>
        <w:ind w:firstLine="471"/>
        <w:rPr>
          <w:color w:val="000000"/>
          <w:sz w:val="24"/>
        </w:rPr>
      </w:pPr>
    </w:p>
    <w:p w14:paraId="61274362">
      <w:pPr>
        <w:spacing w:line="360" w:lineRule="auto"/>
        <w:ind w:left="480"/>
        <w:jc w:val="right"/>
        <w:rPr>
          <w:color w:val="000000"/>
          <w:sz w:val="24"/>
        </w:rPr>
      </w:pPr>
    </w:p>
    <w:p w14:paraId="1450673B">
      <w:pPr>
        <w:spacing w:line="360" w:lineRule="auto"/>
        <w:ind w:left="480"/>
        <w:jc w:val="right"/>
        <w:rPr>
          <w:color w:val="000000"/>
          <w:sz w:val="24"/>
        </w:rPr>
      </w:pPr>
      <w:r>
        <w:rPr>
          <w:color w:val="000000"/>
          <w:sz w:val="24"/>
          <w:szCs w:val="20"/>
        </w:rPr>
        <w:t>日期：_____年______月______日</w:t>
      </w:r>
    </w:p>
    <w:p w14:paraId="78B1A111">
      <w:pPr>
        <w:spacing w:line="360" w:lineRule="auto"/>
        <w:ind w:left="480"/>
        <w:jc w:val="right"/>
        <w:rPr>
          <w:b/>
          <w:color w:val="000000"/>
          <w:sz w:val="24"/>
        </w:rPr>
      </w:pPr>
    </w:p>
    <w:p w14:paraId="2BA4CC15">
      <w:pPr>
        <w:tabs>
          <w:tab w:val="left" w:pos="8280"/>
        </w:tabs>
        <w:spacing w:line="360" w:lineRule="auto"/>
        <w:ind w:firstLine="480"/>
        <w:rPr>
          <w:color w:val="000000"/>
          <w:sz w:val="24"/>
        </w:rPr>
      </w:pPr>
    </w:p>
    <w:p w14:paraId="42178D15">
      <w:pPr>
        <w:tabs>
          <w:tab w:val="left" w:pos="8280"/>
        </w:tabs>
        <w:spacing w:line="360" w:lineRule="auto"/>
        <w:ind w:firstLine="480"/>
        <w:rPr>
          <w:color w:val="000000"/>
          <w:sz w:val="24"/>
        </w:rPr>
      </w:pPr>
    </w:p>
    <w:p w14:paraId="59C19399">
      <w:pPr>
        <w:spacing w:line="360" w:lineRule="auto"/>
        <w:ind w:left="719" w:leftChars="228" w:hanging="240" w:hangingChars="100"/>
        <w:rPr>
          <w:color w:val="000000"/>
          <w:sz w:val="24"/>
        </w:rPr>
      </w:pPr>
      <w:r>
        <w:rPr>
          <w:color w:val="000000"/>
          <w:sz w:val="24"/>
        </w:rPr>
        <w:t>注：</w:t>
      </w:r>
    </w:p>
    <w:p w14:paraId="4131937B">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DF7AADC">
      <w:pPr>
        <w:spacing w:line="360" w:lineRule="auto"/>
        <w:ind w:left="719" w:leftChars="228" w:hanging="240" w:hangingChars="100"/>
        <w:rPr>
          <w:sz w:val="24"/>
        </w:rPr>
      </w:pPr>
      <w:r>
        <w:rPr>
          <w:color w:val="000000"/>
          <w:sz w:val="24"/>
        </w:rPr>
        <w:t>2. 联合体各方成员须在本协议上共同盖章。</w:t>
      </w:r>
    </w:p>
    <w:p w14:paraId="4C686CDB">
      <w:pPr>
        <w:spacing w:line="360" w:lineRule="auto"/>
        <w:ind w:left="719" w:leftChars="228" w:hanging="240" w:hangingChars="100"/>
        <w:rPr>
          <w:sz w:val="24"/>
        </w:rPr>
      </w:pPr>
      <w:r>
        <w:rPr>
          <w:sz w:val="24"/>
        </w:rPr>
        <w:br w:type="page"/>
      </w:r>
    </w:p>
    <w:p w14:paraId="00C64CC8">
      <w:pPr>
        <w:spacing w:line="360" w:lineRule="auto"/>
        <w:outlineLvl w:val="2"/>
        <w:rPr>
          <w:sz w:val="24"/>
          <w:szCs w:val="20"/>
        </w:rPr>
      </w:pPr>
      <w:r>
        <w:rPr>
          <w:color w:val="000000"/>
          <w:sz w:val="24"/>
          <w:szCs w:val="20"/>
        </w:rPr>
        <w:t>3-2 其他</w:t>
      </w:r>
      <w:r>
        <w:rPr>
          <w:sz w:val="24"/>
          <w:szCs w:val="20"/>
        </w:rPr>
        <w:t>特定资格要求</w:t>
      </w:r>
    </w:p>
    <w:p w14:paraId="269CE4E8">
      <w:pPr>
        <w:widowControl/>
        <w:jc w:val="left"/>
        <w:rPr>
          <w:sz w:val="24"/>
          <w:szCs w:val="20"/>
        </w:rPr>
      </w:pPr>
      <w:r>
        <w:rPr>
          <w:sz w:val="24"/>
          <w:szCs w:val="20"/>
        </w:rPr>
        <w:br w:type="page"/>
      </w:r>
    </w:p>
    <w:p w14:paraId="3B6982CB">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73B1C54F">
      <w:pPr>
        <w:spacing w:line="360" w:lineRule="auto"/>
        <w:rPr>
          <w:sz w:val="24"/>
          <w:szCs w:val="20"/>
        </w:rPr>
      </w:pPr>
    </w:p>
    <w:p w14:paraId="70C7DEF8">
      <w:pPr>
        <w:spacing w:line="360" w:lineRule="auto"/>
        <w:rPr>
          <w:sz w:val="24"/>
          <w:szCs w:val="20"/>
        </w:rPr>
      </w:pPr>
    </w:p>
    <w:p w14:paraId="763BC5BF">
      <w:pPr>
        <w:widowControl/>
        <w:jc w:val="left"/>
        <w:rPr>
          <w:kern w:val="0"/>
          <w:sz w:val="24"/>
          <w:szCs w:val="20"/>
        </w:rPr>
      </w:pPr>
      <w:r>
        <w:rPr>
          <w:sz w:val="24"/>
          <w:szCs w:val="20"/>
        </w:rPr>
        <w:br w:type="page"/>
      </w:r>
    </w:p>
    <w:p w14:paraId="6F50304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594E70C5">
      <w:pPr>
        <w:rPr>
          <w:b/>
          <w:sz w:val="24"/>
        </w:rPr>
      </w:pPr>
      <w:r>
        <w:rPr>
          <w:b/>
          <w:spacing w:val="20"/>
          <w:sz w:val="24"/>
        </w:rPr>
        <w:t>投标文件（商务技术文件）</w:t>
      </w:r>
      <w:r>
        <w:rPr>
          <w:b/>
          <w:sz w:val="24"/>
        </w:rPr>
        <w:t>封面（非实质性格式）</w:t>
      </w:r>
    </w:p>
    <w:p w14:paraId="07ECE9AE">
      <w:pPr>
        <w:jc w:val="center"/>
        <w:rPr>
          <w:szCs w:val="21"/>
        </w:rPr>
      </w:pPr>
    </w:p>
    <w:p w14:paraId="26D479AD">
      <w:pPr>
        <w:jc w:val="center"/>
        <w:rPr>
          <w:b/>
          <w:spacing w:val="60"/>
          <w:sz w:val="84"/>
          <w:szCs w:val="84"/>
        </w:rPr>
      </w:pPr>
      <w:r>
        <w:rPr>
          <w:b/>
          <w:spacing w:val="60"/>
          <w:sz w:val="84"/>
          <w:szCs w:val="84"/>
        </w:rPr>
        <w:t>投 标 文 件</w:t>
      </w:r>
    </w:p>
    <w:p w14:paraId="527E30AE">
      <w:pPr>
        <w:jc w:val="center"/>
        <w:rPr>
          <w:b/>
          <w:spacing w:val="60"/>
          <w:sz w:val="52"/>
          <w:szCs w:val="52"/>
        </w:rPr>
      </w:pPr>
      <w:r>
        <w:rPr>
          <w:b/>
          <w:spacing w:val="60"/>
          <w:sz w:val="52"/>
          <w:szCs w:val="52"/>
        </w:rPr>
        <w:t>（商务技术文件）</w:t>
      </w:r>
    </w:p>
    <w:p w14:paraId="52AC4BD3">
      <w:pPr>
        <w:ind w:firstLine="542" w:firstLineChars="150"/>
        <w:rPr>
          <w:b/>
          <w:spacing w:val="20"/>
          <w:sz w:val="32"/>
          <w:szCs w:val="32"/>
        </w:rPr>
      </w:pPr>
    </w:p>
    <w:p w14:paraId="240DC570">
      <w:pPr>
        <w:ind w:firstLine="542" w:firstLineChars="150"/>
        <w:rPr>
          <w:b/>
          <w:spacing w:val="20"/>
          <w:sz w:val="32"/>
          <w:szCs w:val="32"/>
        </w:rPr>
      </w:pPr>
    </w:p>
    <w:p w14:paraId="3EAC2AB1">
      <w:pPr>
        <w:ind w:firstLine="542" w:firstLineChars="150"/>
        <w:rPr>
          <w:b/>
          <w:spacing w:val="20"/>
          <w:sz w:val="32"/>
          <w:szCs w:val="32"/>
        </w:rPr>
      </w:pPr>
      <w:r>
        <w:rPr>
          <w:b/>
          <w:spacing w:val="20"/>
          <w:sz w:val="32"/>
          <w:szCs w:val="32"/>
        </w:rPr>
        <w:t>项目名称:</w:t>
      </w:r>
    </w:p>
    <w:p w14:paraId="5D1D7E37">
      <w:pPr>
        <w:ind w:firstLine="542" w:firstLineChars="150"/>
        <w:rPr>
          <w:b/>
          <w:spacing w:val="20"/>
          <w:sz w:val="32"/>
          <w:szCs w:val="32"/>
        </w:rPr>
      </w:pPr>
      <w:r>
        <w:rPr>
          <w:b/>
          <w:spacing w:val="20"/>
          <w:sz w:val="32"/>
          <w:szCs w:val="32"/>
        </w:rPr>
        <w:t>项目编号/包号：</w:t>
      </w:r>
    </w:p>
    <w:p w14:paraId="36A05A33">
      <w:pPr>
        <w:ind w:firstLine="542" w:firstLineChars="150"/>
        <w:rPr>
          <w:b/>
          <w:spacing w:val="20"/>
          <w:sz w:val="32"/>
          <w:szCs w:val="32"/>
        </w:rPr>
      </w:pPr>
    </w:p>
    <w:p w14:paraId="0C517F65">
      <w:pPr>
        <w:ind w:firstLine="542" w:firstLineChars="150"/>
        <w:rPr>
          <w:b/>
          <w:spacing w:val="20"/>
          <w:sz w:val="32"/>
          <w:szCs w:val="32"/>
        </w:rPr>
      </w:pPr>
    </w:p>
    <w:p w14:paraId="54683843">
      <w:pPr>
        <w:jc w:val="center"/>
        <w:rPr>
          <w:b/>
          <w:sz w:val="32"/>
          <w:szCs w:val="32"/>
        </w:rPr>
      </w:pPr>
    </w:p>
    <w:p w14:paraId="266CECFD">
      <w:pPr>
        <w:jc w:val="center"/>
        <w:rPr>
          <w:b/>
          <w:sz w:val="32"/>
          <w:szCs w:val="32"/>
        </w:rPr>
      </w:pPr>
    </w:p>
    <w:p w14:paraId="6D3F1430">
      <w:pPr>
        <w:jc w:val="center"/>
        <w:rPr>
          <w:b/>
          <w:sz w:val="32"/>
          <w:szCs w:val="32"/>
        </w:rPr>
      </w:pPr>
    </w:p>
    <w:p w14:paraId="5B87A5FF">
      <w:pPr>
        <w:jc w:val="center"/>
        <w:rPr>
          <w:b/>
          <w:spacing w:val="20"/>
          <w:sz w:val="32"/>
          <w:szCs w:val="32"/>
        </w:rPr>
      </w:pPr>
    </w:p>
    <w:p w14:paraId="400431A2">
      <w:pPr>
        <w:jc w:val="center"/>
        <w:rPr>
          <w:b/>
          <w:spacing w:val="20"/>
          <w:sz w:val="32"/>
          <w:szCs w:val="32"/>
        </w:rPr>
      </w:pPr>
    </w:p>
    <w:p w14:paraId="1DECB6CE">
      <w:pPr>
        <w:jc w:val="center"/>
        <w:rPr>
          <w:b/>
          <w:spacing w:val="20"/>
          <w:sz w:val="32"/>
          <w:szCs w:val="32"/>
        </w:rPr>
      </w:pPr>
    </w:p>
    <w:p w14:paraId="55FD74E5">
      <w:pPr>
        <w:spacing w:line="360" w:lineRule="auto"/>
        <w:ind w:firstLine="1445" w:firstLineChars="400"/>
        <w:jc w:val="left"/>
        <w:rPr>
          <w:b/>
          <w:spacing w:val="20"/>
          <w:sz w:val="32"/>
          <w:szCs w:val="32"/>
        </w:rPr>
      </w:pPr>
      <w:r>
        <w:rPr>
          <w:b/>
          <w:spacing w:val="20"/>
          <w:sz w:val="32"/>
          <w:szCs w:val="32"/>
        </w:rPr>
        <w:t>投标人名称：</w:t>
      </w:r>
    </w:p>
    <w:p w14:paraId="1109E5C7">
      <w:pPr>
        <w:jc w:val="center"/>
        <w:rPr>
          <w:b/>
          <w:sz w:val="32"/>
          <w:szCs w:val="32"/>
        </w:rPr>
      </w:pPr>
    </w:p>
    <w:p w14:paraId="1D4B23A5">
      <w:pPr>
        <w:widowControl/>
        <w:jc w:val="left"/>
        <w:rPr>
          <w:b/>
          <w:sz w:val="24"/>
        </w:rPr>
      </w:pPr>
      <w:r>
        <w:rPr>
          <w:b/>
          <w:sz w:val="24"/>
        </w:rPr>
        <w:br w:type="page"/>
      </w:r>
    </w:p>
    <w:p w14:paraId="2852430A">
      <w:pPr>
        <w:spacing w:line="360" w:lineRule="auto"/>
        <w:ind w:left="964" w:hanging="964"/>
        <w:jc w:val="center"/>
        <w:rPr>
          <w:rFonts w:hint="eastAsia" w:hAnsi="宋体"/>
          <w:b/>
          <w:color w:val="000000"/>
          <w:sz w:val="32"/>
          <w:szCs w:val="32"/>
        </w:rPr>
      </w:pPr>
      <w:r>
        <w:rPr>
          <w:rFonts w:hint="eastAsia" w:hAnsi="宋体"/>
          <w:b/>
          <w:color w:val="000000"/>
          <w:sz w:val="32"/>
          <w:szCs w:val="32"/>
        </w:rPr>
        <w:t>评分索引表（非实质性格式）</w:t>
      </w:r>
    </w:p>
    <w:tbl>
      <w:tblPr>
        <w:tblStyle w:val="4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3827"/>
        <w:gridCol w:w="1701"/>
        <w:gridCol w:w="1843"/>
      </w:tblGrid>
      <w:tr w14:paraId="2982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75" w:type="dxa"/>
            <w:vAlign w:val="center"/>
          </w:tcPr>
          <w:p w14:paraId="1735BB68">
            <w:pPr>
              <w:widowControl/>
              <w:jc w:val="center"/>
              <w:rPr>
                <w:rFonts w:hint="eastAsia" w:ascii="宋体" w:hAnsi="宋体" w:cs="宋体"/>
                <w:b/>
                <w:bCs/>
                <w:kern w:val="0"/>
              </w:rPr>
            </w:pPr>
            <w:r>
              <w:rPr>
                <w:rFonts w:hint="eastAsia" w:ascii="宋体" w:hAnsi="宋体" w:cs="宋体"/>
                <w:b/>
                <w:bCs/>
                <w:kern w:val="0"/>
              </w:rPr>
              <w:t>序号</w:t>
            </w:r>
          </w:p>
        </w:tc>
        <w:tc>
          <w:tcPr>
            <w:tcW w:w="1305" w:type="dxa"/>
            <w:vAlign w:val="center"/>
          </w:tcPr>
          <w:p w14:paraId="232DB517">
            <w:pPr>
              <w:widowControl/>
              <w:jc w:val="center"/>
              <w:rPr>
                <w:rFonts w:hint="eastAsia" w:ascii="宋体" w:hAnsi="宋体" w:cs="宋体"/>
                <w:b/>
                <w:bCs/>
                <w:kern w:val="0"/>
              </w:rPr>
            </w:pPr>
            <w:r>
              <w:rPr>
                <w:rFonts w:hint="eastAsia" w:ascii="宋体" w:hAnsi="宋体" w:cs="宋体"/>
                <w:b/>
                <w:bCs/>
                <w:kern w:val="0"/>
              </w:rPr>
              <w:t>评审内容</w:t>
            </w:r>
          </w:p>
        </w:tc>
        <w:tc>
          <w:tcPr>
            <w:tcW w:w="3827" w:type="dxa"/>
            <w:vAlign w:val="center"/>
          </w:tcPr>
          <w:p w14:paraId="548BA265">
            <w:pPr>
              <w:widowControl/>
              <w:jc w:val="center"/>
              <w:rPr>
                <w:rFonts w:hint="eastAsia" w:ascii="宋体" w:hAnsi="宋体" w:cs="宋体"/>
                <w:b/>
                <w:bCs/>
                <w:kern w:val="0"/>
              </w:rPr>
            </w:pPr>
            <w:r>
              <w:rPr>
                <w:rFonts w:hint="eastAsia" w:ascii="宋体" w:hAnsi="宋体" w:cs="宋体"/>
                <w:b/>
                <w:bCs/>
                <w:kern w:val="0"/>
              </w:rPr>
              <w:t>评分标准</w:t>
            </w:r>
          </w:p>
        </w:tc>
        <w:tc>
          <w:tcPr>
            <w:tcW w:w="1701" w:type="dxa"/>
            <w:vAlign w:val="center"/>
          </w:tcPr>
          <w:p w14:paraId="5A6E0BB7">
            <w:pPr>
              <w:jc w:val="center"/>
              <w:rPr>
                <w:rFonts w:hint="eastAsia" w:ascii="宋体" w:hAnsi="宋体" w:cs="宋体"/>
                <w:b/>
                <w:bCs/>
                <w:kern w:val="0"/>
              </w:rPr>
            </w:pPr>
            <w:r>
              <w:rPr>
                <w:rFonts w:hint="eastAsia" w:ascii="宋体" w:hAnsi="宋体" w:cs="宋体"/>
                <w:b/>
                <w:bCs/>
                <w:kern w:val="0"/>
              </w:rPr>
              <w:t>投标响应情况简述</w:t>
            </w:r>
          </w:p>
        </w:tc>
        <w:tc>
          <w:tcPr>
            <w:tcW w:w="1843" w:type="dxa"/>
            <w:vAlign w:val="center"/>
          </w:tcPr>
          <w:p w14:paraId="425491E0">
            <w:pPr>
              <w:jc w:val="center"/>
              <w:rPr>
                <w:rFonts w:hint="eastAsia" w:ascii="宋体" w:hAnsi="宋体" w:cs="宋体"/>
                <w:b/>
                <w:bCs/>
                <w:kern w:val="0"/>
              </w:rPr>
            </w:pPr>
            <w:r>
              <w:rPr>
                <w:rFonts w:hint="eastAsia" w:ascii="宋体" w:hAnsi="宋体" w:cs="宋体"/>
                <w:b/>
                <w:bCs/>
                <w:kern w:val="0"/>
              </w:rPr>
              <w:t>投标文件对应章节及页码索引</w:t>
            </w:r>
          </w:p>
        </w:tc>
      </w:tr>
      <w:tr w14:paraId="4E22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75" w:type="dxa"/>
            <w:vAlign w:val="center"/>
          </w:tcPr>
          <w:p w14:paraId="320376F5">
            <w:pPr>
              <w:widowControl/>
              <w:jc w:val="center"/>
              <w:rPr>
                <w:rFonts w:hint="eastAsia" w:ascii="宋体" w:hAnsi="宋体" w:cs="宋体"/>
                <w:kern w:val="0"/>
                <w:sz w:val="20"/>
              </w:rPr>
            </w:pPr>
            <w:r>
              <w:rPr>
                <w:rFonts w:hint="eastAsia" w:ascii="宋体" w:hAnsi="宋体" w:cs="宋体"/>
                <w:kern w:val="0"/>
                <w:sz w:val="20"/>
              </w:rPr>
              <w:t>1</w:t>
            </w:r>
          </w:p>
        </w:tc>
        <w:tc>
          <w:tcPr>
            <w:tcW w:w="1305" w:type="dxa"/>
            <w:vAlign w:val="center"/>
          </w:tcPr>
          <w:p w14:paraId="4CA103A8">
            <w:pPr>
              <w:widowControl/>
              <w:jc w:val="center"/>
              <w:rPr>
                <w:rFonts w:hint="eastAsia" w:ascii="宋体" w:hAnsi="宋体" w:cs="宋体"/>
                <w:kern w:val="0"/>
                <w:sz w:val="20"/>
              </w:rPr>
            </w:pPr>
          </w:p>
        </w:tc>
        <w:tc>
          <w:tcPr>
            <w:tcW w:w="3827" w:type="dxa"/>
            <w:vAlign w:val="center"/>
          </w:tcPr>
          <w:p w14:paraId="143803B1">
            <w:pPr>
              <w:widowControl/>
              <w:jc w:val="center"/>
              <w:rPr>
                <w:rFonts w:hint="eastAsia" w:ascii="宋体" w:hAnsi="宋体" w:cs="宋体"/>
                <w:kern w:val="0"/>
                <w:sz w:val="20"/>
              </w:rPr>
            </w:pPr>
          </w:p>
        </w:tc>
        <w:tc>
          <w:tcPr>
            <w:tcW w:w="1701" w:type="dxa"/>
            <w:vAlign w:val="center"/>
          </w:tcPr>
          <w:p w14:paraId="5E9C5169">
            <w:pPr>
              <w:widowControl/>
              <w:jc w:val="center"/>
              <w:rPr>
                <w:rFonts w:hint="eastAsia" w:ascii="宋体" w:hAnsi="宋体" w:cs="宋体"/>
                <w:kern w:val="0"/>
                <w:sz w:val="20"/>
              </w:rPr>
            </w:pPr>
          </w:p>
        </w:tc>
        <w:tc>
          <w:tcPr>
            <w:tcW w:w="1843" w:type="dxa"/>
            <w:vAlign w:val="center"/>
          </w:tcPr>
          <w:p w14:paraId="636ED593">
            <w:pPr>
              <w:widowControl/>
              <w:jc w:val="center"/>
              <w:rPr>
                <w:rFonts w:hint="eastAsia" w:ascii="宋体" w:hAnsi="宋体" w:cs="宋体"/>
                <w:kern w:val="0"/>
                <w:sz w:val="20"/>
              </w:rPr>
            </w:pPr>
          </w:p>
        </w:tc>
      </w:tr>
      <w:tr w14:paraId="2E16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526900D2">
            <w:pPr>
              <w:widowControl/>
              <w:jc w:val="center"/>
              <w:rPr>
                <w:rFonts w:hint="eastAsia" w:ascii="宋体" w:hAnsi="宋体" w:cs="宋体"/>
                <w:kern w:val="0"/>
                <w:sz w:val="20"/>
              </w:rPr>
            </w:pPr>
            <w:r>
              <w:rPr>
                <w:rFonts w:hint="eastAsia" w:ascii="宋体" w:hAnsi="宋体" w:cs="宋体"/>
                <w:kern w:val="0"/>
                <w:sz w:val="20"/>
              </w:rPr>
              <w:t>2</w:t>
            </w:r>
          </w:p>
        </w:tc>
        <w:tc>
          <w:tcPr>
            <w:tcW w:w="1305" w:type="dxa"/>
            <w:vAlign w:val="center"/>
          </w:tcPr>
          <w:p w14:paraId="6EAA1883">
            <w:pPr>
              <w:widowControl/>
              <w:jc w:val="center"/>
              <w:rPr>
                <w:rFonts w:hint="eastAsia" w:ascii="宋体" w:hAnsi="宋体" w:cs="宋体"/>
                <w:kern w:val="0"/>
                <w:sz w:val="20"/>
              </w:rPr>
            </w:pPr>
          </w:p>
        </w:tc>
        <w:tc>
          <w:tcPr>
            <w:tcW w:w="3827" w:type="dxa"/>
            <w:vAlign w:val="center"/>
          </w:tcPr>
          <w:p w14:paraId="39110AA6">
            <w:pPr>
              <w:widowControl/>
              <w:jc w:val="center"/>
              <w:rPr>
                <w:rFonts w:hint="eastAsia" w:ascii="宋体" w:hAnsi="宋体" w:cs="宋体"/>
                <w:kern w:val="0"/>
                <w:sz w:val="20"/>
              </w:rPr>
            </w:pPr>
          </w:p>
        </w:tc>
        <w:tc>
          <w:tcPr>
            <w:tcW w:w="1701" w:type="dxa"/>
            <w:vAlign w:val="center"/>
          </w:tcPr>
          <w:p w14:paraId="3538CA41">
            <w:pPr>
              <w:widowControl/>
              <w:jc w:val="center"/>
              <w:rPr>
                <w:rFonts w:hint="eastAsia" w:ascii="宋体" w:hAnsi="宋体" w:cs="宋体"/>
                <w:kern w:val="0"/>
                <w:sz w:val="20"/>
              </w:rPr>
            </w:pPr>
          </w:p>
        </w:tc>
        <w:tc>
          <w:tcPr>
            <w:tcW w:w="1843" w:type="dxa"/>
            <w:vAlign w:val="center"/>
          </w:tcPr>
          <w:p w14:paraId="3106D82E">
            <w:pPr>
              <w:widowControl/>
              <w:jc w:val="center"/>
              <w:rPr>
                <w:rFonts w:hint="eastAsia" w:ascii="宋体" w:hAnsi="宋体" w:cs="宋体"/>
                <w:kern w:val="0"/>
                <w:sz w:val="20"/>
              </w:rPr>
            </w:pPr>
          </w:p>
        </w:tc>
      </w:tr>
      <w:tr w14:paraId="4462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0D419D41">
            <w:pPr>
              <w:widowControl/>
              <w:jc w:val="center"/>
              <w:rPr>
                <w:rFonts w:hint="eastAsia" w:ascii="宋体" w:hAnsi="宋体" w:cs="宋体"/>
                <w:kern w:val="0"/>
                <w:sz w:val="20"/>
              </w:rPr>
            </w:pPr>
            <w:r>
              <w:rPr>
                <w:rFonts w:hint="eastAsia" w:ascii="宋体" w:hAnsi="宋体" w:cs="宋体"/>
                <w:kern w:val="0"/>
                <w:sz w:val="20"/>
              </w:rPr>
              <w:t>3</w:t>
            </w:r>
          </w:p>
        </w:tc>
        <w:tc>
          <w:tcPr>
            <w:tcW w:w="1305" w:type="dxa"/>
            <w:vAlign w:val="center"/>
          </w:tcPr>
          <w:p w14:paraId="2DC25B1C">
            <w:pPr>
              <w:widowControl/>
              <w:jc w:val="center"/>
              <w:rPr>
                <w:rFonts w:hint="eastAsia" w:ascii="宋体" w:hAnsi="宋体" w:cs="宋体"/>
                <w:kern w:val="0"/>
                <w:sz w:val="20"/>
              </w:rPr>
            </w:pPr>
          </w:p>
        </w:tc>
        <w:tc>
          <w:tcPr>
            <w:tcW w:w="3827" w:type="dxa"/>
            <w:vAlign w:val="center"/>
          </w:tcPr>
          <w:p w14:paraId="1825A452">
            <w:pPr>
              <w:widowControl/>
              <w:jc w:val="center"/>
              <w:rPr>
                <w:rFonts w:hint="eastAsia" w:ascii="宋体" w:hAnsi="宋体" w:cs="宋体"/>
                <w:kern w:val="0"/>
                <w:sz w:val="20"/>
              </w:rPr>
            </w:pPr>
          </w:p>
        </w:tc>
        <w:tc>
          <w:tcPr>
            <w:tcW w:w="1701" w:type="dxa"/>
            <w:vAlign w:val="center"/>
          </w:tcPr>
          <w:p w14:paraId="671BAB8D">
            <w:pPr>
              <w:widowControl/>
              <w:jc w:val="center"/>
              <w:rPr>
                <w:rFonts w:hint="eastAsia" w:ascii="宋体" w:hAnsi="宋体" w:cs="宋体"/>
                <w:kern w:val="0"/>
                <w:sz w:val="20"/>
              </w:rPr>
            </w:pPr>
          </w:p>
        </w:tc>
        <w:tc>
          <w:tcPr>
            <w:tcW w:w="1843" w:type="dxa"/>
            <w:vAlign w:val="center"/>
          </w:tcPr>
          <w:p w14:paraId="2A6B7E3D">
            <w:pPr>
              <w:widowControl/>
              <w:jc w:val="center"/>
              <w:rPr>
                <w:rFonts w:hint="eastAsia" w:ascii="宋体" w:hAnsi="宋体" w:cs="宋体"/>
                <w:kern w:val="0"/>
                <w:sz w:val="20"/>
              </w:rPr>
            </w:pPr>
          </w:p>
        </w:tc>
      </w:tr>
      <w:tr w14:paraId="50FE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2BE2FB25">
            <w:pPr>
              <w:widowControl/>
              <w:jc w:val="center"/>
              <w:rPr>
                <w:rFonts w:hint="eastAsia" w:ascii="宋体" w:hAnsi="宋体" w:cs="宋体"/>
                <w:kern w:val="0"/>
                <w:sz w:val="20"/>
              </w:rPr>
            </w:pPr>
            <w:r>
              <w:rPr>
                <w:rFonts w:hint="eastAsia" w:ascii="宋体" w:hAnsi="宋体" w:cs="宋体"/>
                <w:kern w:val="0"/>
                <w:sz w:val="20"/>
              </w:rPr>
              <w:t>4</w:t>
            </w:r>
          </w:p>
        </w:tc>
        <w:tc>
          <w:tcPr>
            <w:tcW w:w="1305" w:type="dxa"/>
            <w:vAlign w:val="center"/>
          </w:tcPr>
          <w:p w14:paraId="2EADA323">
            <w:pPr>
              <w:widowControl/>
              <w:jc w:val="center"/>
              <w:rPr>
                <w:rFonts w:hint="eastAsia" w:ascii="宋体" w:hAnsi="宋体" w:cs="宋体"/>
                <w:kern w:val="0"/>
                <w:sz w:val="20"/>
              </w:rPr>
            </w:pPr>
          </w:p>
        </w:tc>
        <w:tc>
          <w:tcPr>
            <w:tcW w:w="3827" w:type="dxa"/>
            <w:vAlign w:val="center"/>
          </w:tcPr>
          <w:p w14:paraId="18183B34">
            <w:pPr>
              <w:widowControl/>
              <w:jc w:val="center"/>
              <w:rPr>
                <w:rFonts w:hint="eastAsia" w:ascii="宋体" w:hAnsi="宋体" w:cs="宋体"/>
                <w:kern w:val="0"/>
                <w:sz w:val="20"/>
              </w:rPr>
            </w:pPr>
          </w:p>
        </w:tc>
        <w:tc>
          <w:tcPr>
            <w:tcW w:w="1701" w:type="dxa"/>
            <w:vAlign w:val="center"/>
          </w:tcPr>
          <w:p w14:paraId="09D7C636">
            <w:pPr>
              <w:widowControl/>
              <w:jc w:val="center"/>
              <w:rPr>
                <w:rFonts w:hint="eastAsia" w:ascii="宋体" w:hAnsi="宋体" w:cs="宋体"/>
                <w:kern w:val="0"/>
                <w:sz w:val="20"/>
              </w:rPr>
            </w:pPr>
          </w:p>
        </w:tc>
        <w:tc>
          <w:tcPr>
            <w:tcW w:w="1843" w:type="dxa"/>
            <w:vAlign w:val="center"/>
          </w:tcPr>
          <w:p w14:paraId="6BA57C98">
            <w:pPr>
              <w:widowControl/>
              <w:jc w:val="center"/>
              <w:rPr>
                <w:rFonts w:hint="eastAsia" w:ascii="宋体" w:hAnsi="宋体" w:cs="宋体"/>
                <w:kern w:val="0"/>
                <w:sz w:val="20"/>
              </w:rPr>
            </w:pPr>
          </w:p>
        </w:tc>
      </w:tr>
      <w:tr w14:paraId="5D63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75" w:type="dxa"/>
            <w:vAlign w:val="center"/>
          </w:tcPr>
          <w:p w14:paraId="38125059">
            <w:pPr>
              <w:widowControl/>
              <w:jc w:val="center"/>
              <w:rPr>
                <w:rFonts w:hint="eastAsia" w:ascii="宋体" w:hAnsi="宋体" w:cs="宋体"/>
                <w:kern w:val="0"/>
                <w:sz w:val="20"/>
              </w:rPr>
            </w:pPr>
            <w:r>
              <w:rPr>
                <w:rFonts w:hint="eastAsia" w:ascii="宋体" w:hAnsi="宋体" w:cs="宋体"/>
                <w:kern w:val="0"/>
                <w:sz w:val="20"/>
              </w:rPr>
              <w:t>5</w:t>
            </w:r>
          </w:p>
        </w:tc>
        <w:tc>
          <w:tcPr>
            <w:tcW w:w="1305" w:type="dxa"/>
            <w:vAlign w:val="center"/>
          </w:tcPr>
          <w:p w14:paraId="33663610">
            <w:pPr>
              <w:widowControl/>
              <w:jc w:val="center"/>
              <w:rPr>
                <w:rFonts w:hint="eastAsia" w:ascii="宋体" w:hAnsi="宋体" w:cs="宋体"/>
                <w:kern w:val="0"/>
                <w:sz w:val="20"/>
              </w:rPr>
            </w:pPr>
          </w:p>
        </w:tc>
        <w:tc>
          <w:tcPr>
            <w:tcW w:w="3827" w:type="dxa"/>
            <w:vAlign w:val="center"/>
          </w:tcPr>
          <w:p w14:paraId="05A3AD70">
            <w:pPr>
              <w:widowControl/>
              <w:jc w:val="center"/>
              <w:rPr>
                <w:rFonts w:hint="eastAsia" w:ascii="宋体" w:hAnsi="宋体" w:cs="宋体"/>
                <w:kern w:val="0"/>
                <w:sz w:val="20"/>
              </w:rPr>
            </w:pPr>
          </w:p>
        </w:tc>
        <w:tc>
          <w:tcPr>
            <w:tcW w:w="1701" w:type="dxa"/>
            <w:vAlign w:val="center"/>
          </w:tcPr>
          <w:p w14:paraId="112EE473">
            <w:pPr>
              <w:widowControl/>
              <w:jc w:val="center"/>
              <w:rPr>
                <w:rFonts w:hint="eastAsia" w:ascii="宋体" w:hAnsi="宋体" w:cs="宋体"/>
                <w:kern w:val="0"/>
                <w:sz w:val="20"/>
              </w:rPr>
            </w:pPr>
          </w:p>
        </w:tc>
        <w:tc>
          <w:tcPr>
            <w:tcW w:w="1843" w:type="dxa"/>
            <w:vAlign w:val="center"/>
          </w:tcPr>
          <w:p w14:paraId="4FD6BA8E">
            <w:pPr>
              <w:widowControl/>
              <w:jc w:val="center"/>
              <w:rPr>
                <w:rFonts w:hint="eastAsia" w:ascii="宋体" w:hAnsi="宋体" w:cs="宋体"/>
                <w:kern w:val="0"/>
                <w:sz w:val="20"/>
              </w:rPr>
            </w:pPr>
          </w:p>
        </w:tc>
      </w:tr>
      <w:tr w14:paraId="3412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2D42656C">
            <w:pPr>
              <w:widowControl/>
              <w:jc w:val="center"/>
              <w:rPr>
                <w:rFonts w:hint="eastAsia" w:ascii="宋体" w:hAnsi="宋体" w:cs="宋体"/>
                <w:kern w:val="0"/>
                <w:sz w:val="20"/>
              </w:rPr>
            </w:pPr>
            <w:r>
              <w:rPr>
                <w:rFonts w:hint="eastAsia" w:ascii="宋体" w:hAnsi="宋体" w:cs="宋体"/>
                <w:kern w:val="0"/>
                <w:sz w:val="20"/>
              </w:rPr>
              <w:t>6</w:t>
            </w:r>
          </w:p>
        </w:tc>
        <w:tc>
          <w:tcPr>
            <w:tcW w:w="1305" w:type="dxa"/>
            <w:vAlign w:val="center"/>
          </w:tcPr>
          <w:p w14:paraId="7B474000">
            <w:pPr>
              <w:widowControl/>
              <w:jc w:val="center"/>
              <w:rPr>
                <w:rFonts w:hint="eastAsia" w:ascii="宋体" w:hAnsi="宋体" w:cs="宋体"/>
                <w:kern w:val="0"/>
                <w:sz w:val="20"/>
              </w:rPr>
            </w:pPr>
          </w:p>
        </w:tc>
        <w:tc>
          <w:tcPr>
            <w:tcW w:w="3827" w:type="dxa"/>
            <w:vAlign w:val="center"/>
          </w:tcPr>
          <w:p w14:paraId="4C6B301D">
            <w:pPr>
              <w:widowControl/>
              <w:jc w:val="center"/>
              <w:rPr>
                <w:rFonts w:hint="eastAsia" w:ascii="宋体" w:hAnsi="宋体" w:cs="宋体"/>
                <w:kern w:val="0"/>
                <w:sz w:val="20"/>
              </w:rPr>
            </w:pPr>
          </w:p>
        </w:tc>
        <w:tc>
          <w:tcPr>
            <w:tcW w:w="1701" w:type="dxa"/>
            <w:vAlign w:val="center"/>
          </w:tcPr>
          <w:p w14:paraId="1094BA82">
            <w:pPr>
              <w:widowControl/>
              <w:jc w:val="center"/>
              <w:rPr>
                <w:rFonts w:hint="eastAsia" w:ascii="宋体" w:hAnsi="宋体" w:cs="宋体"/>
                <w:kern w:val="0"/>
                <w:sz w:val="20"/>
              </w:rPr>
            </w:pPr>
          </w:p>
        </w:tc>
        <w:tc>
          <w:tcPr>
            <w:tcW w:w="1843" w:type="dxa"/>
            <w:vAlign w:val="center"/>
          </w:tcPr>
          <w:p w14:paraId="60F7D824">
            <w:pPr>
              <w:widowControl/>
              <w:jc w:val="center"/>
              <w:rPr>
                <w:rFonts w:hint="eastAsia" w:ascii="宋体" w:hAnsi="宋体" w:cs="宋体"/>
                <w:kern w:val="0"/>
                <w:sz w:val="20"/>
              </w:rPr>
            </w:pPr>
          </w:p>
        </w:tc>
      </w:tr>
      <w:tr w14:paraId="5075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4FA94D9C">
            <w:pPr>
              <w:widowControl/>
              <w:jc w:val="center"/>
              <w:rPr>
                <w:rFonts w:hint="eastAsia" w:ascii="宋体" w:hAnsi="宋体" w:cs="宋体"/>
                <w:kern w:val="0"/>
                <w:sz w:val="20"/>
              </w:rPr>
            </w:pPr>
            <w:r>
              <w:rPr>
                <w:rFonts w:hint="eastAsia" w:ascii="宋体" w:hAnsi="宋体" w:cs="宋体"/>
                <w:kern w:val="0"/>
                <w:sz w:val="20"/>
              </w:rPr>
              <w:t>7</w:t>
            </w:r>
          </w:p>
        </w:tc>
        <w:tc>
          <w:tcPr>
            <w:tcW w:w="1305" w:type="dxa"/>
            <w:vAlign w:val="center"/>
          </w:tcPr>
          <w:p w14:paraId="6DEAA71F">
            <w:pPr>
              <w:widowControl/>
              <w:jc w:val="center"/>
              <w:rPr>
                <w:rFonts w:hint="eastAsia" w:ascii="宋体" w:hAnsi="宋体" w:cs="宋体"/>
                <w:kern w:val="0"/>
                <w:sz w:val="20"/>
              </w:rPr>
            </w:pPr>
          </w:p>
        </w:tc>
        <w:tc>
          <w:tcPr>
            <w:tcW w:w="3827" w:type="dxa"/>
            <w:vAlign w:val="center"/>
          </w:tcPr>
          <w:p w14:paraId="60145EF1">
            <w:pPr>
              <w:widowControl/>
              <w:jc w:val="center"/>
              <w:rPr>
                <w:rFonts w:hint="eastAsia" w:ascii="宋体" w:hAnsi="宋体" w:cs="宋体"/>
                <w:kern w:val="0"/>
                <w:sz w:val="20"/>
              </w:rPr>
            </w:pPr>
          </w:p>
        </w:tc>
        <w:tc>
          <w:tcPr>
            <w:tcW w:w="1701" w:type="dxa"/>
            <w:vAlign w:val="center"/>
          </w:tcPr>
          <w:p w14:paraId="4F43CECE">
            <w:pPr>
              <w:widowControl/>
              <w:jc w:val="center"/>
              <w:rPr>
                <w:rFonts w:hint="eastAsia" w:ascii="宋体" w:hAnsi="宋体" w:cs="宋体"/>
                <w:kern w:val="0"/>
                <w:sz w:val="20"/>
              </w:rPr>
            </w:pPr>
          </w:p>
        </w:tc>
        <w:tc>
          <w:tcPr>
            <w:tcW w:w="1843" w:type="dxa"/>
            <w:vAlign w:val="center"/>
          </w:tcPr>
          <w:p w14:paraId="1639D5A8">
            <w:pPr>
              <w:widowControl/>
              <w:jc w:val="center"/>
              <w:rPr>
                <w:rFonts w:hint="eastAsia" w:ascii="宋体" w:hAnsi="宋体" w:cs="宋体"/>
                <w:kern w:val="0"/>
                <w:sz w:val="20"/>
              </w:rPr>
            </w:pPr>
          </w:p>
        </w:tc>
      </w:tr>
      <w:tr w14:paraId="1317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4AA6F047">
            <w:pPr>
              <w:widowControl/>
              <w:jc w:val="center"/>
              <w:rPr>
                <w:rFonts w:hint="eastAsia" w:ascii="宋体" w:hAnsi="宋体" w:cs="宋体"/>
                <w:kern w:val="0"/>
                <w:sz w:val="20"/>
              </w:rPr>
            </w:pPr>
          </w:p>
        </w:tc>
        <w:tc>
          <w:tcPr>
            <w:tcW w:w="1305" w:type="dxa"/>
            <w:vAlign w:val="center"/>
          </w:tcPr>
          <w:p w14:paraId="14DD30DB">
            <w:pPr>
              <w:widowControl/>
              <w:jc w:val="center"/>
              <w:rPr>
                <w:rFonts w:hint="eastAsia" w:ascii="宋体" w:hAnsi="宋体" w:cs="宋体"/>
                <w:kern w:val="0"/>
                <w:sz w:val="20"/>
              </w:rPr>
            </w:pPr>
          </w:p>
        </w:tc>
        <w:tc>
          <w:tcPr>
            <w:tcW w:w="3827" w:type="dxa"/>
            <w:vAlign w:val="center"/>
          </w:tcPr>
          <w:p w14:paraId="383A3283">
            <w:pPr>
              <w:widowControl/>
              <w:jc w:val="center"/>
              <w:rPr>
                <w:rFonts w:hint="eastAsia" w:ascii="宋体" w:hAnsi="宋体" w:cs="宋体"/>
                <w:kern w:val="0"/>
                <w:sz w:val="20"/>
              </w:rPr>
            </w:pPr>
          </w:p>
        </w:tc>
        <w:tc>
          <w:tcPr>
            <w:tcW w:w="1701" w:type="dxa"/>
            <w:vAlign w:val="center"/>
          </w:tcPr>
          <w:p w14:paraId="62587215">
            <w:pPr>
              <w:widowControl/>
              <w:jc w:val="center"/>
              <w:rPr>
                <w:rFonts w:hint="eastAsia" w:ascii="宋体" w:hAnsi="宋体" w:cs="宋体"/>
                <w:kern w:val="0"/>
                <w:sz w:val="20"/>
              </w:rPr>
            </w:pPr>
          </w:p>
        </w:tc>
        <w:tc>
          <w:tcPr>
            <w:tcW w:w="1843" w:type="dxa"/>
            <w:vAlign w:val="center"/>
          </w:tcPr>
          <w:p w14:paraId="4CD685F2">
            <w:pPr>
              <w:widowControl/>
              <w:jc w:val="center"/>
              <w:rPr>
                <w:rFonts w:hint="eastAsia" w:ascii="宋体" w:hAnsi="宋体" w:cs="宋体"/>
                <w:kern w:val="0"/>
                <w:sz w:val="20"/>
              </w:rPr>
            </w:pPr>
          </w:p>
        </w:tc>
      </w:tr>
      <w:tr w14:paraId="2D19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5" w:type="dxa"/>
            <w:vAlign w:val="center"/>
          </w:tcPr>
          <w:p w14:paraId="5A52C358">
            <w:pPr>
              <w:widowControl/>
              <w:jc w:val="center"/>
              <w:rPr>
                <w:rFonts w:hint="eastAsia" w:ascii="宋体" w:hAnsi="宋体" w:cs="宋体"/>
                <w:kern w:val="0"/>
                <w:sz w:val="20"/>
              </w:rPr>
            </w:pPr>
          </w:p>
        </w:tc>
        <w:tc>
          <w:tcPr>
            <w:tcW w:w="1305" w:type="dxa"/>
            <w:vAlign w:val="center"/>
          </w:tcPr>
          <w:p w14:paraId="5BAF50E8">
            <w:pPr>
              <w:widowControl/>
              <w:jc w:val="center"/>
              <w:rPr>
                <w:rFonts w:hint="eastAsia" w:ascii="宋体" w:hAnsi="宋体" w:cs="宋体"/>
                <w:kern w:val="0"/>
                <w:sz w:val="20"/>
              </w:rPr>
            </w:pPr>
          </w:p>
        </w:tc>
        <w:tc>
          <w:tcPr>
            <w:tcW w:w="3827" w:type="dxa"/>
            <w:vAlign w:val="center"/>
          </w:tcPr>
          <w:p w14:paraId="12479AC5">
            <w:pPr>
              <w:widowControl/>
              <w:jc w:val="center"/>
              <w:rPr>
                <w:rFonts w:hint="eastAsia" w:ascii="宋体" w:hAnsi="宋体" w:cs="宋体"/>
                <w:kern w:val="0"/>
                <w:sz w:val="20"/>
              </w:rPr>
            </w:pPr>
          </w:p>
        </w:tc>
        <w:tc>
          <w:tcPr>
            <w:tcW w:w="1701" w:type="dxa"/>
            <w:vAlign w:val="center"/>
          </w:tcPr>
          <w:p w14:paraId="70B90416">
            <w:pPr>
              <w:widowControl/>
              <w:jc w:val="center"/>
              <w:rPr>
                <w:rFonts w:hint="eastAsia" w:ascii="宋体" w:hAnsi="宋体" w:cs="宋体"/>
                <w:kern w:val="0"/>
                <w:sz w:val="20"/>
              </w:rPr>
            </w:pPr>
          </w:p>
        </w:tc>
        <w:tc>
          <w:tcPr>
            <w:tcW w:w="1843" w:type="dxa"/>
            <w:vAlign w:val="center"/>
          </w:tcPr>
          <w:p w14:paraId="28071B48">
            <w:pPr>
              <w:widowControl/>
              <w:jc w:val="center"/>
              <w:rPr>
                <w:rFonts w:hint="eastAsia" w:ascii="宋体" w:hAnsi="宋体" w:cs="宋体"/>
                <w:kern w:val="0"/>
                <w:sz w:val="20"/>
              </w:rPr>
            </w:pPr>
          </w:p>
        </w:tc>
      </w:tr>
    </w:tbl>
    <w:p w14:paraId="46D7248E">
      <w:r>
        <w:rPr>
          <w:rFonts w:hint="eastAsia"/>
        </w:rPr>
        <w:t>注：投标人应根据招标文件第四章“评标标准”中列明的商务及技术部分评审内容，逐条（价格部分除外）索引至投标文件对应的响应内容所在</w:t>
      </w:r>
      <w:r>
        <w:rPr>
          <w:rFonts w:hint="eastAsia" w:ascii="宋体" w:hAnsi="宋体" w:cs="宋体"/>
          <w:kern w:val="0"/>
        </w:rPr>
        <w:t>章节和</w:t>
      </w:r>
      <w:r>
        <w:rPr>
          <w:rFonts w:hint="eastAsia"/>
        </w:rPr>
        <w:t>页码，以方便评标委员会评审。</w:t>
      </w:r>
    </w:p>
    <w:p w14:paraId="0E0337E1">
      <w:pPr>
        <w:widowControl/>
        <w:jc w:val="left"/>
        <w:rPr>
          <w:b/>
          <w:sz w:val="24"/>
        </w:rPr>
      </w:pPr>
    </w:p>
    <w:p w14:paraId="64BE8FDE">
      <w:pPr>
        <w:widowControl/>
        <w:jc w:val="left"/>
        <w:rPr>
          <w:b/>
          <w:sz w:val="24"/>
        </w:rPr>
      </w:pPr>
      <w:r>
        <w:rPr>
          <w:b/>
          <w:sz w:val="24"/>
        </w:rPr>
        <w:br w:type="page"/>
      </w:r>
    </w:p>
    <w:p w14:paraId="297B7A65">
      <w:pPr>
        <w:widowControl/>
        <w:jc w:val="left"/>
        <w:rPr>
          <w:b/>
          <w:sz w:val="24"/>
        </w:rPr>
      </w:pPr>
    </w:p>
    <w:p w14:paraId="3243E14E">
      <w:pPr>
        <w:numPr>
          <w:ilvl w:val="0"/>
          <w:numId w:val="18"/>
        </w:numPr>
        <w:tabs>
          <w:tab w:val="left" w:pos="360"/>
        </w:tabs>
        <w:snapToGrid w:val="0"/>
        <w:spacing w:line="360" w:lineRule="auto"/>
        <w:outlineLvl w:val="1"/>
        <w:rPr>
          <w:color w:val="000000"/>
          <w:sz w:val="24"/>
          <w:szCs w:val="20"/>
        </w:rPr>
      </w:pPr>
      <w:bookmarkStart w:id="852" w:name="_Hlt520350918"/>
      <w:bookmarkEnd w:id="852"/>
      <w:bookmarkStart w:id="853" w:name="_Hlt520273711"/>
      <w:bookmarkEnd w:id="853"/>
      <w:bookmarkStart w:id="854" w:name="_Hlt520343000"/>
      <w:bookmarkEnd w:id="854"/>
      <w:bookmarkStart w:id="855" w:name="_Hlt520355504"/>
      <w:bookmarkEnd w:id="855"/>
      <w:bookmarkStart w:id="856" w:name="_Hlt520343392"/>
      <w:bookmarkEnd w:id="856"/>
      <w:bookmarkStart w:id="857" w:name="_Hlt520274393"/>
      <w:bookmarkEnd w:id="857"/>
      <w:bookmarkStart w:id="858" w:name="_Hlt520274407"/>
      <w:bookmarkEnd w:id="858"/>
      <w:bookmarkStart w:id="859" w:name="_Hlt520274121"/>
      <w:bookmarkEnd w:id="859"/>
      <w:bookmarkStart w:id="860" w:name="_Hlt520271212"/>
      <w:bookmarkEnd w:id="860"/>
      <w:bookmarkStart w:id="861" w:name="_Hlt520274065"/>
      <w:bookmarkEnd w:id="861"/>
      <w:bookmarkStart w:id="862" w:name="_Toc480942349"/>
      <w:bookmarkStart w:id="863" w:name="_Ref467988698"/>
      <w:bookmarkStart w:id="864" w:name="_Toc142311058"/>
      <w:bookmarkStart w:id="865" w:name="_Toc226309800"/>
      <w:bookmarkStart w:id="866" w:name="_Toc195842921"/>
      <w:bookmarkStart w:id="867" w:name="_Toc226965746"/>
      <w:bookmarkStart w:id="868" w:name="_Toc520356217"/>
      <w:bookmarkStart w:id="869" w:name="_Toc226965829"/>
      <w:bookmarkStart w:id="870" w:name="_Toc150774761"/>
      <w:bookmarkStart w:id="871" w:name="_Toc127151556"/>
      <w:bookmarkStart w:id="872" w:name="_Toc150480794"/>
      <w:bookmarkStart w:id="873" w:name="_Toc226337252"/>
      <w:r>
        <w:rPr>
          <w:color w:val="000000"/>
          <w:sz w:val="24"/>
        </w:rPr>
        <w:t>投标</w:t>
      </w:r>
      <w:bookmarkEnd w:id="862"/>
      <w:bookmarkEnd w:id="863"/>
      <w:r>
        <w:rPr>
          <w:color w:val="000000"/>
          <w:sz w:val="24"/>
        </w:rPr>
        <w:t>书</w:t>
      </w:r>
      <w:bookmarkEnd w:id="864"/>
      <w:bookmarkEnd w:id="865"/>
      <w:bookmarkEnd w:id="866"/>
      <w:bookmarkEnd w:id="867"/>
      <w:bookmarkEnd w:id="868"/>
      <w:bookmarkEnd w:id="869"/>
      <w:bookmarkEnd w:id="870"/>
      <w:bookmarkEnd w:id="871"/>
      <w:bookmarkEnd w:id="872"/>
      <w:bookmarkEnd w:id="873"/>
      <w:r>
        <w:rPr>
          <w:color w:val="000000"/>
          <w:sz w:val="24"/>
          <w:szCs w:val="20"/>
        </w:rPr>
        <w:t>（实质性格式）</w:t>
      </w:r>
    </w:p>
    <w:p w14:paraId="4648972B">
      <w:pPr>
        <w:tabs>
          <w:tab w:val="left" w:pos="5580"/>
        </w:tabs>
        <w:spacing w:line="360" w:lineRule="auto"/>
        <w:rPr>
          <w:color w:val="000000"/>
          <w:sz w:val="24"/>
        </w:rPr>
      </w:pPr>
    </w:p>
    <w:p w14:paraId="64D3064C">
      <w:pPr>
        <w:spacing w:line="360" w:lineRule="auto"/>
        <w:jc w:val="center"/>
        <w:rPr>
          <w:b/>
          <w:color w:val="000000"/>
          <w:sz w:val="36"/>
          <w:szCs w:val="36"/>
        </w:rPr>
      </w:pPr>
      <w:r>
        <w:rPr>
          <w:b/>
          <w:color w:val="000000"/>
          <w:sz w:val="36"/>
          <w:szCs w:val="36"/>
        </w:rPr>
        <w:t>投标书</w:t>
      </w:r>
    </w:p>
    <w:p w14:paraId="503D0B6E">
      <w:pPr>
        <w:tabs>
          <w:tab w:val="left" w:pos="5580"/>
        </w:tabs>
        <w:spacing w:line="360" w:lineRule="auto"/>
        <w:rPr>
          <w:color w:val="000000"/>
          <w:sz w:val="24"/>
        </w:rPr>
      </w:pPr>
      <w:r>
        <w:rPr>
          <w:color w:val="000000"/>
          <w:sz w:val="24"/>
        </w:rPr>
        <w:t>致：</w:t>
      </w:r>
      <w:r>
        <w:rPr>
          <w:rFonts w:hint="eastAsia"/>
          <w:color w:val="000000"/>
          <w:sz w:val="24"/>
          <w:u w:val="single"/>
        </w:rPr>
        <w:t>【</w:t>
      </w:r>
      <w:r>
        <w:rPr>
          <w:color w:val="000000"/>
          <w:sz w:val="24"/>
          <w:u w:val="single"/>
        </w:rPr>
        <w:t>采购人或采购代理机构</w:t>
      </w:r>
      <w:r>
        <w:rPr>
          <w:rFonts w:hint="eastAsia"/>
          <w:color w:val="000000"/>
          <w:sz w:val="24"/>
          <w:u w:val="single"/>
        </w:rPr>
        <w:t>】</w:t>
      </w:r>
    </w:p>
    <w:p w14:paraId="6ACD65AB">
      <w:pPr>
        <w:tabs>
          <w:tab w:val="left" w:pos="5580"/>
        </w:tabs>
        <w:spacing w:line="360" w:lineRule="auto"/>
        <w:rPr>
          <w:color w:val="000000"/>
          <w:sz w:val="24"/>
          <w:szCs w:val="20"/>
        </w:rPr>
      </w:pPr>
    </w:p>
    <w:p w14:paraId="76343488">
      <w:pPr>
        <w:tabs>
          <w:tab w:val="left" w:pos="5580"/>
        </w:tabs>
        <w:spacing w:line="360" w:lineRule="auto"/>
        <w:ind w:firstLine="408"/>
        <w:rPr>
          <w:color w:val="000000"/>
          <w:sz w:val="24"/>
          <w:szCs w:val="20"/>
        </w:rPr>
      </w:pPr>
      <w:r>
        <w:rPr>
          <w:color w:val="000000"/>
          <w:sz w:val="24"/>
          <w:szCs w:val="20"/>
        </w:rPr>
        <w:t>我方参加你方就___________</w:t>
      </w:r>
      <w:r>
        <w:rPr>
          <w:rFonts w:hint="eastAsia"/>
          <w:color w:val="000000"/>
          <w:sz w:val="24"/>
          <w:szCs w:val="20"/>
          <w:u w:val="single"/>
        </w:rPr>
        <w:t>【</w:t>
      </w:r>
      <w:r>
        <w:rPr>
          <w:color w:val="000000"/>
          <w:sz w:val="24"/>
          <w:szCs w:val="20"/>
          <w:u w:val="single"/>
        </w:rPr>
        <w:t>项目名称</w:t>
      </w:r>
      <w:r>
        <w:rPr>
          <w:rFonts w:hint="eastAsia"/>
          <w:color w:val="000000"/>
          <w:sz w:val="24"/>
          <w:szCs w:val="20"/>
          <w:u w:val="single"/>
        </w:rPr>
        <w:t>】</w:t>
      </w:r>
      <w:r>
        <w:rPr>
          <w:color w:val="000000"/>
          <w:sz w:val="24"/>
          <w:szCs w:val="20"/>
        </w:rPr>
        <w:t>，</w:t>
      </w:r>
      <w:r>
        <w:rPr>
          <w:rFonts w:hint="eastAsia"/>
          <w:color w:val="000000"/>
          <w:sz w:val="24"/>
          <w:szCs w:val="20"/>
          <w:u w:val="single"/>
        </w:rPr>
        <w:t>【</w:t>
      </w:r>
      <w:r>
        <w:rPr>
          <w:color w:val="000000"/>
          <w:sz w:val="24"/>
          <w:szCs w:val="20"/>
          <w:u w:val="single"/>
        </w:rPr>
        <w:t>项目编号/包号</w:t>
      </w:r>
      <w:r>
        <w:rPr>
          <w:rFonts w:hint="eastAsia"/>
          <w:color w:val="000000"/>
          <w:sz w:val="24"/>
          <w:szCs w:val="20"/>
          <w:u w:val="single"/>
        </w:rPr>
        <w:t>】</w:t>
      </w:r>
      <w:r>
        <w:rPr>
          <w:color w:val="000000"/>
          <w:sz w:val="24"/>
          <w:szCs w:val="20"/>
        </w:rPr>
        <w:t>组织的招标活动，并对此项目进行投标。</w:t>
      </w:r>
    </w:p>
    <w:p w14:paraId="300EAB8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E2DD273">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33EADBF">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0BB249A6">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99D8FDE">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B35592F">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467E48AF">
      <w:pPr>
        <w:spacing w:line="360" w:lineRule="auto"/>
        <w:ind w:firstLine="480" w:firstLineChars="200"/>
        <w:rPr>
          <w:color w:val="000000"/>
          <w:sz w:val="24"/>
        </w:rPr>
      </w:pPr>
      <w:r>
        <w:rPr>
          <w:color w:val="000000"/>
          <w:sz w:val="24"/>
        </w:rPr>
        <w:t>与本投标有关的一切正式往来信函请寄：</w:t>
      </w:r>
    </w:p>
    <w:p w14:paraId="131FF927">
      <w:pPr>
        <w:tabs>
          <w:tab w:val="left" w:pos="5580"/>
        </w:tabs>
        <w:spacing w:line="360" w:lineRule="auto"/>
        <w:ind w:left="420"/>
        <w:rPr>
          <w:color w:val="000000"/>
          <w:sz w:val="24"/>
          <w:szCs w:val="20"/>
        </w:rPr>
      </w:pPr>
    </w:p>
    <w:p w14:paraId="2DF77297">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BA08D6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20F5CF9">
      <w:pPr>
        <w:tabs>
          <w:tab w:val="left" w:pos="5580"/>
        </w:tabs>
        <w:spacing w:line="360" w:lineRule="auto"/>
        <w:ind w:left="420"/>
        <w:rPr>
          <w:color w:val="000000"/>
          <w:sz w:val="24"/>
          <w:szCs w:val="20"/>
        </w:rPr>
      </w:pPr>
    </w:p>
    <w:p w14:paraId="1E504060">
      <w:pPr>
        <w:tabs>
          <w:tab w:val="left" w:pos="5580"/>
        </w:tabs>
        <w:spacing w:line="360" w:lineRule="auto"/>
        <w:ind w:left="420"/>
        <w:rPr>
          <w:color w:val="000000"/>
          <w:sz w:val="24"/>
          <w:szCs w:val="20"/>
        </w:rPr>
      </w:pPr>
      <w:r>
        <w:rPr>
          <w:color w:val="000000"/>
          <w:sz w:val="24"/>
          <w:szCs w:val="20"/>
        </w:rPr>
        <w:t>投标人名称（加盖公章） ___________</w:t>
      </w:r>
    </w:p>
    <w:p w14:paraId="4BD649C5">
      <w:pPr>
        <w:tabs>
          <w:tab w:val="left" w:pos="5580"/>
        </w:tabs>
        <w:spacing w:line="360" w:lineRule="auto"/>
        <w:ind w:left="420"/>
        <w:rPr>
          <w:color w:val="000000"/>
          <w:sz w:val="24"/>
          <w:szCs w:val="20"/>
        </w:rPr>
      </w:pPr>
      <w:r>
        <w:rPr>
          <w:color w:val="000000"/>
          <w:sz w:val="24"/>
          <w:szCs w:val="20"/>
        </w:rPr>
        <w:t xml:space="preserve">日期：_____年______月______日    </w:t>
      </w:r>
    </w:p>
    <w:p w14:paraId="21BE3951">
      <w:pPr>
        <w:tabs>
          <w:tab w:val="left" w:pos="5580"/>
        </w:tabs>
        <w:spacing w:line="360" w:lineRule="auto"/>
        <w:ind w:left="420"/>
        <w:rPr>
          <w:color w:val="000000"/>
          <w:sz w:val="24"/>
          <w:szCs w:val="20"/>
          <w:u w:val="single"/>
        </w:rPr>
      </w:pPr>
    </w:p>
    <w:p w14:paraId="443A8DA4">
      <w:pPr>
        <w:widowControl/>
        <w:jc w:val="left"/>
        <w:rPr>
          <w:color w:val="000000"/>
          <w:sz w:val="24"/>
        </w:rPr>
      </w:pPr>
      <w:bookmarkStart w:id="874" w:name="_Hlt520356243"/>
      <w:bookmarkEnd w:id="874"/>
      <w:bookmarkStart w:id="875" w:name="_Hlt520355938"/>
      <w:bookmarkEnd w:id="875"/>
      <w:bookmarkStart w:id="876" w:name="_Toc226965747"/>
      <w:bookmarkStart w:id="877" w:name="_Toc480942350"/>
      <w:bookmarkStart w:id="878" w:name="_Toc195842922"/>
      <w:bookmarkStart w:id="879" w:name="_Toc520356218"/>
      <w:bookmarkStart w:id="880" w:name="_Toc305158825"/>
      <w:bookmarkStart w:id="881" w:name="_Toc127151557"/>
      <w:bookmarkStart w:id="882" w:name="_Toc150480795"/>
      <w:bookmarkStart w:id="883" w:name="_Toc305158899"/>
      <w:bookmarkStart w:id="884" w:name="_Ref467988705"/>
      <w:bookmarkStart w:id="885" w:name="_Toc142311059"/>
      <w:bookmarkStart w:id="886" w:name="_Toc264969247"/>
      <w:bookmarkStart w:id="887" w:name="_Toc226309801"/>
      <w:bookmarkStart w:id="888" w:name="_Toc226337253"/>
      <w:bookmarkStart w:id="889" w:name="_Toc226965830"/>
      <w:bookmarkStart w:id="890" w:name="_Toc265228395"/>
      <w:bookmarkStart w:id="891" w:name="_Toc150774762"/>
      <w:r>
        <w:rPr>
          <w:color w:val="000000"/>
          <w:sz w:val="24"/>
        </w:rPr>
        <w:br w:type="page"/>
      </w:r>
    </w:p>
    <w:p w14:paraId="4B45EB2E">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09D90337">
      <w:pPr>
        <w:spacing w:line="360" w:lineRule="exact"/>
        <w:jc w:val="center"/>
        <w:rPr>
          <w:b/>
          <w:color w:val="000000"/>
          <w:sz w:val="36"/>
          <w:szCs w:val="36"/>
        </w:rPr>
      </w:pPr>
      <w:r>
        <w:rPr>
          <w:b/>
          <w:color w:val="000000"/>
          <w:sz w:val="36"/>
          <w:szCs w:val="36"/>
        </w:rPr>
        <w:t>授权委托书</w:t>
      </w:r>
    </w:p>
    <w:p w14:paraId="5B68EEBB">
      <w:pPr>
        <w:spacing w:line="360" w:lineRule="auto"/>
        <w:ind w:firstLine="420"/>
        <w:rPr>
          <w:color w:val="000000"/>
          <w:sz w:val="24"/>
          <w:szCs w:val="20"/>
        </w:rPr>
      </w:pPr>
    </w:p>
    <w:p w14:paraId="7F869F83">
      <w:pPr>
        <w:spacing w:line="360" w:lineRule="auto"/>
        <w:ind w:firstLine="420"/>
        <w:rPr>
          <w:color w:val="000000"/>
          <w:sz w:val="24"/>
          <w:szCs w:val="20"/>
        </w:rPr>
      </w:pPr>
      <w:r>
        <w:rPr>
          <w:color w:val="000000"/>
          <w:sz w:val="24"/>
          <w:szCs w:val="20"/>
        </w:rPr>
        <w:t>本人</w:t>
      </w:r>
      <w:r>
        <w:rPr>
          <w:color w:val="000000"/>
          <w:sz w:val="24"/>
          <w:lang w:val="zh-CN"/>
        </w:rPr>
        <w:t>_______</w:t>
      </w:r>
      <w:r>
        <w:rPr>
          <w:rFonts w:hint="eastAsia"/>
          <w:color w:val="000000"/>
          <w:sz w:val="24"/>
          <w:szCs w:val="20"/>
          <w:u w:val="single"/>
        </w:rPr>
        <w:t>【</w:t>
      </w:r>
      <w:r>
        <w:rPr>
          <w:color w:val="000000"/>
          <w:sz w:val="24"/>
          <w:szCs w:val="20"/>
          <w:u w:val="single"/>
        </w:rPr>
        <w:t>姓名</w:t>
      </w:r>
      <w:r>
        <w:rPr>
          <w:rFonts w:hint="eastAsia"/>
          <w:color w:val="000000"/>
          <w:sz w:val="24"/>
          <w:szCs w:val="20"/>
          <w:u w:val="single"/>
        </w:rPr>
        <w:t>】</w:t>
      </w:r>
      <w:r>
        <w:rPr>
          <w:color w:val="000000"/>
          <w:sz w:val="24"/>
          <w:szCs w:val="20"/>
        </w:rPr>
        <w:t>系</w:t>
      </w:r>
      <w:r>
        <w:rPr>
          <w:color w:val="000000"/>
          <w:sz w:val="24"/>
          <w:lang w:val="zh-CN"/>
        </w:rPr>
        <w:t>________________</w:t>
      </w:r>
      <w:r>
        <w:rPr>
          <w:rFonts w:hint="eastAsia"/>
          <w:color w:val="000000"/>
          <w:sz w:val="24"/>
          <w:szCs w:val="20"/>
          <w:u w:val="single"/>
        </w:rPr>
        <w:t>【</w:t>
      </w:r>
      <w:r>
        <w:rPr>
          <w:color w:val="000000"/>
          <w:sz w:val="24"/>
          <w:szCs w:val="20"/>
          <w:u w:val="single"/>
        </w:rPr>
        <w:t>投标人名称</w:t>
      </w:r>
      <w:r>
        <w:rPr>
          <w:rFonts w:hint="eastAsia"/>
          <w:color w:val="000000"/>
          <w:sz w:val="24"/>
          <w:szCs w:val="20"/>
          <w:u w:val="single"/>
        </w:rPr>
        <w:t>】</w:t>
      </w:r>
      <w:r>
        <w:rPr>
          <w:color w:val="000000"/>
          <w:sz w:val="24"/>
          <w:szCs w:val="20"/>
        </w:rPr>
        <w:t>的法定代表人（单位负责人），现委托</w:t>
      </w:r>
      <w:r>
        <w:rPr>
          <w:color w:val="000000"/>
          <w:sz w:val="24"/>
          <w:lang w:val="zh-CN"/>
        </w:rPr>
        <w:t>_______</w:t>
      </w:r>
      <w:r>
        <w:rPr>
          <w:rFonts w:hint="eastAsia"/>
          <w:color w:val="000000"/>
          <w:sz w:val="24"/>
          <w:szCs w:val="20"/>
          <w:u w:val="single"/>
        </w:rPr>
        <w:t>【</w:t>
      </w:r>
      <w:r>
        <w:rPr>
          <w:color w:val="000000"/>
          <w:sz w:val="24"/>
          <w:szCs w:val="20"/>
          <w:u w:val="single"/>
        </w:rPr>
        <w:t>姓名</w:t>
      </w:r>
      <w:r>
        <w:rPr>
          <w:rFonts w:hint="eastAsia"/>
          <w:color w:val="000000"/>
          <w:sz w:val="24"/>
          <w:szCs w:val="20"/>
          <w:u w:val="single"/>
        </w:rPr>
        <w:t>】</w:t>
      </w:r>
      <w:r>
        <w:rPr>
          <w:color w:val="000000"/>
          <w:sz w:val="24"/>
          <w:szCs w:val="20"/>
        </w:rPr>
        <w:t>为我方代理人。代理人根据授权，以我方名义签署、澄清确认、提交、撤回、修改</w:t>
      </w:r>
      <w:r>
        <w:rPr>
          <w:color w:val="000000"/>
          <w:sz w:val="24"/>
          <w:lang w:val="zh-CN"/>
        </w:rPr>
        <w:t>________________</w:t>
      </w:r>
      <w:r>
        <w:rPr>
          <w:rFonts w:hint="eastAsia"/>
          <w:color w:val="000000"/>
          <w:sz w:val="24"/>
          <w:lang w:val="zh-CN"/>
        </w:rPr>
        <w:t>【</w:t>
      </w:r>
      <w:r>
        <w:rPr>
          <w:color w:val="000000"/>
          <w:sz w:val="24"/>
          <w:szCs w:val="20"/>
        </w:rPr>
        <w:t>项目名称</w:t>
      </w:r>
      <w:r>
        <w:rPr>
          <w:rFonts w:hint="eastAsia"/>
          <w:color w:val="000000"/>
          <w:sz w:val="24"/>
          <w:lang w:val="zh-CN"/>
        </w:rPr>
        <w:t>】</w:t>
      </w:r>
      <w:r>
        <w:rPr>
          <w:color w:val="000000"/>
          <w:sz w:val="24"/>
          <w:szCs w:val="20"/>
        </w:rPr>
        <w:t>投标文件和处理有关事宜，其法律后果由我方承担。</w:t>
      </w:r>
    </w:p>
    <w:p w14:paraId="1B099910">
      <w:pPr>
        <w:spacing w:line="360" w:lineRule="auto"/>
        <w:ind w:firstLine="420"/>
        <w:rPr>
          <w:color w:val="000000"/>
          <w:sz w:val="24"/>
          <w:szCs w:val="20"/>
        </w:rPr>
      </w:pPr>
      <w:r>
        <w:rPr>
          <w:color w:val="000000"/>
          <w:sz w:val="24"/>
          <w:szCs w:val="20"/>
        </w:rPr>
        <w:t>委托期限：自本授权委托书签署之日起至投标有效期届满之日止。</w:t>
      </w:r>
    </w:p>
    <w:p w14:paraId="7DC26FC3">
      <w:pPr>
        <w:spacing w:line="360" w:lineRule="auto"/>
        <w:ind w:firstLine="420"/>
        <w:rPr>
          <w:color w:val="000000"/>
          <w:sz w:val="24"/>
          <w:szCs w:val="20"/>
        </w:rPr>
      </w:pPr>
      <w:r>
        <w:rPr>
          <w:color w:val="000000"/>
          <w:sz w:val="24"/>
          <w:szCs w:val="20"/>
        </w:rPr>
        <w:t>代理人无转委托权。</w:t>
      </w:r>
      <w:r>
        <w:rPr>
          <w:color w:val="000000"/>
          <w:sz w:val="24"/>
          <w:szCs w:val="20"/>
        </w:rPr>
        <w:cr/>
      </w:r>
    </w:p>
    <w:p w14:paraId="61B40010">
      <w:pPr>
        <w:spacing w:line="360" w:lineRule="auto"/>
        <w:rPr>
          <w:color w:val="000000"/>
          <w:sz w:val="24"/>
          <w:lang w:val="zh-CN"/>
        </w:rPr>
      </w:pPr>
      <w:r>
        <w:rPr>
          <w:color w:val="000000"/>
          <w:sz w:val="24"/>
        </w:rPr>
        <w:t>投标人名称（加盖公章）</w:t>
      </w:r>
      <w:r>
        <w:rPr>
          <w:color w:val="000000"/>
          <w:sz w:val="24"/>
          <w:lang w:val="zh-CN"/>
        </w:rPr>
        <w:t>：________________</w:t>
      </w:r>
    </w:p>
    <w:p w14:paraId="36D598D6">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5E82B15E">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bookmarkStart w:id="950" w:name="_GoBack"/>
      <w:bookmarkEnd w:id="950"/>
    </w:p>
    <w:p w14:paraId="759CDC8B">
      <w:pPr>
        <w:autoSpaceDE w:val="0"/>
        <w:autoSpaceDN w:val="0"/>
        <w:adjustRightInd w:val="0"/>
        <w:snapToGrid w:val="0"/>
        <w:spacing w:line="360" w:lineRule="auto"/>
        <w:rPr>
          <w:color w:val="000000"/>
          <w:sz w:val="24"/>
          <w:lang w:val="zh-CN"/>
        </w:rPr>
      </w:pPr>
      <w:r>
        <w:rPr>
          <w:color w:val="000000"/>
          <w:sz w:val="24"/>
        </w:rPr>
        <w:t>日期：_____年______月______日</w:t>
      </w:r>
    </w:p>
    <w:p w14:paraId="77A85CBE">
      <w:pPr>
        <w:tabs>
          <w:tab w:val="left" w:pos="5580"/>
        </w:tabs>
        <w:spacing w:line="360" w:lineRule="auto"/>
        <w:ind w:firstLine="480" w:firstLineChars="200"/>
        <w:rPr>
          <w:color w:val="000000"/>
          <w:sz w:val="24"/>
          <w:szCs w:val="20"/>
        </w:rPr>
      </w:pPr>
    </w:p>
    <w:p w14:paraId="4FFCF40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2E79BCB2">
      <w:pPr>
        <w:tabs>
          <w:tab w:val="left" w:pos="5580"/>
        </w:tabs>
        <w:spacing w:line="360" w:lineRule="auto"/>
        <w:jc w:val="left"/>
        <w:rPr>
          <w:color w:val="000000"/>
          <w:sz w:val="24"/>
          <w:szCs w:val="20"/>
        </w:rPr>
      </w:pPr>
    </w:p>
    <w:p w14:paraId="536008A0">
      <w:pPr>
        <w:tabs>
          <w:tab w:val="left" w:pos="5580"/>
        </w:tabs>
        <w:spacing w:line="360" w:lineRule="auto"/>
        <w:jc w:val="left"/>
        <w:rPr>
          <w:color w:val="000000"/>
          <w:sz w:val="24"/>
          <w:szCs w:val="20"/>
        </w:rPr>
      </w:pPr>
    </w:p>
    <w:p w14:paraId="46CF97E1">
      <w:pPr>
        <w:tabs>
          <w:tab w:val="left" w:pos="5580"/>
        </w:tabs>
        <w:spacing w:line="360" w:lineRule="auto"/>
        <w:jc w:val="left"/>
        <w:rPr>
          <w:color w:val="000000"/>
          <w:sz w:val="24"/>
          <w:szCs w:val="20"/>
        </w:rPr>
      </w:pPr>
    </w:p>
    <w:p w14:paraId="3249B66C">
      <w:pPr>
        <w:tabs>
          <w:tab w:val="left" w:pos="5580"/>
        </w:tabs>
        <w:spacing w:line="360" w:lineRule="auto"/>
        <w:jc w:val="left"/>
        <w:rPr>
          <w:color w:val="000000"/>
          <w:sz w:val="24"/>
          <w:szCs w:val="20"/>
        </w:rPr>
      </w:pPr>
    </w:p>
    <w:p w14:paraId="478091B5">
      <w:pPr>
        <w:tabs>
          <w:tab w:val="left" w:pos="5580"/>
        </w:tabs>
        <w:spacing w:line="360" w:lineRule="auto"/>
        <w:jc w:val="left"/>
        <w:rPr>
          <w:color w:val="000000"/>
          <w:sz w:val="24"/>
          <w:szCs w:val="20"/>
        </w:rPr>
      </w:pPr>
    </w:p>
    <w:p w14:paraId="6FEFEDE8">
      <w:pPr>
        <w:tabs>
          <w:tab w:val="left" w:pos="5580"/>
        </w:tabs>
        <w:spacing w:line="360" w:lineRule="auto"/>
        <w:jc w:val="left"/>
        <w:rPr>
          <w:color w:val="000000"/>
          <w:sz w:val="24"/>
          <w:szCs w:val="20"/>
        </w:rPr>
      </w:pPr>
      <w:r>
        <w:rPr>
          <w:color w:val="000000"/>
          <w:sz w:val="24"/>
          <w:szCs w:val="20"/>
        </w:rPr>
        <w:t>说明：</w:t>
      </w:r>
    </w:p>
    <w:p w14:paraId="5C51899B">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58A8756">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4E34FEA">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070BE7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8048920">
      <w:pPr>
        <w:spacing w:line="360" w:lineRule="exact"/>
        <w:jc w:val="center"/>
        <w:rPr>
          <w:b/>
          <w:color w:val="000000"/>
          <w:sz w:val="36"/>
          <w:szCs w:val="36"/>
        </w:rPr>
      </w:pPr>
      <w:r>
        <w:rPr>
          <w:b/>
          <w:color w:val="000000"/>
          <w:sz w:val="36"/>
          <w:szCs w:val="36"/>
        </w:rPr>
        <w:t>法定代表人（单位负责人）身份证明</w:t>
      </w:r>
    </w:p>
    <w:p w14:paraId="30E3DDAF">
      <w:pPr>
        <w:kinsoku w:val="0"/>
        <w:overflowPunct w:val="0"/>
        <w:spacing w:line="200" w:lineRule="exact"/>
        <w:rPr>
          <w:sz w:val="20"/>
          <w:szCs w:val="20"/>
        </w:rPr>
      </w:pPr>
    </w:p>
    <w:p w14:paraId="314DA8AD">
      <w:pPr>
        <w:tabs>
          <w:tab w:val="left" w:pos="5580"/>
        </w:tabs>
        <w:spacing w:line="360" w:lineRule="auto"/>
        <w:rPr>
          <w:color w:val="000000"/>
          <w:sz w:val="24"/>
        </w:rPr>
      </w:pPr>
      <w:r>
        <w:rPr>
          <w:color w:val="000000"/>
          <w:sz w:val="24"/>
        </w:rPr>
        <w:t>致：</w:t>
      </w:r>
      <w:r>
        <w:rPr>
          <w:rFonts w:hint="eastAsia"/>
          <w:color w:val="000000"/>
          <w:sz w:val="24"/>
          <w:u w:val="single"/>
        </w:rPr>
        <w:t>【</w:t>
      </w:r>
      <w:r>
        <w:rPr>
          <w:color w:val="000000"/>
          <w:sz w:val="24"/>
          <w:u w:val="single"/>
        </w:rPr>
        <w:t>采购人或采购代理机构</w:t>
      </w:r>
      <w:r>
        <w:rPr>
          <w:rFonts w:hint="eastAsia"/>
          <w:color w:val="000000"/>
          <w:sz w:val="24"/>
          <w:u w:val="single"/>
        </w:rPr>
        <w:t>】</w:t>
      </w:r>
    </w:p>
    <w:p w14:paraId="1A9E5AD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A607F52">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52FDC54">
      <w:pPr>
        <w:pStyle w:val="17"/>
        <w:tabs>
          <w:tab w:val="left" w:pos="2412"/>
          <w:tab w:val="left" w:pos="3883"/>
          <w:tab w:val="left" w:pos="5352"/>
          <w:tab w:val="left" w:pos="6821"/>
        </w:tabs>
        <w:kinsoku w:val="0"/>
        <w:overflowPunct w:val="0"/>
        <w:spacing w:line="335" w:lineRule="exact"/>
        <w:rPr>
          <w:rFonts w:ascii="Times New Roman" w:hAnsi="Times New Roman"/>
        </w:rPr>
      </w:pPr>
    </w:p>
    <w:p w14:paraId="561F57DE">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hint="eastAsia" w:ascii="Times New Roman" w:hAnsi="Times New Roman"/>
          <w:u w:val="single"/>
        </w:rPr>
        <w:t>【</w:t>
      </w:r>
      <w:r>
        <w:rPr>
          <w:rFonts w:ascii="Times New Roman" w:hAnsi="Times New Roman"/>
          <w:u w:val="single"/>
        </w:rPr>
        <w:t>投标人名称</w:t>
      </w:r>
      <w:r>
        <w:rPr>
          <w:rFonts w:hint="eastAsia" w:ascii="Times New Roman" w:hAnsi="Times New Roman"/>
          <w:u w:val="single"/>
        </w:rPr>
        <w:t>】</w:t>
      </w:r>
      <w:r>
        <w:rPr>
          <w:rFonts w:ascii="Times New Roman" w:hAnsi="Times New Roman"/>
        </w:rPr>
        <w:t>的法定代表人（单位负责人）。</w:t>
      </w:r>
    </w:p>
    <w:p w14:paraId="3011BB0E">
      <w:pPr>
        <w:pStyle w:val="17"/>
        <w:tabs>
          <w:tab w:val="left" w:pos="2412"/>
          <w:tab w:val="left" w:pos="3883"/>
          <w:tab w:val="left" w:pos="5352"/>
          <w:tab w:val="left" w:pos="6821"/>
        </w:tabs>
        <w:kinsoku w:val="0"/>
        <w:overflowPunct w:val="0"/>
        <w:spacing w:line="335" w:lineRule="exact"/>
        <w:rPr>
          <w:rFonts w:ascii="Times New Roman" w:hAnsi="Times New Roman"/>
        </w:rPr>
      </w:pPr>
    </w:p>
    <w:p w14:paraId="2A72665B">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0AAFB560">
      <w:pPr>
        <w:pStyle w:val="17"/>
        <w:kinsoku w:val="0"/>
        <w:overflowPunct w:val="0"/>
        <w:spacing w:line="583" w:lineRule="auto"/>
        <w:ind w:right="4305"/>
        <w:rPr>
          <w:rFonts w:ascii="Times New Roman" w:hAnsi="Times New Roman"/>
          <w:spacing w:val="-3"/>
        </w:rPr>
      </w:pPr>
    </w:p>
    <w:p w14:paraId="7056CAC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AC8A623">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428035E">
      <w:pPr>
        <w:autoSpaceDE w:val="0"/>
        <w:autoSpaceDN w:val="0"/>
        <w:adjustRightInd w:val="0"/>
        <w:snapToGrid w:val="0"/>
        <w:spacing w:line="360" w:lineRule="auto"/>
        <w:rPr>
          <w:color w:val="000000"/>
          <w:sz w:val="24"/>
        </w:rPr>
      </w:pPr>
    </w:p>
    <w:p w14:paraId="171FB309">
      <w:pPr>
        <w:autoSpaceDE w:val="0"/>
        <w:autoSpaceDN w:val="0"/>
        <w:adjustRightInd w:val="0"/>
        <w:snapToGrid w:val="0"/>
        <w:spacing w:line="360" w:lineRule="auto"/>
        <w:rPr>
          <w:color w:val="000000"/>
          <w:sz w:val="24"/>
          <w:lang w:val="zh-CN"/>
        </w:rPr>
      </w:pPr>
      <w:r>
        <w:rPr>
          <w:color w:val="000000"/>
          <w:sz w:val="24"/>
        </w:rPr>
        <w:t>日期：_____年______月______日</w:t>
      </w:r>
    </w:p>
    <w:p w14:paraId="0ED14C41">
      <w:pPr>
        <w:widowControl/>
        <w:jc w:val="left"/>
        <w:rPr>
          <w:i/>
          <w:color w:val="000000"/>
          <w:sz w:val="24"/>
          <w:szCs w:val="20"/>
          <w:u w:val="single"/>
        </w:rPr>
      </w:pPr>
    </w:p>
    <w:p w14:paraId="1B1C27ED">
      <w:pPr>
        <w:widowControl/>
        <w:jc w:val="left"/>
        <w:rPr>
          <w:color w:val="000000"/>
          <w:sz w:val="24"/>
          <w:szCs w:val="20"/>
        </w:rPr>
      </w:pPr>
      <w:r>
        <w:rPr>
          <w:color w:val="000000"/>
          <w:sz w:val="24"/>
          <w:szCs w:val="20"/>
        </w:rPr>
        <w:br w:type="page"/>
      </w:r>
    </w:p>
    <w:p w14:paraId="0A2D5E8F">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14:paraId="0917E52F">
      <w:pPr>
        <w:spacing w:line="360" w:lineRule="exact"/>
        <w:jc w:val="center"/>
        <w:rPr>
          <w:b/>
          <w:color w:val="000000"/>
          <w:sz w:val="36"/>
          <w:szCs w:val="36"/>
        </w:rPr>
      </w:pPr>
      <w:bookmarkStart w:id="892" w:name="_Toc305158900"/>
      <w:bookmarkStart w:id="893" w:name="_Toc226309802"/>
      <w:bookmarkStart w:id="894" w:name="_Toc164608827"/>
      <w:bookmarkStart w:id="895" w:name="_Toc195842923"/>
      <w:bookmarkStart w:id="896" w:name="_Toc265228396"/>
      <w:bookmarkStart w:id="897" w:name="_Toc226965831"/>
      <w:bookmarkStart w:id="898" w:name="_Toc164608672"/>
      <w:bookmarkStart w:id="899" w:name="_Toc305158826"/>
      <w:bookmarkStart w:id="900" w:name="_Toc264969248"/>
      <w:bookmarkStart w:id="901" w:name="_Toc226337254"/>
      <w:bookmarkStart w:id="902" w:name="_Toc226965748"/>
      <w:r>
        <w:rPr>
          <w:b/>
          <w:color w:val="000000"/>
          <w:sz w:val="36"/>
          <w:szCs w:val="36"/>
        </w:rPr>
        <w:t>开标一览表</w:t>
      </w:r>
      <w:bookmarkEnd w:id="892"/>
      <w:bookmarkEnd w:id="893"/>
      <w:bookmarkEnd w:id="894"/>
      <w:bookmarkEnd w:id="895"/>
      <w:bookmarkEnd w:id="896"/>
      <w:bookmarkEnd w:id="897"/>
      <w:bookmarkEnd w:id="898"/>
      <w:bookmarkEnd w:id="899"/>
      <w:bookmarkEnd w:id="900"/>
      <w:bookmarkEnd w:id="901"/>
      <w:bookmarkEnd w:id="902"/>
    </w:p>
    <w:p w14:paraId="2DB8792D">
      <w:pPr>
        <w:tabs>
          <w:tab w:val="left" w:pos="1800"/>
          <w:tab w:val="left" w:pos="5580"/>
        </w:tabs>
        <w:spacing w:line="360" w:lineRule="auto"/>
        <w:jc w:val="left"/>
        <w:rPr>
          <w:i/>
          <w:color w:val="FF0000"/>
          <w:sz w:val="24"/>
        </w:rPr>
      </w:pPr>
    </w:p>
    <w:p w14:paraId="452BD440">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CD6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0630BDF">
            <w:pPr>
              <w:tabs>
                <w:tab w:val="left" w:pos="5580"/>
              </w:tabs>
              <w:jc w:val="center"/>
              <w:rPr>
                <w:b/>
                <w:sz w:val="24"/>
              </w:rPr>
            </w:pPr>
            <w:r>
              <w:rPr>
                <w:b/>
                <w:sz w:val="24"/>
              </w:rPr>
              <w:t>包号</w:t>
            </w:r>
          </w:p>
        </w:tc>
        <w:tc>
          <w:tcPr>
            <w:tcW w:w="2215" w:type="pct"/>
            <w:vMerge w:val="restart"/>
            <w:vAlign w:val="center"/>
          </w:tcPr>
          <w:p w14:paraId="0282A2B8">
            <w:pPr>
              <w:tabs>
                <w:tab w:val="left" w:pos="5580"/>
              </w:tabs>
              <w:jc w:val="center"/>
              <w:rPr>
                <w:b/>
                <w:sz w:val="24"/>
              </w:rPr>
            </w:pPr>
            <w:r>
              <w:rPr>
                <w:b/>
                <w:sz w:val="24"/>
              </w:rPr>
              <w:t>投标人名称</w:t>
            </w:r>
          </w:p>
        </w:tc>
        <w:tc>
          <w:tcPr>
            <w:tcW w:w="2373" w:type="pct"/>
            <w:gridSpan w:val="2"/>
            <w:vAlign w:val="center"/>
          </w:tcPr>
          <w:p w14:paraId="0BD72316">
            <w:pPr>
              <w:tabs>
                <w:tab w:val="left" w:pos="5580"/>
              </w:tabs>
              <w:jc w:val="center"/>
              <w:rPr>
                <w:rFonts w:hint="eastAsia"/>
                <w:b/>
                <w:sz w:val="24"/>
              </w:rPr>
            </w:pPr>
            <w:r>
              <w:rPr>
                <w:rFonts w:hint="eastAsia"/>
                <w:b/>
                <w:sz w:val="24"/>
              </w:rPr>
              <w:t>绿色电力固定价格套餐单价</w:t>
            </w:r>
          </w:p>
          <w:p w14:paraId="53C36067">
            <w:pPr>
              <w:tabs>
                <w:tab w:val="left" w:pos="5580"/>
              </w:tabs>
              <w:jc w:val="center"/>
              <w:rPr>
                <w:b/>
                <w:sz w:val="24"/>
              </w:rPr>
            </w:pPr>
            <w:r>
              <w:rPr>
                <w:rFonts w:hint="eastAsia"/>
                <w:b/>
                <w:sz w:val="24"/>
              </w:rPr>
              <w:t>（单位元/千瓦时）</w:t>
            </w:r>
          </w:p>
        </w:tc>
      </w:tr>
      <w:tr w14:paraId="07FA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2E82F14">
            <w:pPr>
              <w:tabs>
                <w:tab w:val="left" w:pos="5580"/>
              </w:tabs>
              <w:jc w:val="center"/>
              <w:rPr>
                <w:sz w:val="24"/>
              </w:rPr>
            </w:pPr>
          </w:p>
        </w:tc>
        <w:tc>
          <w:tcPr>
            <w:tcW w:w="2215" w:type="pct"/>
            <w:vMerge w:val="continue"/>
            <w:vAlign w:val="center"/>
          </w:tcPr>
          <w:p w14:paraId="0560C73C">
            <w:pPr>
              <w:tabs>
                <w:tab w:val="left" w:pos="5580"/>
              </w:tabs>
              <w:jc w:val="center"/>
              <w:rPr>
                <w:sz w:val="24"/>
              </w:rPr>
            </w:pPr>
          </w:p>
        </w:tc>
        <w:tc>
          <w:tcPr>
            <w:tcW w:w="1188" w:type="pct"/>
            <w:vAlign w:val="center"/>
          </w:tcPr>
          <w:p w14:paraId="301B8BA7">
            <w:pPr>
              <w:tabs>
                <w:tab w:val="left" w:pos="5580"/>
              </w:tabs>
              <w:jc w:val="center"/>
              <w:rPr>
                <w:b/>
                <w:sz w:val="24"/>
              </w:rPr>
            </w:pPr>
            <w:r>
              <w:rPr>
                <w:b/>
                <w:sz w:val="24"/>
              </w:rPr>
              <w:t>大写</w:t>
            </w:r>
          </w:p>
        </w:tc>
        <w:tc>
          <w:tcPr>
            <w:tcW w:w="1182" w:type="pct"/>
            <w:vAlign w:val="center"/>
          </w:tcPr>
          <w:p w14:paraId="2C365FBF">
            <w:pPr>
              <w:tabs>
                <w:tab w:val="left" w:pos="5580"/>
              </w:tabs>
              <w:jc w:val="center"/>
              <w:rPr>
                <w:b/>
                <w:sz w:val="24"/>
              </w:rPr>
            </w:pPr>
            <w:r>
              <w:rPr>
                <w:b/>
                <w:sz w:val="24"/>
              </w:rPr>
              <w:t>小写</w:t>
            </w:r>
          </w:p>
        </w:tc>
      </w:tr>
      <w:tr w14:paraId="2D55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5E9594D">
            <w:pPr>
              <w:tabs>
                <w:tab w:val="left" w:pos="5580"/>
              </w:tabs>
              <w:jc w:val="center"/>
              <w:rPr>
                <w:sz w:val="24"/>
              </w:rPr>
            </w:pPr>
          </w:p>
        </w:tc>
        <w:tc>
          <w:tcPr>
            <w:tcW w:w="2215" w:type="pct"/>
            <w:vAlign w:val="center"/>
          </w:tcPr>
          <w:p w14:paraId="1C6C0B31">
            <w:pPr>
              <w:tabs>
                <w:tab w:val="left" w:pos="5580"/>
              </w:tabs>
              <w:jc w:val="center"/>
              <w:rPr>
                <w:sz w:val="24"/>
              </w:rPr>
            </w:pPr>
          </w:p>
        </w:tc>
        <w:tc>
          <w:tcPr>
            <w:tcW w:w="1188" w:type="pct"/>
            <w:vAlign w:val="center"/>
          </w:tcPr>
          <w:p w14:paraId="0F30A99D">
            <w:pPr>
              <w:tabs>
                <w:tab w:val="left" w:pos="5580"/>
              </w:tabs>
              <w:jc w:val="center"/>
              <w:rPr>
                <w:sz w:val="24"/>
              </w:rPr>
            </w:pPr>
          </w:p>
        </w:tc>
        <w:tc>
          <w:tcPr>
            <w:tcW w:w="1182" w:type="pct"/>
            <w:vAlign w:val="center"/>
          </w:tcPr>
          <w:p w14:paraId="48F3312F">
            <w:pPr>
              <w:tabs>
                <w:tab w:val="left" w:pos="5580"/>
              </w:tabs>
              <w:jc w:val="center"/>
              <w:rPr>
                <w:sz w:val="24"/>
              </w:rPr>
            </w:pPr>
          </w:p>
        </w:tc>
      </w:tr>
    </w:tbl>
    <w:p w14:paraId="04301842">
      <w:pPr>
        <w:autoSpaceDE w:val="0"/>
        <w:autoSpaceDN w:val="0"/>
        <w:adjustRightInd w:val="0"/>
        <w:jc w:val="left"/>
        <w:rPr>
          <w:color w:val="000000"/>
          <w:kern w:val="0"/>
          <w:sz w:val="24"/>
        </w:rPr>
      </w:pPr>
    </w:p>
    <w:p w14:paraId="32EF0FE3">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11E7C211">
      <w:pPr>
        <w:tabs>
          <w:tab w:val="left" w:pos="5580"/>
        </w:tabs>
        <w:ind w:firstLine="480" w:firstLineChars="200"/>
        <w:rPr>
          <w:color w:val="000000"/>
          <w:sz w:val="24"/>
          <w:szCs w:val="20"/>
        </w:rPr>
      </w:pPr>
      <w:r>
        <w:rPr>
          <w:color w:val="000000"/>
          <w:sz w:val="24"/>
          <w:szCs w:val="20"/>
        </w:rPr>
        <w:t>2.本表必须按包分别填写。</w:t>
      </w:r>
    </w:p>
    <w:p w14:paraId="1A1AD748">
      <w:pPr>
        <w:autoSpaceDE w:val="0"/>
        <w:autoSpaceDN w:val="0"/>
        <w:adjustRightInd w:val="0"/>
        <w:snapToGrid w:val="0"/>
        <w:spacing w:before="25" w:after="25" w:line="360" w:lineRule="auto"/>
        <w:rPr>
          <w:color w:val="000000"/>
          <w:sz w:val="24"/>
          <w:lang w:val="zh-CN"/>
        </w:rPr>
      </w:pPr>
    </w:p>
    <w:p w14:paraId="5D1831A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09D418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4DD82A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DA79B05">
      <w:pPr>
        <w:widowControl/>
        <w:jc w:val="left"/>
        <w:rPr>
          <w:color w:val="000000"/>
          <w:sz w:val="24"/>
          <w:szCs w:val="20"/>
        </w:rPr>
      </w:pPr>
      <w:bookmarkStart w:id="903" w:name="_Toc142311060"/>
      <w:bookmarkStart w:id="904" w:name="_Toc150480796"/>
      <w:bookmarkStart w:id="905" w:name="_Toc226337255"/>
      <w:bookmarkStart w:id="906" w:name="_Toc305158901"/>
      <w:bookmarkStart w:id="907" w:name="_Toc226309803"/>
      <w:bookmarkStart w:id="908" w:name="_Toc226965832"/>
      <w:bookmarkStart w:id="909" w:name="_Toc226965749"/>
      <w:bookmarkStart w:id="910" w:name="_Toc264969249"/>
      <w:bookmarkStart w:id="911" w:name="_Toc195842924"/>
      <w:bookmarkStart w:id="912" w:name="_Toc150774763"/>
      <w:bookmarkStart w:id="913" w:name="_Toc305158827"/>
      <w:bookmarkStart w:id="914" w:name="_Toc265228397"/>
      <w:bookmarkStart w:id="915" w:name="_Toc127151558"/>
    </w:p>
    <w:p w14:paraId="4B8A954D">
      <w:pPr>
        <w:widowControl/>
        <w:jc w:val="left"/>
        <w:rPr>
          <w:color w:val="000000"/>
          <w:sz w:val="24"/>
          <w:szCs w:val="20"/>
        </w:rPr>
      </w:pPr>
    </w:p>
    <w:p w14:paraId="612E7E65">
      <w:pPr>
        <w:numPr>
          <w:ilvl w:val="0"/>
          <w:numId w:val="18"/>
        </w:numPr>
        <w:tabs>
          <w:tab w:val="left" w:pos="360"/>
        </w:tabs>
        <w:snapToGrid w:val="0"/>
        <w:spacing w:line="360" w:lineRule="auto"/>
        <w:outlineLvl w:val="1"/>
        <w:rPr>
          <w:color w:val="000000"/>
          <w:sz w:val="24"/>
          <w:szCs w:val="20"/>
        </w:rPr>
        <w:sectPr>
          <w:headerReference r:id="rId29" w:type="first"/>
          <w:footerReference r:id="rId31" w:type="first"/>
          <w:headerReference r:id="rId28" w:type="even"/>
          <w:footerReference r:id="rId30" w:type="even"/>
          <w:pgSz w:w="11907" w:h="16840"/>
          <w:pgMar w:top="1418" w:right="1134" w:bottom="1418" w:left="1701" w:header="851" w:footer="851" w:gutter="0"/>
          <w:cols w:space="720" w:num="1"/>
          <w:docGrid w:linePitch="462" w:charSpace="0"/>
        </w:sectPr>
      </w:pPr>
    </w:p>
    <w:p w14:paraId="22F3BE5E">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000000"/>
          <w:sz w:val="24"/>
          <w:szCs w:val="20"/>
        </w:rPr>
        <w:t>（</w:t>
      </w:r>
      <w:r>
        <w:rPr>
          <w:rFonts w:hint="eastAsia"/>
          <w:color w:val="000000"/>
          <w:sz w:val="24"/>
          <w:szCs w:val="20"/>
          <w:lang w:val="en-US" w:eastAsia="zh-CN"/>
        </w:rPr>
        <w:t>不涉及</w:t>
      </w:r>
      <w:r>
        <w:rPr>
          <w:color w:val="000000"/>
          <w:sz w:val="24"/>
          <w:szCs w:val="20"/>
        </w:rPr>
        <w:t>）</w:t>
      </w:r>
    </w:p>
    <w:p w14:paraId="14436F5A">
      <w:pPr>
        <w:rPr>
          <w:color w:val="000000"/>
          <w:sz w:val="24"/>
          <w:szCs w:val="20"/>
        </w:rPr>
      </w:pPr>
      <w:bookmarkStart w:id="916" w:name="_Toc127151562"/>
      <w:bookmarkStart w:id="917" w:name="_Toc226309806"/>
      <w:bookmarkStart w:id="918" w:name="_Toc265228400"/>
      <w:bookmarkStart w:id="919" w:name="_Toc142311062"/>
      <w:bookmarkStart w:id="920" w:name="_Toc226337258"/>
      <w:bookmarkStart w:id="921" w:name="_Toc150774765"/>
      <w:bookmarkStart w:id="922" w:name="_Toc226965835"/>
      <w:bookmarkStart w:id="923" w:name="_Toc305158904"/>
      <w:bookmarkStart w:id="924" w:name="_Toc264969252"/>
      <w:bookmarkStart w:id="925" w:name="_Toc226965752"/>
      <w:bookmarkStart w:id="926" w:name="_Toc305158830"/>
      <w:bookmarkStart w:id="927" w:name="_Toc195842927"/>
      <w:bookmarkStart w:id="928" w:name="_Toc150480798"/>
      <w:bookmarkStart w:id="929" w:name="_Toc264969251"/>
      <w:bookmarkStart w:id="930" w:name="_Toc150774764"/>
      <w:bookmarkStart w:id="931" w:name="_Toc226337257"/>
      <w:bookmarkStart w:id="932" w:name="_Toc305158903"/>
      <w:bookmarkStart w:id="933" w:name="_Toc142311061"/>
      <w:bookmarkStart w:id="934" w:name="_Toc226965751"/>
      <w:bookmarkStart w:id="935" w:name="_Toc195842926"/>
      <w:bookmarkStart w:id="936" w:name="_Toc150480797"/>
      <w:bookmarkStart w:id="937" w:name="_Toc226309805"/>
      <w:bookmarkStart w:id="938" w:name="_Toc305158829"/>
      <w:bookmarkStart w:id="939" w:name="_Toc265228399"/>
      <w:bookmarkStart w:id="940" w:name="_Toc127151561"/>
      <w:bookmarkStart w:id="941" w:name="_Toc226965834"/>
      <w:r>
        <w:rPr>
          <w:color w:val="000000"/>
          <w:sz w:val="24"/>
          <w:szCs w:val="20"/>
        </w:rPr>
        <w:br w:type="page"/>
      </w:r>
    </w:p>
    <w:p w14:paraId="358C841D">
      <w:pPr>
        <w:numPr>
          <w:ilvl w:val="0"/>
          <w:numId w:val="18"/>
        </w:numPr>
        <w:tabs>
          <w:tab w:val="left" w:pos="360"/>
        </w:tabs>
        <w:snapToGrid w:val="0"/>
        <w:spacing w:line="360" w:lineRule="auto"/>
        <w:outlineLvl w:val="1"/>
        <w:rPr>
          <w:color w:val="000000"/>
          <w:sz w:val="24"/>
          <w:szCs w:val="20"/>
        </w:rPr>
      </w:pPr>
      <w:r>
        <w:rPr>
          <w:color w:val="000000"/>
          <w:sz w:val="24"/>
          <w:szCs w:val="20"/>
        </w:rPr>
        <w:t>合同条款偏离表</w:t>
      </w:r>
      <w:bookmarkEnd w:id="916"/>
      <w:bookmarkEnd w:id="917"/>
      <w:bookmarkEnd w:id="918"/>
      <w:bookmarkEnd w:id="919"/>
      <w:bookmarkEnd w:id="920"/>
      <w:bookmarkEnd w:id="921"/>
      <w:bookmarkEnd w:id="922"/>
      <w:bookmarkEnd w:id="923"/>
      <w:bookmarkEnd w:id="924"/>
      <w:bookmarkEnd w:id="925"/>
      <w:bookmarkEnd w:id="926"/>
      <w:bookmarkEnd w:id="927"/>
      <w:bookmarkEnd w:id="928"/>
      <w:r>
        <w:rPr>
          <w:color w:val="000000"/>
          <w:sz w:val="24"/>
          <w:szCs w:val="20"/>
        </w:rPr>
        <w:t>（实质性格式）</w:t>
      </w:r>
    </w:p>
    <w:p w14:paraId="57A4F7C2">
      <w:pPr>
        <w:spacing w:line="360" w:lineRule="auto"/>
        <w:rPr>
          <w:color w:val="000000"/>
          <w:sz w:val="24"/>
          <w:szCs w:val="20"/>
        </w:rPr>
      </w:pPr>
    </w:p>
    <w:p w14:paraId="45A15129">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697B237">
      <w:pPr>
        <w:spacing w:line="360" w:lineRule="auto"/>
        <w:rPr>
          <w:color w:val="000000"/>
          <w:sz w:val="24"/>
          <w:szCs w:val="20"/>
        </w:rPr>
      </w:pPr>
    </w:p>
    <w:p w14:paraId="5E956694">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018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20374AB">
            <w:pPr>
              <w:adjustRightInd w:val="0"/>
              <w:snapToGrid w:val="0"/>
              <w:jc w:val="center"/>
              <w:rPr>
                <w:color w:val="000000"/>
                <w:sz w:val="24"/>
              </w:rPr>
            </w:pPr>
            <w:bookmarkStart w:id="942" w:name="_Hlk144279231"/>
            <w:r>
              <w:rPr>
                <w:color w:val="000000"/>
                <w:sz w:val="24"/>
              </w:rPr>
              <w:t>序号</w:t>
            </w:r>
          </w:p>
        </w:tc>
        <w:tc>
          <w:tcPr>
            <w:tcW w:w="1646" w:type="dxa"/>
            <w:vAlign w:val="center"/>
          </w:tcPr>
          <w:p w14:paraId="76339A9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7A7BCA85">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115180B">
            <w:pPr>
              <w:adjustRightInd w:val="0"/>
              <w:snapToGrid w:val="0"/>
              <w:jc w:val="center"/>
              <w:rPr>
                <w:color w:val="000000"/>
                <w:sz w:val="24"/>
              </w:rPr>
            </w:pPr>
            <w:r>
              <w:rPr>
                <w:color w:val="000000"/>
                <w:sz w:val="24"/>
              </w:rPr>
              <w:t>投标文件内容</w:t>
            </w:r>
          </w:p>
        </w:tc>
        <w:tc>
          <w:tcPr>
            <w:tcW w:w="1925" w:type="dxa"/>
            <w:vAlign w:val="center"/>
          </w:tcPr>
          <w:p w14:paraId="2C7B5477">
            <w:pPr>
              <w:adjustRightInd w:val="0"/>
              <w:snapToGrid w:val="0"/>
              <w:jc w:val="center"/>
              <w:rPr>
                <w:color w:val="000000"/>
                <w:sz w:val="24"/>
              </w:rPr>
            </w:pPr>
            <w:r>
              <w:rPr>
                <w:color w:val="000000"/>
                <w:sz w:val="24"/>
              </w:rPr>
              <w:t>偏离情况</w:t>
            </w:r>
          </w:p>
        </w:tc>
        <w:tc>
          <w:tcPr>
            <w:tcW w:w="1045" w:type="dxa"/>
            <w:vAlign w:val="center"/>
          </w:tcPr>
          <w:p w14:paraId="1C37CC2A">
            <w:pPr>
              <w:adjustRightInd w:val="0"/>
              <w:snapToGrid w:val="0"/>
              <w:jc w:val="center"/>
              <w:rPr>
                <w:color w:val="000000"/>
                <w:sz w:val="24"/>
              </w:rPr>
            </w:pPr>
            <w:r>
              <w:rPr>
                <w:color w:val="000000"/>
                <w:sz w:val="24"/>
              </w:rPr>
              <w:t>说明</w:t>
            </w:r>
          </w:p>
        </w:tc>
      </w:tr>
      <w:tr w14:paraId="0BD7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42D98EB">
            <w:pPr>
              <w:adjustRightInd w:val="0"/>
              <w:snapToGrid w:val="0"/>
              <w:jc w:val="left"/>
              <w:rPr>
                <w:rFonts w:hint="eastAsia" w:asciiTheme="minorEastAsia" w:hAnsiTheme="minorEastAsia" w:eastAsiaTheme="minorEastAsia"/>
                <w:bCs/>
                <w:color w:val="000000"/>
                <w:sz w:val="24"/>
              </w:rPr>
            </w:pPr>
            <w:r>
              <w:rPr>
                <w:rFonts w:asciiTheme="minorEastAsia" w:hAnsiTheme="minorEastAsia" w:eastAsiaTheme="minorEastAsia"/>
                <w:b/>
                <w:color w:val="000000"/>
                <w:sz w:val="24"/>
              </w:rPr>
              <w:t>对本项目合同条款的偏离情况</w:t>
            </w:r>
            <w:r>
              <w:rPr>
                <w:rFonts w:asciiTheme="minorEastAsia" w:hAnsiTheme="minorEastAsia" w:eastAsiaTheme="minorEastAsia"/>
                <w:bCs/>
                <w:color w:val="000000"/>
                <w:sz w:val="24"/>
              </w:rPr>
              <w:t>（应进行选择，未选择</w:t>
            </w:r>
            <w:r>
              <w:rPr>
                <w:rFonts w:asciiTheme="minorEastAsia" w:hAnsiTheme="minorEastAsia" w:eastAsiaTheme="minorEastAsia"/>
                <w:b/>
                <w:color w:val="000000"/>
                <w:sz w:val="24"/>
              </w:rPr>
              <w:t>投标无效</w:t>
            </w:r>
            <w:r>
              <w:rPr>
                <w:rFonts w:asciiTheme="minorEastAsia" w:hAnsiTheme="minorEastAsia" w:eastAsiaTheme="minorEastAsia"/>
                <w:bCs/>
                <w:color w:val="000000"/>
                <w:sz w:val="24"/>
              </w:rPr>
              <w:t>）：</w:t>
            </w:r>
          </w:p>
          <w:p w14:paraId="299715C5">
            <w:pPr>
              <w:adjustRightInd w:val="0"/>
              <w:snapToGrid w:val="0"/>
              <w:jc w:val="left"/>
              <w:rPr>
                <w:rFonts w:hint="eastAsia" w:asciiTheme="minorEastAsia" w:hAnsiTheme="minorEastAsia" w:eastAsiaTheme="minorEastAsia"/>
                <w:color w:val="000000"/>
                <w:sz w:val="24"/>
              </w:rPr>
            </w:pPr>
            <w:r>
              <w:rPr>
                <w:rFonts w:asciiTheme="minorEastAsia" w:hAnsiTheme="minorEastAsia" w:eastAsiaTheme="minorEastAsia"/>
                <w:b/>
                <w:color w:val="000000"/>
                <w:sz w:val="24"/>
              </w:rPr>
              <w:t>□无偏离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如无偏离，仅选择无偏离即可；</w:t>
            </w:r>
            <w:r>
              <w:rPr>
                <w:rFonts w:asciiTheme="minorEastAsia" w:hAnsiTheme="minorEastAsia" w:eastAsiaTheme="minorEastAsia"/>
                <w:bCs/>
                <w:color w:val="000000"/>
                <w:sz w:val="24"/>
              </w:rPr>
              <w:t>无偏离即为</w:t>
            </w:r>
            <w:r>
              <w:rPr>
                <w:rFonts w:asciiTheme="minorEastAsia" w:hAnsiTheme="minorEastAsia" w:eastAsiaTheme="minorEastAsia"/>
                <w:sz w:val="24"/>
              </w:rPr>
              <w:t>对合同条款中的所有要求，均视作供应商已对之理解和响应。</w:t>
            </w:r>
            <w:r>
              <w:rPr>
                <w:rFonts w:asciiTheme="minorEastAsia" w:hAnsiTheme="minorEastAsia" w:eastAsiaTheme="minorEastAsia"/>
                <w:color w:val="000000"/>
                <w:sz w:val="24"/>
              </w:rPr>
              <w:t>）</w:t>
            </w:r>
          </w:p>
          <w:p w14:paraId="6D3148D0">
            <w:pPr>
              <w:adjustRightInd w:val="0"/>
              <w:snapToGrid w:val="0"/>
              <w:jc w:val="left"/>
              <w:rPr>
                <w:color w:val="000000"/>
                <w:sz w:val="24"/>
              </w:rPr>
            </w:pPr>
            <w:r>
              <w:rPr>
                <w:rFonts w:asciiTheme="minorEastAsia" w:hAnsiTheme="minorEastAsia" w:eastAsiaTheme="minorEastAsia"/>
                <w:b/>
                <w:color w:val="000000"/>
                <w:sz w:val="24"/>
              </w:rPr>
              <w:t>□有偏离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如有偏离，</w:t>
            </w:r>
            <w:r>
              <w:rPr>
                <w:rFonts w:asciiTheme="minorEastAsia" w:hAnsiTheme="minorEastAsia" w:eastAsiaTheme="minorEastAsia"/>
                <w:color w:val="000000"/>
                <w:sz w:val="24"/>
              </w:rPr>
              <w:t>则应在本表中对</w:t>
            </w:r>
            <w:r>
              <w:rPr>
                <w:rFonts w:hint="eastAsia" w:asciiTheme="minorEastAsia" w:hAnsiTheme="minorEastAsia" w:eastAsiaTheme="minorEastAsia"/>
                <w:color w:val="000000"/>
                <w:sz w:val="24"/>
              </w:rPr>
              <w:t>负</w:t>
            </w:r>
            <w:r>
              <w:rPr>
                <w:rFonts w:asciiTheme="minorEastAsia" w:hAnsiTheme="minorEastAsia" w:eastAsiaTheme="minorEastAsia"/>
                <w:color w:val="000000"/>
                <w:sz w:val="24"/>
              </w:rPr>
              <w:t>偏离项逐一列明，否则</w:t>
            </w:r>
            <w:r>
              <w:rPr>
                <w:rFonts w:asciiTheme="minorEastAsia" w:hAnsiTheme="minorEastAsia" w:eastAsiaTheme="minorEastAsia"/>
                <w:b/>
                <w:bCs/>
                <w:color w:val="000000"/>
                <w:sz w:val="24"/>
              </w:rPr>
              <w:t>投标无效</w:t>
            </w:r>
            <w:r>
              <w:rPr>
                <w:rFonts w:asciiTheme="minorEastAsia" w:hAnsiTheme="minorEastAsia" w:eastAsiaTheme="minorEastAsia"/>
                <w:color w:val="000000"/>
                <w:sz w:val="24"/>
              </w:rPr>
              <w:t>；</w:t>
            </w:r>
            <w:r>
              <w:rPr>
                <w:rFonts w:asciiTheme="minorEastAsia" w:hAnsiTheme="minorEastAsia" w:eastAsiaTheme="minorEastAsia"/>
                <w:sz w:val="24"/>
              </w:rPr>
              <w:t>对合同条款中的所有要求，除本表列明的偏离外，均视作供应商已对之理解和响应。</w:t>
            </w:r>
            <w:r>
              <w:rPr>
                <w:rFonts w:asciiTheme="minorEastAsia" w:hAnsiTheme="minorEastAsia" w:eastAsiaTheme="minorEastAsia"/>
                <w:color w:val="000000"/>
                <w:sz w:val="24"/>
              </w:rPr>
              <w:t>）</w:t>
            </w:r>
          </w:p>
        </w:tc>
      </w:tr>
      <w:tr w14:paraId="032D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F7F09F">
            <w:pPr>
              <w:adjustRightInd w:val="0"/>
              <w:snapToGrid w:val="0"/>
              <w:jc w:val="center"/>
              <w:rPr>
                <w:color w:val="000000"/>
                <w:sz w:val="24"/>
              </w:rPr>
            </w:pPr>
          </w:p>
        </w:tc>
        <w:tc>
          <w:tcPr>
            <w:tcW w:w="1646" w:type="dxa"/>
            <w:vAlign w:val="center"/>
          </w:tcPr>
          <w:p w14:paraId="46F5E4D5">
            <w:pPr>
              <w:adjustRightInd w:val="0"/>
              <w:snapToGrid w:val="0"/>
              <w:jc w:val="center"/>
              <w:rPr>
                <w:color w:val="000000"/>
                <w:sz w:val="24"/>
              </w:rPr>
            </w:pPr>
          </w:p>
        </w:tc>
        <w:tc>
          <w:tcPr>
            <w:tcW w:w="1688" w:type="dxa"/>
            <w:vAlign w:val="center"/>
          </w:tcPr>
          <w:p w14:paraId="5F57CB41">
            <w:pPr>
              <w:adjustRightInd w:val="0"/>
              <w:snapToGrid w:val="0"/>
              <w:jc w:val="center"/>
              <w:rPr>
                <w:color w:val="000000"/>
                <w:sz w:val="24"/>
              </w:rPr>
            </w:pPr>
          </w:p>
        </w:tc>
        <w:tc>
          <w:tcPr>
            <w:tcW w:w="1688" w:type="dxa"/>
            <w:vAlign w:val="center"/>
          </w:tcPr>
          <w:p w14:paraId="25763BC5">
            <w:pPr>
              <w:adjustRightInd w:val="0"/>
              <w:snapToGrid w:val="0"/>
              <w:jc w:val="center"/>
              <w:rPr>
                <w:color w:val="000000"/>
                <w:sz w:val="24"/>
              </w:rPr>
            </w:pPr>
          </w:p>
        </w:tc>
        <w:tc>
          <w:tcPr>
            <w:tcW w:w="1925" w:type="dxa"/>
            <w:vAlign w:val="center"/>
          </w:tcPr>
          <w:p w14:paraId="3CB01B1C">
            <w:pPr>
              <w:adjustRightInd w:val="0"/>
              <w:snapToGrid w:val="0"/>
              <w:jc w:val="center"/>
              <w:rPr>
                <w:color w:val="000000"/>
                <w:sz w:val="24"/>
              </w:rPr>
            </w:pPr>
          </w:p>
        </w:tc>
        <w:tc>
          <w:tcPr>
            <w:tcW w:w="1045" w:type="dxa"/>
            <w:vAlign w:val="center"/>
          </w:tcPr>
          <w:p w14:paraId="2A43A3E8">
            <w:pPr>
              <w:adjustRightInd w:val="0"/>
              <w:snapToGrid w:val="0"/>
              <w:jc w:val="center"/>
              <w:rPr>
                <w:color w:val="000000"/>
                <w:sz w:val="24"/>
              </w:rPr>
            </w:pPr>
          </w:p>
        </w:tc>
      </w:tr>
      <w:tr w14:paraId="0372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CAC141">
            <w:pPr>
              <w:adjustRightInd w:val="0"/>
              <w:snapToGrid w:val="0"/>
              <w:jc w:val="center"/>
              <w:rPr>
                <w:color w:val="000000"/>
                <w:sz w:val="24"/>
              </w:rPr>
            </w:pPr>
          </w:p>
        </w:tc>
        <w:tc>
          <w:tcPr>
            <w:tcW w:w="1646" w:type="dxa"/>
            <w:vAlign w:val="center"/>
          </w:tcPr>
          <w:p w14:paraId="3B21D4EC">
            <w:pPr>
              <w:adjustRightInd w:val="0"/>
              <w:snapToGrid w:val="0"/>
              <w:jc w:val="center"/>
              <w:rPr>
                <w:color w:val="000000"/>
                <w:sz w:val="24"/>
              </w:rPr>
            </w:pPr>
          </w:p>
        </w:tc>
        <w:tc>
          <w:tcPr>
            <w:tcW w:w="1688" w:type="dxa"/>
            <w:vAlign w:val="center"/>
          </w:tcPr>
          <w:p w14:paraId="72A8BA66">
            <w:pPr>
              <w:adjustRightInd w:val="0"/>
              <w:snapToGrid w:val="0"/>
              <w:jc w:val="center"/>
              <w:rPr>
                <w:color w:val="000000"/>
                <w:sz w:val="24"/>
              </w:rPr>
            </w:pPr>
          </w:p>
        </w:tc>
        <w:tc>
          <w:tcPr>
            <w:tcW w:w="1688" w:type="dxa"/>
            <w:vAlign w:val="center"/>
          </w:tcPr>
          <w:p w14:paraId="55B17189">
            <w:pPr>
              <w:adjustRightInd w:val="0"/>
              <w:snapToGrid w:val="0"/>
              <w:jc w:val="center"/>
              <w:rPr>
                <w:color w:val="000000"/>
                <w:sz w:val="24"/>
              </w:rPr>
            </w:pPr>
          </w:p>
        </w:tc>
        <w:tc>
          <w:tcPr>
            <w:tcW w:w="1925" w:type="dxa"/>
            <w:vAlign w:val="center"/>
          </w:tcPr>
          <w:p w14:paraId="40F0C36F">
            <w:pPr>
              <w:adjustRightInd w:val="0"/>
              <w:snapToGrid w:val="0"/>
              <w:jc w:val="center"/>
              <w:rPr>
                <w:color w:val="000000"/>
                <w:sz w:val="24"/>
              </w:rPr>
            </w:pPr>
          </w:p>
        </w:tc>
        <w:tc>
          <w:tcPr>
            <w:tcW w:w="1045" w:type="dxa"/>
            <w:vAlign w:val="center"/>
          </w:tcPr>
          <w:p w14:paraId="34CAD502">
            <w:pPr>
              <w:adjustRightInd w:val="0"/>
              <w:snapToGrid w:val="0"/>
              <w:jc w:val="center"/>
              <w:rPr>
                <w:color w:val="000000"/>
                <w:sz w:val="24"/>
              </w:rPr>
            </w:pPr>
          </w:p>
        </w:tc>
      </w:tr>
      <w:tr w14:paraId="044F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63DE37F">
            <w:pPr>
              <w:adjustRightInd w:val="0"/>
              <w:snapToGrid w:val="0"/>
              <w:jc w:val="center"/>
              <w:rPr>
                <w:color w:val="000000"/>
                <w:sz w:val="24"/>
              </w:rPr>
            </w:pPr>
          </w:p>
        </w:tc>
        <w:tc>
          <w:tcPr>
            <w:tcW w:w="1646" w:type="dxa"/>
            <w:vAlign w:val="center"/>
          </w:tcPr>
          <w:p w14:paraId="652C20F0">
            <w:pPr>
              <w:adjustRightInd w:val="0"/>
              <w:snapToGrid w:val="0"/>
              <w:jc w:val="center"/>
              <w:rPr>
                <w:color w:val="000000"/>
                <w:sz w:val="24"/>
              </w:rPr>
            </w:pPr>
          </w:p>
        </w:tc>
        <w:tc>
          <w:tcPr>
            <w:tcW w:w="1688" w:type="dxa"/>
            <w:vAlign w:val="center"/>
          </w:tcPr>
          <w:p w14:paraId="2D38B9E3">
            <w:pPr>
              <w:adjustRightInd w:val="0"/>
              <w:snapToGrid w:val="0"/>
              <w:jc w:val="center"/>
              <w:rPr>
                <w:color w:val="000000"/>
                <w:sz w:val="24"/>
              </w:rPr>
            </w:pPr>
          </w:p>
        </w:tc>
        <w:tc>
          <w:tcPr>
            <w:tcW w:w="1688" w:type="dxa"/>
            <w:vAlign w:val="center"/>
          </w:tcPr>
          <w:p w14:paraId="4B4FA8C3">
            <w:pPr>
              <w:adjustRightInd w:val="0"/>
              <w:snapToGrid w:val="0"/>
              <w:jc w:val="center"/>
              <w:rPr>
                <w:color w:val="000000"/>
                <w:sz w:val="24"/>
              </w:rPr>
            </w:pPr>
          </w:p>
        </w:tc>
        <w:tc>
          <w:tcPr>
            <w:tcW w:w="1925" w:type="dxa"/>
            <w:vAlign w:val="center"/>
          </w:tcPr>
          <w:p w14:paraId="72595C8E">
            <w:pPr>
              <w:adjustRightInd w:val="0"/>
              <w:snapToGrid w:val="0"/>
              <w:jc w:val="center"/>
              <w:rPr>
                <w:color w:val="000000"/>
                <w:sz w:val="24"/>
              </w:rPr>
            </w:pPr>
          </w:p>
        </w:tc>
        <w:tc>
          <w:tcPr>
            <w:tcW w:w="1045" w:type="dxa"/>
            <w:vAlign w:val="center"/>
          </w:tcPr>
          <w:p w14:paraId="5D3F2A95">
            <w:pPr>
              <w:adjustRightInd w:val="0"/>
              <w:snapToGrid w:val="0"/>
              <w:jc w:val="center"/>
              <w:rPr>
                <w:color w:val="000000"/>
                <w:sz w:val="24"/>
              </w:rPr>
            </w:pPr>
          </w:p>
        </w:tc>
      </w:tr>
      <w:tr w14:paraId="269D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76A928">
            <w:pPr>
              <w:adjustRightInd w:val="0"/>
              <w:snapToGrid w:val="0"/>
              <w:jc w:val="center"/>
              <w:rPr>
                <w:color w:val="000000"/>
                <w:sz w:val="24"/>
              </w:rPr>
            </w:pPr>
          </w:p>
        </w:tc>
        <w:tc>
          <w:tcPr>
            <w:tcW w:w="1646" w:type="dxa"/>
            <w:vAlign w:val="center"/>
          </w:tcPr>
          <w:p w14:paraId="5ABD342B">
            <w:pPr>
              <w:adjustRightInd w:val="0"/>
              <w:snapToGrid w:val="0"/>
              <w:jc w:val="center"/>
              <w:rPr>
                <w:color w:val="000000"/>
                <w:sz w:val="24"/>
              </w:rPr>
            </w:pPr>
          </w:p>
        </w:tc>
        <w:tc>
          <w:tcPr>
            <w:tcW w:w="1688" w:type="dxa"/>
            <w:vAlign w:val="center"/>
          </w:tcPr>
          <w:p w14:paraId="06DCF56C">
            <w:pPr>
              <w:adjustRightInd w:val="0"/>
              <w:snapToGrid w:val="0"/>
              <w:jc w:val="center"/>
              <w:rPr>
                <w:color w:val="000000"/>
                <w:sz w:val="24"/>
              </w:rPr>
            </w:pPr>
          </w:p>
        </w:tc>
        <w:tc>
          <w:tcPr>
            <w:tcW w:w="1688" w:type="dxa"/>
            <w:vAlign w:val="center"/>
          </w:tcPr>
          <w:p w14:paraId="777D40B4">
            <w:pPr>
              <w:adjustRightInd w:val="0"/>
              <w:snapToGrid w:val="0"/>
              <w:jc w:val="center"/>
              <w:rPr>
                <w:color w:val="000000"/>
                <w:sz w:val="24"/>
              </w:rPr>
            </w:pPr>
          </w:p>
        </w:tc>
        <w:tc>
          <w:tcPr>
            <w:tcW w:w="1925" w:type="dxa"/>
            <w:vAlign w:val="center"/>
          </w:tcPr>
          <w:p w14:paraId="6A6C5EB0">
            <w:pPr>
              <w:adjustRightInd w:val="0"/>
              <w:snapToGrid w:val="0"/>
              <w:jc w:val="center"/>
              <w:rPr>
                <w:color w:val="000000"/>
                <w:sz w:val="24"/>
              </w:rPr>
            </w:pPr>
          </w:p>
        </w:tc>
        <w:tc>
          <w:tcPr>
            <w:tcW w:w="1045" w:type="dxa"/>
            <w:vAlign w:val="center"/>
          </w:tcPr>
          <w:p w14:paraId="0E8E7A67">
            <w:pPr>
              <w:adjustRightInd w:val="0"/>
              <w:snapToGrid w:val="0"/>
              <w:jc w:val="center"/>
              <w:rPr>
                <w:color w:val="000000"/>
                <w:sz w:val="24"/>
              </w:rPr>
            </w:pPr>
          </w:p>
        </w:tc>
      </w:tr>
      <w:bookmarkEnd w:id="942"/>
    </w:tbl>
    <w:p w14:paraId="66AD5824">
      <w:pPr>
        <w:tabs>
          <w:tab w:val="left" w:pos="1800"/>
          <w:tab w:val="left" w:pos="5580"/>
        </w:tabs>
        <w:jc w:val="left"/>
        <w:rPr>
          <w:color w:val="000000"/>
          <w:sz w:val="24"/>
        </w:rPr>
      </w:pPr>
    </w:p>
    <w:p w14:paraId="7D4B67B0">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47EB5CD1">
      <w:pPr>
        <w:spacing w:line="360" w:lineRule="auto"/>
        <w:rPr>
          <w:color w:val="000000"/>
          <w:sz w:val="24"/>
          <w:szCs w:val="20"/>
        </w:rPr>
      </w:pPr>
    </w:p>
    <w:p w14:paraId="1DBF1CE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196E4D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CCFD29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047AFF9">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29"/>
      <w:bookmarkEnd w:id="930"/>
      <w:bookmarkEnd w:id="931"/>
      <w:bookmarkEnd w:id="932"/>
      <w:bookmarkEnd w:id="933"/>
      <w:bookmarkEnd w:id="934"/>
      <w:bookmarkEnd w:id="935"/>
      <w:bookmarkEnd w:id="936"/>
      <w:bookmarkEnd w:id="937"/>
      <w:bookmarkEnd w:id="938"/>
      <w:bookmarkEnd w:id="939"/>
      <w:bookmarkEnd w:id="940"/>
      <w:bookmarkEnd w:id="941"/>
      <w:r>
        <w:rPr>
          <w:color w:val="000000"/>
          <w:sz w:val="24"/>
          <w:szCs w:val="20"/>
        </w:rPr>
        <w:t>采购需求偏离表（实质性格式）</w:t>
      </w:r>
    </w:p>
    <w:p w14:paraId="54F6A0CA">
      <w:pPr>
        <w:autoSpaceDE w:val="0"/>
        <w:autoSpaceDN w:val="0"/>
        <w:adjustRightInd w:val="0"/>
        <w:spacing w:line="360" w:lineRule="auto"/>
        <w:jc w:val="center"/>
        <w:rPr>
          <w:b/>
          <w:color w:val="000000"/>
          <w:sz w:val="36"/>
          <w:szCs w:val="36"/>
        </w:rPr>
      </w:pPr>
      <w:r>
        <w:rPr>
          <w:b/>
          <w:color w:val="000000"/>
          <w:sz w:val="36"/>
          <w:szCs w:val="36"/>
        </w:rPr>
        <w:t>采购需求偏离表</w:t>
      </w:r>
    </w:p>
    <w:p w14:paraId="204B52F2">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5F2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6AF731D">
            <w:pPr>
              <w:adjustRightInd w:val="0"/>
              <w:snapToGrid w:val="0"/>
              <w:jc w:val="center"/>
              <w:rPr>
                <w:color w:val="000000"/>
                <w:sz w:val="24"/>
              </w:rPr>
            </w:pPr>
            <w:r>
              <w:rPr>
                <w:color w:val="000000"/>
                <w:sz w:val="24"/>
              </w:rPr>
              <w:t>序号</w:t>
            </w:r>
          </w:p>
        </w:tc>
        <w:tc>
          <w:tcPr>
            <w:tcW w:w="1482" w:type="dxa"/>
            <w:vAlign w:val="center"/>
          </w:tcPr>
          <w:p w14:paraId="5CFB1B12">
            <w:pPr>
              <w:adjustRightInd w:val="0"/>
              <w:snapToGrid w:val="0"/>
              <w:jc w:val="center"/>
              <w:rPr>
                <w:color w:val="000000"/>
                <w:sz w:val="24"/>
              </w:rPr>
            </w:pPr>
            <w:r>
              <w:rPr>
                <w:color w:val="000000"/>
                <w:sz w:val="24"/>
              </w:rPr>
              <w:t>招标文件条目号(页码)</w:t>
            </w:r>
          </w:p>
        </w:tc>
        <w:tc>
          <w:tcPr>
            <w:tcW w:w="2384" w:type="dxa"/>
            <w:vAlign w:val="center"/>
          </w:tcPr>
          <w:p w14:paraId="5A43DF20">
            <w:pPr>
              <w:adjustRightInd w:val="0"/>
              <w:snapToGrid w:val="0"/>
              <w:jc w:val="center"/>
              <w:rPr>
                <w:color w:val="000000"/>
                <w:sz w:val="24"/>
              </w:rPr>
            </w:pPr>
            <w:r>
              <w:rPr>
                <w:color w:val="000000"/>
                <w:sz w:val="24"/>
              </w:rPr>
              <w:t>招标文件要求</w:t>
            </w:r>
          </w:p>
        </w:tc>
        <w:tc>
          <w:tcPr>
            <w:tcW w:w="2126" w:type="dxa"/>
            <w:vAlign w:val="center"/>
          </w:tcPr>
          <w:p w14:paraId="295A147E">
            <w:pPr>
              <w:adjustRightInd w:val="0"/>
              <w:snapToGrid w:val="0"/>
              <w:jc w:val="center"/>
              <w:rPr>
                <w:color w:val="000000"/>
                <w:sz w:val="24"/>
              </w:rPr>
            </w:pPr>
            <w:r>
              <w:rPr>
                <w:color w:val="000000"/>
                <w:sz w:val="24"/>
              </w:rPr>
              <w:t>投标响应内容</w:t>
            </w:r>
          </w:p>
        </w:tc>
        <w:tc>
          <w:tcPr>
            <w:tcW w:w="1875" w:type="dxa"/>
            <w:vAlign w:val="center"/>
          </w:tcPr>
          <w:p w14:paraId="54F0E0D3">
            <w:pPr>
              <w:adjustRightInd w:val="0"/>
              <w:snapToGrid w:val="0"/>
              <w:jc w:val="center"/>
              <w:rPr>
                <w:color w:val="000000"/>
                <w:sz w:val="24"/>
              </w:rPr>
            </w:pPr>
            <w:r>
              <w:rPr>
                <w:color w:val="000000"/>
                <w:sz w:val="24"/>
              </w:rPr>
              <w:t>偏离情况</w:t>
            </w:r>
          </w:p>
        </w:tc>
        <w:tc>
          <w:tcPr>
            <w:tcW w:w="1009" w:type="dxa"/>
            <w:vAlign w:val="center"/>
          </w:tcPr>
          <w:p w14:paraId="6294265B">
            <w:pPr>
              <w:adjustRightInd w:val="0"/>
              <w:snapToGrid w:val="0"/>
              <w:jc w:val="center"/>
              <w:rPr>
                <w:color w:val="000000"/>
                <w:sz w:val="24"/>
              </w:rPr>
            </w:pPr>
            <w:r>
              <w:rPr>
                <w:color w:val="000000"/>
                <w:sz w:val="24"/>
              </w:rPr>
              <w:t>说明</w:t>
            </w:r>
          </w:p>
        </w:tc>
      </w:tr>
      <w:tr w14:paraId="5270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C23AAF">
            <w:pPr>
              <w:adjustRightInd w:val="0"/>
              <w:snapToGrid w:val="0"/>
              <w:jc w:val="center"/>
              <w:rPr>
                <w:color w:val="000000"/>
                <w:sz w:val="24"/>
              </w:rPr>
            </w:pPr>
          </w:p>
        </w:tc>
        <w:tc>
          <w:tcPr>
            <w:tcW w:w="1482" w:type="dxa"/>
            <w:vAlign w:val="center"/>
          </w:tcPr>
          <w:p w14:paraId="30D9DF17">
            <w:pPr>
              <w:adjustRightInd w:val="0"/>
              <w:snapToGrid w:val="0"/>
              <w:jc w:val="center"/>
              <w:rPr>
                <w:color w:val="000000"/>
                <w:sz w:val="24"/>
              </w:rPr>
            </w:pPr>
          </w:p>
        </w:tc>
        <w:tc>
          <w:tcPr>
            <w:tcW w:w="2384" w:type="dxa"/>
            <w:vAlign w:val="center"/>
          </w:tcPr>
          <w:p w14:paraId="1C3484F8">
            <w:pPr>
              <w:adjustRightInd w:val="0"/>
              <w:snapToGrid w:val="0"/>
              <w:jc w:val="center"/>
              <w:rPr>
                <w:color w:val="000000"/>
                <w:sz w:val="24"/>
              </w:rPr>
            </w:pPr>
          </w:p>
        </w:tc>
        <w:tc>
          <w:tcPr>
            <w:tcW w:w="2126" w:type="dxa"/>
            <w:vAlign w:val="center"/>
          </w:tcPr>
          <w:p w14:paraId="198ECE88">
            <w:pPr>
              <w:adjustRightInd w:val="0"/>
              <w:snapToGrid w:val="0"/>
              <w:jc w:val="center"/>
              <w:rPr>
                <w:color w:val="000000"/>
                <w:sz w:val="24"/>
              </w:rPr>
            </w:pPr>
          </w:p>
        </w:tc>
        <w:tc>
          <w:tcPr>
            <w:tcW w:w="1875" w:type="dxa"/>
            <w:vAlign w:val="center"/>
          </w:tcPr>
          <w:p w14:paraId="5C035AC0">
            <w:pPr>
              <w:adjustRightInd w:val="0"/>
              <w:snapToGrid w:val="0"/>
              <w:jc w:val="center"/>
              <w:rPr>
                <w:color w:val="000000"/>
                <w:sz w:val="24"/>
              </w:rPr>
            </w:pPr>
          </w:p>
        </w:tc>
        <w:tc>
          <w:tcPr>
            <w:tcW w:w="1009" w:type="dxa"/>
            <w:vAlign w:val="center"/>
          </w:tcPr>
          <w:p w14:paraId="2C0A037E">
            <w:pPr>
              <w:adjustRightInd w:val="0"/>
              <w:snapToGrid w:val="0"/>
              <w:jc w:val="center"/>
              <w:rPr>
                <w:color w:val="000000"/>
                <w:sz w:val="24"/>
              </w:rPr>
            </w:pPr>
          </w:p>
        </w:tc>
      </w:tr>
      <w:tr w14:paraId="1C81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7ED13D8">
            <w:pPr>
              <w:adjustRightInd w:val="0"/>
              <w:snapToGrid w:val="0"/>
              <w:jc w:val="center"/>
              <w:rPr>
                <w:color w:val="000000"/>
                <w:sz w:val="24"/>
              </w:rPr>
            </w:pPr>
          </w:p>
        </w:tc>
        <w:tc>
          <w:tcPr>
            <w:tcW w:w="1482" w:type="dxa"/>
            <w:vAlign w:val="center"/>
          </w:tcPr>
          <w:p w14:paraId="314CFCF9">
            <w:pPr>
              <w:adjustRightInd w:val="0"/>
              <w:snapToGrid w:val="0"/>
              <w:jc w:val="center"/>
              <w:rPr>
                <w:color w:val="000000"/>
                <w:sz w:val="24"/>
              </w:rPr>
            </w:pPr>
          </w:p>
        </w:tc>
        <w:tc>
          <w:tcPr>
            <w:tcW w:w="2384" w:type="dxa"/>
            <w:vAlign w:val="center"/>
          </w:tcPr>
          <w:p w14:paraId="172675C2">
            <w:pPr>
              <w:adjustRightInd w:val="0"/>
              <w:snapToGrid w:val="0"/>
              <w:jc w:val="center"/>
              <w:rPr>
                <w:color w:val="000000"/>
                <w:sz w:val="24"/>
              </w:rPr>
            </w:pPr>
          </w:p>
        </w:tc>
        <w:tc>
          <w:tcPr>
            <w:tcW w:w="2126" w:type="dxa"/>
            <w:vAlign w:val="center"/>
          </w:tcPr>
          <w:p w14:paraId="34555FAE">
            <w:pPr>
              <w:adjustRightInd w:val="0"/>
              <w:snapToGrid w:val="0"/>
              <w:jc w:val="center"/>
              <w:rPr>
                <w:color w:val="000000"/>
                <w:sz w:val="24"/>
              </w:rPr>
            </w:pPr>
          </w:p>
        </w:tc>
        <w:tc>
          <w:tcPr>
            <w:tcW w:w="1875" w:type="dxa"/>
            <w:vAlign w:val="center"/>
          </w:tcPr>
          <w:p w14:paraId="2C11B788">
            <w:pPr>
              <w:adjustRightInd w:val="0"/>
              <w:snapToGrid w:val="0"/>
              <w:jc w:val="center"/>
              <w:rPr>
                <w:color w:val="000000"/>
                <w:sz w:val="24"/>
              </w:rPr>
            </w:pPr>
          </w:p>
        </w:tc>
        <w:tc>
          <w:tcPr>
            <w:tcW w:w="1009" w:type="dxa"/>
            <w:vAlign w:val="center"/>
          </w:tcPr>
          <w:p w14:paraId="13F12C44">
            <w:pPr>
              <w:adjustRightInd w:val="0"/>
              <w:snapToGrid w:val="0"/>
              <w:jc w:val="center"/>
              <w:rPr>
                <w:color w:val="000000"/>
                <w:sz w:val="24"/>
              </w:rPr>
            </w:pPr>
          </w:p>
        </w:tc>
      </w:tr>
      <w:tr w14:paraId="60BE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D692D8">
            <w:pPr>
              <w:adjustRightInd w:val="0"/>
              <w:snapToGrid w:val="0"/>
              <w:jc w:val="center"/>
              <w:rPr>
                <w:color w:val="000000"/>
                <w:sz w:val="24"/>
              </w:rPr>
            </w:pPr>
          </w:p>
        </w:tc>
        <w:tc>
          <w:tcPr>
            <w:tcW w:w="1482" w:type="dxa"/>
            <w:vAlign w:val="center"/>
          </w:tcPr>
          <w:p w14:paraId="5EB18FD4">
            <w:pPr>
              <w:adjustRightInd w:val="0"/>
              <w:snapToGrid w:val="0"/>
              <w:jc w:val="center"/>
              <w:rPr>
                <w:color w:val="000000"/>
                <w:sz w:val="24"/>
              </w:rPr>
            </w:pPr>
          </w:p>
        </w:tc>
        <w:tc>
          <w:tcPr>
            <w:tcW w:w="2384" w:type="dxa"/>
            <w:vAlign w:val="center"/>
          </w:tcPr>
          <w:p w14:paraId="0AD78C28">
            <w:pPr>
              <w:adjustRightInd w:val="0"/>
              <w:snapToGrid w:val="0"/>
              <w:jc w:val="center"/>
              <w:rPr>
                <w:color w:val="000000"/>
                <w:sz w:val="24"/>
              </w:rPr>
            </w:pPr>
          </w:p>
        </w:tc>
        <w:tc>
          <w:tcPr>
            <w:tcW w:w="2126" w:type="dxa"/>
            <w:vAlign w:val="center"/>
          </w:tcPr>
          <w:p w14:paraId="52430558">
            <w:pPr>
              <w:adjustRightInd w:val="0"/>
              <w:snapToGrid w:val="0"/>
              <w:jc w:val="center"/>
              <w:rPr>
                <w:color w:val="000000"/>
                <w:sz w:val="24"/>
              </w:rPr>
            </w:pPr>
          </w:p>
        </w:tc>
        <w:tc>
          <w:tcPr>
            <w:tcW w:w="1875" w:type="dxa"/>
            <w:vAlign w:val="center"/>
          </w:tcPr>
          <w:p w14:paraId="6CC81FA0">
            <w:pPr>
              <w:adjustRightInd w:val="0"/>
              <w:snapToGrid w:val="0"/>
              <w:jc w:val="center"/>
              <w:rPr>
                <w:color w:val="000000"/>
                <w:sz w:val="24"/>
              </w:rPr>
            </w:pPr>
          </w:p>
        </w:tc>
        <w:tc>
          <w:tcPr>
            <w:tcW w:w="1009" w:type="dxa"/>
            <w:vAlign w:val="center"/>
          </w:tcPr>
          <w:p w14:paraId="669F1400">
            <w:pPr>
              <w:adjustRightInd w:val="0"/>
              <w:snapToGrid w:val="0"/>
              <w:jc w:val="center"/>
              <w:rPr>
                <w:color w:val="000000"/>
                <w:sz w:val="24"/>
              </w:rPr>
            </w:pPr>
          </w:p>
        </w:tc>
      </w:tr>
      <w:tr w14:paraId="35D5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07C727">
            <w:pPr>
              <w:adjustRightInd w:val="0"/>
              <w:snapToGrid w:val="0"/>
              <w:jc w:val="center"/>
              <w:rPr>
                <w:color w:val="000000"/>
                <w:sz w:val="24"/>
              </w:rPr>
            </w:pPr>
          </w:p>
        </w:tc>
        <w:tc>
          <w:tcPr>
            <w:tcW w:w="1482" w:type="dxa"/>
            <w:vAlign w:val="center"/>
          </w:tcPr>
          <w:p w14:paraId="4B91BF5C">
            <w:pPr>
              <w:adjustRightInd w:val="0"/>
              <w:snapToGrid w:val="0"/>
              <w:jc w:val="center"/>
              <w:rPr>
                <w:color w:val="000000"/>
                <w:sz w:val="24"/>
              </w:rPr>
            </w:pPr>
          </w:p>
        </w:tc>
        <w:tc>
          <w:tcPr>
            <w:tcW w:w="2384" w:type="dxa"/>
            <w:vAlign w:val="center"/>
          </w:tcPr>
          <w:p w14:paraId="54ED0D5B">
            <w:pPr>
              <w:adjustRightInd w:val="0"/>
              <w:snapToGrid w:val="0"/>
              <w:jc w:val="center"/>
              <w:rPr>
                <w:color w:val="000000"/>
                <w:sz w:val="24"/>
              </w:rPr>
            </w:pPr>
          </w:p>
        </w:tc>
        <w:tc>
          <w:tcPr>
            <w:tcW w:w="2126" w:type="dxa"/>
            <w:vAlign w:val="center"/>
          </w:tcPr>
          <w:p w14:paraId="1BF9571A">
            <w:pPr>
              <w:adjustRightInd w:val="0"/>
              <w:snapToGrid w:val="0"/>
              <w:jc w:val="center"/>
              <w:rPr>
                <w:color w:val="000000"/>
                <w:sz w:val="24"/>
              </w:rPr>
            </w:pPr>
          </w:p>
        </w:tc>
        <w:tc>
          <w:tcPr>
            <w:tcW w:w="1875" w:type="dxa"/>
            <w:vAlign w:val="center"/>
          </w:tcPr>
          <w:p w14:paraId="2213AB7E">
            <w:pPr>
              <w:adjustRightInd w:val="0"/>
              <w:snapToGrid w:val="0"/>
              <w:jc w:val="center"/>
              <w:rPr>
                <w:color w:val="000000"/>
                <w:sz w:val="24"/>
              </w:rPr>
            </w:pPr>
          </w:p>
        </w:tc>
        <w:tc>
          <w:tcPr>
            <w:tcW w:w="1009" w:type="dxa"/>
            <w:vAlign w:val="center"/>
          </w:tcPr>
          <w:p w14:paraId="764467C0">
            <w:pPr>
              <w:adjustRightInd w:val="0"/>
              <w:snapToGrid w:val="0"/>
              <w:jc w:val="center"/>
              <w:rPr>
                <w:color w:val="000000"/>
                <w:sz w:val="24"/>
              </w:rPr>
            </w:pPr>
          </w:p>
        </w:tc>
      </w:tr>
      <w:tr w14:paraId="7FB1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988ACD">
            <w:pPr>
              <w:adjustRightInd w:val="0"/>
              <w:snapToGrid w:val="0"/>
              <w:jc w:val="center"/>
              <w:rPr>
                <w:color w:val="000000"/>
                <w:sz w:val="24"/>
              </w:rPr>
            </w:pPr>
          </w:p>
        </w:tc>
        <w:tc>
          <w:tcPr>
            <w:tcW w:w="1482" w:type="dxa"/>
            <w:vAlign w:val="center"/>
          </w:tcPr>
          <w:p w14:paraId="4B77EB5C">
            <w:pPr>
              <w:adjustRightInd w:val="0"/>
              <w:snapToGrid w:val="0"/>
              <w:jc w:val="center"/>
              <w:rPr>
                <w:color w:val="000000"/>
                <w:sz w:val="24"/>
              </w:rPr>
            </w:pPr>
          </w:p>
        </w:tc>
        <w:tc>
          <w:tcPr>
            <w:tcW w:w="2384" w:type="dxa"/>
            <w:vAlign w:val="center"/>
          </w:tcPr>
          <w:p w14:paraId="545A7937">
            <w:pPr>
              <w:adjustRightInd w:val="0"/>
              <w:snapToGrid w:val="0"/>
              <w:jc w:val="center"/>
              <w:rPr>
                <w:color w:val="000000"/>
                <w:sz w:val="24"/>
              </w:rPr>
            </w:pPr>
          </w:p>
        </w:tc>
        <w:tc>
          <w:tcPr>
            <w:tcW w:w="2126" w:type="dxa"/>
            <w:vAlign w:val="center"/>
          </w:tcPr>
          <w:p w14:paraId="132121BB">
            <w:pPr>
              <w:adjustRightInd w:val="0"/>
              <w:snapToGrid w:val="0"/>
              <w:jc w:val="center"/>
              <w:rPr>
                <w:color w:val="000000"/>
                <w:sz w:val="24"/>
              </w:rPr>
            </w:pPr>
          </w:p>
        </w:tc>
        <w:tc>
          <w:tcPr>
            <w:tcW w:w="1875" w:type="dxa"/>
            <w:vAlign w:val="center"/>
          </w:tcPr>
          <w:p w14:paraId="37DAB764">
            <w:pPr>
              <w:adjustRightInd w:val="0"/>
              <w:snapToGrid w:val="0"/>
              <w:jc w:val="center"/>
              <w:rPr>
                <w:color w:val="000000"/>
                <w:sz w:val="24"/>
              </w:rPr>
            </w:pPr>
          </w:p>
        </w:tc>
        <w:tc>
          <w:tcPr>
            <w:tcW w:w="1009" w:type="dxa"/>
            <w:vAlign w:val="center"/>
          </w:tcPr>
          <w:p w14:paraId="1F5389AB">
            <w:pPr>
              <w:adjustRightInd w:val="0"/>
              <w:snapToGrid w:val="0"/>
              <w:jc w:val="center"/>
              <w:rPr>
                <w:color w:val="000000"/>
                <w:sz w:val="24"/>
              </w:rPr>
            </w:pPr>
          </w:p>
        </w:tc>
      </w:tr>
      <w:tr w14:paraId="24CA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99C96E">
            <w:pPr>
              <w:adjustRightInd w:val="0"/>
              <w:snapToGrid w:val="0"/>
              <w:jc w:val="center"/>
              <w:rPr>
                <w:color w:val="000000"/>
                <w:sz w:val="24"/>
              </w:rPr>
            </w:pPr>
          </w:p>
        </w:tc>
        <w:tc>
          <w:tcPr>
            <w:tcW w:w="1482" w:type="dxa"/>
            <w:vAlign w:val="center"/>
          </w:tcPr>
          <w:p w14:paraId="1F4FDEB8">
            <w:pPr>
              <w:adjustRightInd w:val="0"/>
              <w:snapToGrid w:val="0"/>
              <w:jc w:val="center"/>
              <w:rPr>
                <w:color w:val="000000"/>
                <w:sz w:val="24"/>
              </w:rPr>
            </w:pPr>
          </w:p>
        </w:tc>
        <w:tc>
          <w:tcPr>
            <w:tcW w:w="2384" w:type="dxa"/>
            <w:vAlign w:val="center"/>
          </w:tcPr>
          <w:p w14:paraId="1AD9ED08">
            <w:pPr>
              <w:adjustRightInd w:val="0"/>
              <w:snapToGrid w:val="0"/>
              <w:jc w:val="center"/>
              <w:rPr>
                <w:color w:val="000000"/>
                <w:sz w:val="24"/>
              </w:rPr>
            </w:pPr>
          </w:p>
        </w:tc>
        <w:tc>
          <w:tcPr>
            <w:tcW w:w="2126" w:type="dxa"/>
            <w:vAlign w:val="center"/>
          </w:tcPr>
          <w:p w14:paraId="4B6555F2">
            <w:pPr>
              <w:adjustRightInd w:val="0"/>
              <w:snapToGrid w:val="0"/>
              <w:jc w:val="center"/>
              <w:rPr>
                <w:color w:val="000000"/>
                <w:sz w:val="24"/>
              </w:rPr>
            </w:pPr>
          </w:p>
        </w:tc>
        <w:tc>
          <w:tcPr>
            <w:tcW w:w="1875" w:type="dxa"/>
            <w:vAlign w:val="center"/>
          </w:tcPr>
          <w:p w14:paraId="40A9A6BE">
            <w:pPr>
              <w:adjustRightInd w:val="0"/>
              <w:snapToGrid w:val="0"/>
              <w:jc w:val="center"/>
              <w:rPr>
                <w:color w:val="000000"/>
                <w:sz w:val="24"/>
              </w:rPr>
            </w:pPr>
          </w:p>
        </w:tc>
        <w:tc>
          <w:tcPr>
            <w:tcW w:w="1009" w:type="dxa"/>
            <w:vAlign w:val="center"/>
          </w:tcPr>
          <w:p w14:paraId="3C0FE42C">
            <w:pPr>
              <w:adjustRightInd w:val="0"/>
              <w:snapToGrid w:val="0"/>
              <w:jc w:val="center"/>
              <w:rPr>
                <w:color w:val="000000"/>
                <w:sz w:val="24"/>
              </w:rPr>
            </w:pPr>
          </w:p>
        </w:tc>
      </w:tr>
    </w:tbl>
    <w:p w14:paraId="3FF29072">
      <w:pPr>
        <w:tabs>
          <w:tab w:val="left" w:pos="1800"/>
          <w:tab w:val="left" w:pos="5580"/>
        </w:tabs>
        <w:spacing w:line="360" w:lineRule="auto"/>
        <w:ind w:firstLine="360" w:firstLineChars="150"/>
        <w:jc w:val="left"/>
        <w:rPr>
          <w:color w:val="000000"/>
          <w:sz w:val="24"/>
          <w:u w:val="single"/>
        </w:rPr>
      </w:pPr>
    </w:p>
    <w:p w14:paraId="7426E9DF">
      <w:pPr>
        <w:tabs>
          <w:tab w:val="left" w:pos="1800"/>
          <w:tab w:val="left" w:pos="5580"/>
        </w:tabs>
        <w:spacing w:line="360" w:lineRule="auto"/>
        <w:ind w:firstLine="360" w:firstLineChars="150"/>
        <w:jc w:val="left"/>
        <w:rPr>
          <w:color w:val="000000"/>
          <w:sz w:val="24"/>
          <w:u w:val="single"/>
        </w:rPr>
      </w:pPr>
    </w:p>
    <w:p w14:paraId="07FACB68">
      <w:pPr>
        <w:tabs>
          <w:tab w:val="left" w:pos="1800"/>
          <w:tab w:val="left" w:pos="5580"/>
        </w:tabs>
        <w:jc w:val="left"/>
        <w:rPr>
          <w:color w:val="000000"/>
          <w:sz w:val="24"/>
        </w:rPr>
      </w:pPr>
      <w:r>
        <w:rPr>
          <w:color w:val="000000"/>
          <w:sz w:val="24"/>
        </w:rPr>
        <w:t>注：</w:t>
      </w:r>
    </w:p>
    <w:p w14:paraId="02055373">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FA37C3C">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8D83CF5">
      <w:pPr>
        <w:tabs>
          <w:tab w:val="left" w:pos="1800"/>
          <w:tab w:val="left" w:pos="5580"/>
        </w:tabs>
        <w:jc w:val="left"/>
        <w:rPr>
          <w:sz w:val="24"/>
        </w:rPr>
      </w:pPr>
    </w:p>
    <w:p w14:paraId="1557694A">
      <w:pPr>
        <w:tabs>
          <w:tab w:val="left" w:pos="1800"/>
          <w:tab w:val="left" w:pos="5580"/>
        </w:tabs>
        <w:jc w:val="left"/>
        <w:rPr>
          <w:color w:val="000000"/>
          <w:sz w:val="24"/>
        </w:rPr>
      </w:pPr>
    </w:p>
    <w:p w14:paraId="13DEE06D">
      <w:pPr>
        <w:rPr>
          <w:color w:val="000000"/>
          <w:sz w:val="24"/>
          <w:szCs w:val="20"/>
        </w:rPr>
      </w:pPr>
    </w:p>
    <w:p w14:paraId="1371D2D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C12783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AE8702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3D7C889">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2B6950D3">
      <w:pPr>
        <w:tabs>
          <w:tab w:val="left" w:pos="5580"/>
        </w:tabs>
        <w:spacing w:line="360" w:lineRule="auto"/>
        <w:rPr>
          <w:sz w:val="24"/>
        </w:rPr>
      </w:pPr>
      <w:r>
        <w:rPr>
          <w:sz w:val="24"/>
        </w:rPr>
        <w:t>说明：</w:t>
      </w:r>
    </w:p>
    <w:p w14:paraId="095A3D36">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64BB2C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AD5AA6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ED82C01">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9FFA77">
      <w:pPr>
        <w:widowControl/>
        <w:jc w:val="left"/>
        <w:rPr>
          <w:spacing w:val="6"/>
          <w:sz w:val="24"/>
        </w:rPr>
      </w:pPr>
      <w:r>
        <w:rPr>
          <w:color w:val="000000"/>
          <w:sz w:val="24"/>
        </w:rPr>
        <w:br w:type="page"/>
      </w:r>
      <w:r>
        <w:rPr>
          <w:spacing w:val="6"/>
          <w:sz w:val="24"/>
        </w:rPr>
        <w:t>中小企业声明函（工程、服务）格式</w:t>
      </w:r>
    </w:p>
    <w:p w14:paraId="5E62DED8">
      <w:pPr>
        <w:spacing w:before="240" w:beforeLines="100" w:after="240" w:afterLines="100" w:line="360" w:lineRule="auto"/>
        <w:jc w:val="center"/>
        <w:rPr>
          <w:b/>
          <w:bCs/>
          <w:color w:val="000000"/>
          <w:sz w:val="36"/>
          <w:szCs w:val="36"/>
        </w:rPr>
      </w:pPr>
      <w:r>
        <w:rPr>
          <w:b/>
          <w:bCs/>
          <w:color w:val="000000"/>
          <w:sz w:val="36"/>
          <w:szCs w:val="36"/>
        </w:rPr>
        <w:t>中小企业声明函</w:t>
      </w:r>
    </w:p>
    <w:p w14:paraId="5F96A37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3789B08">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rFonts w:hint="eastAsia"/>
          <w:spacing w:val="6"/>
          <w:sz w:val="24"/>
          <w:u w:val="single"/>
        </w:rPr>
        <w:t>【电力市场化交易服务项目】</w:t>
      </w:r>
      <w:r>
        <w:rPr>
          <w:kern w:val="0"/>
          <w:sz w:val="24"/>
          <w:u w:color="000000"/>
        </w:rPr>
        <w:t>，属于</w:t>
      </w:r>
      <w:r>
        <w:rPr>
          <w:rFonts w:hint="eastAsia"/>
          <w:spacing w:val="6"/>
          <w:sz w:val="24"/>
          <w:u w:val="single"/>
        </w:rPr>
        <w:t>【招标文件投标人须知前附表第5.2.5条中明确的所属行业】</w:t>
      </w:r>
      <w:r>
        <w:rPr>
          <w:spacing w:val="6"/>
          <w:sz w:val="24"/>
        </w:rPr>
        <w:t>行业</w:t>
      </w:r>
      <w:r>
        <w:rPr>
          <w:kern w:val="0"/>
          <w:sz w:val="24"/>
          <w:u w:color="000000"/>
        </w:rPr>
        <w:t>；</w:t>
      </w:r>
      <w:r>
        <w:rPr>
          <w:kern w:val="0"/>
          <w:sz w:val="24"/>
        </w:rPr>
        <w:t>承建（承接）企业为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HYPERLINK \l "_bookmark1"</w:instrText>
      </w:r>
      <w:r>
        <w:fldChar w:fldCharType="separate"/>
      </w:r>
      <w:r>
        <w:rPr>
          <w:kern w:val="0"/>
          <w:position w:val="16"/>
          <w:sz w:val="24"/>
        </w:rPr>
        <w:t>1</w:t>
      </w:r>
      <w:r>
        <w:fldChar w:fldCharType="end"/>
      </w:r>
      <w:r>
        <w:rPr>
          <w:kern w:val="0"/>
          <w:sz w:val="24"/>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rPr>
        <w:t>；</w:t>
      </w:r>
    </w:p>
    <w:p w14:paraId="168CC1C4">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rFonts w:hint="eastAsia"/>
          <w:spacing w:val="6"/>
          <w:sz w:val="24"/>
          <w:u w:val="single"/>
        </w:rPr>
        <w:t>【</w:t>
      </w:r>
      <w:r>
        <w:rPr>
          <w:spacing w:val="6"/>
          <w:sz w:val="24"/>
          <w:u w:val="single"/>
        </w:rPr>
        <w:t>标的名称</w:t>
      </w:r>
      <w:r>
        <w:rPr>
          <w:rFonts w:hint="eastAsia"/>
          <w:spacing w:val="6"/>
          <w:sz w:val="24"/>
          <w:u w:val="single"/>
        </w:rPr>
        <w:t>】</w:t>
      </w:r>
      <w:r>
        <w:rPr>
          <w:kern w:val="0"/>
          <w:sz w:val="24"/>
          <w:u w:color="000000"/>
        </w:rPr>
        <w:t>，属于</w:t>
      </w:r>
      <w:r>
        <w:rPr>
          <w:i/>
          <w:kern w:val="0"/>
          <w:sz w:val="24"/>
          <w:u w:color="000000"/>
        </w:rPr>
        <w:t>（</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w:t>
      </w:r>
      <w:r>
        <w:rPr>
          <w:kern w:val="0"/>
          <w:sz w:val="24"/>
          <w:u w:color="000000"/>
        </w:rPr>
        <w:t>；承建（承接）企业为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u w:color="000000"/>
        </w:rPr>
        <w:t>；</w:t>
      </w:r>
    </w:p>
    <w:p w14:paraId="7CAE8917">
      <w:pPr>
        <w:autoSpaceDE w:val="0"/>
        <w:autoSpaceDN w:val="0"/>
        <w:spacing w:line="360" w:lineRule="auto"/>
        <w:ind w:left="860"/>
        <w:jc w:val="left"/>
        <w:rPr>
          <w:kern w:val="0"/>
          <w:sz w:val="24"/>
        </w:rPr>
      </w:pPr>
      <w:r>
        <w:rPr>
          <w:rFonts w:hint="eastAsia"/>
          <w:kern w:val="0"/>
          <w:sz w:val="24"/>
        </w:rPr>
        <w:t>【……】</w:t>
      </w:r>
    </w:p>
    <w:p w14:paraId="1A1AD33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8AD8122">
      <w:pPr>
        <w:spacing w:line="360" w:lineRule="auto"/>
        <w:ind w:firstLine="504"/>
        <w:rPr>
          <w:spacing w:val="6"/>
          <w:sz w:val="24"/>
        </w:rPr>
      </w:pPr>
      <w:r>
        <w:rPr>
          <w:kern w:val="0"/>
          <w:sz w:val="24"/>
        </w:rPr>
        <w:t>本企业对上述声明内容的真实性负责。如有虚假，将依法承担相应责任。</w:t>
      </w:r>
    </w:p>
    <w:p w14:paraId="43D32DF0">
      <w:pPr>
        <w:spacing w:line="360" w:lineRule="auto"/>
        <w:ind w:firstLine="504"/>
        <w:rPr>
          <w:spacing w:val="6"/>
          <w:sz w:val="24"/>
        </w:rPr>
      </w:pPr>
    </w:p>
    <w:p w14:paraId="19B28C55">
      <w:pPr>
        <w:spacing w:line="360" w:lineRule="auto"/>
        <w:ind w:right="360" w:firstLine="480"/>
        <w:jc w:val="right"/>
        <w:rPr>
          <w:color w:val="000000"/>
          <w:sz w:val="24"/>
        </w:rPr>
      </w:pPr>
    </w:p>
    <w:p w14:paraId="47A826C0">
      <w:pPr>
        <w:spacing w:line="360" w:lineRule="auto"/>
        <w:ind w:right="360" w:firstLine="480"/>
        <w:jc w:val="right"/>
        <w:rPr>
          <w:color w:val="000000"/>
          <w:sz w:val="24"/>
        </w:rPr>
      </w:pPr>
      <w:r>
        <w:rPr>
          <w:color w:val="000000"/>
          <w:sz w:val="24"/>
        </w:rPr>
        <w:t>企业名称（盖章）：________</w:t>
      </w:r>
    </w:p>
    <w:p w14:paraId="58A3B084">
      <w:pPr>
        <w:spacing w:line="360" w:lineRule="auto"/>
        <w:ind w:right="360" w:firstLine="480"/>
        <w:jc w:val="right"/>
        <w:rPr>
          <w:color w:val="000000"/>
          <w:sz w:val="24"/>
        </w:rPr>
      </w:pPr>
      <w:r>
        <w:rPr>
          <w:color w:val="000000"/>
          <w:sz w:val="24"/>
        </w:rPr>
        <w:t>日 期：________</w:t>
      </w:r>
    </w:p>
    <w:p w14:paraId="1A0F5FD5">
      <w:pPr>
        <w:spacing w:line="360" w:lineRule="auto"/>
        <w:ind w:right="360" w:firstLine="480"/>
        <w:jc w:val="right"/>
        <w:rPr>
          <w:color w:val="000000"/>
          <w:sz w:val="24"/>
        </w:rPr>
      </w:pPr>
    </w:p>
    <w:p w14:paraId="5B2C2EDB">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7D57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85348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E3CC906">
      <w:pPr>
        <w:adjustRightInd w:val="0"/>
        <w:snapToGrid w:val="0"/>
        <w:jc w:val="left"/>
        <w:rPr>
          <w:color w:val="000000"/>
          <w:szCs w:val="21"/>
          <w:vertAlign w:val="superscript"/>
        </w:rPr>
      </w:pPr>
    </w:p>
    <w:p w14:paraId="2FB3D26F">
      <w:pPr>
        <w:spacing w:line="360" w:lineRule="auto"/>
        <w:ind w:right="360" w:firstLine="480"/>
        <w:jc w:val="right"/>
        <w:rPr>
          <w:color w:val="000000"/>
          <w:sz w:val="24"/>
        </w:rPr>
      </w:pPr>
    </w:p>
    <w:p w14:paraId="44A3B980">
      <w:pPr>
        <w:spacing w:line="360" w:lineRule="auto"/>
        <w:ind w:right="360" w:firstLine="480"/>
        <w:jc w:val="right"/>
        <w:rPr>
          <w:color w:val="000000"/>
          <w:sz w:val="24"/>
        </w:rPr>
      </w:pPr>
    </w:p>
    <w:p w14:paraId="330A8F18">
      <w:pPr>
        <w:spacing w:line="360" w:lineRule="auto"/>
        <w:outlineLvl w:val="9"/>
        <w:rPr>
          <w:color w:val="000000"/>
          <w:sz w:val="24"/>
          <w:szCs w:val="20"/>
        </w:rPr>
      </w:pPr>
      <w:r>
        <w:rPr>
          <w:color w:val="000000"/>
          <w:sz w:val="24"/>
          <w:szCs w:val="20"/>
        </w:rPr>
        <w:br w:type="page"/>
      </w:r>
    </w:p>
    <w:p w14:paraId="5DA78FEF">
      <w:pPr>
        <w:spacing w:line="360" w:lineRule="auto"/>
        <w:ind w:firstLine="504"/>
        <w:rPr>
          <w:spacing w:val="6"/>
          <w:sz w:val="24"/>
        </w:rPr>
      </w:pPr>
      <w:r>
        <w:rPr>
          <w:spacing w:val="6"/>
          <w:sz w:val="24"/>
        </w:rPr>
        <w:t xml:space="preserve">残疾人福利性单位声明函格式 </w:t>
      </w:r>
    </w:p>
    <w:p w14:paraId="3A54E75A">
      <w:pPr>
        <w:spacing w:before="240" w:beforeLines="100" w:after="240" w:afterLines="100" w:line="360" w:lineRule="auto"/>
        <w:jc w:val="center"/>
        <w:rPr>
          <w:color w:val="000000"/>
          <w:sz w:val="36"/>
          <w:szCs w:val="36"/>
        </w:rPr>
      </w:pPr>
      <w:r>
        <w:rPr>
          <w:b/>
          <w:bCs/>
          <w:color w:val="000000"/>
          <w:sz w:val="36"/>
          <w:szCs w:val="36"/>
        </w:rPr>
        <w:t>残疾人福利性单位声明</w:t>
      </w:r>
      <w:r>
        <w:rPr>
          <w:rFonts w:hint="eastAsia"/>
          <w:b/>
          <w:bCs/>
          <w:color w:val="000000"/>
          <w:sz w:val="36"/>
          <w:szCs w:val="36"/>
        </w:rPr>
        <w:t>函</w:t>
      </w:r>
    </w:p>
    <w:p w14:paraId="14055F6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566D669">
      <w:pPr>
        <w:spacing w:line="588" w:lineRule="exact"/>
        <w:ind w:firstLine="482"/>
        <w:rPr>
          <w:rFonts w:hint="eastAsia"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14D9C8C1">
      <w:pPr>
        <w:spacing w:line="588" w:lineRule="exact"/>
        <w:ind w:firstLine="482"/>
        <w:rPr>
          <w:rFonts w:hint="eastAsia"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B53B828">
      <w:pPr>
        <w:spacing w:line="588" w:lineRule="exact"/>
        <w:ind w:firstLine="506" w:firstLineChars="200"/>
        <w:rPr>
          <w:rFonts w:hint="eastAsia"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25862ED6">
      <w:pPr>
        <w:spacing w:line="588" w:lineRule="exact"/>
        <w:ind w:firstLine="504" w:firstLineChars="200"/>
        <w:rPr>
          <w:spacing w:val="6"/>
          <w:sz w:val="24"/>
        </w:rPr>
      </w:pPr>
    </w:p>
    <w:p w14:paraId="6C71C383">
      <w:pPr>
        <w:spacing w:line="588" w:lineRule="exact"/>
        <w:ind w:firstLine="504" w:firstLineChars="200"/>
        <w:rPr>
          <w:spacing w:val="6"/>
          <w:sz w:val="24"/>
        </w:rPr>
      </w:pPr>
    </w:p>
    <w:p w14:paraId="05C29615">
      <w:pPr>
        <w:tabs>
          <w:tab w:val="left" w:pos="4860"/>
        </w:tabs>
        <w:spacing w:line="588" w:lineRule="exact"/>
        <w:ind w:right="1560" w:firstLine="504" w:firstLineChars="200"/>
        <w:jc w:val="center"/>
        <w:rPr>
          <w:spacing w:val="6"/>
          <w:sz w:val="24"/>
        </w:rPr>
      </w:pPr>
      <w:r>
        <w:rPr>
          <w:spacing w:val="6"/>
          <w:sz w:val="24"/>
        </w:rPr>
        <w:t xml:space="preserve">               单位名称（盖章）：</w:t>
      </w:r>
    </w:p>
    <w:p w14:paraId="55AB10A4">
      <w:pPr>
        <w:tabs>
          <w:tab w:val="left" w:pos="4860"/>
        </w:tabs>
        <w:spacing w:line="588" w:lineRule="exact"/>
        <w:ind w:right="1560" w:firstLine="504" w:firstLineChars="200"/>
        <w:jc w:val="center"/>
        <w:rPr>
          <w:spacing w:val="6"/>
          <w:sz w:val="24"/>
        </w:rPr>
      </w:pPr>
      <w:r>
        <w:rPr>
          <w:spacing w:val="6"/>
          <w:sz w:val="24"/>
        </w:rPr>
        <w:t xml:space="preserve">       日  期：</w:t>
      </w:r>
    </w:p>
    <w:p w14:paraId="026C1F12">
      <w:pPr>
        <w:numPr>
          <w:ilvl w:val="0"/>
          <w:numId w:val="1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6696CE9C">
      <w:pPr>
        <w:autoSpaceDE w:val="0"/>
        <w:autoSpaceDN w:val="0"/>
        <w:adjustRightInd w:val="0"/>
        <w:spacing w:line="360" w:lineRule="auto"/>
        <w:jc w:val="center"/>
        <w:rPr>
          <w:b/>
          <w:color w:val="000000"/>
          <w:sz w:val="36"/>
          <w:szCs w:val="36"/>
        </w:rPr>
      </w:pPr>
      <w:r>
        <w:rPr>
          <w:b/>
          <w:color w:val="000000"/>
          <w:sz w:val="36"/>
          <w:szCs w:val="36"/>
        </w:rPr>
        <w:t>拟分包情况说明</w:t>
      </w:r>
    </w:p>
    <w:p w14:paraId="351B058A">
      <w:pPr>
        <w:tabs>
          <w:tab w:val="left" w:pos="5580"/>
        </w:tabs>
        <w:spacing w:line="360" w:lineRule="auto"/>
        <w:rPr>
          <w:color w:val="000000"/>
          <w:sz w:val="24"/>
        </w:rPr>
      </w:pPr>
      <w:r>
        <w:rPr>
          <w:color w:val="000000"/>
          <w:sz w:val="24"/>
        </w:rPr>
        <w:t>致：</w:t>
      </w:r>
      <w:r>
        <w:rPr>
          <w:rFonts w:hint="eastAsia"/>
          <w:sz w:val="24"/>
          <w:u w:val="single"/>
        </w:rPr>
        <w:t>【</w:t>
      </w:r>
      <w:r>
        <w:rPr>
          <w:sz w:val="24"/>
          <w:u w:val="single"/>
        </w:rPr>
        <w:t>采购人或采购代理机构</w:t>
      </w:r>
      <w:r>
        <w:rPr>
          <w:rFonts w:hint="eastAsia"/>
          <w:sz w:val="24"/>
          <w:u w:val="single"/>
        </w:rPr>
        <w:t>】</w:t>
      </w:r>
    </w:p>
    <w:p w14:paraId="6510202D">
      <w:pPr>
        <w:adjustRightInd w:val="0"/>
        <w:snapToGrid w:val="0"/>
        <w:spacing w:line="360" w:lineRule="auto"/>
        <w:ind w:firstLine="480" w:firstLineChars="200"/>
        <w:jc w:val="left"/>
        <w:rPr>
          <w:sz w:val="24"/>
        </w:rPr>
      </w:pPr>
      <w:r>
        <w:rPr>
          <w:sz w:val="24"/>
        </w:rPr>
        <w:t>我单位参加贵单位组织采购的项目编号为</w:t>
      </w:r>
      <w:r>
        <w:rPr>
          <w:rFonts w:hint="eastAsia"/>
          <w:sz w:val="24"/>
          <w:u w:val="single"/>
        </w:rPr>
        <w:t>【填写项目编号】</w:t>
      </w:r>
      <w:r>
        <w:rPr>
          <w:sz w:val="24"/>
        </w:rPr>
        <w:t>的</w:t>
      </w:r>
      <w:r>
        <w:rPr>
          <w:rFonts w:hint="eastAsia"/>
          <w:sz w:val="24"/>
          <w:u w:val="single"/>
        </w:rPr>
        <w:t>【</w:t>
      </w:r>
      <w:r>
        <w:rPr>
          <w:sz w:val="24"/>
          <w:u w:val="single"/>
        </w:rPr>
        <w:t>填写采购项目名称</w:t>
      </w:r>
      <w:r>
        <w:rPr>
          <w:rFonts w:hint="eastAsia"/>
          <w:sz w:val="24"/>
          <w:u w:val="single"/>
        </w:rPr>
        <w:t>】</w:t>
      </w:r>
      <w:r>
        <w:rPr>
          <w:sz w:val="24"/>
        </w:rPr>
        <w:t>项目中</w:t>
      </w:r>
      <w:r>
        <w:rPr>
          <w:rFonts w:hint="eastAsia"/>
          <w:sz w:val="24"/>
          <w:u w:val="single"/>
        </w:rPr>
        <w:t>【</w:t>
      </w:r>
      <w:r>
        <w:rPr>
          <w:sz w:val="24"/>
          <w:u w:val="single"/>
        </w:rPr>
        <w:t>填写包号</w:t>
      </w:r>
      <w:r>
        <w:rPr>
          <w:rFonts w:hint="eastAsia"/>
          <w:sz w:val="24"/>
          <w:u w:val="single"/>
        </w:rPr>
        <w:t>】</w:t>
      </w:r>
      <w:r>
        <w:rPr>
          <w:sz w:val="24"/>
        </w:rPr>
        <w:t>包的投标。拟签订分包合同的单位情况如下表所示，我单位承诺一旦在该项目中获得采购合同将按下表所列情况进行分包，同时承诺分包承担主体不再次分包。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18BF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C5DC6E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F1E6DF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2625C4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2581581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7EE388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D1D820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E285B3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65B4B2D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C6F2FB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1D31B21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058329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B2479B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E0D6EB7">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096DC7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49D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F5465E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08D0E1C">
            <w:pPr>
              <w:pStyle w:val="247"/>
              <w:jc w:val="center"/>
              <w:rPr>
                <w:rFonts w:ascii="Times New Roman" w:hAnsi="Times New Roman" w:cs="Times New Roman" w:eastAsiaTheme="minorEastAsia"/>
                <w:sz w:val="30"/>
              </w:rPr>
            </w:pPr>
          </w:p>
        </w:tc>
        <w:tc>
          <w:tcPr>
            <w:tcW w:w="1513" w:type="dxa"/>
            <w:vAlign w:val="center"/>
          </w:tcPr>
          <w:p w14:paraId="68A2D79A">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485BAC94">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31F7F36E">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4A02C542">
            <w:pPr>
              <w:pStyle w:val="247"/>
              <w:jc w:val="center"/>
              <w:rPr>
                <w:rFonts w:ascii="Times New Roman" w:hAnsi="Times New Roman" w:cs="Times New Roman" w:eastAsiaTheme="minorEastAsia"/>
                <w:sz w:val="30"/>
                <w:lang w:eastAsia="zh-CN"/>
              </w:rPr>
            </w:pPr>
          </w:p>
        </w:tc>
        <w:tc>
          <w:tcPr>
            <w:tcW w:w="1558" w:type="dxa"/>
            <w:vAlign w:val="center"/>
          </w:tcPr>
          <w:p w14:paraId="2F027503">
            <w:pPr>
              <w:pStyle w:val="247"/>
              <w:jc w:val="center"/>
              <w:rPr>
                <w:rFonts w:ascii="Times New Roman" w:hAnsi="Times New Roman" w:cs="Times New Roman" w:eastAsiaTheme="minorEastAsia"/>
                <w:sz w:val="30"/>
                <w:lang w:eastAsia="zh-CN"/>
              </w:rPr>
            </w:pPr>
          </w:p>
        </w:tc>
        <w:tc>
          <w:tcPr>
            <w:tcW w:w="1498" w:type="dxa"/>
            <w:vAlign w:val="center"/>
          </w:tcPr>
          <w:p w14:paraId="3F1F8F0F">
            <w:pPr>
              <w:pStyle w:val="247"/>
              <w:jc w:val="center"/>
              <w:rPr>
                <w:rFonts w:ascii="Times New Roman" w:hAnsi="Times New Roman" w:cs="Times New Roman" w:eastAsiaTheme="minorEastAsia"/>
                <w:sz w:val="30"/>
                <w:lang w:eastAsia="zh-CN"/>
              </w:rPr>
            </w:pPr>
          </w:p>
        </w:tc>
        <w:tc>
          <w:tcPr>
            <w:tcW w:w="1564" w:type="dxa"/>
            <w:vAlign w:val="center"/>
          </w:tcPr>
          <w:p w14:paraId="7C55700C">
            <w:pPr>
              <w:pStyle w:val="247"/>
              <w:jc w:val="center"/>
              <w:rPr>
                <w:rFonts w:ascii="Times New Roman" w:hAnsi="Times New Roman" w:cs="Times New Roman" w:eastAsiaTheme="minorEastAsia"/>
                <w:sz w:val="30"/>
                <w:lang w:eastAsia="zh-CN"/>
              </w:rPr>
            </w:pPr>
          </w:p>
        </w:tc>
      </w:tr>
      <w:tr w14:paraId="15B89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2346E3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035E2B5">
            <w:pPr>
              <w:pStyle w:val="247"/>
              <w:jc w:val="center"/>
              <w:rPr>
                <w:rFonts w:ascii="Times New Roman" w:hAnsi="Times New Roman" w:cs="Times New Roman" w:eastAsiaTheme="minorEastAsia"/>
                <w:sz w:val="30"/>
              </w:rPr>
            </w:pPr>
          </w:p>
        </w:tc>
        <w:tc>
          <w:tcPr>
            <w:tcW w:w="1513" w:type="dxa"/>
            <w:vAlign w:val="center"/>
          </w:tcPr>
          <w:p w14:paraId="2976ED0F">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12364E97">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7FF585A5">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0CA068B3">
            <w:pPr>
              <w:pStyle w:val="247"/>
              <w:jc w:val="center"/>
              <w:rPr>
                <w:rFonts w:ascii="Times New Roman" w:hAnsi="Times New Roman" w:cs="Times New Roman" w:eastAsiaTheme="minorEastAsia"/>
                <w:sz w:val="30"/>
                <w:lang w:eastAsia="zh-CN"/>
              </w:rPr>
            </w:pPr>
          </w:p>
        </w:tc>
        <w:tc>
          <w:tcPr>
            <w:tcW w:w="1558" w:type="dxa"/>
            <w:vAlign w:val="center"/>
          </w:tcPr>
          <w:p w14:paraId="768B70B7">
            <w:pPr>
              <w:pStyle w:val="247"/>
              <w:jc w:val="center"/>
              <w:rPr>
                <w:rFonts w:ascii="Times New Roman" w:hAnsi="Times New Roman" w:cs="Times New Roman" w:eastAsiaTheme="minorEastAsia"/>
                <w:sz w:val="30"/>
                <w:lang w:eastAsia="zh-CN"/>
              </w:rPr>
            </w:pPr>
          </w:p>
        </w:tc>
        <w:tc>
          <w:tcPr>
            <w:tcW w:w="1498" w:type="dxa"/>
            <w:vAlign w:val="center"/>
          </w:tcPr>
          <w:p w14:paraId="2C607573">
            <w:pPr>
              <w:pStyle w:val="247"/>
              <w:jc w:val="center"/>
              <w:rPr>
                <w:rFonts w:ascii="Times New Roman" w:hAnsi="Times New Roman" w:cs="Times New Roman" w:eastAsiaTheme="minorEastAsia"/>
                <w:sz w:val="30"/>
                <w:lang w:eastAsia="zh-CN"/>
              </w:rPr>
            </w:pPr>
          </w:p>
        </w:tc>
        <w:tc>
          <w:tcPr>
            <w:tcW w:w="1564" w:type="dxa"/>
            <w:vAlign w:val="center"/>
          </w:tcPr>
          <w:p w14:paraId="34696501">
            <w:pPr>
              <w:pStyle w:val="247"/>
              <w:jc w:val="center"/>
              <w:rPr>
                <w:rFonts w:ascii="Times New Roman" w:hAnsi="Times New Roman" w:cs="Times New Roman" w:eastAsiaTheme="minorEastAsia"/>
                <w:sz w:val="30"/>
                <w:lang w:eastAsia="zh-CN"/>
              </w:rPr>
            </w:pPr>
          </w:p>
        </w:tc>
      </w:tr>
      <w:tr w14:paraId="6508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A32B2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1776C20">
            <w:pPr>
              <w:pStyle w:val="247"/>
              <w:jc w:val="center"/>
              <w:rPr>
                <w:rFonts w:ascii="Times New Roman" w:hAnsi="Times New Roman" w:cs="Times New Roman" w:eastAsiaTheme="minorEastAsia"/>
                <w:sz w:val="30"/>
              </w:rPr>
            </w:pPr>
          </w:p>
        </w:tc>
        <w:tc>
          <w:tcPr>
            <w:tcW w:w="1513" w:type="dxa"/>
            <w:vAlign w:val="center"/>
          </w:tcPr>
          <w:p w14:paraId="2F45E016">
            <w:pPr>
              <w:pStyle w:val="247"/>
              <w:tabs>
                <w:tab w:val="left" w:pos="235"/>
              </w:tabs>
              <w:jc w:val="center"/>
              <w:rPr>
                <w:rFonts w:ascii="Times New Roman" w:hAnsi="Times New Roman" w:cs="Times New Roman" w:eastAsiaTheme="minorEastAsia"/>
                <w:sz w:val="24"/>
              </w:rPr>
            </w:pPr>
          </w:p>
        </w:tc>
        <w:tc>
          <w:tcPr>
            <w:tcW w:w="1125" w:type="dxa"/>
            <w:vAlign w:val="center"/>
          </w:tcPr>
          <w:p w14:paraId="7C600F4E">
            <w:pPr>
              <w:pStyle w:val="247"/>
              <w:jc w:val="center"/>
              <w:rPr>
                <w:rFonts w:ascii="Times New Roman" w:hAnsi="Times New Roman" w:cs="Times New Roman" w:eastAsiaTheme="minorEastAsia"/>
                <w:sz w:val="30"/>
              </w:rPr>
            </w:pPr>
          </w:p>
        </w:tc>
        <w:tc>
          <w:tcPr>
            <w:tcW w:w="1558" w:type="dxa"/>
            <w:vAlign w:val="center"/>
          </w:tcPr>
          <w:p w14:paraId="53189BEB">
            <w:pPr>
              <w:pStyle w:val="247"/>
              <w:jc w:val="center"/>
              <w:rPr>
                <w:rFonts w:ascii="Times New Roman" w:hAnsi="Times New Roman" w:cs="Times New Roman" w:eastAsiaTheme="minorEastAsia"/>
                <w:sz w:val="30"/>
              </w:rPr>
            </w:pPr>
          </w:p>
        </w:tc>
        <w:tc>
          <w:tcPr>
            <w:tcW w:w="1498" w:type="dxa"/>
            <w:vAlign w:val="center"/>
          </w:tcPr>
          <w:p w14:paraId="25B59752">
            <w:pPr>
              <w:pStyle w:val="247"/>
              <w:jc w:val="center"/>
              <w:rPr>
                <w:rFonts w:ascii="Times New Roman" w:hAnsi="Times New Roman" w:cs="Times New Roman" w:eastAsiaTheme="minorEastAsia"/>
                <w:sz w:val="30"/>
              </w:rPr>
            </w:pPr>
          </w:p>
        </w:tc>
        <w:tc>
          <w:tcPr>
            <w:tcW w:w="1564" w:type="dxa"/>
            <w:vAlign w:val="center"/>
          </w:tcPr>
          <w:p w14:paraId="440D8235">
            <w:pPr>
              <w:pStyle w:val="247"/>
              <w:jc w:val="center"/>
              <w:rPr>
                <w:rFonts w:ascii="Times New Roman" w:hAnsi="Times New Roman" w:cs="Times New Roman" w:eastAsiaTheme="minorEastAsia"/>
                <w:sz w:val="30"/>
              </w:rPr>
            </w:pPr>
          </w:p>
        </w:tc>
      </w:tr>
      <w:tr w14:paraId="1429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787F0D8">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EAAD03D">
            <w:pPr>
              <w:pStyle w:val="247"/>
              <w:jc w:val="center"/>
              <w:rPr>
                <w:rFonts w:ascii="Times New Roman" w:hAnsi="Times New Roman" w:cs="Times New Roman" w:eastAsiaTheme="minorEastAsia"/>
                <w:sz w:val="30"/>
              </w:rPr>
            </w:pPr>
          </w:p>
        </w:tc>
        <w:tc>
          <w:tcPr>
            <w:tcW w:w="1564" w:type="dxa"/>
            <w:vAlign w:val="center"/>
          </w:tcPr>
          <w:p w14:paraId="41DE7ECC">
            <w:pPr>
              <w:pStyle w:val="247"/>
              <w:jc w:val="center"/>
              <w:rPr>
                <w:rFonts w:ascii="Times New Roman" w:hAnsi="Times New Roman" w:cs="Times New Roman" w:eastAsiaTheme="minorEastAsia"/>
                <w:sz w:val="30"/>
              </w:rPr>
            </w:pPr>
          </w:p>
        </w:tc>
      </w:tr>
    </w:tbl>
    <w:p w14:paraId="39F9A44F">
      <w:pPr>
        <w:adjustRightInd w:val="0"/>
        <w:snapToGrid w:val="0"/>
        <w:spacing w:line="360" w:lineRule="auto"/>
        <w:ind w:firstLine="480" w:firstLineChars="200"/>
        <w:jc w:val="left"/>
        <w:rPr>
          <w:sz w:val="24"/>
        </w:rPr>
      </w:pPr>
    </w:p>
    <w:p w14:paraId="57134AB2">
      <w:pPr>
        <w:adjustRightInd w:val="0"/>
        <w:snapToGrid w:val="0"/>
        <w:spacing w:line="360" w:lineRule="auto"/>
        <w:jc w:val="left"/>
        <w:rPr>
          <w:sz w:val="24"/>
        </w:rPr>
      </w:pPr>
      <w:r>
        <w:rPr>
          <w:sz w:val="24"/>
        </w:rPr>
        <w:t>注：</w:t>
      </w:r>
      <w:r>
        <w:rPr>
          <w:color w:val="FF0000"/>
          <w:sz w:val="24"/>
        </w:rPr>
        <w:t xml:space="preserve"> </w:t>
      </w:r>
    </w:p>
    <w:p w14:paraId="5EB1F5DD">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2860C34">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FDA35EC">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B47E07C">
      <w:pPr>
        <w:adjustRightInd w:val="0"/>
        <w:snapToGrid w:val="0"/>
        <w:spacing w:line="360" w:lineRule="auto"/>
        <w:jc w:val="left"/>
        <w:rPr>
          <w:sz w:val="24"/>
        </w:rPr>
      </w:pPr>
    </w:p>
    <w:p w14:paraId="78B3E25C">
      <w:pPr>
        <w:adjustRightInd w:val="0"/>
        <w:snapToGrid w:val="0"/>
        <w:spacing w:line="360" w:lineRule="auto"/>
        <w:ind w:firstLine="480" w:firstLineChars="200"/>
        <w:jc w:val="right"/>
        <w:rPr>
          <w:sz w:val="24"/>
        </w:rPr>
      </w:pPr>
      <w:r>
        <w:rPr>
          <w:sz w:val="24"/>
        </w:rPr>
        <w:t>投标人名称（盖章）：______</w:t>
      </w:r>
    </w:p>
    <w:p w14:paraId="04ACCB73">
      <w:pPr>
        <w:adjustRightInd w:val="0"/>
        <w:snapToGrid w:val="0"/>
        <w:spacing w:line="360" w:lineRule="auto"/>
        <w:ind w:firstLine="480" w:firstLineChars="200"/>
        <w:jc w:val="right"/>
        <w:rPr>
          <w:color w:val="000000"/>
          <w:sz w:val="24"/>
        </w:rPr>
      </w:pPr>
      <w:r>
        <w:rPr>
          <w:color w:val="000000"/>
          <w:sz w:val="24"/>
        </w:rPr>
        <w:t>日期：_____年______月______日</w:t>
      </w:r>
    </w:p>
    <w:p w14:paraId="0681C7A2">
      <w:pPr>
        <w:widowControl/>
        <w:jc w:val="left"/>
        <w:rPr>
          <w:color w:val="000000"/>
          <w:sz w:val="24"/>
        </w:rPr>
      </w:pPr>
      <w:r>
        <w:rPr>
          <w:color w:val="000000"/>
          <w:sz w:val="24"/>
        </w:rPr>
        <w:br w:type="page"/>
      </w:r>
    </w:p>
    <w:p w14:paraId="3660FD09">
      <w:pPr>
        <w:autoSpaceDE w:val="0"/>
        <w:autoSpaceDN w:val="0"/>
        <w:adjustRightInd w:val="0"/>
        <w:spacing w:line="360" w:lineRule="auto"/>
        <w:jc w:val="center"/>
        <w:rPr>
          <w:b/>
          <w:color w:val="000000"/>
          <w:sz w:val="36"/>
          <w:szCs w:val="36"/>
        </w:rPr>
      </w:pPr>
      <w:bookmarkStart w:id="943" w:name="_Hlk176956326"/>
      <w:r>
        <w:rPr>
          <w:b/>
          <w:color w:val="000000"/>
          <w:sz w:val="36"/>
          <w:szCs w:val="36"/>
        </w:rPr>
        <w:t>分包意向协议</w:t>
      </w:r>
    </w:p>
    <w:p w14:paraId="5EE73121">
      <w:pPr>
        <w:adjustRightInd w:val="0"/>
        <w:snapToGrid w:val="0"/>
        <w:spacing w:line="360" w:lineRule="auto"/>
        <w:ind w:firstLine="480" w:firstLineChars="200"/>
        <w:jc w:val="left"/>
        <w:rPr>
          <w:sz w:val="24"/>
        </w:rPr>
      </w:pPr>
      <w:r>
        <w:rPr>
          <w:sz w:val="24"/>
        </w:rPr>
        <w:t>甲方（投标人）：________</w:t>
      </w:r>
    </w:p>
    <w:p w14:paraId="6F1C2358">
      <w:pPr>
        <w:adjustRightInd w:val="0"/>
        <w:snapToGrid w:val="0"/>
        <w:spacing w:line="360" w:lineRule="auto"/>
        <w:ind w:firstLine="480" w:firstLineChars="200"/>
        <w:jc w:val="left"/>
        <w:rPr>
          <w:sz w:val="24"/>
        </w:rPr>
      </w:pPr>
      <w:r>
        <w:rPr>
          <w:sz w:val="24"/>
        </w:rPr>
        <w:t>乙方（拟分包单位）：________</w:t>
      </w:r>
    </w:p>
    <w:p w14:paraId="258E1B37">
      <w:pPr>
        <w:adjustRightInd w:val="0"/>
        <w:snapToGrid w:val="0"/>
        <w:spacing w:line="360" w:lineRule="auto"/>
        <w:ind w:firstLine="480" w:firstLineChars="200"/>
        <w:jc w:val="left"/>
        <w:rPr>
          <w:sz w:val="24"/>
        </w:rPr>
      </w:pPr>
      <w:r>
        <w:rPr>
          <w:sz w:val="24"/>
        </w:rPr>
        <w:t>甲方承诺，一旦在</w:t>
      </w:r>
      <w:r>
        <w:rPr>
          <w:rFonts w:hint="eastAsia"/>
          <w:sz w:val="24"/>
          <w:u w:val="single"/>
        </w:rPr>
        <w:t xml:space="preserve">       【</w:t>
      </w:r>
      <w:r>
        <w:rPr>
          <w:sz w:val="24"/>
          <w:u w:val="single"/>
        </w:rPr>
        <w:t>采购项目名称</w:t>
      </w:r>
      <w:r>
        <w:rPr>
          <w:rFonts w:hint="eastAsia"/>
          <w:sz w:val="24"/>
          <w:u w:val="single"/>
        </w:rPr>
        <w:t>】</w:t>
      </w:r>
      <w:r>
        <w:rPr>
          <w:sz w:val="24"/>
        </w:rPr>
        <w:t>（项目编号/包号为：_______）招标采购项目中获得采购合同，将按照下述约定将合同项下部分内容分包给乙方：</w:t>
      </w:r>
    </w:p>
    <w:p w14:paraId="08CB45BD">
      <w:pPr>
        <w:adjustRightInd w:val="0"/>
        <w:snapToGrid w:val="0"/>
        <w:spacing w:line="360" w:lineRule="auto"/>
        <w:ind w:firstLine="480" w:firstLineChars="200"/>
        <w:jc w:val="left"/>
        <w:rPr>
          <w:sz w:val="24"/>
        </w:rPr>
      </w:pPr>
      <w:r>
        <w:rPr>
          <w:sz w:val="24"/>
        </w:rPr>
        <w:t>1.分包内容：_____。</w:t>
      </w:r>
    </w:p>
    <w:p w14:paraId="418784D6">
      <w:pPr>
        <w:adjustRightInd w:val="0"/>
        <w:snapToGrid w:val="0"/>
        <w:spacing w:line="360" w:lineRule="auto"/>
        <w:ind w:firstLine="480" w:firstLineChars="200"/>
        <w:jc w:val="left"/>
        <w:rPr>
          <w:sz w:val="24"/>
        </w:rPr>
      </w:pPr>
      <w:r>
        <w:rPr>
          <w:sz w:val="24"/>
        </w:rPr>
        <w:t>2.分包金额：_____，该金额占该采购包合同金额的比例为___%。</w:t>
      </w:r>
    </w:p>
    <w:p w14:paraId="34CA232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DAA004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C27ECD0">
      <w:pPr>
        <w:spacing w:line="360" w:lineRule="auto"/>
        <w:ind w:firstLine="471"/>
        <w:rPr>
          <w:b/>
          <w:color w:val="000000"/>
          <w:sz w:val="24"/>
        </w:rPr>
      </w:pPr>
    </w:p>
    <w:p w14:paraId="34871C62">
      <w:pPr>
        <w:spacing w:line="360" w:lineRule="auto"/>
        <w:ind w:firstLine="471"/>
        <w:rPr>
          <w:b/>
          <w:color w:val="000000"/>
          <w:sz w:val="24"/>
        </w:rPr>
      </w:pPr>
      <w:r>
        <w:rPr>
          <w:color w:val="000000"/>
          <w:sz w:val="24"/>
        </w:rPr>
        <w:t>甲方（盖章）：_________                 乙方（盖章）：_________</w:t>
      </w:r>
    </w:p>
    <w:p w14:paraId="474CE478">
      <w:pPr>
        <w:spacing w:line="360" w:lineRule="auto"/>
        <w:ind w:left="480"/>
        <w:jc w:val="right"/>
        <w:rPr>
          <w:color w:val="000000"/>
          <w:sz w:val="24"/>
        </w:rPr>
      </w:pPr>
    </w:p>
    <w:p w14:paraId="27CBC372">
      <w:pPr>
        <w:wordWrap w:val="0"/>
        <w:spacing w:line="360" w:lineRule="auto"/>
        <w:ind w:left="480"/>
        <w:jc w:val="right"/>
        <w:rPr>
          <w:b/>
          <w:color w:val="000000"/>
          <w:sz w:val="24"/>
        </w:rPr>
      </w:pPr>
      <w:r>
        <w:rPr>
          <w:color w:val="000000"/>
          <w:sz w:val="24"/>
          <w:szCs w:val="20"/>
        </w:rPr>
        <w:t xml:space="preserve">日期：_____年______月______日   </w:t>
      </w:r>
    </w:p>
    <w:p w14:paraId="2F3AA35B">
      <w:pPr>
        <w:tabs>
          <w:tab w:val="left" w:pos="8280"/>
        </w:tabs>
        <w:spacing w:line="360" w:lineRule="auto"/>
        <w:ind w:firstLine="480"/>
        <w:rPr>
          <w:color w:val="000000"/>
          <w:sz w:val="24"/>
        </w:rPr>
      </w:pPr>
    </w:p>
    <w:p w14:paraId="0F57697D">
      <w:pPr>
        <w:tabs>
          <w:tab w:val="left" w:pos="8280"/>
        </w:tabs>
        <w:spacing w:line="360" w:lineRule="auto"/>
        <w:rPr>
          <w:color w:val="000000"/>
          <w:sz w:val="24"/>
        </w:rPr>
      </w:pPr>
      <w:bookmarkStart w:id="944" w:name="_Hlk176956306"/>
      <w:r>
        <w:rPr>
          <w:color w:val="000000"/>
          <w:sz w:val="24"/>
        </w:rPr>
        <w:t>注：</w:t>
      </w:r>
    </w:p>
    <w:p w14:paraId="4E75B841">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60440BCD">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D1A6739">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4"/>
    </w:p>
    <w:bookmarkEnd w:id="943"/>
    <w:p w14:paraId="5571A06E">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32FFAE5">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2CAB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3E777BA">
            <w:pPr>
              <w:rPr>
                <w:sz w:val="24"/>
              </w:rPr>
            </w:pPr>
            <w:r>
              <w:rPr>
                <w:rFonts w:hint="eastAsia"/>
                <w:sz w:val="24"/>
              </w:rPr>
              <w:t>供应商名称</w:t>
            </w:r>
          </w:p>
        </w:tc>
        <w:tc>
          <w:tcPr>
            <w:tcW w:w="1667" w:type="pct"/>
          </w:tcPr>
          <w:p w14:paraId="094689F5">
            <w:pPr>
              <w:rPr>
                <w:sz w:val="24"/>
              </w:rPr>
            </w:pPr>
            <w:r>
              <w:rPr>
                <w:rFonts w:hint="eastAsia"/>
                <w:sz w:val="24"/>
              </w:rPr>
              <w:t>供应商所属性别</w:t>
            </w:r>
          </w:p>
        </w:tc>
        <w:tc>
          <w:tcPr>
            <w:tcW w:w="1667" w:type="pct"/>
          </w:tcPr>
          <w:p w14:paraId="0DFEF7D9">
            <w:pPr>
              <w:rPr>
                <w:sz w:val="24"/>
              </w:rPr>
            </w:pPr>
            <w:r>
              <w:rPr>
                <w:rFonts w:hint="eastAsia"/>
                <w:sz w:val="24"/>
              </w:rPr>
              <w:t>外商投资类型</w:t>
            </w:r>
          </w:p>
        </w:tc>
      </w:tr>
      <w:tr w14:paraId="0435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CAF0073">
            <w:pPr>
              <w:rPr>
                <w:sz w:val="24"/>
              </w:rPr>
            </w:pPr>
          </w:p>
        </w:tc>
        <w:tc>
          <w:tcPr>
            <w:tcW w:w="1667" w:type="pct"/>
          </w:tcPr>
          <w:p w14:paraId="428AE15A">
            <w:pPr>
              <w:rPr>
                <w:sz w:val="24"/>
              </w:rPr>
            </w:pPr>
          </w:p>
        </w:tc>
        <w:tc>
          <w:tcPr>
            <w:tcW w:w="1667" w:type="pct"/>
          </w:tcPr>
          <w:p w14:paraId="5BD07332">
            <w:pPr>
              <w:rPr>
                <w:sz w:val="24"/>
              </w:rPr>
            </w:pPr>
          </w:p>
        </w:tc>
      </w:tr>
      <w:tr w14:paraId="1BDD8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0493F9">
            <w:pPr>
              <w:rPr>
                <w:sz w:val="24"/>
              </w:rPr>
            </w:pPr>
          </w:p>
        </w:tc>
        <w:tc>
          <w:tcPr>
            <w:tcW w:w="1667" w:type="pct"/>
          </w:tcPr>
          <w:p w14:paraId="3401E3F9">
            <w:pPr>
              <w:rPr>
                <w:sz w:val="24"/>
              </w:rPr>
            </w:pPr>
          </w:p>
        </w:tc>
        <w:tc>
          <w:tcPr>
            <w:tcW w:w="1667" w:type="pct"/>
          </w:tcPr>
          <w:p w14:paraId="4DB51703">
            <w:pPr>
              <w:rPr>
                <w:sz w:val="24"/>
              </w:rPr>
            </w:pPr>
          </w:p>
        </w:tc>
      </w:tr>
      <w:tr w14:paraId="6D942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72231B7">
            <w:pPr>
              <w:rPr>
                <w:sz w:val="24"/>
              </w:rPr>
            </w:pPr>
          </w:p>
        </w:tc>
        <w:tc>
          <w:tcPr>
            <w:tcW w:w="1667" w:type="pct"/>
          </w:tcPr>
          <w:p w14:paraId="45E3230B">
            <w:pPr>
              <w:rPr>
                <w:sz w:val="24"/>
              </w:rPr>
            </w:pPr>
          </w:p>
        </w:tc>
        <w:tc>
          <w:tcPr>
            <w:tcW w:w="1667" w:type="pct"/>
          </w:tcPr>
          <w:p w14:paraId="3A6A3815">
            <w:pPr>
              <w:rPr>
                <w:sz w:val="24"/>
              </w:rPr>
            </w:pPr>
          </w:p>
        </w:tc>
      </w:tr>
      <w:tr w14:paraId="4D5A7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C97234E">
            <w:pPr>
              <w:rPr>
                <w:sz w:val="24"/>
              </w:rPr>
            </w:pPr>
          </w:p>
        </w:tc>
        <w:tc>
          <w:tcPr>
            <w:tcW w:w="1667" w:type="pct"/>
          </w:tcPr>
          <w:p w14:paraId="55BB5CD0">
            <w:pPr>
              <w:rPr>
                <w:sz w:val="24"/>
              </w:rPr>
            </w:pPr>
          </w:p>
        </w:tc>
        <w:tc>
          <w:tcPr>
            <w:tcW w:w="1667" w:type="pct"/>
          </w:tcPr>
          <w:p w14:paraId="4264F678">
            <w:pPr>
              <w:rPr>
                <w:sz w:val="24"/>
              </w:rPr>
            </w:pPr>
          </w:p>
        </w:tc>
      </w:tr>
    </w:tbl>
    <w:p w14:paraId="65AB0FB7">
      <w:pPr>
        <w:tabs>
          <w:tab w:val="left" w:pos="1800"/>
          <w:tab w:val="left" w:pos="5580"/>
        </w:tabs>
        <w:jc w:val="left"/>
        <w:rPr>
          <w:color w:val="000000"/>
          <w:sz w:val="24"/>
        </w:rPr>
      </w:pPr>
      <w:r>
        <w:rPr>
          <w:color w:val="000000"/>
          <w:sz w:val="24"/>
        </w:rPr>
        <w:t>注：1.供应商如为联合体，则应填写联合体各成员信息。</w:t>
      </w:r>
    </w:p>
    <w:p w14:paraId="28224D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D1D4E41">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30C6998D">
      <w:pPr>
        <w:widowControl/>
        <w:jc w:val="left"/>
        <w:rPr>
          <w:b/>
          <w:sz w:val="36"/>
          <w:szCs w:val="36"/>
        </w:rPr>
      </w:pPr>
    </w:p>
    <w:p w14:paraId="63FE1EB1">
      <w:pPr>
        <w:widowControl/>
        <w:jc w:val="left"/>
        <w:rPr>
          <w:color w:val="000000"/>
          <w:sz w:val="24"/>
          <w:szCs w:val="20"/>
        </w:rPr>
      </w:pPr>
      <w:r>
        <w:rPr>
          <w:color w:val="000000"/>
          <w:sz w:val="24"/>
          <w:szCs w:val="20"/>
        </w:rPr>
        <w:t>9-</w:t>
      </w:r>
      <w:r>
        <w:rPr>
          <w:rFonts w:hint="eastAsia"/>
          <w:color w:val="000000"/>
          <w:sz w:val="24"/>
          <w:szCs w:val="20"/>
        </w:rPr>
        <w:t>2拟派实施人员情况</w:t>
      </w:r>
    </w:p>
    <w:p w14:paraId="4A84B516">
      <w:pPr>
        <w:pStyle w:val="252"/>
        <w:ind w:firstLine="480"/>
        <w:rPr>
          <w:rFonts w:hint="eastAsia"/>
          <w:color w:val="FF0000"/>
        </w:rPr>
      </w:pPr>
      <w:r>
        <w:rPr>
          <w:rFonts w:hint="eastAsia"/>
          <w:color w:val="FF0000"/>
        </w:rPr>
        <w:t>【拟派实施人员相关内容请按附件</w:t>
      </w:r>
      <w:r>
        <w:rPr>
          <w:color w:val="FF0000"/>
        </w:rPr>
        <w:t>7</w:t>
      </w:r>
      <w:r>
        <w:rPr>
          <w:rFonts w:hint="eastAsia"/>
          <w:color w:val="FF0000"/>
        </w:rPr>
        <w:t>-</w:t>
      </w:r>
      <w:r>
        <w:rPr>
          <w:color w:val="FF0000"/>
        </w:rPr>
        <w:t>1</w:t>
      </w:r>
      <w:r>
        <w:rPr>
          <w:rFonts w:hint="eastAsia"/>
          <w:color w:val="FF0000"/>
        </w:rPr>
        <w:t>和</w:t>
      </w:r>
      <w:r>
        <w:rPr>
          <w:color w:val="FF0000"/>
        </w:rPr>
        <w:t>7</w:t>
      </w:r>
      <w:r>
        <w:rPr>
          <w:rFonts w:hint="eastAsia"/>
          <w:color w:val="FF0000"/>
        </w:rPr>
        <w:t>-</w:t>
      </w:r>
      <w:r>
        <w:rPr>
          <w:color w:val="FF0000"/>
        </w:rPr>
        <w:t>2</w:t>
      </w:r>
      <w:r>
        <w:rPr>
          <w:rFonts w:hint="eastAsia"/>
          <w:color w:val="FF0000"/>
        </w:rPr>
        <w:t>格式填写，以便评标时查阅。】</w:t>
      </w:r>
    </w:p>
    <w:p w14:paraId="6F7B5E4F">
      <w:pPr>
        <w:widowControl/>
        <w:jc w:val="left"/>
        <w:rPr>
          <w:color w:val="000000"/>
          <w:sz w:val="24"/>
          <w:szCs w:val="20"/>
        </w:rPr>
      </w:pPr>
      <w:bookmarkStart w:id="945" w:name="_Toc451786889"/>
      <w:r>
        <w:rPr>
          <w:rFonts w:hint="eastAsia"/>
          <w:color w:val="000000"/>
          <w:sz w:val="24"/>
          <w:szCs w:val="20"/>
        </w:rPr>
        <w:t>9-2-1 拟派实施人员汇总表</w:t>
      </w:r>
      <w:bookmarkEnd w:id="945"/>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2693"/>
        <w:gridCol w:w="1773"/>
        <w:gridCol w:w="2126"/>
      </w:tblGrid>
      <w:tr w14:paraId="739E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 w:type="dxa"/>
            <w:vAlign w:val="center"/>
          </w:tcPr>
          <w:p w14:paraId="409A726D">
            <w:r>
              <w:rPr>
                <w:rFonts w:hint="eastAsia"/>
              </w:rPr>
              <w:t>姓名</w:t>
            </w:r>
          </w:p>
        </w:tc>
        <w:tc>
          <w:tcPr>
            <w:tcW w:w="1702" w:type="dxa"/>
            <w:vAlign w:val="center"/>
          </w:tcPr>
          <w:p w14:paraId="0C9650E3">
            <w:r>
              <w:rPr>
                <w:rFonts w:hint="eastAsia"/>
              </w:rPr>
              <w:t>联系方式</w:t>
            </w:r>
          </w:p>
        </w:tc>
        <w:tc>
          <w:tcPr>
            <w:tcW w:w="2693" w:type="dxa"/>
            <w:vAlign w:val="center"/>
          </w:tcPr>
          <w:p w14:paraId="427B853F">
            <w:r>
              <w:rPr>
                <w:rFonts w:hint="eastAsia"/>
              </w:rPr>
              <w:t>本项目中拟任岗位</w:t>
            </w:r>
          </w:p>
        </w:tc>
        <w:tc>
          <w:tcPr>
            <w:tcW w:w="1773" w:type="dxa"/>
            <w:vAlign w:val="center"/>
          </w:tcPr>
          <w:p w14:paraId="116F5067">
            <w:r>
              <w:rPr>
                <w:rFonts w:hint="eastAsia"/>
              </w:rPr>
              <w:t>相关资质认证</w:t>
            </w:r>
          </w:p>
        </w:tc>
        <w:tc>
          <w:tcPr>
            <w:tcW w:w="2126" w:type="dxa"/>
            <w:vAlign w:val="center"/>
          </w:tcPr>
          <w:p w14:paraId="79B1C349">
            <w:r>
              <w:rPr>
                <w:rFonts w:hint="eastAsia"/>
              </w:rPr>
              <w:t>主要项目经验</w:t>
            </w:r>
          </w:p>
        </w:tc>
      </w:tr>
      <w:tr w14:paraId="312B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0787202A"/>
        </w:tc>
        <w:tc>
          <w:tcPr>
            <w:tcW w:w="1702" w:type="dxa"/>
            <w:vAlign w:val="center"/>
          </w:tcPr>
          <w:p w14:paraId="63641D9B"/>
        </w:tc>
        <w:tc>
          <w:tcPr>
            <w:tcW w:w="2693" w:type="dxa"/>
            <w:vAlign w:val="center"/>
          </w:tcPr>
          <w:p w14:paraId="512FA1C8"/>
        </w:tc>
        <w:tc>
          <w:tcPr>
            <w:tcW w:w="1773" w:type="dxa"/>
            <w:vAlign w:val="center"/>
          </w:tcPr>
          <w:p w14:paraId="731BB362"/>
        </w:tc>
        <w:tc>
          <w:tcPr>
            <w:tcW w:w="2126" w:type="dxa"/>
          </w:tcPr>
          <w:p w14:paraId="3FFEC023"/>
        </w:tc>
      </w:tr>
      <w:tr w14:paraId="1FE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92" w:type="dxa"/>
            <w:vAlign w:val="center"/>
          </w:tcPr>
          <w:p w14:paraId="64FFCD7B"/>
        </w:tc>
        <w:tc>
          <w:tcPr>
            <w:tcW w:w="1702" w:type="dxa"/>
            <w:vAlign w:val="center"/>
          </w:tcPr>
          <w:p w14:paraId="6FB6E1DA"/>
        </w:tc>
        <w:tc>
          <w:tcPr>
            <w:tcW w:w="2693" w:type="dxa"/>
            <w:vAlign w:val="center"/>
          </w:tcPr>
          <w:p w14:paraId="0A27453E"/>
        </w:tc>
        <w:tc>
          <w:tcPr>
            <w:tcW w:w="1773" w:type="dxa"/>
            <w:vAlign w:val="center"/>
          </w:tcPr>
          <w:p w14:paraId="67F9BA9C"/>
        </w:tc>
        <w:tc>
          <w:tcPr>
            <w:tcW w:w="2126" w:type="dxa"/>
          </w:tcPr>
          <w:p w14:paraId="0D659A06"/>
        </w:tc>
      </w:tr>
      <w:tr w14:paraId="4299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AE1363B"/>
        </w:tc>
        <w:tc>
          <w:tcPr>
            <w:tcW w:w="1702" w:type="dxa"/>
            <w:vAlign w:val="center"/>
          </w:tcPr>
          <w:p w14:paraId="4302B428"/>
        </w:tc>
        <w:tc>
          <w:tcPr>
            <w:tcW w:w="2693" w:type="dxa"/>
            <w:vAlign w:val="center"/>
          </w:tcPr>
          <w:p w14:paraId="2ADAFB4B"/>
        </w:tc>
        <w:tc>
          <w:tcPr>
            <w:tcW w:w="1773" w:type="dxa"/>
            <w:vAlign w:val="center"/>
          </w:tcPr>
          <w:p w14:paraId="3B9310BA"/>
        </w:tc>
        <w:tc>
          <w:tcPr>
            <w:tcW w:w="2126" w:type="dxa"/>
          </w:tcPr>
          <w:p w14:paraId="1BB34A26"/>
        </w:tc>
      </w:tr>
      <w:tr w14:paraId="7E9A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1DA49CB"/>
        </w:tc>
        <w:tc>
          <w:tcPr>
            <w:tcW w:w="1702" w:type="dxa"/>
            <w:vAlign w:val="center"/>
          </w:tcPr>
          <w:p w14:paraId="75F7CC87"/>
        </w:tc>
        <w:tc>
          <w:tcPr>
            <w:tcW w:w="2693" w:type="dxa"/>
            <w:vAlign w:val="center"/>
          </w:tcPr>
          <w:p w14:paraId="2E9395E5"/>
        </w:tc>
        <w:tc>
          <w:tcPr>
            <w:tcW w:w="1773" w:type="dxa"/>
            <w:vAlign w:val="center"/>
          </w:tcPr>
          <w:p w14:paraId="1D402A6B"/>
        </w:tc>
        <w:tc>
          <w:tcPr>
            <w:tcW w:w="2126" w:type="dxa"/>
          </w:tcPr>
          <w:p w14:paraId="33726982"/>
        </w:tc>
      </w:tr>
      <w:tr w14:paraId="723D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73A72DA8"/>
        </w:tc>
        <w:tc>
          <w:tcPr>
            <w:tcW w:w="1702" w:type="dxa"/>
            <w:vAlign w:val="center"/>
          </w:tcPr>
          <w:p w14:paraId="234B64DF"/>
        </w:tc>
        <w:tc>
          <w:tcPr>
            <w:tcW w:w="2693" w:type="dxa"/>
            <w:vAlign w:val="center"/>
          </w:tcPr>
          <w:p w14:paraId="153D38AB"/>
        </w:tc>
        <w:tc>
          <w:tcPr>
            <w:tcW w:w="1773" w:type="dxa"/>
            <w:vAlign w:val="center"/>
          </w:tcPr>
          <w:p w14:paraId="0ED812BC"/>
        </w:tc>
        <w:tc>
          <w:tcPr>
            <w:tcW w:w="2126" w:type="dxa"/>
          </w:tcPr>
          <w:p w14:paraId="455FB540"/>
        </w:tc>
      </w:tr>
      <w:tr w14:paraId="1826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9A88B76"/>
        </w:tc>
        <w:tc>
          <w:tcPr>
            <w:tcW w:w="1702" w:type="dxa"/>
            <w:vAlign w:val="center"/>
          </w:tcPr>
          <w:p w14:paraId="62BE0B59"/>
        </w:tc>
        <w:tc>
          <w:tcPr>
            <w:tcW w:w="2693" w:type="dxa"/>
            <w:vAlign w:val="center"/>
          </w:tcPr>
          <w:p w14:paraId="2EE7F438"/>
        </w:tc>
        <w:tc>
          <w:tcPr>
            <w:tcW w:w="1773" w:type="dxa"/>
            <w:vAlign w:val="center"/>
          </w:tcPr>
          <w:p w14:paraId="60B8379C"/>
        </w:tc>
        <w:tc>
          <w:tcPr>
            <w:tcW w:w="2126" w:type="dxa"/>
          </w:tcPr>
          <w:p w14:paraId="6F494B84"/>
        </w:tc>
      </w:tr>
      <w:tr w14:paraId="6814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71049F72"/>
        </w:tc>
        <w:tc>
          <w:tcPr>
            <w:tcW w:w="1702" w:type="dxa"/>
            <w:vAlign w:val="center"/>
          </w:tcPr>
          <w:p w14:paraId="497955DF"/>
        </w:tc>
        <w:tc>
          <w:tcPr>
            <w:tcW w:w="2693" w:type="dxa"/>
            <w:vAlign w:val="center"/>
          </w:tcPr>
          <w:p w14:paraId="1D562397"/>
        </w:tc>
        <w:tc>
          <w:tcPr>
            <w:tcW w:w="1773" w:type="dxa"/>
            <w:vAlign w:val="center"/>
          </w:tcPr>
          <w:p w14:paraId="4A53C8B5"/>
        </w:tc>
        <w:tc>
          <w:tcPr>
            <w:tcW w:w="2126" w:type="dxa"/>
          </w:tcPr>
          <w:p w14:paraId="73526A43"/>
        </w:tc>
      </w:tr>
      <w:tr w14:paraId="771D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198EE08D"/>
        </w:tc>
        <w:tc>
          <w:tcPr>
            <w:tcW w:w="1702" w:type="dxa"/>
            <w:vAlign w:val="center"/>
          </w:tcPr>
          <w:p w14:paraId="217F5D0F"/>
        </w:tc>
        <w:tc>
          <w:tcPr>
            <w:tcW w:w="2693" w:type="dxa"/>
            <w:vAlign w:val="center"/>
          </w:tcPr>
          <w:p w14:paraId="1560135F"/>
        </w:tc>
        <w:tc>
          <w:tcPr>
            <w:tcW w:w="1773" w:type="dxa"/>
            <w:vAlign w:val="center"/>
          </w:tcPr>
          <w:p w14:paraId="2624442A"/>
        </w:tc>
        <w:tc>
          <w:tcPr>
            <w:tcW w:w="2126" w:type="dxa"/>
          </w:tcPr>
          <w:p w14:paraId="15A10F58"/>
        </w:tc>
      </w:tr>
      <w:tr w14:paraId="5DD8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93EDE8E"/>
        </w:tc>
        <w:tc>
          <w:tcPr>
            <w:tcW w:w="1702" w:type="dxa"/>
            <w:vAlign w:val="center"/>
          </w:tcPr>
          <w:p w14:paraId="651679E3"/>
        </w:tc>
        <w:tc>
          <w:tcPr>
            <w:tcW w:w="2693" w:type="dxa"/>
            <w:vAlign w:val="center"/>
          </w:tcPr>
          <w:p w14:paraId="3042EBCB"/>
        </w:tc>
        <w:tc>
          <w:tcPr>
            <w:tcW w:w="1773" w:type="dxa"/>
            <w:vAlign w:val="center"/>
          </w:tcPr>
          <w:p w14:paraId="4FE69590"/>
        </w:tc>
        <w:tc>
          <w:tcPr>
            <w:tcW w:w="2126" w:type="dxa"/>
          </w:tcPr>
          <w:p w14:paraId="66F6A6CC"/>
        </w:tc>
      </w:tr>
      <w:tr w14:paraId="2A5F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F02B506"/>
        </w:tc>
        <w:tc>
          <w:tcPr>
            <w:tcW w:w="1702" w:type="dxa"/>
            <w:vAlign w:val="center"/>
          </w:tcPr>
          <w:p w14:paraId="23E9D3B1"/>
        </w:tc>
        <w:tc>
          <w:tcPr>
            <w:tcW w:w="2693" w:type="dxa"/>
            <w:vAlign w:val="center"/>
          </w:tcPr>
          <w:p w14:paraId="54355584"/>
        </w:tc>
        <w:tc>
          <w:tcPr>
            <w:tcW w:w="1773" w:type="dxa"/>
            <w:vAlign w:val="center"/>
          </w:tcPr>
          <w:p w14:paraId="7707DD83"/>
        </w:tc>
        <w:tc>
          <w:tcPr>
            <w:tcW w:w="2126" w:type="dxa"/>
          </w:tcPr>
          <w:p w14:paraId="7D8BE556"/>
        </w:tc>
      </w:tr>
      <w:tr w14:paraId="5417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12911615"/>
        </w:tc>
        <w:tc>
          <w:tcPr>
            <w:tcW w:w="1702" w:type="dxa"/>
            <w:vAlign w:val="center"/>
          </w:tcPr>
          <w:p w14:paraId="315B319C"/>
        </w:tc>
        <w:tc>
          <w:tcPr>
            <w:tcW w:w="2693" w:type="dxa"/>
            <w:vAlign w:val="center"/>
          </w:tcPr>
          <w:p w14:paraId="1CAEA0EA"/>
        </w:tc>
        <w:tc>
          <w:tcPr>
            <w:tcW w:w="1773" w:type="dxa"/>
            <w:vAlign w:val="center"/>
          </w:tcPr>
          <w:p w14:paraId="113F7B2B"/>
        </w:tc>
        <w:tc>
          <w:tcPr>
            <w:tcW w:w="2126" w:type="dxa"/>
          </w:tcPr>
          <w:p w14:paraId="233D98F5"/>
        </w:tc>
      </w:tr>
      <w:tr w14:paraId="00D9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45090B04"/>
        </w:tc>
        <w:tc>
          <w:tcPr>
            <w:tcW w:w="1702" w:type="dxa"/>
            <w:vAlign w:val="center"/>
          </w:tcPr>
          <w:p w14:paraId="0B12909E"/>
        </w:tc>
        <w:tc>
          <w:tcPr>
            <w:tcW w:w="2693" w:type="dxa"/>
            <w:vAlign w:val="center"/>
          </w:tcPr>
          <w:p w14:paraId="19C454AF"/>
        </w:tc>
        <w:tc>
          <w:tcPr>
            <w:tcW w:w="1773" w:type="dxa"/>
            <w:vAlign w:val="center"/>
          </w:tcPr>
          <w:p w14:paraId="70E0E4CC"/>
        </w:tc>
        <w:tc>
          <w:tcPr>
            <w:tcW w:w="2126" w:type="dxa"/>
          </w:tcPr>
          <w:p w14:paraId="242F0782"/>
        </w:tc>
      </w:tr>
      <w:tr w14:paraId="3556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482DBAF8"/>
        </w:tc>
        <w:tc>
          <w:tcPr>
            <w:tcW w:w="1702" w:type="dxa"/>
            <w:vAlign w:val="center"/>
          </w:tcPr>
          <w:p w14:paraId="333690EC"/>
        </w:tc>
        <w:tc>
          <w:tcPr>
            <w:tcW w:w="2693" w:type="dxa"/>
            <w:vAlign w:val="center"/>
          </w:tcPr>
          <w:p w14:paraId="32A01115"/>
        </w:tc>
        <w:tc>
          <w:tcPr>
            <w:tcW w:w="1773" w:type="dxa"/>
            <w:vAlign w:val="center"/>
          </w:tcPr>
          <w:p w14:paraId="79A2E710"/>
        </w:tc>
        <w:tc>
          <w:tcPr>
            <w:tcW w:w="2126" w:type="dxa"/>
          </w:tcPr>
          <w:p w14:paraId="56DC4A9D"/>
        </w:tc>
      </w:tr>
    </w:tbl>
    <w:p w14:paraId="5094CF53"/>
    <w:p w14:paraId="3FD01DC9"/>
    <w:p w14:paraId="69726C57">
      <w:pPr>
        <w:rPr>
          <w:rFonts w:hAnsi="Calibri"/>
        </w:rPr>
      </w:pPr>
    </w:p>
    <w:p w14:paraId="6A501738">
      <w:pPr>
        <w:widowControl/>
        <w:jc w:val="left"/>
        <w:rPr>
          <w:rFonts w:hAnsi="Calibri"/>
        </w:rPr>
      </w:pPr>
      <w:r>
        <w:rPr>
          <w:rFonts w:hAnsi="Calibri"/>
        </w:rPr>
        <w:br w:type="page"/>
      </w:r>
    </w:p>
    <w:p w14:paraId="53424FA6">
      <w:pPr>
        <w:widowControl/>
        <w:jc w:val="left"/>
        <w:rPr>
          <w:color w:val="000000"/>
          <w:sz w:val="24"/>
          <w:szCs w:val="20"/>
        </w:rPr>
      </w:pPr>
      <w:bookmarkStart w:id="946" w:name="_Toc174533103"/>
      <w:bookmarkStart w:id="947" w:name="_Toc451786890"/>
      <w:r>
        <w:rPr>
          <w:rFonts w:hint="eastAsia"/>
          <w:color w:val="000000"/>
          <w:sz w:val="24"/>
          <w:szCs w:val="20"/>
        </w:rPr>
        <w:t>9-</w:t>
      </w:r>
      <w:r>
        <w:rPr>
          <w:color w:val="000000"/>
          <w:sz w:val="24"/>
          <w:szCs w:val="20"/>
        </w:rPr>
        <w:t>2</w:t>
      </w:r>
      <w:r>
        <w:rPr>
          <w:rFonts w:hint="eastAsia"/>
          <w:color w:val="000000"/>
          <w:sz w:val="24"/>
          <w:szCs w:val="20"/>
        </w:rPr>
        <w:t>-2、拟派实施人员简历</w:t>
      </w:r>
      <w:bookmarkEnd w:id="946"/>
    </w:p>
    <w:p w14:paraId="32BE683C">
      <w:pPr>
        <w:spacing w:line="360" w:lineRule="auto"/>
        <w:jc w:val="center"/>
        <w:rPr>
          <w:rFonts w:hAnsi="Calibri"/>
          <w:b/>
          <w:bCs/>
        </w:rPr>
      </w:pPr>
      <w:r>
        <w:rPr>
          <w:rFonts w:hint="eastAsia" w:hAnsi="Calibri"/>
          <w:b/>
          <w:bCs/>
        </w:rPr>
        <w:t>人员简历</w:t>
      </w:r>
      <w:bookmarkEnd w:id="947"/>
    </w:p>
    <w:tbl>
      <w:tblPr>
        <w:tblStyle w:val="42"/>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5"/>
        <w:gridCol w:w="30"/>
        <w:gridCol w:w="1645"/>
        <w:gridCol w:w="1701"/>
        <w:gridCol w:w="1359"/>
        <w:gridCol w:w="1051"/>
        <w:gridCol w:w="566"/>
        <w:gridCol w:w="1844"/>
      </w:tblGrid>
      <w:tr w14:paraId="57B2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42F451DE">
            <w:r>
              <w:rPr>
                <w:rFonts w:hint="eastAsia"/>
              </w:rPr>
              <w:t>姓名</w:t>
            </w:r>
          </w:p>
        </w:tc>
        <w:tc>
          <w:tcPr>
            <w:tcW w:w="1675" w:type="dxa"/>
            <w:gridSpan w:val="2"/>
            <w:vAlign w:val="center"/>
          </w:tcPr>
          <w:p w14:paraId="673AAFC3"/>
        </w:tc>
        <w:tc>
          <w:tcPr>
            <w:tcW w:w="1701" w:type="dxa"/>
            <w:vAlign w:val="center"/>
          </w:tcPr>
          <w:p w14:paraId="76BEE24C">
            <w:r>
              <w:rPr>
                <w:rFonts w:hint="eastAsia"/>
              </w:rPr>
              <w:t>职务</w:t>
            </w:r>
          </w:p>
        </w:tc>
        <w:tc>
          <w:tcPr>
            <w:tcW w:w="1359" w:type="dxa"/>
            <w:vAlign w:val="center"/>
          </w:tcPr>
          <w:p w14:paraId="39E2F62B"/>
        </w:tc>
        <w:tc>
          <w:tcPr>
            <w:tcW w:w="1617" w:type="dxa"/>
            <w:gridSpan w:val="2"/>
            <w:vAlign w:val="center"/>
          </w:tcPr>
          <w:p w14:paraId="2234F721">
            <w:r>
              <w:rPr>
                <w:rFonts w:hint="eastAsia"/>
              </w:rPr>
              <w:t>职称</w:t>
            </w:r>
          </w:p>
        </w:tc>
        <w:tc>
          <w:tcPr>
            <w:tcW w:w="1844" w:type="dxa"/>
            <w:vAlign w:val="center"/>
          </w:tcPr>
          <w:p w14:paraId="6AADEB3B"/>
        </w:tc>
      </w:tr>
      <w:tr w14:paraId="75FC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7F850561">
            <w:r>
              <w:rPr>
                <w:rFonts w:hint="eastAsia"/>
              </w:rPr>
              <w:t>年龄</w:t>
            </w:r>
          </w:p>
        </w:tc>
        <w:tc>
          <w:tcPr>
            <w:tcW w:w="1675" w:type="dxa"/>
            <w:gridSpan w:val="2"/>
            <w:vAlign w:val="center"/>
          </w:tcPr>
          <w:p w14:paraId="29747BBF"/>
        </w:tc>
        <w:tc>
          <w:tcPr>
            <w:tcW w:w="1701" w:type="dxa"/>
            <w:vAlign w:val="center"/>
          </w:tcPr>
          <w:p w14:paraId="2EC85F3F">
            <w:r>
              <w:rPr>
                <w:rFonts w:hint="eastAsia"/>
              </w:rPr>
              <w:t>本项目拟任职</w:t>
            </w:r>
          </w:p>
        </w:tc>
        <w:tc>
          <w:tcPr>
            <w:tcW w:w="1359" w:type="dxa"/>
            <w:vAlign w:val="center"/>
          </w:tcPr>
          <w:p w14:paraId="7ECF2092"/>
        </w:tc>
        <w:tc>
          <w:tcPr>
            <w:tcW w:w="1617" w:type="dxa"/>
            <w:gridSpan w:val="2"/>
            <w:vAlign w:val="center"/>
          </w:tcPr>
          <w:p w14:paraId="0E796C72">
            <w:r>
              <w:rPr>
                <w:rFonts w:hint="eastAsia"/>
              </w:rPr>
              <w:t>单位任职时间</w:t>
            </w:r>
          </w:p>
        </w:tc>
        <w:tc>
          <w:tcPr>
            <w:tcW w:w="1844" w:type="dxa"/>
            <w:vAlign w:val="center"/>
          </w:tcPr>
          <w:p w14:paraId="7370E5FA"/>
        </w:tc>
      </w:tr>
      <w:tr w14:paraId="6340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7551EF13">
            <w:r>
              <w:rPr>
                <w:rFonts w:hint="eastAsia"/>
              </w:rPr>
              <w:t>学历（毕业学校、时间、专业）：</w:t>
            </w:r>
          </w:p>
          <w:p w14:paraId="3D795DC0"/>
          <w:p w14:paraId="6E2E30BB"/>
          <w:p w14:paraId="77AD3102"/>
        </w:tc>
      </w:tr>
      <w:tr w14:paraId="61F6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18D2B648">
            <w:r>
              <w:rPr>
                <w:rFonts w:hint="eastAsia"/>
              </w:rPr>
              <w:t>取得的专业认证、资质情况：</w:t>
            </w:r>
          </w:p>
          <w:p w14:paraId="3D626E33"/>
          <w:p w14:paraId="242E680C"/>
        </w:tc>
      </w:tr>
      <w:tr w14:paraId="1DD7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17D7D873">
            <w:r>
              <w:rPr>
                <w:rFonts w:hint="eastAsia"/>
              </w:rPr>
              <w:t>人员优势及特长：</w:t>
            </w:r>
          </w:p>
          <w:p w14:paraId="44F5F902"/>
          <w:p w14:paraId="0EE75BED"/>
        </w:tc>
      </w:tr>
      <w:tr w14:paraId="37A1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6465356F">
            <w:r>
              <w:rPr>
                <w:rFonts w:hint="eastAsia"/>
              </w:rPr>
              <w:t>人员其他情况介绍：</w:t>
            </w:r>
          </w:p>
          <w:p w14:paraId="17AA81C0"/>
          <w:p w14:paraId="25BF5F6D"/>
        </w:tc>
      </w:tr>
      <w:tr w14:paraId="6C21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41631384">
            <w:pPr>
              <w:jc w:val="center"/>
            </w:pPr>
            <w:r>
              <w:rPr>
                <w:rFonts w:hint="eastAsia"/>
              </w:rPr>
              <w:t>人员业绩情况</w:t>
            </w:r>
          </w:p>
        </w:tc>
      </w:tr>
      <w:tr w14:paraId="44F8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26565D68">
            <w:r>
              <w:rPr>
                <w:rFonts w:hint="eastAsia"/>
              </w:rPr>
              <w:t>年份</w:t>
            </w:r>
          </w:p>
        </w:tc>
        <w:tc>
          <w:tcPr>
            <w:tcW w:w="5756" w:type="dxa"/>
            <w:gridSpan w:val="4"/>
            <w:vAlign w:val="center"/>
          </w:tcPr>
          <w:p w14:paraId="7DFF4708">
            <w:r>
              <w:rPr>
                <w:rFonts w:hint="eastAsia"/>
              </w:rPr>
              <w:t>最近参加过的主要项目名称</w:t>
            </w:r>
          </w:p>
        </w:tc>
        <w:tc>
          <w:tcPr>
            <w:tcW w:w="2410" w:type="dxa"/>
            <w:gridSpan w:val="2"/>
            <w:vAlign w:val="center"/>
          </w:tcPr>
          <w:p w14:paraId="17A81A73">
            <w:r>
              <w:rPr>
                <w:rFonts w:hint="eastAsia"/>
              </w:rPr>
              <w:t>担任职务或承担的主要工作</w:t>
            </w:r>
          </w:p>
        </w:tc>
      </w:tr>
      <w:tr w14:paraId="5DD9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3AC2F807"/>
        </w:tc>
        <w:tc>
          <w:tcPr>
            <w:tcW w:w="5756" w:type="dxa"/>
            <w:gridSpan w:val="4"/>
            <w:vAlign w:val="center"/>
          </w:tcPr>
          <w:p w14:paraId="1C9F4039"/>
        </w:tc>
        <w:tc>
          <w:tcPr>
            <w:tcW w:w="2410" w:type="dxa"/>
            <w:gridSpan w:val="2"/>
            <w:vAlign w:val="center"/>
          </w:tcPr>
          <w:p w14:paraId="2FAE2224"/>
        </w:tc>
      </w:tr>
      <w:tr w14:paraId="2AC6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D015284"/>
        </w:tc>
        <w:tc>
          <w:tcPr>
            <w:tcW w:w="5756" w:type="dxa"/>
            <w:gridSpan w:val="4"/>
            <w:vAlign w:val="center"/>
          </w:tcPr>
          <w:p w14:paraId="316975A1"/>
        </w:tc>
        <w:tc>
          <w:tcPr>
            <w:tcW w:w="2410" w:type="dxa"/>
            <w:gridSpan w:val="2"/>
            <w:vAlign w:val="center"/>
          </w:tcPr>
          <w:p w14:paraId="1B3A7BEA"/>
        </w:tc>
      </w:tr>
      <w:tr w14:paraId="040A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427A8C82"/>
        </w:tc>
        <w:tc>
          <w:tcPr>
            <w:tcW w:w="5756" w:type="dxa"/>
            <w:gridSpan w:val="4"/>
            <w:vAlign w:val="center"/>
          </w:tcPr>
          <w:p w14:paraId="4F9A4EDA"/>
        </w:tc>
        <w:tc>
          <w:tcPr>
            <w:tcW w:w="2410" w:type="dxa"/>
            <w:gridSpan w:val="2"/>
            <w:vAlign w:val="center"/>
          </w:tcPr>
          <w:p w14:paraId="0E7F0D3E"/>
        </w:tc>
      </w:tr>
      <w:tr w14:paraId="12AF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4ADB8F45"/>
        </w:tc>
        <w:tc>
          <w:tcPr>
            <w:tcW w:w="5756" w:type="dxa"/>
            <w:gridSpan w:val="4"/>
            <w:vAlign w:val="center"/>
          </w:tcPr>
          <w:p w14:paraId="60BCDDDC"/>
        </w:tc>
        <w:tc>
          <w:tcPr>
            <w:tcW w:w="2410" w:type="dxa"/>
            <w:gridSpan w:val="2"/>
            <w:vAlign w:val="center"/>
          </w:tcPr>
          <w:p w14:paraId="165051EC"/>
        </w:tc>
      </w:tr>
      <w:tr w14:paraId="26D2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5CD90F5"/>
        </w:tc>
        <w:tc>
          <w:tcPr>
            <w:tcW w:w="5756" w:type="dxa"/>
            <w:gridSpan w:val="4"/>
            <w:vAlign w:val="center"/>
          </w:tcPr>
          <w:p w14:paraId="00FD99BF"/>
        </w:tc>
        <w:tc>
          <w:tcPr>
            <w:tcW w:w="2410" w:type="dxa"/>
            <w:gridSpan w:val="2"/>
            <w:vAlign w:val="center"/>
          </w:tcPr>
          <w:p w14:paraId="1A0B0490"/>
        </w:tc>
      </w:tr>
      <w:tr w14:paraId="0611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64DDE3BB"/>
        </w:tc>
        <w:tc>
          <w:tcPr>
            <w:tcW w:w="5756" w:type="dxa"/>
            <w:gridSpan w:val="4"/>
            <w:vAlign w:val="center"/>
          </w:tcPr>
          <w:p w14:paraId="0C062D82"/>
        </w:tc>
        <w:tc>
          <w:tcPr>
            <w:tcW w:w="2410" w:type="dxa"/>
            <w:gridSpan w:val="2"/>
            <w:vAlign w:val="center"/>
          </w:tcPr>
          <w:p w14:paraId="06355FBE"/>
        </w:tc>
      </w:tr>
      <w:tr w14:paraId="7F3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765" w:type="dxa"/>
            <w:gridSpan w:val="2"/>
            <w:vAlign w:val="center"/>
          </w:tcPr>
          <w:p w14:paraId="1810D4B7"/>
        </w:tc>
        <w:tc>
          <w:tcPr>
            <w:tcW w:w="5756" w:type="dxa"/>
            <w:gridSpan w:val="4"/>
            <w:vAlign w:val="center"/>
          </w:tcPr>
          <w:p w14:paraId="3EE389D7"/>
        </w:tc>
        <w:tc>
          <w:tcPr>
            <w:tcW w:w="2410" w:type="dxa"/>
            <w:gridSpan w:val="2"/>
            <w:vAlign w:val="center"/>
          </w:tcPr>
          <w:p w14:paraId="69A8323A"/>
        </w:tc>
      </w:tr>
    </w:tbl>
    <w:p w14:paraId="7AB50AD5">
      <w:r>
        <w:rPr>
          <w:rFonts w:hint="eastAsia"/>
        </w:rPr>
        <w:t>注：按照评分标准细则要求提供人员相关证明文件（如有）。</w:t>
      </w:r>
    </w:p>
    <w:p w14:paraId="06FB2363">
      <w:pPr>
        <w:widowControl/>
        <w:jc w:val="left"/>
      </w:pPr>
    </w:p>
    <w:p w14:paraId="2C427591">
      <w:pPr>
        <w:widowControl/>
        <w:jc w:val="left"/>
      </w:pPr>
    </w:p>
    <w:p w14:paraId="0F3CA64D">
      <w:pPr>
        <w:widowControl/>
        <w:jc w:val="left"/>
        <w:rPr>
          <w:color w:val="000000"/>
          <w:sz w:val="24"/>
          <w:szCs w:val="20"/>
        </w:rPr>
      </w:pPr>
      <w:r>
        <w:br w:type="page"/>
      </w:r>
    </w:p>
    <w:p w14:paraId="393590AE">
      <w:pPr>
        <w:widowControl/>
        <w:jc w:val="left"/>
        <w:rPr>
          <w:color w:val="000000"/>
          <w:sz w:val="24"/>
          <w:szCs w:val="20"/>
        </w:rPr>
      </w:pPr>
      <w:bookmarkStart w:id="948" w:name="_Toc174533107"/>
      <w:r>
        <w:rPr>
          <w:rFonts w:hint="eastAsia"/>
          <w:color w:val="000000"/>
          <w:sz w:val="24"/>
          <w:szCs w:val="20"/>
        </w:rPr>
        <w:t>9-</w:t>
      </w:r>
      <w:r>
        <w:rPr>
          <w:rFonts w:hint="eastAsia"/>
          <w:color w:val="000000"/>
          <w:sz w:val="24"/>
          <w:szCs w:val="20"/>
          <w:lang w:val="en-US" w:eastAsia="zh-CN"/>
        </w:rPr>
        <w:t>3</w:t>
      </w:r>
      <w:r>
        <w:rPr>
          <w:rFonts w:hint="eastAsia"/>
          <w:color w:val="000000"/>
          <w:sz w:val="24"/>
          <w:szCs w:val="20"/>
        </w:rPr>
        <w:t>、相关业绩表</w:t>
      </w:r>
      <w:bookmarkEnd w:id="948"/>
    </w:p>
    <w:tbl>
      <w:tblPr>
        <w:tblStyle w:val="42"/>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79"/>
        <w:gridCol w:w="782"/>
        <w:gridCol w:w="1355"/>
        <w:gridCol w:w="811"/>
        <w:gridCol w:w="992"/>
        <w:gridCol w:w="1276"/>
        <w:gridCol w:w="1417"/>
        <w:gridCol w:w="808"/>
      </w:tblGrid>
      <w:tr w14:paraId="6805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3" w:type="dxa"/>
            <w:vAlign w:val="center"/>
          </w:tcPr>
          <w:p w14:paraId="573A51D1">
            <w:pPr>
              <w:jc w:val="center"/>
            </w:pPr>
            <w:bookmarkStart w:id="949" w:name="_Hlk108545644"/>
            <w:r>
              <w:rPr>
                <w:rFonts w:hint="eastAsia"/>
              </w:rPr>
              <w:t>序号</w:t>
            </w:r>
          </w:p>
        </w:tc>
        <w:tc>
          <w:tcPr>
            <w:tcW w:w="1379" w:type="dxa"/>
            <w:vAlign w:val="center"/>
          </w:tcPr>
          <w:p w14:paraId="2B03DFD3">
            <w:pPr>
              <w:jc w:val="center"/>
            </w:pPr>
            <w:r>
              <w:rPr>
                <w:rFonts w:hint="eastAsia"/>
              </w:rPr>
              <w:t>案例项目名称</w:t>
            </w:r>
          </w:p>
        </w:tc>
        <w:tc>
          <w:tcPr>
            <w:tcW w:w="782" w:type="dxa"/>
            <w:vAlign w:val="center"/>
          </w:tcPr>
          <w:p w14:paraId="30F383DF">
            <w:pPr>
              <w:jc w:val="center"/>
            </w:pPr>
            <w:r>
              <w:rPr>
                <w:rFonts w:hint="eastAsia"/>
              </w:rPr>
              <w:t>合同</w:t>
            </w:r>
          </w:p>
          <w:p w14:paraId="73907F04">
            <w:pPr>
              <w:jc w:val="center"/>
            </w:pPr>
            <w:r>
              <w:rPr>
                <w:rFonts w:hint="eastAsia"/>
              </w:rPr>
              <w:t>金额</w:t>
            </w:r>
          </w:p>
        </w:tc>
        <w:tc>
          <w:tcPr>
            <w:tcW w:w="1355" w:type="dxa"/>
          </w:tcPr>
          <w:p w14:paraId="46ABF531">
            <w:pPr>
              <w:jc w:val="center"/>
            </w:pPr>
            <w:r>
              <w:rPr>
                <w:rFonts w:hint="eastAsia"/>
              </w:rPr>
              <w:t>合同主要标的名称</w:t>
            </w:r>
          </w:p>
        </w:tc>
        <w:tc>
          <w:tcPr>
            <w:tcW w:w="811" w:type="dxa"/>
          </w:tcPr>
          <w:p w14:paraId="289E0F8A">
            <w:pPr>
              <w:jc w:val="center"/>
            </w:pPr>
            <w:r>
              <w:rPr>
                <w:rFonts w:hint="eastAsia"/>
              </w:rPr>
              <w:t>使用单位</w:t>
            </w:r>
          </w:p>
        </w:tc>
        <w:tc>
          <w:tcPr>
            <w:tcW w:w="992" w:type="dxa"/>
          </w:tcPr>
          <w:p w14:paraId="3FA75A90">
            <w:pPr>
              <w:jc w:val="center"/>
            </w:pPr>
            <w:r>
              <w:rPr>
                <w:rFonts w:hint="eastAsia"/>
              </w:rPr>
              <w:t>合同签订日期</w:t>
            </w:r>
          </w:p>
        </w:tc>
        <w:tc>
          <w:tcPr>
            <w:tcW w:w="1276" w:type="dxa"/>
            <w:vAlign w:val="center"/>
          </w:tcPr>
          <w:p w14:paraId="092B018B">
            <w:pPr>
              <w:jc w:val="center"/>
            </w:pPr>
            <w:r>
              <w:rPr>
                <w:rFonts w:hint="eastAsia"/>
              </w:rPr>
              <w:t>案例概况简介</w:t>
            </w:r>
          </w:p>
        </w:tc>
        <w:tc>
          <w:tcPr>
            <w:tcW w:w="1417" w:type="dxa"/>
            <w:vAlign w:val="center"/>
          </w:tcPr>
          <w:p w14:paraId="350959D6">
            <w:pPr>
              <w:jc w:val="center"/>
            </w:pPr>
            <w:r>
              <w:rPr>
                <w:rFonts w:hint="eastAsia"/>
              </w:rPr>
              <w:t>业绩证明材料所在页码</w:t>
            </w:r>
          </w:p>
        </w:tc>
        <w:tc>
          <w:tcPr>
            <w:tcW w:w="808" w:type="dxa"/>
            <w:vAlign w:val="center"/>
          </w:tcPr>
          <w:p w14:paraId="229806FA">
            <w:pPr>
              <w:jc w:val="center"/>
            </w:pPr>
            <w:r>
              <w:rPr>
                <w:rFonts w:hint="eastAsia"/>
              </w:rPr>
              <w:t>其他说明</w:t>
            </w:r>
          </w:p>
        </w:tc>
      </w:tr>
      <w:tr w14:paraId="0F55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4F110A74">
            <w:r>
              <w:rPr>
                <w:rFonts w:hint="eastAsia"/>
              </w:rPr>
              <w:t>1</w:t>
            </w:r>
          </w:p>
        </w:tc>
        <w:tc>
          <w:tcPr>
            <w:tcW w:w="1379" w:type="dxa"/>
          </w:tcPr>
          <w:p w14:paraId="48FB37CB"/>
        </w:tc>
        <w:tc>
          <w:tcPr>
            <w:tcW w:w="782" w:type="dxa"/>
          </w:tcPr>
          <w:p w14:paraId="6B497593"/>
        </w:tc>
        <w:tc>
          <w:tcPr>
            <w:tcW w:w="1355" w:type="dxa"/>
          </w:tcPr>
          <w:p w14:paraId="78A9F034"/>
        </w:tc>
        <w:tc>
          <w:tcPr>
            <w:tcW w:w="811" w:type="dxa"/>
          </w:tcPr>
          <w:p w14:paraId="75D33C77"/>
        </w:tc>
        <w:tc>
          <w:tcPr>
            <w:tcW w:w="992" w:type="dxa"/>
          </w:tcPr>
          <w:p w14:paraId="594290DF"/>
        </w:tc>
        <w:tc>
          <w:tcPr>
            <w:tcW w:w="1276" w:type="dxa"/>
          </w:tcPr>
          <w:p w14:paraId="3DF591B0"/>
        </w:tc>
        <w:tc>
          <w:tcPr>
            <w:tcW w:w="1417" w:type="dxa"/>
          </w:tcPr>
          <w:p w14:paraId="5211394E"/>
        </w:tc>
        <w:tc>
          <w:tcPr>
            <w:tcW w:w="808" w:type="dxa"/>
          </w:tcPr>
          <w:p w14:paraId="2354ECDB"/>
        </w:tc>
      </w:tr>
      <w:tr w14:paraId="69A2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7ECC8307">
            <w:r>
              <w:rPr>
                <w:rFonts w:hint="eastAsia"/>
              </w:rPr>
              <w:t>2</w:t>
            </w:r>
          </w:p>
        </w:tc>
        <w:tc>
          <w:tcPr>
            <w:tcW w:w="1379" w:type="dxa"/>
          </w:tcPr>
          <w:p w14:paraId="21A58F09"/>
        </w:tc>
        <w:tc>
          <w:tcPr>
            <w:tcW w:w="782" w:type="dxa"/>
          </w:tcPr>
          <w:p w14:paraId="1C6AAAA1"/>
        </w:tc>
        <w:tc>
          <w:tcPr>
            <w:tcW w:w="1355" w:type="dxa"/>
          </w:tcPr>
          <w:p w14:paraId="72572EB0"/>
        </w:tc>
        <w:tc>
          <w:tcPr>
            <w:tcW w:w="811" w:type="dxa"/>
          </w:tcPr>
          <w:p w14:paraId="0032E200"/>
        </w:tc>
        <w:tc>
          <w:tcPr>
            <w:tcW w:w="992" w:type="dxa"/>
          </w:tcPr>
          <w:p w14:paraId="2DF89DDA"/>
        </w:tc>
        <w:tc>
          <w:tcPr>
            <w:tcW w:w="1276" w:type="dxa"/>
          </w:tcPr>
          <w:p w14:paraId="75120145"/>
        </w:tc>
        <w:tc>
          <w:tcPr>
            <w:tcW w:w="1417" w:type="dxa"/>
          </w:tcPr>
          <w:p w14:paraId="31F038FC"/>
        </w:tc>
        <w:tc>
          <w:tcPr>
            <w:tcW w:w="808" w:type="dxa"/>
          </w:tcPr>
          <w:p w14:paraId="3A28D4FF"/>
        </w:tc>
      </w:tr>
      <w:tr w14:paraId="00E1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722F9A65">
            <w:r>
              <w:rPr>
                <w:rFonts w:hint="eastAsia"/>
              </w:rPr>
              <w:t>3</w:t>
            </w:r>
          </w:p>
        </w:tc>
        <w:tc>
          <w:tcPr>
            <w:tcW w:w="1379" w:type="dxa"/>
          </w:tcPr>
          <w:p w14:paraId="13704FE4"/>
        </w:tc>
        <w:tc>
          <w:tcPr>
            <w:tcW w:w="782" w:type="dxa"/>
          </w:tcPr>
          <w:p w14:paraId="33FEF634"/>
        </w:tc>
        <w:tc>
          <w:tcPr>
            <w:tcW w:w="1355" w:type="dxa"/>
          </w:tcPr>
          <w:p w14:paraId="0CDC8145"/>
        </w:tc>
        <w:tc>
          <w:tcPr>
            <w:tcW w:w="811" w:type="dxa"/>
          </w:tcPr>
          <w:p w14:paraId="488944A6"/>
        </w:tc>
        <w:tc>
          <w:tcPr>
            <w:tcW w:w="992" w:type="dxa"/>
          </w:tcPr>
          <w:p w14:paraId="2FFB2274"/>
        </w:tc>
        <w:tc>
          <w:tcPr>
            <w:tcW w:w="1276" w:type="dxa"/>
          </w:tcPr>
          <w:p w14:paraId="04CE4EA9"/>
        </w:tc>
        <w:tc>
          <w:tcPr>
            <w:tcW w:w="1417" w:type="dxa"/>
          </w:tcPr>
          <w:p w14:paraId="5BDEDC81"/>
        </w:tc>
        <w:tc>
          <w:tcPr>
            <w:tcW w:w="808" w:type="dxa"/>
          </w:tcPr>
          <w:p w14:paraId="407E0E85"/>
        </w:tc>
      </w:tr>
      <w:tr w14:paraId="2850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5CD71706">
            <w:r>
              <w:rPr>
                <w:rFonts w:hint="eastAsia"/>
              </w:rPr>
              <w:t>4</w:t>
            </w:r>
          </w:p>
        </w:tc>
        <w:tc>
          <w:tcPr>
            <w:tcW w:w="1379" w:type="dxa"/>
          </w:tcPr>
          <w:p w14:paraId="5B12FDAC"/>
        </w:tc>
        <w:tc>
          <w:tcPr>
            <w:tcW w:w="782" w:type="dxa"/>
          </w:tcPr>
          <w:p w14:paraId="202D08E5"/>
        </w:tc>
        <w:tc>
          <w:tcPr>
            <w:tcW w:w="1355" w:type="dxa"/>
          </w:tcPr>
          <w:p w14:paraId="06014D48"/>
        </w:tc>
        <w:tc>
          <w:tcPr>
            <w:tcW w:w="811" w:type="dxa"/>
          </w:tcPr>
          <w:p w14:paraId="6D69921C"/>
        </w:tc>
        <w:tc>
          <w:tcPr>
            <w:tcW w:w="992" w:type="dxa"/>
          </w:tcPr>
          <w:p w14:paraId="662B2E80"/>
        </w:tc>
        <w:tc>
          <w:tcPr>
            <w:tcW w:w="1276" w:type="dxa"/>
          </w:tcPr>
          <w:p w14:paraId="72B359C4"/>
        </w:tc>
        <w:tc>
          <w:tcPr>
            <w:tcW w:w="1417" w:type="dxa"/>
          </w:tcPr>
          <w:p w14:paraId="674ED84E"/>
        </w:tc>
        <w:tc>
          <w:tcPr>
            <w:tcW w:w="808" w:type="dxa"/>
          </w:tcPr>
          <w:p w14:paraId="25F13245"/>
        </w:tc>
      </w:tr>
      <w:tr w14:paraId="13FA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306D2E4D">
            <w:r>
              <w:rPr>
                <w:rFonts w:hint="eastAsia"/>
              </w:rPr>
              <w:t>5</w:t>
            </w:r>
          </w:p>
        </w:tc>
        <w:tc>
          <w:tcPr>
            <w:tcW w:w="1379" w:type="dxa"/>
          </w:tcPr>
          <w:p w14:paraId="722E8701"/>
        </w:tc>
        <w:tc>
          <w:tcPr>
            <w:tcW w:w="782" w:type="dxa"/>
          </w:tcPr>
          <w:p w14:paraId="42F010FA"/>
        </w:tc>
        <w:tc>
          <w:tcPr>
            <w:tcW w:w="1355" w:type="dxa"/>
          </w:tcPr>
          <w:p w14:paraId="0921377C"/>
        </w:tc>
        <w:tc>
          <w:tcPr>
            <w:tcW w:w="811" w:type="dxa"/>
          </w:tcPr>
          <w:p w14:paraId="7DDE426D"/>
        </w:tc>
        <w:tc>
          <w:tcPr>
            <w:tcW w:w="992" w:type="dxa"/>
          </w:tcPr>
          <w:p w14:paraId="5913E377"/>
        </w:tc>
        <w:tc>
          <w:tcPr>
            <w:tcW w:w="1276" w:type="dxa"/>
          </w:tcPr>
          <w:p w14:paraId="22E79D05"/>
        </w:tc>
        <w:tc>
          <w:tcPr>
            <w:tcW w:w="1417" w:type="dxa"/>
          </w:tcPr>
          <w:p w14:paraId="2D8A4A5F"/>
        </w:tc>
        <w:tc>
          <w:tcPr>
            <w:tcW w:w="808" w:type="dxa"/>
          </w:tcPr>
          <w:p w14:paraId="27AE6A2D"/>
        </w:tc>
      </w:tr>
      <w:tr w14:paraId="4390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403A852D"/>
        </w:tc>
        <w:tc>
          <w:tcPr>
            <w:tcW w:w="1379" w:type="dxa"/>
          </w:tcPr>
          <w:p w14:paraId="75A57ACB"/>
        </w:tc>
        <w:tc>
          <w:tcPr>
            <w:tcW w:w="782" w:type="dxa"/>
          </w:tcPr>
          <w:p w14:paraId="4B6A35B0"/>
        </w:tc>
        <w:tc>
          <w:tcPr>
            <w:tcW w:w="1355" w:type="dxa"/>
          </w:tcPr>
          <w:p w14:paraId="5A6FC880"/>
        </w:tc>
        <w:tc>
          <w:tcPr>
            <w:tcW w:w="811" w:type="dxa"/>
          </w:tcPr>
          <w:p w14:paraId="14E86694"/>
        </w:tc>
        <w:tc>
          <w:tcPr>
            <w:tcW w:w="992" w:type="dxa"/>
          </w:tcPr>
          <w:p w14:paraId="27737098"/>
        </w:tc>
        <w:tc>
          <w:tcPr>
            <w:tcW w:w="1276" w:type="dxa"/>
          </w:tcPr>
          <w:p w14:paraId="08F06723"/>
        </w:tc>
        <w:tc>
          <w:tcPr>
            <w:tcW w:w="1417" w:type="dxa"/>
          </w:tcPr>
          <w:p w14:paraId="012643FE"/>
        </w:tc>
        <w:tc>
          <w:tcPr>
            <w:tcW w:w="808" w:type="dxa"/>
          </w:tcPr>
          <w:p w14:paraId="18A7B149"/>
        </w:tc>
      </w:tr>
      <w:bookmarkEnd w:id="949"/>
    </w:tbl>
    <w:p w14:paraId="61F13FB4">
      <w:pPr>
        <w:pStyle w:val="252"/>
        <w:ind w:firstLine="480"/>
        <w:rPr>
          <w:rFonts w:hint="eastAsia"/>
        </w:rPr>
      </w:pPr>
      <w:r>
        <w:rPr>
          <w:rFonts w:hint="eastAsia"/>
        </w:rPr>
        <w:t>注：需按评分标准要求后附</w:t>
      </w:r>
      <w:r>
        <w:rPr>
          <w:rFonts w:hint="eastAsia"/>
          <w:color w:val="0070C0"/>
        </w:rPr>
        <w:t>相应</w:t>
      </w:r>
      <w:r>
        <w:rPr>
          <w:rFonts w:hint="eastAsia"/>
        </w:rPr>
        <w:t>业绩证明材料（如有的话）。</w:t>
      </w:r>
    </w:p>
    <w:p w14:paraId="32972C0E">
      <w:pPr>
        <w:widowControl/>
        <w:jc w:val="left"/>
        <w:rPr>
          <w:b/>
          <w:sz w:val="36"/>
          <w:szCs w:val="36"/>
        </w:rPr>
      </w:pPr>
    </w:p>
    <w:p w14:paraId="6A1E0402">
      <w:pPr>
        <w:widowControl/>
        <w:jc w:val="left"/>
        <w:rPr>
          <w:color w:val="000000"/>
          <w:sz w:val="24"/>
          <w:szCs w:val="20"/>
        </w:rPr>
      </w:pPr>
      <w:r>
        <w:rPr>
          <w:color w:val="000000"/>
          <w:sz w:val="24"/>
          <w:szCs w:val="20"/>
        </w:rPr>
        <w:br w:type="page"/>
      </w:r>
    </w:p>
    <w:p w14:paraId="19B9F4DE">
      <w:pPr>
        <w:widowControl/>
        <w:jc w:val="left"/>
        <w:rPr>
          <w:color w:val="000000"/>
          <w:sz w:val="24"/>
          <w:szCs w:val="20"/>
        </w:rPr>
      </w:pPr>
      <w:r>
        <w:rPr>
          <w:rFonts w:hint="eastAsia"/>
          <w:color w:val="000000"/>
          <w:sz w:val="24"/>
          <w:szCs w:val="20"/>
        </w:rPr>
        <w:t>9-</w:t>
      </w:r>
      <w:r>
        <w:rPr>
          <w:rFonts w:hint="eastAsia"/>
          <w:color w:val="000000"/>
          <w:sz w:val="24"/>
          <w:szCs w:val="20"/>
          <w:lang w:val="en-US" w:eastAsia="zh-CN"/>
        </w:rPr>
        <w:t>4</w:t>
      </w:r>
      <w:r>
        <w:rPr>
          <w:rFonts w:hint="eastAsia"/>
          <w:color w:val="000000"/>
          <w:sz w:val="24"/>
          <w:szCs w:val="20"/>
        </w:rPr>
        <w:t>、投标人开票信息表</w:t>
      </w:r>
    </w:p>
    <w:p w14:paraId="7C00A7AB">
      <w:pPr>
        <w:rPr>
          <w:color w:val="000000" w:themeColor="text1"/>
          <w14:textFill>
            <w14:solidFill>
              <w14:schemeClr w14:val="tx1"/>
            </w14:solidFill>
          </w14:textFill>
        </w:rPr>
      </w:pPr>
      <w:r>
        <w:rPr>
          <w:rFonts w:hint="eastAsia"/>
          <w:color w:val="000000" w:themeColor="text1"/>
          <w14:textFill>
            <w14:solidFill>
              <w14:schemeClr w14:val="tx1"/>
            </w14:solidFill>
          </w14:textFill>
        </w:rPr>
        <w:t>【中化商务有限公司可开具的服务费发票为增值税普通发票或增值税专用发票，均为电子发票，请投标人根据自己单位的财务相关要求进行选择和填写，请投标人确保信息填写的准确性，否则中化商务有限公司对因投标人填写错误导致的发票的无法使用不承担责任。如有其他特殊要求可邮件或电话联系本项目的项目经理】</w:t>
      </w:r>
    </w:p>
    <w:p w14:paraId="768F9C82">
      <w:pPr>
        <w:rPr>
          <w:color w:val="000000" w:themeColor="text1"/>
          <w14:textFill>
            <w14:solidFill>
              <w14:schemeClr w14:val="tx1"/>
            </w14:solidFill>
          </w14:textFill>
        </w:rPr>
      </w:pPr>
    </w:p>
    <w:p w14:paraId="77CE92D4">
      <w:pPr>
        <w:rPr>
          <w:color w:val="000000" w:themeColor="text1"/>
          <w14:textFill>
            <w14:solidFill>
              <w14:schemeClr w14:val="tx1"/>
            </w14:solidFill>
          </w14:textFill>
        </w:rPr>
      </w:pPr>
    </w:p>
    <w:p w14:paraId="55500870">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color w:val="000000" w:themeColor="text1"/>
          <w14:textFill>
            <w14:solidFill>
              <w14:schemeClr w14:val="tx1"/>
            </w14:solidFill>
          </w14:textFill>
        </w:rPr>
        <w:t>____________________________</w:t>
      </w:r>
    </w:p>
    <w:p w14:paraId="0955A42F">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color w:val="000000" w:themeColor="text1"/>
          <w14:textFill>
            <w14:solidFill>
              <w14:schemeClr w14:val="tx1"/>
            </w14:solidFill>
          </w14:textFill>
        </w:rPr>
        <w:t>____________________________</w:t>
      </w:r>
    </w:p>
    <w:p w14:paraId="32036AA9">
      <w:pPr>
        <w:pStyle w:val="252"/>
        <w:spacing w:line="240" w:lineRule="auto"/>
        <w:ind w:firstLine="480"/>
        <w:rPr>
          <w:rFonts w:hint="eastAsia"/>
          <w:color w:val="000000" w:themeColor="text1"/>
          <w14:textFill>
            <w14:solidFill>
              <w14:schemeClr w14:val="tx1"/>
            </w14:solidFill>
          </w14:textFill>
        </w:rPr>
      </w:pPr>
    </w:p>
    <w:p w14:paraId="162F62C3">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如果我单位中标或成交，请中化商务有限公司开具以下服务费发票：</w:t>
      </w:r>
    </w:p>
    <w:p w14:paraId="3B77973F">
      <w:pPr>
        <w:pStyle w:val="252"/>
        <w:spacing w:line="240" w:lineRule="auto"/>
        <w:ind w:firstLine="0" w:firstLineChars="0"/>
        <w:rPr>
          <w:rFonts w:hint="eastAsia" w:hAnsiTheme="minorEastAsia"/>
          <w:b/>
          <w:color w:val="000000" w:themeColor="text1"/>
          <w14:textFill>
            <w14:solidFill>
              <w14:schemeClr w14:val="tx1"/>
            </w14:solidFill>
          </w14:textFill>
        </w:rPr>
      </w:pPr>
    </w:p>
    <w:p w14:paraId="0B254F3A">
      <w:pPr>
        <w:pStyle w:val="252"/>
        <w:spacing w:line="240" w:lineRule="auto"/>
        <w:ind w:firstLine="0" w:firstLineChars="0"/>
        <w:rPr>
          <w:rFonts w:hint="eastAsia"/>
          <w:b/>
          <w:color w:val="000000" w:themeColor="text1"/>
          <w14:textFill>
            <w14:solidFill>
              <w14:schemeClr w14:val="tx1"/>
            </w14:solidFill>
          </w14:textFill>
        </w:rPr>
      </w:pP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增值税普通发票【普票请在方框</w:t>
      </w: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内打钩或涂黑】</w:t>
      </w:r>
    </w:p>
    <w:p w14:paraId="1258C2D0">
      <w:pPr>
        <w:pStyle w:val="252"/>
        <w:spacing w:line="240" w:lineRule="auto"/>
        <w:ind w:firstLine="480"/>
        <w:rPr>
          <w:rFonts w:hint="eastAsia"/>
          <w:color w:val="000000" w:themeColor="text1"/>
          <w14:textFill>
            <w14:solidFill>
              <w14:schemeClr w14:val="tx1"/>
            </w14:solidFill>
          </w14:textFill>
        </w:rPr>
      </w:pPr>
    </w:p>
    <w:p w14:paraId="37337BB7">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单位全称：</w:t>
      </w:r>
      <w:r>
        <w:rPr>
          <w:color w:val="000000" w:themeColor="text1"/>
          <w14:textFill>
            <w14:solidFill>
              <w14:schemeClr w14:val="tx1"/>
            </w14:solidFill>
          </w14:textFill>
        </w:rPr>
        <w:t>____________________________</w:t>
      </w:r>
    </w:p>
    <w:p w14:paraId="4D2F152F">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纳税人识别号：</w:t>
      </w:r>
      <w:r>
        <w:rPr>
          <w:color w:val="000000" w:themeColor="text1"/>
          <w14:textFill>
            <w14:solidFill>
              <w14:schemeClr w14:val="tx1"/>
            </w14:solidFill>
          </w14:textFill>
        </w:rPr>
        <w:t>____________________________</w:t>
      </w:r>
    </w:p>
    <w:p w14:paraId="7409EFE5">
      <w:pPr>
        <w:pStyle w:val="252"/>
        <w:spacing w:line="240" w:lineRule="auto"/>
        <w:ind w:firstLine="480"/>
        <w:rPr>
          <w:rFonts w:hint="eastAsia"/>
          <w:color w:val="000000" w:themeColor="text1"/>
          <w14:textFill>
            <w14:solidFill>
              <w14:schemeClr w14:val="tx1"/>
            </w14:solidFill>
          </w14:textFill>
        </w:rPr>
      </w:pPr>
    </w:p>
    <w:p w14:paraId="247EC60A">
      <w:pPr>
        <w:pStyle w:val="252"/>
        <w:spacing w:line="240" w:lineRule="auto"/>
        <w:ind w:firstLine="482"/>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【以下四目信息如贵单位财务需要，可填写；如不需要，无须填写。】</w:t>
      </w:r>
    </w:p>
    <w:p w14:paraId="5BA86BE8">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增值税普通发票地址：</w:t>
      </w:r>
      <w:r>
        <w:rPr>
          <w:color w:val="000000" w:themeColor="text1"/>
          <w14:textFill>
            <w14:solidFill>
              <w14:schemeClr w14:val="tx1"/>
            </w14:solidFill>
          </w14:textFill>
        </w:rPr>
        <w:t>____________________________</w:t>
      </w:r>
    </w:p>
    <w:p w14:paraId="1C6F44CA">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增值税普通发票电话：</w:t>
      </w:r>
      <w:r>
        <w:rPr>
          <w:color w:val="000000" w:themeColor="text1"/>
          <w14:textFill>
            <w14:solidFill>
              <w14:schemeClr w14:val="tx1"/>
            </w14:solidFill>
          </w14:textFill>
        </w:rPr>
        <w:t>____________________________</w:t>
      </w:r>
    </w:p>
    <w:p w14:paraId="49E750DA">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增值税普通发票开户行名称：</w:t>
      </w:r>
      <w:r>
        <w:rPr>
          <w:color w:val="000000" w:themeColor="text1"/>
          <w14:textFill>
            <w14:solidFill>
              <w14:schemeClr w14:val="tx1"/>
            </w14:solidFill>
          </w14:textFill>
        </w:rPr>
        <w:t>____________________________</w:t>
      </w:r>
    </w:p>
    <w:p w14:paraId="7761DF02">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增值税普通发票开户行账号：</w:t>
      </w:r>
      <w:r>
        <w:rPr>
          <w:color w:val="000000" w:themeColor="text1"/>
          <w14:textFill>
            <w14:solidFill>
              <w14:schemeClr w14:val="tx1"/>
            </w14:solidFill>
          </w14:textFill>
        </w:rPr>
        <w:t>____________________________</w:t>
      </w:r>
    </w:p>
    <w:p w14:paraId="3A1360BA">
      <w:pPr>
        <w:ind w:firstLine="422" w:firstLineChars="200"/>
        <w:rPr>
          <w:b/>
          <w:color w:val="000000" w:themeColor="text1"/>
          <w14:textFill>
            <w14:solidFill>
              <w14:schemeClr w14:val="tx1"/>
            </w14:solidFill>
          </w14:textFill>
        </w:rPr>
      </w:pPr>
    </w:p>
    <w:p w14:paraId="22B067A2">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收件人姓名：</w:t>
      </w:r>
      <w:r>
        <w:rPr>
          <w:rFonts w:hint="eastAsia"/>
          <w:color w:val="000000" w:themeColor="text1"/>
          <w:u w:val="single"/>
          <w14:textFill>
            <w14:solidFill>
              <w14:schemeClr w14:val="tx1"/>
            </w14:solidFill>
          </w14:textFill>
        </w:rPr>
        <w:t xml:space="preserve">                         </w:t>
      </w:r>
    </w:p>
    <w:p w14:paraId="71CC6113">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手机号：</w:t>
      </w:r>
      <w:r>
        <w:rPr>
          <w:rFonts w:hint="eastAsia"/>
          <w:color w:val="000000" w:themeColor="text1"/>
          <w:u w:val="single"/>
          <w14:textFill>
            <w14:solidFill>
              <w14:schemeClr w14:val="tx1"/>
            </w14:solidFill>
          </w14:textFill>
        </w:rPr>
        <w:t xml:space="preserve">                         </w:t>
      </w:r>
    </w:p>
    <w:p w14:paraId="57C485D7">
      <w:pPr>
        <w:pStyle w:val="252"/>
        <w:spacing w:line="240" w:lineRule="auto"/>
        <w:ind w:firstLine="482"/>
        <w:rPr>
          <w:rFonts w:hint="eastAsia" w:hAnsiTheme="minorEastAsia"/>
          <w:color w:val="000000" w:themeColor="text1"/>
          <w14:textFill>
            <w14:solidFill>
              <w14:schemeClr w14:val="tx1"/>
            </w14:solidFill>
          </w14:textFill>
        </w:rPr>
      </w:pPr>
      <w:r>
        <w:rPr>
          <w:rFonts w:hint="eastAsia"/>
          <w:b/>
          <w:color w:val="000000" w:themeColor="text1"/>
          <w14:textFill>
            <w14:solidFill>
              <w14:schemeClr w14:val="tx1"/>
            </w14:solidFill>
          </w14:textFill>
        </w:rPr>
        <w:t>接收电子发票邮箱地址</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7AA6735D">
      <w:pPr>
        <w:pStyle w:val="252"/>
        <w:spacing w:line="240" w:lineRule="auto"/>
        <w:ind w:firstLine="0" w:firstLineChars="0"/>
        <w:rPr>
          <w:rFonts w:hint="eastAsia" w:hAnsiTheme="minorEastAsia"/>
          <w:b/>
          <w:color w:val="000000" w:themeColor="text1"/>
          <w14:textFill>
            <w14:solidFill>
              <w14:schemeClr w14:val="tx1"/>
            </w14:solidFill>
          </w14:textFill>
        </w:rPr>
      </w:pPr>
    </w:p>
    <w:p w14:paraId="7E68A356">
      <w:pPr>
        <w:pStyle w:val="252"/>
        <w:spacing w:line="240" w:lineRule="auto"/>
        <w:ind w:firstLine="0" w:firstLineChars="0"/>
        <w:rPr>
          <w:rFonts w:hint="eastAsia"/>
          <w:b/>
          <w:color w:val="000000" w:themeColor="text1"/>
          <w14:textFill>
            <w14:solidFill>
              <w14:schemeClr w14:val="tx1"/>
            </w14:solidFill>
          </w14:textFill>
        </w:rPr>
      </w:pP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增值税专用发票【专票请在方框</w:t>
      </w: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内打钩或涂黑】</w:t>
      </w:r>
    </w:p>
    <w:p w14:paraId="0887BF4B">
      <w:pPr>
        <w:pStyle w:val="252"/>
        <w:spacing w:line="240" w:lineRule="auto"/>
        <w:ind w:firstLine="480"/>
        <w:rPr>
          <w:rFonts w:hint="eastAsia"/>
          <w:color w:val="000000" w:themeColor="text1"/>
          <w14:textFill>
            <w14:solidFill>
              <w14:schemeClr w14:val="tx1"/>
            </w14:solidFill>
          </w14:textFill>
        </w:rPr>
      </w:pPr>
    </w:p>
    <w:p w14:paraId="1AFBE43F">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单位全称：</w:t>
      </w:r>
      <w:r>
        <w:rPr>
          <w:color w:val="000000" w:themeColor="text1"/>
          <w14:textFill>
            <w14:solidFill>
              <w14:schemeClr w14:val="tx1"/>
            </w14:solidFill>
          </w14:textFill>
        </w:rPr>
        <w:t>____________________________</w:t>
      </w:r>
    </w:p>
    <w:p w14:paraId="0CA7DFA5">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纳税人识别号：</w:t>
      </w:r>
      <w:r>
        <w:rPr>
          <w:color w:val="000000" w:themeColor="text1"/>
          <w14:textFill>
            <w14:solidFill>
              <w14:schemeClr w14:val="tx1"/>
            </w14:solidFill>
          </w14:textFill>
        </w:rPr>
        <w:t>____________________________</w:t>
      </w:r>
    </w:p>
    <w:p w14:paraId="1F0227C4">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增值税专用发票地址：</w:t>
      </w:r>
      <w:r>
        <w:rPr>
          <w:color w:val="000000" w:themeColor="text1"/>
          <w14:textFill>
            <w14:solidFill>
              <w14:schemeClr w14:val="tx1"/>
            </w14:solidFill>
          </w14:textFill>
        </w:rPr>
        <w:t>____________________________</w:t>
      </w:r>
    </w:p>
    <w:p w14:paraId="4DB2F24A">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增值税专用发票电话：</w:t>
      </w:r>
      <w:r>
        <w:rPr>
          <w:color w:val="000000" w:themeColor="text1"/>
          <w14:textFill>
            <w14:solidFill>
              <w14:schemeClr w14:val="tx1"/>
            </w14:solidFill>
          </w14:textFill>
        </w:rPr>
        <w:t>____________________________</w:t>
      </w:r>
    </w:p>
    <w:p w14:paraId="1BBC6056">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增值税专用发票开户行名称：</w:t>
      </w:r>
      <w:r>
        <w:rPr>
          <w:color w:val="000000" w:themeColor="text1"/>
          <w14:textFill>
            <w14:solidFill>
              <w14:schemeClr w14:val="tx1"/>
            </w14:solidFill>
          </w14:textFill>
        </w:rPr>
        <w:t>____________________________</w:t>
      </w:r>
    </w:p>
    <w:p w14:paraId="53DC2FF0">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增值税专用发票开户行账号：</w:t>
      </w:r>
      <w:r>
        <w:rPr>
          <w:color w:val="000000" w:themeColor="text1"/>
          <w14:textFill>
            <w14:solidFill>
              <w14:schemeClr w14:val="tx1"/>
            </w14:solidFill>
          </w14:textFill>
        </w:rPr>
        <w:t>____________________________</w:t>
      </w:r>
    </w:p>
    <w:p w14:paraId="0F19C6B9">
      <w:pPr>
        <w:ind w:firstLine="420" w:firstLineChars="200"/>
        <w:rPr>
          <w:color w:val="000000" w:themeColor="text1"/>
          <w14:textFill>
            <w14:solidFill>
              <w14:schemeClr w14:val="tx1"/>
            </w14:solidFill>
          </w14:textFill>
        </w:rPr>
      </w:pPr>
    </w:p>
    <w:p w14:paraId="76AE81F4">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收件人姓名：</w:t>
      </w:r>
      <w:r>
        <w:rPr>
          <w:rFonts w:hint="eastAsia"/>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 xml:space="preserve">                     </w:t>
      </w:r>
    </w:p>
    <w:p w14:paraId="785EA622">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手机号：</w:t>
      </w:r>
      <w:r>
        <w:rPr>
          <w:rFonts w:hint="eastAsia"/>
          <w:color w:val="000000" w:themeColor="text1"/>
          <w:u w:val="single"/>
          <w14:textFill>
            <w14:solidFill>
              <w14:schemeClr w14:val="tx1"/>
            </w14:solidFill>
          </w14:textFill>
        </w:rPr>
        <w:t xml:space="preserve">                         </w:t>
      </w:r>
    </w:p>
    <w:p w14:paraId="7BA12C27">
      <w:pPr>
        <w:widowControl/>
        <w:jc w:val="left"/>
        <w:rPr>
          <w:b/>
          <w:sz w:val="36"/>
          <w:szCs w:val="36"/>
        </w:rPr>
      </w:pPr>
      <w:r>
        <w:rPr>
          <w:rFonts w:hint="eastAsia"/>
          <w:b/>
          <w:color w:val="000000" w:themeColor="text1"/>
          <w14:textFill>
            <w14:solidFill>
              <w14:schemeClr w14:val="tx1"/>
            </w14:solidFill>
          </w14:textFill>
        </w:rPr>
        <w:t>接收电子发票邮箱地址</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FangSong_GB2312">
    <w:altName w:val="仿宋"/>
    <w:panose1 w:val="02010609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3720">
    <w:pPr>
      <w:pStyle w:val="28"/>
      <w:framePr w:wrap="around" w:vAnchor="text" w:hAnchor="margin" w:y="1"/>
      <w:ind w:right="360"/>
      <w:rPr>
        <w:rStyle w:val="47"/>
      </w:rPr>
    </w:pPr>
  </w:p>
  <w:p w14:paraId="3B3A6FEA">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AB93F">
    <w:pPr>
      <w:adjustRightInd w:val="0"/>
      <w:snapToGrid w:val="0"/>
      <w:spacing w:line="209" w:lineRule="auto"/>
      <w:ind w:left="3796"/>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170C42">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37</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rGsM4AgAAc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KisawzgCAABzBAAADgAAAAAAAAABACAAAAAfAQAAZHJzL2Uyb0RvYy54&#10;bWxQSwUGAAAAAAYABgBZAQAAyQUAAAAA&#10;">
              <v:fill on="f" focussize="0,0"/>
              <v:stroke on="f" weight="0.5pt"/>
              <v:imagedata o:title=""/>
              <o:lock v:ext="edit" aspectratio="f"/>
              <v:textbox inset="0mm,0mm,0mm,0mm" style="mso-fit-shape-to-text:t;">
                <w:txbxContent>
                  <w:p w14:paraId="70170C42">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37</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83444">
    <w:pPr>
      <w:adjustRightInd w:val="0"/>
      <w:snapToGrid w:val="0"/>
      <w:spacing w:line="209" w:lineRule="auto"/>
      <w:ind w:left="3789"/>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2FDBB">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38</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1m+E5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E1m+E5AgAAcwQAAA4AAAAAAAAAAQAgAAAAHwEAAGRycy9lMm9Eb2Mu&#10;eG1sUEsFBgAAAAAGAAYAWQEAAMoFAAAAAA==&#10;">
              <v:fill on="f" focussize="0,0"/>
              <v:stroke on="f" weight="0.5pt"/>
              <v:imagedata o:title=""/>
              <o:lock v:ext="edit" aspectratio="f"/>
              <v:textbox inset="0mm,0mm,0mm,0mm" style="mso-fit-shape-to-text:t;">
                <w:txbxContent>
                  <w:p w14:paraId="7DF2FDBB">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38</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196B">
    <w:pPr>
      <w:adjustRightInd w:val="0"/>
      <w:snapToGrid w:val="0"/>
      <w:spacing w:line="209" w:lineRule="auto"/>
      <w:ind w:left="3791"/>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10262">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39</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CNEk6AgAAc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FGimULLzz++&#10;n3/+Pv/6RuIlJGqsnyPywSI2tO9Mi/Dh3uMyMm9Lp+IvOBH4IfDpIrBoA+Hx0Ww6m43h4vANB+Bn&#10;T8+t8+G9MIpEI6cOHUzCsuPWhy50CInZtNnUUqYuSk2anF5fvR2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wjRJOgIAAHMEAAAOAAAAAAAAAAEAIAAAAB8BAABkcnMvZTJvRG9j&#10;LnhtbFBLBQYAAAAABgAGAFkBAADLBQAAAAA=&#10;">
              <v:fill on="f" focussize="0,0"/>
              <v:stroke on="f" weight="0.5pt"/>
              <v:imagedata o:title=""/>
              <o:lock v:ext="edit" aspectratio="f"/>
              <v:textbox inset="0mm,0mm,0mm,0mm" style="mso-fit-shape-to-text:t;">
                <w:txbxContent>
                  <w:p w14:paraId="18810262">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39</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D6D7">
    <w:pPr>
      <w:adjustRightInd w:val="0"/>
      <w:snapToGrid w:val="0"/>
      <w:spacing w:line="209" w:lineRule="auto"/>
      <w:ind w:left="3789"/>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AACB3">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40</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ImaQ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DSWaKbT89OP7&#10;6efD6dc3Ei8hUWv9DJH3FrGhe2c6hA/3HpeReVc5FX/BicAPgY8XgUUXCI+PppPpNIeLwzccgJ89&#10;PrfOh/fCKBKNgjp0MAnLDhsf+tAhJGbTZt1ImbooNWkLevX6b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CJmkOgIAAHMEAAAOAAAAAAAAAAEAIAAAAB8BAABkcnMvZTJvRG9j&#10;LnhtbFBLBQYAAAAABgAGAFkBAADLBQAAAAA=&#10;">
              <v:fill on="f" focussize="0,0"/>
              <v:stroke on="f" weight="0.5pt"/>
              <v:imagedata o:title=""/>
              <o:lock v:ext="edit" aspectratio="f"/>
              <v:textbox inset="0mm,0mm,0mm,0mm" style="mso-fit-shape-to-text:t;">
                <w:txbxContent>
                  <w:p w14:paraId="448AACB3">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40</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C4995">
    <w:pPr>
      <w:adjustRightInd w:val="0"/>
      <w:snapToGrid w:val="0"/>
      <w:spacing w:line="209" w:lineRule="auto"/>
      <w:ind w:left="3795"/>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5AA8D">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41</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gw6AgAAc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FGimULLzz++&#10;n3/+Pv/6RuIlJGqsnyPywSI2tO9Mi/Dh3uMyMm9Lp+IvOBH4IfDpIrBoA+Hx0Ww6m43h4vANB+Bn&#10;T8+t8+G9MIpEI6cOHUzCsuPWhy50CInZtNnUUqYuSk2anF6/vRq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x/zYMOgIAAHMEAAAOAAAAAAAAAAEAIAAAAB8BAABkcnMvZTJvRG9j&#10;LnhtbFBLBQYAAAAABgAGAFkBAADLBQAAAAA=&#10;">
              <v:fill on="f" focussize="0,0"/>
              <v:stroke on="f" weight="0.5pt"/>
              <v:imagedata o:title=""/>
              <o:lock v:ext="edit" aspectratio="f"/>
              <v:textbox inset="0mm,0mm,0mm,0mm" style="mso-fit-shape-to-text:t;">
                <w:txbxContent>
                  <w:p w14:paraId="4355AA8D">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41</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F4F16">
    <w:pPr>
      <w:adjustRightInd w:val="0"/>
      <w:snapToGrid w:val="0"/>
      <w:spacing w:line="209" w:lineRule="auto"/>
      <w:ind w:left="3794"/>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B0C04">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42</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hty45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rhty45AgAAcwQAAA4AAAAAAAAAAQAgAAAAHwEAAGRycy9lMm9Eb2Mu&#10;eG1sUEsFBgAAAAAGAAYAWQEAAMoFAAAAAA==&#10;">
              <v:fill on="f" focussize="0,0"/>
              <v:stroke on="f" weight="0.5pt"/>
              <v:imagedata o:title=""/>
              <o:lock v:ext="edit" aspectratio="f"/>
              <v:textbox inset="0mm,0mm,0mm,0mm" style="mso-fit-shape-to-text:t;">
                <w:txbxContent>
                  <w:p w14:paraId="50AB0C04">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42</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9AC18">
    <w:pPr>
      <w:adjustRightInd w:val="0"/>
      <w:snapToGrid w:val="0"/>
      <w:spacing w:line="209" w:lineRule="auto"/>
      <w:ind w:left="3748"/>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B7A5C">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43</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WGIY6AgAAc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cFhiGOgIAAHMEAAAOAAAAAAAAAAEAIAAAAB8BAABkcnMvZTJvRG9j&#10;LnhtbFBLBQYAAAAABgAGAFkBAADLBQAAAAA=&#10;">
              <v:fill on="f" focussize="0,0"/>
              <v:stroke on="f" weight="0.5pt"/>
              <v:imagedata o:title=""/>
              <o:lock v:ext="edit" aspectratio="f"/>
              <v:textbox inset="0mm,0mm,0mm,0mm" style="mso-fit-shape-to-text:t;">
                <w:txbxContent>
                  <w:p w14:paraId="2E1B7A5C">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43</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B4E9">
    <w:pPr>
      <w:adjustRightInd w:val="0"/>
      <w:snapToGrid w:val="0"/>
      <w:spacing w:line="209" w:lineRule="auto"/>
      <w:ind w:left="3746"/>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AA4EC">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44</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tznS45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tznS45AgAAcwQAAA4AAAAAAAAAAQAgAAAAHwEAAGRycy9lMm9Eb2Mu&#10;eG1sUEsFBgAAAAAGAAYAWQEAAMoFAAAAAA==&#10;">
              <v:fill on="f" focussize="0,0"/>
              <v:stroke on="f" weight="0.5pt"/>
              <v:imagedata o:title=""/>
              <o:lock v:ext="edit" aspectratio="f"/>
              <v:textbox inset="0mm,0mm,0mm,0mm" style="mso-fit-shape-to-text:t;">
                <w:txbxContent>
                  <w:p w14:paraId="75AAA4EC">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44</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84AB">
    <w:pPr>
      <w:adjustRightInd w:val="0"/>
      <w:snapToGrid w:val="0"/>
      <w:spacing w:line="209" w:lineRule="auto"/>
      <w:ind w:left="3752"/>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AC2F8">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45</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EMoY6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dhDKGOgIAAHMEAAAOAAAAAAAAAAEAIAAAAB8BAABkcnMvZTJvRG9j&#10;LnhtbFBLBQYAAAAABgAGAFkBAADLBQAAAAA=&#10;">
              <v:fill on="f" focussize="0,0"/>
              <v:stroke on="f" weight="0.5pt"/>
              <v:imagedata o:title=""/>
              <o:lock v:ext="edit" aspectratio="f"/>
              <v:textbox inset="0mm,0mm,0mm,0mm" style="mso-fit-shape-to-text:t;">
                <w:txbxContent>
                  <w:p w14:paraId="538AC2F8">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45</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C4158">
    <w:pPr>
      <w:adjustRightInd w:val="0"/>
      <w:snapToGrid w:val="0"/>
      <w:spacing w:line="209" w:lineRule="auto"/>
      <w:ind w:left="3407"/>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4432D">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46</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EA4432D">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46</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DFC2">
    <w:pPr>
      <w:pStyle w:val="28"/>
      <w:framePr w:wrap="around" w:vAnchor="text" w:hAnchor="margin" w:xAlign="center" w:y="1"/>
      <w:rPr>
        <w:rStyle w:val="47"/>
      </w:rPr>
    </w:pPr>
    <w:r>
      <w:fldChar w:fldCharType="begin"/>
    </w:r>
    <w:r>
      <w:rPr>
        <w:rStyle w:val="47"/>
      </w:rPr>
      <w:instrText xml:space="preserve">PAGE  </w:instrText>
    </w:r>
    <w:r>
      <w:fldChar w:fldCharType="end"/>
    </w:r>
  </w:p>
  <w:p w14:paraId="62F5C6B8">
    <w:pPr>
      <w:pStyle w:val="28"/>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FCAA6">
    <w:pPr>
      <w:spacing w:line="209" w:lineRule="auto"/>
      <w:ind w:left="3407"/>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331CE">
                          <w:pPr>
                            <w:pStyle w:val="2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E2331CE">
                    <w:pPr>
                      <w:pStyle w:val="2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A0ABC">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C4823AB">
    <w:pPr>
      <w:pStyle w:val="28"/>
      <w:ind w:right="360"/>
    </w:pPr>
  </w:p>
  <w:p w14:paraId="1E979D6F"/>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83C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FAF79">
    <w:pPr>
      <w:pStyle w:val="28"/>
      <w:framePr w:wrap="around" w:vAnchor="text" w:hAnchor="margin" w:xAlign="right" w:y="1"/>
      <w:rPr>
        <w:rStyle w:val="47"/>
      </w:rPr>
    </w:pPr>
  </w:p>
  <w:p w14:paraId="2C9BA1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424F479A">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851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7BEF008">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0E0BB">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EF23">
    <w:pPr>
      <w:adjustRightInd w:val="0"/>
      <w:snapToGrid w:val="0"/>
      <w:spacing w:line="209" w:lineRule="auto"/>
      <w:ind w:left="3453"/>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BA6737">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qWTc4AgAAcw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epZNzgCAABzBAAADgAAAAAAAAABACAAAAAfAQAAZHJzL2Uyb0RvYy54&#10;bWxQSwUGAAAAAAYABgBZAQAAyQUAAAAA&#10;">
              <v:fill on="f" focussize="0,0"/>
              <v:stroke on="f" weight="0.5pt"/>
              <v:imagedata o:title=""/>
              <o:lock v:ext="edit" aspectratio="f"/>
              <v:textbox inset="0mm,0mm,0mm,0mm" style="mso-fit-shape-to-text:t;">
                <w:txbxContent>
                  <w:p w14:paraId="7BBA6737">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0E8E">
    <w:pPr>
      <w:adjustRightInd w:val="0"/>
      <w:snapToGrid w:val="0"/>
      <w:spacing w:line="209" w:lineRule="auto"/>
      <w:ind w:left="3453"/>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23FF7">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35</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d9p86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lhLNFFp++vH9&#10;9PPh9OsbiZeQqLV+hsh7i9jQvTMdwod7j8vIvKucir/gROCHwMeLwKILhMdH08l0msPF4RsOwM8e&#10;n1vnw3thFIlGQR06mIRlh40PfegQErNps26kTF2UmrQFvXr9J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bHfafOgIAAHMEAAAOAAAAAAAAAAEAIAAAAB8BAABkcnMvZTJvRG9j&#10;LnhtbFBLBQYAAAAABgAGAFkBAADLBQAAAAA=&#10;">
              <v:fill on="f" focussize="0,0"/>
              <v:stroke on="f" weight="0.5pt"/>
              <v:imagedata o:title=""/>
              <o:lock v:ext="edit" aspectratio="f"/>
              <v:textbox inset="0mm,0mm,0mm,0mm" style="mso-fit-shape-to-text:t;">
                <w:txbxContent>
                  <w:p w14:paraId="3FA23FF7">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35</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FB4D">
    <w:pPr>
      <w:adjustRightInd w:val="0"/>
      <w:snapToGrid w:val="0"/>
      <w:spacing w:line="209" w:lineRule="auto"/>
      <w:ind w:left="3792"/>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1FB7CE">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36</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ctWs4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vNy1azgCAABzBAAADgAAAAAAAAABACAAAAAfAQAAZHJzL2Uyb0RvYy54&#10;bWxQSwUGAAAAAAYABgBZAQAAyQUAAAAA&#10;">
              <v:fill on="f" focussize="0,0"/>
              <v:stroke on="f" weight="0.5pt"/>
              <v:imagedata o:title=""/>
              <o:lock v:ext="edit" aspectratio="f"/>
              <v:textbox inset="0mm,0mm,0mm,0mm" style="mso-fit-shape-to-text:t;">
                <w:txbxContent>
                  <w:p w14:paraId="791FB7CE">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36</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09AF">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11C4">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3D05">
    <w:pPr>
      <w:pStyle w:val="29"/>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276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38E26">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12D8">
    <w:pPr>
      <w:pStyle w:val="29"/>
    </w:pPr>
  </w:p>
  <w:p w14:paraId="397E133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60D5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76D3462B"/>
    <w:multiLevelType w:val="multilevel"/>
    <w:tmpl w:val="76D3462B"/>
    <w:lvl w:ilvl="0" w:tentative="0">
      <w:start w:val="1"/>
      <w:numFmt w:val="chineseCountingThousand"/>
      <w:pStyle w:val="255"/>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18"/>
  </w:num>
  <w:num w:numId="9">
    <w:abstractNumId w:val="6"/>
  </w:num>
  <w:num w:numId="10">
    <w:abstractNumId w:val="11"/>
  </w:num>
  <w:num w:numId="11">
    <w:abstractNumId w:val="0"/>
  </w:num>
  <w:num w:numId="12">
    <w:abstractNumId w:val="14"/>
  </w:num>
  <w:num w:numId="13">
    <w:abstractNumId w:val="10"/>
  </w:num>
  <w:num w:numId="14">
    <w:abstractNumId w:val="17"/>
  </w:num>
  <w:num w:numId="15">
    <w:abstractNumId w:val="16"/>
  </w:num>
  <w:num w:numId="16">
    <w:abstractNumId w:val="12"/>
  </w:num>
  <w:num w:numId="17">
    <w:abstractNumId w:val="15"/>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15D37051"/>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BAE"/>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3AE"/>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C70"/>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948"/>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89C"/>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2C"/>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D9F"/>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6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074"/>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10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3C6"/>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EF3"/>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83B"/>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C74"/>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7D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0F7"/>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DB0"/>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5F2C"/>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12A"/>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5C"/>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2DF"/>
    <w:rsid w:val="00282390"/>
    <w:rsid w:val="002826C3"/>
    <w:rsid w:val="00282D55"/>
    <w:rsid w:val="00282F4A"/>
    <w:rsid w:val="00283031"/>
    <w:rsid w:val="002832A6"/>
    <w:rsid w:val="002834E4"/>
    <w:rsid w:val="002837B1"/>
    <w:rsid w:val="00283AA1"/>
    <w:rsid w:val="00283C48"/>
    <w:rsid w:val="00283D5E"/>
    <w:rsid w:val="00283E2E"/>
    <w:rsid w:val="00283ED2"/>
    <w:rsid w:val="00283FC0"/>
    <w:rsid w:val="00284572"/>
    <w:rsid w:val="002846A1"/>
    <w:rsid w:val="00284756"/>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78"/>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68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88"/>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46C"/>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D8"/>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56"/>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41"/>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ED"/>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36"/>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1F9"/>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2DE"/>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25A"/>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A52"/>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6F1"/>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D89"/>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A7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74"/>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AB3"/>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95"/>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9C"/>
    <w:rsid w:val="0057777F"/>
    <w:rsid w:val="005779CF"/>
    <w:rsid w:val="00577ABA"/>
    <w:rsid w:val="00577BEE"/>
    <w:rsid w:val="00577DDD"/>
    <w:rsid w:val="00577F3D"/>
    <w:rsid w:val="00577FA5"/>
    <w:rsid w:val="00580073"/>
    <w:rsid w:val="00580669"/>
    <w:rsid w:val="00580AC8"/>
    <w:rsid w:val="00580AF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C1"/>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2AE"/>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EA5"/>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232"/>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013"/>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91D"/>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3D2"/>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789"/>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744"/>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4F"/>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E57"/>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36"/>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1F5"/>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56"/>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80"/>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1F36"/>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CEC"/>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697"/>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0B3"/>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987"/>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CBF"/>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40A"/>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5E5"/>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22"/>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7FE"/>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7B3"/>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ECD"/>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1C2"/>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B77"/>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67"/>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AA7"/>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39"/>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A61"/>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685"/>
    <w:rsid w:val="008E28A5"/>
    <w:rsid w:val="008E298E"/>
    <w:rsid w:val="008E2B71"/>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D6"/>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2D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56"/>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0B4"/>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3E"/>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7F"/>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023"/>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3C7"/>
    <w:rsid w:val="00A46623"/>
    <w:rsid w:val="00A46754"/>
    <w:rsid w:val="00A46E9B"/>
    <w:rsid w:val="00A46EDD"/>
    <w:rsid w:val="00A47495"/>
    <w:rsid w:val="00A474D3"/>
    <w:rsid w:val="00A47686"/>
    <w:rsid w:val="00A476AE"/>
    <w:rsid w:val="00A47A11"/>
    <w:rsid w:val="00A47B20"/>
    <w:rsid w:val="00A47B50"/>
    <w:rsid w:val="00A5018B"/>
    <w:rsid w:val="00A503A1"/>
    <w:rsid w:val="00A50442"/>
    <w:rsid w:val="00A506DC"/>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3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F35"/>
    <w:rsid w:val="00A80272"/>
    <w:rsid w:val="00A804D4"/>
    <w:rsid w:val="00A805DE"/>
    <w:rsid w:val="00A80976"/>
    <w:rsid w:val="00A809FD"/>
    <w:rsid w:val="00A80C23"/>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B9"/>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8F8"/>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CED"/>
    <w:rsid w:val="00AC3FBF"/>
    <w:rsid w:val="00AC4C08"/>
    <w:rsid w:val="00AC511C"/>
    <w:rsid w:val="00AC5357"/>
    <w:rsid w:val="00AC566A"/>
    <w:rsid w:val="00AC5D9D"/>
    <w:rsid w:val="00AC5DDE"/>
    <w:rsid w:val="00AC5F08"/>
    <w:rsid w:val="00AC6029"/>
    <w:rsid w:val="00AC614A"/>
    <w:rsid w:val="00AC62F8"/>
    <w:rsid w:val="00AC64A3"/>
    <w:rsid w:val="00AC6845"/>
    <w:rsid w:val="00AC685C"/>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B1A"/>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4A2"/>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389"/>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9A"/>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47E"/>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00"/>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608"/>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3C"/>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B2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9C6"/>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9F9"/>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33E"/>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12"/>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78"/>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DA5"/>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8E"/>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01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2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77"/>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235"/>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160"/>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DFB"/>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C69"/>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3B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2E"/>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5C"/>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E88"/>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24"/>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E3F"/>
    <w:rsid w:val="00DF64CA"/>
    <w:rsid w:val="00DF659E"/>
    <w:rsid w:val="00DF6C9D"/>
    <w:rsid w:val="00DF6E5D"/>
    <w:rsid w:val="00DF70EF"/>
    <w:rsid w:val="00DF7159"/>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967"/>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0B5"/>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A5C"/>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36"/>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26C"/>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A6C"/>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9F"/>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62E"/>
    <w:rsid w:val="00EA3D1F"/>
    <w:rsid w:val="00EA40E5"/>
    <w:rsid w:val="00EA45BC"/>
    <w:rsid w:val="00EA48BB"/>
    <w:rsid w:val="00EA4CC1"/>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29"/>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5CE0"/>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906"/>
    <w:rsid w:val="00EF4A02"/>
    <w:rsid w:val="00EF4B8E"/>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0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887"/>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856"/>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B9"/>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B1"/>
    <w:rsid w:val="00F56875"/>
    <w:rsid w:val="00F56902"/>
    <w:rsid w:val="00F56990"/>
    <w:rsid w:val="00F569A9"/>
    <w:rsid w:val="00F56BB3"/>
    <w:rsid w:val="00F56C6C"/>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0"/>
    <w:rsid w:val="00F62531"/>
    <w:rsid w:val="00F62698"/>
    <w:rsid w:val="00F6270C"/>
    <w:rsid w:val="00F62774"/>
    <w:rsid w:val="00F628DA"/>
    <w:rsid w:val="00F628E7"/>
    <w:rsid w:val="00F6295F"/>
    <w:rsid w:val="00F6298B"/>
    <w:rsid w:val="00F62B91"/>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1B3"/>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A99"/>
    <w:rsid w:val="00F80C8B"/>
    <w:rsid w:val="00F811D4"/>
    <w:rsid w:val="00F811DC"/>
    <w:rsid w:val="00F811DF"/>
    <w:rsid w:val="00F811F3"/>
    <w:rsid w:val="00F814C5"/>
    <w:rsid w:val="00F816C7"/>
    <w:rsid w:val="00F818F5"/>
    <w:rsid w:val="00F819E8"/>
    <w:rsid w:val="00F81C01"/>
    <w:rsid w:val="00F81DE1"/>
    <w:rsid w:val="00F81E1A"/>
    <w:rsid w:val="00F82042"/>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DB7"/>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27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A171B4"/>
    <w:rsid w:val="05F11A75"/>
    <w:rsid w:val="0B660C1A"/>
    <w:rsid w:val="15D37051"/>
    <w:rsid w:val="17067CBE"/>
    <w:rsid w:val="17F93E0B"/>
    <w:rsid w:val="1BBB0550"/>
    <w:rsid w:val="1C455CA5"/>
    <w:rsid w:val="1D2C69D2"/>
    <w:rsid w:val="239E00B4"/>
    <w:rsid w:val="251E74A4"/>
    <w:rsid w:val="27843CE5"/>
    <w:rsid w:val="28993B2F"/>
    <w:rsid w:val="2ACA1C47"/>
    <w:rsid w:val="2D872B3B"/>
    <w:rsid w:val="301326B5"/>
    <w:rsid w:val="31FF7B29"/>
    <w:rsid w:val="32EB653A"/>
    <w:rsid w:val="36050AA1"/>
    <w:rsid w:val="3BCB6780"/>
    <w:rsid w:val="42CD0A98"/>
    <w:rsid w:val="431A0C09"/>
    <w:rsid w:val="480E2158"/>
    <w:rsid w:val="4B65373A"/>
    <w:rsid w:val="4D00163A"/>
    <w:rsid w:val="4F0F5BE3"/>
    <w:rsid w:val="52422029"/>
    <w:rsid w:val="55040901"/>
    <w:rsid w:val="55494F4A"/>
    <w:rsid w:val="563C462F"/>
    <w:rsid w:val="56DF05DE"/>
    <w:rsid w:val="57FC6189"/>
    <w:rsid w:val="59354CB3"/>
    <w:rsid w:val="5A6B5272"/>
    <w:rsid w:val="5F073306"/>
    <w:rsid w:val="5F5F73B9"/>
    <w:rsid w:val="6838144E"/>
    <w:rsid w:val="68AA7398"/>
    <w:rsid w:val="69462B95"/>
    <w:rsid w:val="6B075455"/>
    <w:rsid w:val="6C2C50FD"/>
    <w:rsid w:val="6CC77862"/>
    <w:rsid w:val="6D9C0EEE"/>
    <w:rsid w:val="6FA9474E"/>
    <w:rsid w:val="742C597A"/>
    <w:rsid w:val="763442AF"/>
    <w:rsid w:val="79EFA4FC"/>
    <w:rsid w:val="7D165246"/>
    <w:rsid w:val="7D705DBD"/>
    <w:rsid w:val="7EE46A31"/>
    <w:rsid w:val="7FF72875"/>
    <w:rsid w:val="BA7B23C6"/>
    <w:rsid w:val="BFF9A073"/>
    <w:rsid w:val="EFB610FF"/>
    <w:rsid w:val="EFE1C36E"/>
    <w:rsid w:val="F3F7BE44"/>
    <w:rsid w:val="FB778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0"/>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0"/>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正文-首缩2字符"/>
    <w:basedOn w:val="1"/>
    <w:qFormat/>
    <w:uiPriority w:val="99"/>
    <w:pPr>
      <w:adjustRightInd w:val="0"/>
      <w:snapToGrid w:val="0"/>
      <w:spacing w:line="300" w:lineRule="auto"/>
      <w:ind w:firstLine="200" w:firstLineChars="200"/>
      <w:jc w:val="left"/>
    </w:pPr>
    <w:rPr>
      <w:rFonts w:hAnsi="宋体" w:cs="宋体" w:asciiTheme="minorEastAsia" w:eastAsiaTheme="minorEastAsia"/>
      <w:sz w:val="24"/>
    </w:rPr>
  </w:style>
  <w:style w:type="paragraph" w:customStyle="1" w:styleId="253">
    <w:name w:val="正文-须知前附表"/>
    <w:basedOn w:val="1"/>
    <w:next w:val="1"/>
    <w:qFormat/>
    <w:uiPriority w:val="0"/>
    <w:pPr>
      <w:adjustRightInd w:val="0"/>
      <w:snapToGrid w:val="0"/>
    </w:pPr>
    <w:rPr>
      <w:rFonts w:ascii="仿宋_GB2312" w:hAnsi="Calibri" w:eastAsia="仿宋_GB2312"/>
      <w:sz w:val="24"/>
      <w:szCs w:val="21"/>
    </w:rPr>
  </w:style>
  <w:style w:type="paragraph" w:customStyle="1" w:styleId="254">
    <w:name w:val="附件六二级标题"/>
    <w:basedOn w:val="4"/>
    <w:next w:val="1"/>
    <w:qFormat/>
    <w:uiPriority w:val="0"/>
    <w:pPr>
      <w:autoSpaceDE/>
      <w:autoSpaceDN/>
      <w:snapToGrid w:val="0"/>
      <w:spacing w:before="0" w:after="0"/>
      <w:jc w:val="center"/>
    </w:pPr>
    <w:rPr>
      <w:rFonts w:hAnsi="宋体" w:asciiTheme="minorEastAsia" w:eastAsiaTheme="minorEastAsia"/>
      <w:bCs/>
      <w:kern w:val="2"/>
      <w:sz w:val="28"/>
      <w:szCs w:val="32"/>
      <w:u w:val="none"/>
    </w:rPr>
  </w:style>
  <w:style w:type="paragraph" w:customStyle="1" w:styleId="255">
    <w:name w:val="标题2-技术需求"/>
    <w:basedOn w:val="3"/>
    <w:qFormat/>
    <w:uiPriority w:val="0"/>
    <w:pPr>
      <w:numPr>
        <w:ilvl w:val="0"/>
        <w:numId w:val="8"/>
      </w:numPr>
    </w:pPr>
    <w:rPr>
      <w:rFonts w:hAnsi="宋体" w:cs="宋体"/>
    </w:rPr>
  </w:style>
  <w:style w:type="paragraph" w:customStyle="1" w:styleId="256">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header" Target="header1.xml"/><Relationship Id="rId29" Type="http://schemas.openxmlformats.org/officeDocument/2006/relationships/header" Target="header7.xml"/><Relationship Id="rId28" Type="http://schemas.openxmlformats.org/officeDocument/2006/relationships/header" Target="header6.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lixiang\D:\AAAsinchem\2025&#24180;&#20010;&#20154;&#39033;&#30446;&#25191;&#34892;\21-&#20016;&#21488;&#21306;&#26426;&#20851;&#20107;&#21153;&#31649;&#29702;&#26381;&#21153;&#20013;&#24515;\1.&#21271;&#20140;&#24066;&#25919;&#24220;&#37319;&#36141;&#39033;&#30446;&#20844;&#24320;&#25307;&#26631;&#25991;&#20214;&#31034;&#33539;&#25991;&#26412;&#65288;2024&#24180;&#29256;&#65289;-&#20013;&#21270;&#24212;&#29992;&#65288;&#20840;&#32447;&#19978;&#24212;&#29992;&#35797;&#34892;&#29256;&#26412;&#65289;202508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1.北京市政府采购项目公开招标文件示范文本（2024年版）-中化应用（全线上应用试行版本）20250805.dotx</Template>
  <Pages>89</Pages>
  <Words>2961</Words>
  <Characters>3397</Characters>
  <Lines>2216</Lines>
  <Paragraphs>1822</Paragraphs>
  <TotalTime>105</TotalTime>
  <ScaleCrop>false</ScaleCrop>
  <LinksUpToDate>false</LinksUpToDate>
  <CharactersWithSpaces>3491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2025-10-24T23:07:00Z</dcterms:created>
  <dc:creator>中化招标 韩伟轩</dc:creator>
  <cp:lastModifiedBy>中化招标 韩伟轩</cp:lastModifiedBy>
  <dcterms:modified xsi:type="dcterms:W3CDTF">2025-12-29T07:57:02Z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36E34940D10449EA87AD25369BE7B80E_11</vt:lpwstr>
  </property>
  <property fmtid="{D5CDD505-2E9C-101B-9397-08002B2CF9AE}" pid="4" name="KSOTemplateDocerSaveRecord">
    <vt:lpwstr>eyJoZGlkIjoiZDkxNGQ0NGYzYjUzNmM0MTA5MDQzNTk5ODVjNmRmOGMiLCJ1c2VySWQiOiIyMjkwMzY3OTMifQ==</vt:lpwstr>
  </property>
</Properties>
</file>