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915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怀柔区新接收小区配套幼儿园开园所需设施设备第一包（怀柔区新接收小区配套幼儿园开园所需设施设备-杨宋幼儿园）、第二包（怀柔区新接收小区配套幼儿园开园所需设施设备-刘各长幼儿园）</w:t>
      </w:r>
    </w:p>
    <w:p w14:paraId="10DA22F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中标</w:t>
      </w:r>
      <w:r>
        <w:rPr>
          <w:rFonts w:hint="eastAsia" w:ascii="华文中宋" w:hAnsi="华文中宋" w:eastAsia="华文中宋"/>
          <w:sz w:val="32"/>
          <w:szCs w:val="32"/>
        </w:rPr>
        <w:t>结果公告</w:t>
      </w:r>
      <w:bookmarkEnd w:id="0"/>
      <w:bookmarkEnd w:id="1"/>
    </w:p>
    <w:p w14:paraId="7A92B84B">
      <w:pPr>
        <w:numPr>
          <w:ilvl w:val="0"/>
          <w:numId w:val="0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项目编号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：11011625210200014801-XM001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/01</w:t>
      </w:r>
    </w:p>
    <w:p w14:paraId="4FBA64FF">
      <w:pPr>
        <w:numPr>
          <w:ilvl w:val="0"/>
          <w:numId w:val="0"/>
        </w:numPr>
        <w:ind w:firstLine="2800" w:firstLineChars="10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11011625210200014801-XM001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/02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二、项目名称：怀柔区新接收小区配套幼儿园开园所需设施设备-杨宋幼儿园</w:t>
      </w:r>
      <w:r>
        <w:rPr>
          <w:rFonts w:hint="eastAsia" w:ascii="宋体" w:hAnsi="宋体" w:cs="宋体"/>
          <w:sz w:val="28"/>
          <w:szCs w:val="28"/>
          <w:lang w:eastAsia="zh-CN"/>
        </w:rPr>
        <w:t>、怀柔区新接收小区配套幼儿园开园所需设施设备-刘各长幼儿园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698D2DB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第一包：怀柔区新接收小区配套幼儿园开园所需设施设备-杨宋幼儿园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供应商名称：优士创新商业集团有限公司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供应商地址：北京市朝阳区广渠路1号146幢平房146-1</w:t>
      </w:r>
    </w:p>
    <w:p w14:paraId="5CAAB11B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2,891,706.90元（大写：贰佰捌拾玖万壹仟柒佰零陆元玖角整）</w:t>
      </w:r>
    </w:p>
    <w:p w14:paraId="7E3180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第二包：怀柔区新接收小区配套幼儿园开园所需设施设备-刘各长幼儿园</w:t>
      </w:r>
    </w:p>
    <w:p w14:paraId="1F505ED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供应商名称：北京高彩启航教育咨询有限公司</w:t>
      </w:r>
    </w:p>
    <w:p w14:paraId="2A1A8B7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供应商地址：北京市怀柔区迎宾北路10号1幢三层306室</w:t>
      </w:r>
    </w:p>
    <w:p w14:paraId="34E23F9C">
      <w:pPr>
        <w:pStyle w:val="2"/>
        <w:ind w:firstLine="56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085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506.63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元（大写：叁佰零捌万伍仟伍佰零陆元陆角叁分）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5179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2A5F70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货物类</w:t>
            </w:r>
          </w:p>
        </w:tc>
      </w:tr>
      <w:tr w14:paraId="72D6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099669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马蔷、黄克非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张博、朱海涛、陈建华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、吕雪峰、赵志强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137EBB5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一包：怀柔区新接收小区配套幼儿园开园所需设施设备-杨宋幼儿园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3.5809万元</w:t>
      </w:r>
    </w:p>
    <w:p w14:paraId="122FDCB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二包：怀柔区新接收小区配套幼儿园开园所需设施设备-刘各长幼儿园</w:t>
      </w:r>
    </w:p>
    <w:p w14:paraId="3BA5160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E897FC"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3.7941万元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第一包：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本项目采用综合评分法，优士创新商业集团有限公司评审总得分85.65分，综合排名第一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；第二包：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本项目采用综合评分法，北京高彩启航教育咨询有限公司评审总得分95.45分，综合排名第一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46F19044">
      <w:pPr>
        <w:pStyle w:val="4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北京市怀柔区教育技术设备中心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北京市怀柔区桥梓镇茶坞铁路地区22号西北门（桥梓镇卫生服务中心对门）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刘老师   010-61641712</w:t>
      </w:r>
    </w:p>
    <w:p w14:paraId="0C1CC78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中礼造价咨询（北京）有限公司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北京市通州区永乐店镇柴厂屯村东（联航大厦）1-4386号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孙工 19251014954</w:t>
      </w:r>
    </w:p>
    <w:p w14:paraId="3F89B65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  <w:bookmarkStart w:id="14" w:name="_GoBack"/>
      <w:bookmarkEnd w:id="14"/>
    </w:p>
    <w:p w14:paraId="70323434">
      <w:pPr>
        <w:pStyle w:val="7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孙工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19251014954</w:t>
      </w:r>
    </w:p>
    <w:sectPr>
      <w:footerReference r:id="rId3" w:type="default"/>
      <w:pgSz w:w="11906" w:h="16838"/>
      <w:pgMar w:top="1440" w:right="1236" w:bottom="1440" w:left="106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101675"/>
    <w:rsid w:val="01A87AFF"/>
    <w:rsid w:val="025832D3"/>
    <w:rsid w:val="03353615"/>
    <w:rsid w:val="03DD1ACA"/>
    <w:rsid w:val="064E28E9"/>
    <w:rsid w:val="07C84A57"/>
    <w:rsid w:val="08201736"/>
    <w:rsid w:val="09AD2157"/>
    <w:rsid w:val="09ED69F7"/>
    <w:rsid w:val="0A801619"/>
    <w:rsid w:val="0B003162"/>
    <w:rsid w:val="0C6A2581"/>
    <w:rsid w:val="0D3F3A0E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1D334FB"/>
    <w:rsid w:val="130A273D"/>
    <w:rsid w:val="135E44C2"/>
    <w:rsid w:val="16041350"/>
    <w:rsid w:val="165027E8"/>
    <w:rsid w:val="173619DD"/>
    <w:rsid w:val="183D6D9C"/>
    <w:rsid w:val="19856C4C"/>
    <w:rsid w:val="1A5A1E87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0EF0E4F"/>
    <w:rsid w:val="2111004A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B509B9"/>
    <w:rsid w:val="2CE51A84"/>
    <w:rsid w:val="2E1B65DD"/>
    <w:rsid w:val="2EBF4557"/>
    <w:rsid w:val="2F210D6D"/>
    <w:rsid w:val="2F882B9B"/>
    <w:rsid w:val="30185CCC"/>
    <w:rsid w:val="303E1E2C"/>
    <w:rsid w:val="30F027A5"/>
    <w:rsid w:val="324059AE"/>
    <w:rsid w:val="32B97328"/>
    <w:rsid w:val="33DB598F"/>
    <w:rsid w:val="34B00BC9"/>
    <w:rsid w:val="34BF2BBB"/>
    <w:rsid w:val="34C957E7"/>
    <w:rsid w:val="34D32B0A"/>
    <w:rsid w:val="350B22A4"/>
    <w:rsid w:val="35223149"/>
    <w:rsid w:val="357F094C"/>
    <w:rsid w:val="3D2A5291"/>
    <w:rsid w:val="3FB47094"/>
    <w:rsid w:val="40EB2F89"/>
    <w:rsid w:val="413C5593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2204BE"/>
    <w:rsid w:val="4F697E9B"/>
    <w:rsid w:val="4F7725B8"/>
    <w:rsid w:val="4FA90179"/>
    <w:rsid w:val="5095081C"/>
    <w:rsid w:val="51874608"/>
    <w:rsid w:val="52BA27BB"/>
    <w:rsid w:val="53784B50"/>
    <w:rsid w:val="54324889"/>
    <w:rsid w:val="58816255"/>
    <w:rsid w:val="598558D1"/>
    <w:rsid w:val="5A201EFB"/>
    <w:rsid w:val="5B8341C8"/>
    <w:rsid w:val="5C563555"/>
    <w:rsid w:val="5C602626"/>
    <w:rsid w:val="5C940BCF"/>
    <w:rsid w:val="5D8A5BAC"/>
    <w:rsid w:val="5EF82948"/>
    <w:rsid w:val="602F47E9"/>
    <w:rsid w:val="605E6E7C"/>
    <w:rsid w:val="6263077A"/>
    <w:rsid w:val="63B82D47"/>
    <w:rsid w:val="65B337C6"/>
    <w:rsid w:val="66D02156"/>
    <w:rsid w:val="677156E7"/>
    <w:rsid w:val="68B0223F"/>
    <w:rsid w:val="68B34293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44B51"/>
    <w:rsid w:val="76595CC4"/>
    <w:rsid w:val="79E85CDC"/>
    <w:rsid w:val="7BF70459"/>
    <w:rsid w:val="7C3A0345"/>
    <w:rsid w:val="7D6A07B6"/>
    <w:rsid w:val="7DEB18F7"/>
    <w:rsid w:val="7E691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29"/>
    <w:qFormat/>
    <w:uiPriority w:val="0"/>
    <w:pPr>
      <w:spacing w:after="120" w:line="480" w:lineRule="auto"/>
    </w:p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7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511</Words>
  <Characters>599</Characters>
  <Lines>57</Lines>
  <Paragraphs>16</Paragraphs>
  <TotalTime>3</TotalTime>
  <ScaleCrop>false</ScaleCrop>
  <LinksUpToDate>false</LinksUpToDate>
  <CharactersWithSpaces>621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2026-01-30T07:51:01Z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C0FB9F548CF4494FB9DB056B936E7154_13</vt:lpwstr>
  </property>
</Properties>
</file>