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AE69242">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A4E3387">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F3E9438">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北京市政府采购项目</w:t>
      </w:r>
    </w:p>
    <w:p w14:paraId="0B7F49B4">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公开招标文件示范文本</w:t>
      </w:r>
    </w:p>
    <w:p w14:paraId="3746D2D0">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（2026年版）</w:t>
      </w:r>
    </w:p>
    <w:p w14:paraId="1843529D">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8F4E2CD">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0724C806">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174B5FDD">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lang w:eastAsia="zh-CN"/>
        </w:rPr>
      </w:pPr>
      <w:r>
        <w:rPr>
          <w:rFonts w:hint="eastAsia" w:ascii="宋体" w:hAnsi="宋体" w:eastAsia="宋体" w:cs="宋体"/>
          <w:bCs/>
          <w:i w:val="0"/>
          <w:iCs w:val="0"/>
          <w:color w:val="auto"/>
          <w:spacing w:val="0"/>
          <w:position w:val="0"/>
          <w:sz w:val="36"/>
          <w:szCs w:val="36"/>
          <w:highlight w:val="none"/>
        </w:rPr>
        <w:t>项目名称：</w:t>
      </w:r>
      <w:r>
        <w:rPr>
          <w:rFonts w:hint="eastAsia" w:ascii="宋体" w:hAnsi="宋体" w:cs="宋体"/>
          <w:bCs/>
          <w:i w:val="0"/>
          <w:iCs w:val="0"/>
          <w:color w:val="auto"/>
          <w:spacing w:val="0"/>
          <w:position w:val="0"/>
          <w:sz w:val="36"/>
          <w:szCs w:val="36"/>
          <w:highlight w:val="none"/>
          <w:lang w:eastAsia="zh-CN"/>
        </w:rPr>
        <w:t>通州区生态环境综合行政执法装备标准化建设项目</w:t>
      </w:r>
    </w:p>
    <w:p w14:paraId="4C1795FA">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lang w:eastAsia="zh-CN"/>
        </w:rPr>
      </w:pPr>
      <w:r>
        <w:rPr>
          <w:rFonts w:hint="eastAsia" w:ascii="宋体" w:hAnsi="宋体" w:eastAsia="宋体" w:cs="宋体"/>
          <w:bCs/>
          <w:i w:val="0"/>
          <w:iCs w:val="0"/>
          <w:color w:val="auto"/>
          <w:spacing w:val="0"/>
          <w:position w:val="0"/>
          <w:sz w:val="36"/>
          <w:szCs w:val="36"/>
          <w:highlight w:val="none"/>
        </w:rPr>
        <w:t>项目编号：11011226210200022391-XM001</w:t>
      </w:r>
    </w:p>
    <w:p w14:paraId="132BA6AD">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lang w:eastAsia="zh-CN"/>
        </w:rPr>
      </w:pPr>
      <w:r>
        <w:rPr>
          <w:rFonts w:hint="eastAsia" w:ascii="宋体" w:hAnsi="宋体" w:eastAsia="宋体" w:cs="宋体"/>
          <w:bCs/>
          <w:i w:val="0"/>
          <w:iCs w:val="0"/>
          <w:color w:val="auto"/>
          <w:spacing w:val="0"/>
          <w:position w:val="0"/>
          <w:sz w:val="36"/>
          <w:szCs w:val="36"/>
          <w:highlight w:val="none"/>
        </w:rPr>
        <w:t>采 购 人：</w:t>
      </w:r>
      <w:r>
        <w:rPr>
          <w:rFonts w:hint="eastAsia" w:ascii="宋体" w:hAnsi="宋体" w:cs="宋体"/>
          <w:bCs/>
          <w:i w:val="0"/>
          <w:iCs w:val="0"/>
          <w:color w:val="auto"/>
          <w:spacing w:val="0"/>
          <w:position w:val="0"/>
          <w:sz w:val="36"/>
          <w:szCs w:val="36"/>
          <w:highlight w:val="none"/>
          <w:lang w:eastAsia="zh-CN"/>
        </w:rPr>
        <w:t>北京市通州区生态环境局</w:t>
      </w:r>
    </w:p>
    <w:p w14:paraId="746582E2">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
          <w:bCs/>
          <w:i w:val="0"/>
          <w:iCs w:val="0"/>
          <w:color w:val="auto"/>
          <w:spacing w:val="0"/>
          <w:position w:val="0"/>
          <w:sz w:val="44"/>
          <w:highlight w:val="none"/>
          <w:lang w:eastAsia="zh-CN"/>
        </w:rPr>
      </w:pPr>
      <w:r>
        <w:rPr>
          <w:rFonts w:hint="eastAsia" w:ascii="宋体" w:hAnsi="宋体" w:eastAsia="宋体" w:cs="宋体"/>
          <w:bCs/>
          <w:i w:val="0"/>
          <w:iCs w:val="0"/>
          <w:color w:val="auto"/>
          <w:spacing w:val="0"/>
          <w:position w:val="0"/>
          <w:sz w:val="36"/>
          <w:szCs w:val="36"/>
          <w:highlight w:val="none"/>
        </w:rPr>
        <w:t>采购代理机构：</w:t>
      </w:r>
      <w:r>
        <w:rPr>
          <w:rFonts w:hint="eastAsia" w:ascii="宋体" w:hAnsi="宋体" w:eastAsia="宋体" w:cs="宋体"/>
          <w:bCs/>
          <w:i w:val="0"/>
          <w:iCs w:val="0"/>
          <w:color w:val="auto"/>
          <w:spacing w:val="0"/>
          <w:position w:val="0"/>
          <w:sz w:val="36"/>
          <w:szCs w:val="36"/>
          <w:highlight w:val="none"/>
          <w:lang w:eastAsia="zh-CN"/>
        </w:rPr>
        <w:t>中归咨询管理（北京）有限公司</w:t>
      </w:r>
    </w:p>
    <w:p w14:paraId="382BAECF">
      <w:pPr>
        <w:pageBreakBefore w:val="0"/>
        <w:widowControl/>
        <w:wordWrap/>
        <w:topLinePunct w:val="0"/>
        <w:bidi w:val="0"/>
        <w:spacing w:line="360" w:lineRule="auto"/>
        <w:jc w:val="left"/>
        <w:rPr>
          <w:rFonts w:hint="eastAsia" w:ascii="宋体" w:hAnsi="宋体" w:eastAsia="宋体" w:cs="宋体"/>
          <w:b/>
          <w:bCs/>
          <w:i w:val="0"/>
          <w:iCs w:val="0"/>
          <w:color w:val="auto"/>
          <w:spacing w:val="0"/>
          <w:position w:val="0"/>
          <w:sz w:val="44"/>
          <w:highlight w:val="none"/>
        </w:rPr>
      </w:pPr>
    </w:p>
    <w:p w14:paraId="5CC68394">
      <w:pPr>
        <w:pageBreakBefore w:val="0"/>
        <w:widowControl/>
        <w:wordWrap/>
        <w:topLinePunct w:val="0"/>
        <w:bidi w:val="0"/>
        <w:spacing w:line="360" w:lineRule="auto"/>
        <w:jc w:val="left"/>
        <w:rPr>
          <w:rFonts w:hint="eastAsia" w:ascii="宋体" w:hAnsi="宋体" w:eastAsia="宋体" w:cs="宋体"/>
          <w:b/>
          <w:bCs/>
          <w:i w:val="0"/>
          <w:iCs w:val="0"/>
          <w:color w:val="auto"/>
          <w:spacing w:val="0"/>
          <w:position w:val="0"/>
          <w:sz w:val="44"/>
          <w:highlight w:val="none"/>
        </w:rPr>
        <w:sectPr>
          <w:headerReference r:id="rId4" w:type="first"/>
          <w:footerReference r:id="rId7" w:type="first"/>
          <w:headerReference r:id="rId3" w:type="default"/>
          <w:footerReference r:id="rId5" w:type="default"/>
          <w:footerReference r:id="rId6" w:type="even"/>
          <w:type w:val="nextColumn"/>
          <w:pgSz w:w="11907" w:h="16840"/>
          <w:pgMar w:top="1417" w:right="1417" w:bottom="1417" w:left="1417" w:header="1134" w:footer="1134" w:gutter="0"/>
          <w:pgNumType w:fmt="decimal" w:start="1"/>
          <w:cols w:space="0" w:num="1"/>
          <w:titlePg/>
          <w:rtlGutter w:val="0"/>
          <w:docGrid w:linePitch="462" w:charSpace="0"/>
        </w:sectPr>
      </w:pPr>
    </w:p>
    <w:p w14:paraId="5728C943">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0" w:name="_Toc16168"/>
      <w:bookmarkStart w:id="1" w:name="_Toc99301418"/>
      <w:r>
        <w:rPr>
          <w:rFonts w:hint="eastAsia" w:ascii="宋体" w:hAnsi="宋体" w:eastAsia="宋体" w:cs="宋体"/>
          <w:b/>
          <w:i w:val="0"/>
          <w:iCs w:val="0"/>
          <w:color w:val="auto"/>
          <w:spacing w:val="0"/>
          <w:position w:val="0"/>
          <w:sz w:val="36"/>
          <w:szCs w:val="36"/>
          <w:highlight w:val="none"/>
        </w:rPr>
        <w:t>目   录</w:t>
      </w:r>
      <w:bookmarkEnd w:id="0"/>
      <w:bookmarkEnd w:id="1"/>
    </w:p>
    <w:p w14:paraId="5DD8AD00">
      <w:pPr>
        <w:pStyle w:val="31"/>
        <w:pageBreakBefore w:val="0"/>
        <w:tabs>
          <w:tab w:val="right" w:leader="dot" w:pos="8675"/>
          <w:tab w:val="clear" w:pos="1050"/>
          <w:tab w:val="clear" w:pos="8937"/>
        </w:tabs>
        <w:wordWrap/>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b w:val="0"/>
          <w:i w:val="0"/>
          <w:iCs w:val="0"/>
          <w:color w:val="auto"/>
          <w:spacing w:val="0"/>
          <w:position w:val="0"/>
          <w:highlight w:val="none"/>
        </w:rPr>
        <w:fldChar w:fldCharType="begin"/>
      </w:r>
      <w:r>
        <w:rPr>
          <w:rFonts w:hint="eastAsia" w:ascii="宋体" w:hAnsi="宋体" w:eastAsia="宋体" w:cs="宋体"/>
          <w:b w:val="0"/>
          <w:i w:val="0"/>
          <w:iCs w:val="0"/>
          <w:color w:val="auto"/>
          <w:spacing w:val="0"/>
          <w:position w:val="0"/>
          <w:highlight w:val="none"/>
        </w:rPr>
        <w:instrText xml:space="preserve"> TOC \o "1-1" \h \z \u </w:instrText>
      </w:r>
      <w:r>
        <w:rPr>
          <w:rFonts w:hint="eastAsia" w:ascii="宋体" w:hAnsi="宋体" w:eastAsia="宋体" w:cs="宋体"/>
          <w:b w:val="0"/>
          <w:i w:val="0"/>
          <w:iCs w:val="0"/>
          <w:color w:val="auto"/>
          <w:spacing w:val="0"/>
          <w:position w:val="0"/>
          <w:highlight w:val="none"/>
        </w:rPr>
        <w:fldChar w:fldCharType="separate"/>
      </w:r>
    </w:p>
    <w:p w14:paraId="3D250B84">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_Toc3372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第一章   投标邀请</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_Toc3372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2</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6B50C30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_Toc26061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第二章   投标人须知</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_Toc26061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6</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4FABC4FC">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_Toc1361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第三章   资格审查</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_Toc1361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25</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001FC850">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_Toc5695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第四章   评标程序、评标方法和评标标准</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_Toc5695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31</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4BC1DDF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_Toc4598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第五章   采购需求</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_Toc4598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49</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309B3EC3">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_Toc23678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第六章   拟签订的合同文本</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_Toc23678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64</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6AC769A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_Toc10315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第七章   投标文件格式</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_Toc10315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65</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7F8A89EC">
      <w:pPr>
        <w:pStyle w:val="3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end"/>
      </w:r>
    </w:p>
    <w:p w14:paraId="4CBFC833">
      <w:pPr>
        <w:pageBreakBefore w:val="0"/>
        <w:wordWrap/>
        <w:topLinePunct w:val="0"/>
        <w:bidi w:val="0"/>
        <w:spacing w:line="360" w:lineRule="auto"/>
        <w:rPr>
          <w:rFonts w:hint="eastAsia" w:ascii="宋体" w:hAnsi="宋体" w:eastAsia="宋体" w:cs="宋体"/>
          <w:i w:val="0"/>
          <w:iCs w:val="0"/>
          <w:color w:val="auto"/>
          <w:spacing w:val="0"/>
          <w:position w:val="0"/>
          <w:highlight w:val="none"/>
        </w:rPr>
      </w:pPr>
    </w:p>
    <w:p w14:paraId="166770A4">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注：采购文件条款中以 “■”形式标记的内容适用于本项目，以“□”形式标记的内容不适用于本项目。</w:t>
      </w:r>
    </w:p>
    <w:p w14:paraId="53EC384F">
      <w:pPr>
        <w:pStyle w:val="31"/>
        <w:pageBreakBefore w:val="0"/>
        <w:wordWrap/>
        <w:topLinePunct w:val="0"/>
        <w:bidi w:val="0"/>
        <w:spacing w:line="360" w:lineRule="auto"/>
        <w:rPr>
          <w:rFonts w:hint="eastAsia" w:ascii="宋体" w:hAnsi="宋体" w:eastAsia="宋体" w:cs="宋体"/>
          <w:b w:val="0"/>
          <w:i w:val="0"/>
          <w:iCs w:val="0"/>
          <w:color w:val="auto"/>
          <w:spacing w:val="0"/>
          <w:position w:val="0"/>
          <w:highlight w:val="none"/>
        </w:rPr>
      </w:pPr>
    </w:p>
    <w:p w14:paraId="1F8D6C79">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sectPr>
          <w:headerReference r:id="rId9" w:type="first"/>
          <w:footerReference r:id="rId11" w:type="first"/>
          <w:headerReference r:id="rId8" w:type="default"/>
          <w:footerReference r:id="rId10" w:type="default"/>
          <w:pgSz w:w="11907" w:h="16840"/>
          <w:pgMar w:top="1417" w:right="1417" w:bottom="1417" w:left="1417" w:header="1134" w:footer="1134" w:gutter="0"/>
          <w:pgNumType w:fmt="decimal" w:start="1"/>
          <w:cols w:space="0" w:num="1"/>
          <w:titlePg/>
          <w:rtlGutter w:val="0"/>
          <w:docGrid w:linePitch="462" w:charSpace="0"/>
        </w:sectPr>
      </w:pPr>
    </w:p>
    <w:p w14:paraId="410675A6">
      <w:pPr>
        <w:pageBreakBefore w:val="0"/>
        <w:wordWrap/>
        <w:topLinePunct w:val="0"/>
        <w:bidi w:val="0"/>
        <w:spacing w:line="360" w:lineRule="auto"/>
        <w:jc w:val="center"/>
        <w:outlineLvl w:val="0"/>
        <w:rPr>
          <w:rFonts w:hint="eastAsia" w:ascii="宋体" w:hAnsi="宋体" w:eastAsia="宋体" w:cs="宋体"/>
          <w:i w:val="0"/>
          <w:iCs w:val="0"/>
          <w:color w:val="auto"/>
          <w:spacing w:val="0"/>
          <w:position w:val="0"/>
          <w:sz w:val="32"/>
          <w:szCs w:val="32"/>
          <w:highlight w:val="none"/>
        </w:rPr>
      </w:pPr>
      <w:bookmarkStart w:id="2" w:name="_Toc3372"/>
      <w:r>
        <w:rPr>
          <w:rFonts w:hint="eastAsia" w:ascii="宋体" w:hAnsi="宋体" w:eastAsia="宋体" w:cs="宋体"/>
          <w:b/>
          <w:i w:val="0"/>
          <w:iCs w:val="0"/>
          <w:color w:val="auto"/>
          <w:spacing w:val="0"/>
          <w:position w:val="0"/>
          <w:sz w:val="36"/>
          <w:szCs w:val="36"/>
          <w:highlight w:val="none"/>
        </w:rPr>
        <w:t>第一章   投标邀请</w:t>
      </w:r>
      <w:bookmarkEnd w:id="2"/>
    </w:p>
    <w:p w14:paraId="74C8FE91">
      <w:pPr>
        <w:pStyle w:val="3"/>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3" w:name="_Toc35393790"/>
      <w:bookmarkStart w:id="4" w:name="_Toc28359002"/>
      <w:bookmarkStart w:id="5" w:name="_Toc28359079"/>
      <w:bookmarkStart w:id="6" w:name="_Toc35393621"/>
      <w:bookmarkStart w:id="7" w:name="_Hlk24379207"/>
      <w:r>
        <w:rPr>
          <w:rFonts w:hint="eastAsia" w:ascii="宋体" w:hAnsi="宋体" w:eastAsia="宋体" w:cs="宋体"/>
          <w:i w:val="0"/>
          <w:iCs w:val="0"/>
          <w:color w:val="auto"/>
          <w:spacing w:val="0"/>
          <w:position w:val="0"/>
          <w:sz w:val="24"/>
          <w:szCs w:val="24"/>
          <w:highlight w:val="none"/>
        </w:rPr>
        <w:t>一、项目基本情况</w:t>
      </w:r>
      <w:bookmarkEnd w:id="3"/>
      <w:bookmarkEnd w:id="4"/>
      <w:bookmarkEnd w:id="5"/>
      <w:bookmarkEnd w:id="6"/>
    </w:p>
    <w:p w14:paraId="21B8685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rPr>
        <w:t>1.项目编号：11011226210200022391-XM001</w:t>
      </w:r>
    </w:p>
    <w:p w14:paraId="1FB5E22C">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2.项目名称：</w:t>
      </w:r>
      <w:r>
        <w:rPr>
          <w:rFonts w:hint="eastAsia" w:ascii="宋体" w:hAnsi="宋体" w:cs="宋体"/>
          <w:i w:val="0"/>
          <w:iCs w:val="0"/>
          <w:color w:val="auto"/>
          <w:spacing w:val="0"/>
          <w:position w:val="0"/>
          <w:sz w:val="24"/>
          <w:highlight w:val="none"/>
          <w:lang w:eastAsia="zh-CN"/>
        </w:rPr>
        <w:t>通州区生态环境综合行政执法装备标准化建设项目</w:t>
      </w:r>
    </w:p>
    <w:bookmarkEnd w:id="7"/>
    <w:p w14:paraId="7AD95BB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3.项目预算金额：</w:t>
      </w:r>
      <w:r>
        <w:rPr>
          <w:rFonts w:hint="eastAsia" w:ascii="宋体" w:hAnsi="宋体" w:cs="宋体"/>
          <w:i w:val="0"/>
          <w:iCs w:val="0"/>
          <w:color w:val="auto"/>
          <w:spacing w:val="0"/>
          <w:position w:val="0"/>
          <w:sz w:val="24"/>
          <w:highlight w:val="none"/>
          <w:lang w:val="en-US" w:eastAsia="zh-CN"/>
        </w:rPr>
        <w:t>430.5988</w:t>
      </w:r>
      <w:r>
        <w:rPr>
          <w:rFonts w:hint="eastAsia" w:ascii="宋体" w:hAnsi="宋体" w:eastAsia="宋体" w:cs="宋体"/>
          <w:i w:val="0"/>
          <w:iCs w:val="0"/>
          <w:color w:val="auto"/>
          <w:spacing w:val="0"/>
          <w:position w:val="0"/>
          <w:sz w:val="24"/>
          <w:highlight w:val="none"/>
        </w:rPr>
        <w:t>万元、项目最高限价（如有）：</w:t>
      </w:r>
      <w:r>
        <w:rPr>
          <w:rFonts w:hint="eastAsia" w:ascii="宋体" w:hAnsi="宋体" w:cs="宋体"/>
          <w:i w:val="0"/>
          <w:iCs w:val="0"/>
          <w:color w:val="auto"/>
          <w:spacing w:val="0"/>
          <w:kern w:val="0"/>
          <w:position w:val="0"/>
          <w:sz w:val="24"/>
          <w:szCs w:val="24"/>
          <w:highlight w:val="none"/>
          <w:lang w:val="en-US" w:eastAsia="zh-CN" w:bidi="ar"/>
        </w:rPr>
        <w:t>430.5988</w:t>
      </w:r>
      <w:r>
        <w:rPr>
          <w:rFonts w:hint="eastAsia" w:ascii="宋体" w:hAnsi="宋体" w:eastAsia="宋体" w:cs="宋体"/>
          <w:i w:val="0"/>
          <w:iCs w:val="0"/>
          <w:color w:val="auto"/>
          <w:spacing w:val="0"/>
          <w:position w:val="0"/>
          <w:sz w:val="24"/>
          <w:highlight w:val="none"/>
        </w:rPr>
        <w:t>万元</w:t>
      </w:r>
    </w:p>
    <w:p w14:paraId="268DCB1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4.采购需求：</w:t>
      </w:r>
    </w:p>
    <w:tbl>
      <w:tblPr>
        <w:tblStyle w:val="44"/>
        <w:tblW w:w="45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348"/>
        <w:gridCol w:w="3062"/>
        <w:gridCol w:w="1356"/>
        <w:gridCol w:w="1038"/>
        <w:gridCol w:w="740"/>
      </w:tblGrid>
      <w:tr w14:paraId="2C8F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3" w:hRule="atLeast"/>
          <w:jc w:val="center"/>
        </w:trPr>
        <w:tc>
          <w:tcPr>
            <w:tcW w:w="404" w:type="pct"/>
            <w:vAlign w:val="center"/>
          </w:tcPr>
          <w:p w14:paraId="66DAD6AE">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包号</w:t>
            </w:r>
          </w:p>
        </w:tc>
        <w:tc>
          <w:tcPr>
            <w:tcW w:w="821" w:type="pct"/>
            <w:vAlign w:val="center"/>
          </w:tcPr>
          <w:p w14:paraId="1B3B50A0">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ascii="Segoe UI" w:hAnsi="Segoe UI" w:eastAsia="Segoe UI" w:cs="Segoe UI"/>
                <w:i w:val="0"/>
                <w:iCs w:val="0"/>
                <w:caps w:val="0"/>
                <w:color w:val="606266"/>
                <w:spacing w:val="0"/>
                <w:sz w:val="21"/>
                <w:szCs w:val="21"/>
                <w:shd w:val="clear" w:fill="FFFFFF"/>
              </w:rPr>
              <w:t>包组名称</w:t>
            </w:r>
          </w:p>
        </w:tc>
        <w:tc>
          <w:tcPr>
            <w:tcW w:w="1865" w:type="pct"/>
            <w:vAlign w:val="center"/>
          </w:tcPr>
          <w:p w14:paraId="59012FB3">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lang w:eastAsia="zh-CN"/>
              </w:rPr>
            </w:pPr>
            <w:r>
              <w:rPr>
                <w:rFonts w:hint="eastAsia" w:ascii="宋体" w:hAnsi="宋体" w:cs="宋体"/>
                <w:bCs/>
                <w:i w:val="0"/>
                <w:iCs w:val="0"/>
                <w:color w:val="auto"/>
                <w:spacing w:val="0"/>
                <w:position w:val="0"/>
                <w:sz w:val="21"/>
                <w:szCs w:val="21"/>
                <w:highlight w:val="none"/>
                <w:lang w:eastAsia="zh-CN"/>
              </w:rPr>
              <w:t>标的名称</w:t>
            </w:r>
          </w:p>
        </w:tc>
        <w:tc>
          <w:tcPr>
            <w:tcW w:w="826" w:type="pct"/>
            <w:vAlign w:val="center"/>
          </w:tcPr>
          <w:p w14:paraId="66C676A8">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数量</w:t>
            </w:r>
          </w:p>
          <w:p w14:paraId="739F0018">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lang w:val="en-US" w:eastAsia="zh-CN"/>
              </w:rPr>
            </w:pPr>
            <w:r>
              <w:rPr>
                <w:rFonts w:hint="eastAsia" w:ascii="宋体" w:hAnsi="宋体" w:eastAsia="宋体" w:cs="宋体"/>
                <w:bCs/>
                <w:i w:val="0"/>
                <w:iCs w:val="0"/>
                <w:color w:val="auto"/>
                <w:spacing w:val="0"/>
                <w:position w:val="0"/>
                <w:sz w:val="21"/>
                <w:szCs w:val="21"/>
                <w:highlight w:val="none"/>
                <w:lang w:eastAsia="zh-CN"/>
              </w:rPr>
              <w:t>（</w:t>
            </w:r>
            <w:r>
              <w:rPr>
                <w:rFonts w:hint="eastAsia" w:ascii="宋体" w:hAnsi="宋体" w:eastAsia="宋体" w:cs="宋体"/>
                <w:bCs/>
                <w:i w:val="0"/>
                <w:iCs w:val="0"/>
                <w:color w:val="auto"/>
                <w:spacing w:val="0"/>
                <w:position w:val="0"/>
                <w:sz w:val="21"/>
                <w:szCs w:val="21"/>
                <w:highlight w:val="none"/>
                <w:lang w:val="en-US" w:eastAsia="zh-CN"/>
              </w:rPr>
              <w:t>单位）</w:t>
            </w:r>
          </w:p>
        </w:tc>
        <w:tc>
          <w:tcPr>
            <w:tcW w:w="632" w:type="pct"/>
            <w:vAlign w:val="center"/>
          </w:tcPr>
          <w:p w14:paraId="2A8F4655">
            <w:pPr>
              <w:pageBreakBefore w:val="0"/>
              <w:wordWrap/>
              <w:topLinePunct w:val="0"/>
              <w:bidi w:val="0"/>
              <w:spacing w:line="360" w:lineRule="auto"/>
              <w:jc w:val="center"/>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简要技术需求或服务要求</w:t>
            </w:r>
          </w:p>
        </w:tc>
        <w:tc>
          <w:tcPr>
            <w:tcW w:w="450" w:type="pct"/>
            <w:vAlign w:val="center"/>
          </w:tcPr>
          <w:p w14:paraId="0BF37169">
            <w:pPr>
              <w:pageBreakBefore w:val="0"/>
              <w:wordWrap/>
              <w:topLinePunct w:val="0"/>
              <w:bidi w:val="0"/>
              <w:spacing w:line="360" w:lineRule="auto"/>
              <w:jc w:val="center"/>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备注</w:t>
            </w:r>
          </w:p>
        </w:tc>
      </w:tr>
      <w:tr w14:paraId="1C9C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1A56C6C0">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4ABE83A2">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349F2959">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3052E1CE">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防爆强光手电</w:t>
            </w:r>
          </w:p>
        </w:tc>
        <w:tc>
          <w:tcPr>
            <w:tcW w:w="826" w:type="pct"/>
            <w:vAlign w:val="center"/>
          </w:tcPr>
          <w:p w14:paraId="67DBA6DB">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10台</w:t>
            </w:r>
          </w:p>
        </w:tc>
        <w:tc>
          <w:tcPr>
            <w:tcW w:w="632" w:type="pct"/>
            <w:vAlign w:val="center"/>
          </w:tcPr>
          <w:p w14:paraId="08D5235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0FBAC19C">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lang w:eastAsia="zh-CN"/>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5FF0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08566416">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70990446">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464DEA0F">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31F2E616">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手提式防爆手电</w:t>
            </w:r>
          </w:p>
        </w:tc>
        <w:tc>
          <w:tcPr>
            <w:tcW w:w="826" w:type="pct"/>
            <w:vAlign w:val="center"/>
          </w:tcPr>
          <w:p w14:paraId="78E39A35">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5台</w:t>
            </w:r>
          </w:p>
        </w:tc>
        <w:tc>
          <w:tcPr>
            <w:tcW w:w="632" w:type="pct"/>
            <w:vAlign w:val="center"/>
          </w:tcPr>
          <w:p w14:paraId="1D06299A">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1C6C371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09AE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4EBD35F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1E71BD5D">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0525C92E">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268F962E">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重型防化服</w:t>
            </w:r>
          </w:p>
        </w:tc>
        <w:tc>
          <w:tcPr>
            <w:tcW w:w="826" w:type="pct"/>
            <w:vAlign w:val="center"/>
          </w:tcPr>
          <w:p w14:paraId="7E6B5F0F">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10套</w:t>
            </w:r>
          </w:p>
        </w:tc>
        <w:tc>
          <w:tcPr>
            <w:tcW w:w="632" w:type="pct"/>
            <w:vAlign w:val="center"/>
          </w:tcPr>
          <w:p w14:paraId="7B088C91">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6F92205D">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189A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04" w:type="pct"/>
            <w:vAlign w:val="center"/>
          </w:tcPr>
          <w:p w14:paraId="427B645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0D486246">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29D2B449">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1999C1BB">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滤毒盒（6 类规格）</w:t>
            </w:r>
          </w:p>
        </w:tc>
        <w:tc>
          <w:tcPr>
            <w:tcW w:w="826" w:type="pct"/>
            <w:vAlign w:val="center"/>
          </w:tcPr>
          <w:p w14:paraId="3A932A9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1箱</w:t>
            </w:r>
          </w:p>
        </w:tc>
        <w:tc>
          <w:tcPr>
            <w:tcW w:w="632" w:type="pct"/>
            <w:vAlign w:val="center"/>
          </w:tcPr>
          <w:p w14:paraId="3455DCB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3389D2DD">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2DA9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54DE50FC">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2A365765">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7BEBC6B9">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58A33978">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一次性防护服</w:t>
            </w:r>
          </w:p>
        </w:tc>
        <w:tc>
          <w:tcPr>
            <w:tcW w:w="826" w:type="pct"/>
            <w:vAlign w:val="center"/>
          </w:tcPr>
          <w:p w14:paraId="6198BDE5">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100套</w:t>
            </w:r>
          </w:p>
        </w:tc>
        <w:tc>
          <w:tcPr>
            <w:tcW w:w="632" w:type="pct"/>
            <w:vAlign w:val="center"/>
          </w:tcPr>
          <w:p w14:paraId="73C35D92">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46E473D4">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0771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68689AB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622F27B4">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7F072D6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64200B36">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无人船改造 - 组合导航系统</w:t>
            </w:r>
          </w:p>
        </w:tc>
        <w:tc>
          <w:tcPr>
            <w:tcW w:w="826" w:type="pct"/>
            <w:vAlign w:val="center"/>
          </w:tcPr>
          <w:p w14:paraId="3777F4EE">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1套</w:t>
            </w:r>
          </w:p>
        </w:tc>
        <w:tc>
          <w:tcPr>
            <w:tcW w:w="632" w:type="pct"/>
            <w:vAlign w:val="center"/>
          </w:tcPr>
          <w:p w14:paraId="61060DB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4F540DBC">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55B2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3460C88E">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1FF430E7">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420F8283">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22B32701">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无人船改造 - 采样器</w:t>
            </w:r>
          </w:p>
        </w:tc>
        <w:tc>
          <w:tcPr>
            <w:tcW w:w="826" w:type="pct"/>
            <w:vAlign w:val="center"/>
          </w:tcPr>
          <w:p w14:paraId="7EC2212F">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1套</w:t>
            </w:r>
          </w:p>
        </w:tc>
        <w:tc>
          <w:tcPr>
            <w:tcW w:w="632" w:type="pct"/>
            <w:vAlign w:val="center"/>
          </w:tcPr>
          <w:p w14:paraId="49E596A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3694202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708F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1AD9278B">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02ECE889">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799E66C3">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7976F2D5">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手持核素识别仪</w:t>
            </w:r>
          </w:p>
        </w:tc>
        <w:tc>
          <w:tcPr>
            <w:tcW w:w="826" w:type="pct"/>
            <w:vAlign w:val="center"/>
          </w:tcPr>
          <w:p w14:paraId="0BE5999D">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632" w:type="pct"/>
            <w:vAlign w:val="center"/>
          </w:tcPr>
          <w:p w14:paraId="5FF95B6C">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1EC5A9A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25C9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404" w:type="pct"/>
            <w:vAlign w:val="center"/>
          </w:tcPr>
          <w:p w14:paraId="40203E2F">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46DC4E99">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307B2E88">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41053C25">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环境气体综合分析仪</w:t>
            </w:r>
          </w:p>
        </w:tc>
        <w:tc>
          <w:tcPr>
            <w:tcW w:w="826" w:type="pct"/>
            <w:vAlign w:val="center"/>
          </w:tcPr>
          <w:p w14:paraId="7C83ABC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632" w:type="pct"/>
            <w:vAlign w:val="center"/>
          </w:tcPr>
          <w:p w14:paraId="273E18D4">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001DDFA8">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7EAC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72864F55">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578E69AA">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3FF86205">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3B1A51C6">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便携式傅里叶红外气体分析仪</w:t>
            </w:r>
          </w:p>
        </w:tc>
        <w:tc>
          <w:tcPr>
            <w:tcW w:w="826" w:type="pct"/>
            <w:vAlign w:val="center"/>
          </w:tcPr>
          <w:p w14:paraId="1D17C40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632" w:type="pct"/>
            <w:vAlign w:val="center"/>
          </w:tcPr>
          <w:p w14:paraId="04FE70D5">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05693F69">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15D0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163398EB">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1C18D939">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54D47E1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71E7A0F9">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铅衣</w:t>
            </w:r>
          </w:p>
        </w:tc>
        <w:tc>
          <w:tcPr>
            <w:tcW w:w="826" w:type="pct"/>
            <w:vAlign w:val="center"/>
          </w:tcPr>
          <w:p w14:paraId="661233D8">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2套</w:t>
            </w:r>
          </w:p>
        </w:tc>
        <w:tc>
          <w:tcPr>
            <w:tcW w:w="632" w:type="pct"/>
            <w:vAlign w:val="center"/>
          </w:tcPr>
          <w:p w14:paraId="55B3AFCB">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6D04A350">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5194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61A9706A">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3C20C537">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2F4D14B3">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27D0C983">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放射源操作长柄</w:t>
            </w:r>
          </w:p>
        </w:tc>
        <w:tc>
          <w:tcPr>
            <w:tcW w:w="826" w:type="pct"/>
            <w:vAlign w:val="center"/>
          </w:tcPr>
          <w:p w14:paraId="6A94D8F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1个</w:t>
            </w:r>
          </w:p>
        </w:tc>
        <w:tc>
          <w:tcPr>
            <w:tcW w:w="632" w:type="pct"/>
            <w:vAlign w:val="center"/>
          </w:tcPr>
          <w:p w14:paraId="3468603A">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74F1B250">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3BE5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24C0C6D7">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821" w:type="pct"/>
            <w:vAlign w:val="center"/>
          </w:tcPr>
          <w:p w14:paraId="3CB0E932">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第一包</w:t>
            </w:r>
            <w:r>
              <w:rPr>
                <w:rFonts w:hint="eastAsia" w:ascii="宋体" w:hAnsi="宋体" w:cs="宋体"/>
                <w:i w:val="0"/>
                <w:iCs w:val="0"/>
                <w:color w:val="auto"/>
                <w:spacing w:val="0"/>
                <w:position w:val="0"/>
                <w:sz w:val="24"/>
                <w:highlight w:val="none"/>
                <w:lang w:eastAsia="zh-CN"/>
              </w:rPr>
              <w:t>）</w:t>
            </w:r>
          </w:p>
          <w:p w14:paraId="22C2BF7B">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65" w:type="pct"/>
            <w:vAlign w:val="center"/>
          </w:tcPr>
          <w:p w14:paraId="59AD7354">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移动大电源</w:t>
            </w:r>
          </w:p>
        </w:tc>
        <w:tc>
          <w:tcPr>
            <w:tcW w:w="826" w:type="pct"/>
            <w:vAlign w:val="center"/>
          </w:tcPr>
          <w:p w14:paraId="67D40310">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27台</w:t>
            </w:r>
          </w:p>
        </w:tc>
        <w:tc>
          <w:tcPr>
            <w:tcW w:w="632" w:type="pct"/>
            <w:vAlign w:val="center"/>
          </w:tcPr>
          <w:p w14:paraId="15714B2D">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533E3694">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7392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600AF023">
            <w:pPr>
              <w:pageBreakBefore w:val="0"/>
              <w:wordWrap/>
              <w:topLinePunct w:val="0"/>
              <w:bidi w:val="0"/>
              <w:spacing w:line="360" w:lineRule="auto"/>
              <w:jc w:val="center"/>
              <w:rPr>
                <w:rFonts w:hint="default" w:ascii="宋体" w:hAnsi="宋体" w:eastAsia="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02</w:t>
            </w:r>
          </w:p>
        </w:tc>
        <w:tc>
          <w:tcPr>
            <w:tcW w:w="821" w:type="pct"/>
            <w:vAlign w:val="center"/>
          </w:tcPr>
          <w:p w14:paraId="4999179C">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第二包</w:t>
            </w:r>
            <w:r>
              <w:rPr>
                <w:rFonts w:hint="eastAsia" w:ascii="宋体" w:hAnsi="宋体" w:cs="宋体"/>
                <w:i w:val="0"/>
                <w:iCs w:val="0"/>
                <w:color w:val="auto"/>
                <w:spacing w:val="0"/>
                <w:position w:val="0"/>
                <w:sz w:val="24"/>
                <w:highlight w:val="none"/>
                <w:lang w:eastAsia="zh-CN"/>
              </w:rPr>
              <w:t>）</w:t>
            </w:r>
          </w:p>
          <w:p w14:paraId="09D76394">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1865" w:type="pct"/>
            <w:vAlign w:val="center"/>
          </w:tcPr>
          <w:p w14:paraId="6C3F4048">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移动源执法监测设备（OBD 诊断仪）</w:t>
            </w:r>
          </w:p>
        </w:tc>
        <w:tc>
          <w:tcPr>
            <w:tcW w:w="826" w:type="pct"/>
            <w:vAlign w:val="center"/>
          </w:tcPr>
          <w:p w14:paraId="60B33FF7">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23台</w:t>
            </w:r>
          </w:p>
        </w:tc>
        <w:tc>
          <w:tcPr>
            <w:tcW w:w="632" w:type="pct"/>
            <w:vAlign w:val="center"/>
          </w:tcPr>
          <w:p w14:paraId="570469FD">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42C3348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5CE0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404" w:type="pct"/>
            <w:vAlign w:val="center"/>
          </w:tcPr>
          <w:p w14:paraId="39C653A8">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02</w:t>
            </w:r>
          </w:p>
        </w:tc>
        <w:tc>
          <w:tcPr>
            <w:tcW w:w="821" w:type="pct"/>
            <w:vAlign w:val="center"/>
          </w:tcPr>
          <w:p w14:paraId="37C50BD6">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第二包</w:t>
            </w:r>
            <w:r>
              <w:rPr>
                <w:rFonts w:hint="eastAsia" w:ascii="宋体" w:hAnsi="宋体" w:cs="宋体"/>
                <w:i w:val="0"/>
                <w:iCs w:val="0"/>
                <w:color w:val="auto"/>
                <w:spacing w:val="0"/>
                <w:position w:val="0"/>
                <w:sz w:val="24"/>
                <w:highlight w:val="none"/>
                <w:lang w:eastAsia="zh-CN"/>
              </w:rPr>
              <w:t>）</w:t>
            </w:r>
          </w:p>
          <w:p w14:paraId="62D33EA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1865" w:type="pct"/>
            <w:vAlign w:val="center"/>
          </w:tcPr>
          <w:p w14:paraId="6B15139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 (不透光烟度计)</w:t>
            </w:r>
          </w:p>
        </w:tc>
        <w:tc>
          <w:tcPr>
            <w:tcW w:w="826" w:type="pct"/>
            <w:vAlign w:val="center"/>
          </w:tcPr>
          <w:p w14:paraId="6A4A4C4F">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23台</w:t>
            </w:r>
          </w:p>
        </w:tc>
        <w:tc>
          <w:tcPr>
            <w:tcW w:w="632" w:type="pct"/>
            <w:vAlign w:val="center"/>
          </w:tcPr>
          <w:p w14:paraId="2A78BEDF">
            <w:pPr>
              <w:pageBreakBefore w:val="0"/>
              <w:wordWrap/>
              <w:topLinePunct w:val="0"/>
              <w:bidi w:val="0"/>
              <w:spacing w:line="360" w:lineRule="auto"/>
              <w:jc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40F80C3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1758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404" w:type="pct"/>
            <w:vAlign w:val="center"/>
          </w:tcPr>
          <w:p w14:paraId="178A8B60">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02</w:t>
            </w:r>
          </w:p>
        </w:tc>
        <w:tc>
          <w:tcPr>
            <w:tcW w:w="821" w:type="pct"/>
            <w:vAlign w:val="center"/>
          </w:tcPr>
          <w:p w14:paraId="04AC2966">
            <w:r>
              <w:rPr>
                <w:rFonts w:hint="eastAsia" w:ascii="宋体" w:hAnsi="宋体" w:cs="宋体"/>
                <w:i w:val="0"/>
                <w:iCs w:val="0"/>
                <w:color w:val="auto"/>
                <w:spacing w:val="0"/>
                <w:position w:val="0"/>
                <w:sz w:val="24"/>
                <w:highlight w:val="none"/>
                <w:lang w:eastAsia="zh-CN"/>
              </w:rPr>
              <w:t>通州区生态环境综合行政执法装备标准化建设项目（</w:t>
            </w:r>
            <w:r>
              <w:rPr>
                <w:rFonts w:hint="eastAsia" w:ascii="宋体" w:hAnsi="宋体" w:cs="宋体"/>
                <w:i w:val="0"/>
                <w:iCs w:val="0"/>
                <w:color w:val="auto"/>
                <w:spacing w:val="0"/>
                <w:position w:val="0"/>
                <w:sz w:val="24"/>
                <w:highlight w:val="none"/>
                <w:lang w:val="en-US" w:eastAsia="zh-CN"/>
              </w:rPr>
              <w:t>第二包</w:t>
            </w:r>
            <w:r>
              <w:rPr>
                <w:rFonts w:hint="eastAsia" w:ascii="宋体" w:hAnsi="宋体" w:cs="宋体"/>
                <w:i w:val="0"/>
                <w:iCs w:val="0"/>
                <w:color w:val="auto"/>
                <w:spacing w:val="0"/>
                <w:position w:val="0"/>
                <w:sz w:val="24"/>
                <w:highlight w:val="none"/>
                <w:lang w:eastAsia="zh-CN"/>
              </w:rPr>
              <w:t>）</w:t>
            </w:r>
          </w:p>
          <w:p w14:paraId="067B07E3">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1865" w:type="pct"/>
            <w:vAlign w:val="center"/>
          </w:tcPr>
          <w:p w14:paraId="6619262A">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移动源执法监测设备（重型汽车氮氧化物快速检测仪）</w:t>
            </w:r>
          </w:p>
        </w:tc>
        <w:tc>
          <w:tcPr>
            <w:tcW w:w="826" w:type="pct"/>
            <w:vAlign w:val="center"/>
          </w:tcPr>
          <w:p w14:paraId="71183B4D">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2台</w:t>
            </w:r>
          </w:p>
        </w:tc>
        <w:tc>
          <w:tcPr>
            <w:tcW w:w="632" w:type="pct"/>
            <w:vAlign w:val="center"/>
          </w:tcPr>
          <w:p w14:paraId="6EB0392A">
            <w:pPr>
              <w:pageBreakBefore w:val="0"/>
              <w:wordWrap/>
              <w:topLinePunct w:val="0"/>
              <w:bidi w:val="0"/>
              <w:spacing w:line="360" w:lineRule="auto"/>
              <w:jc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i w:val="0"/>
                <w:iCs w:val="0"/>
                <w:color w:val="auto"/>
                <w:spacing w:val="0"/>
                <w:position w:val="0"/>
                <w:sz w:val="21"/>
                <w:szCs w:val="21"/>
                <w:highlight w:val="none"/>
                <w:lang w:val="en-US" w:eastAsia="zh-CN"/>
              </w:rPr>
              <w:t>详见采购需求</w:t>
            </w:r>
          </w:p>
        </w:tc>
        <w:tc>
          <w:tcPr>
            <w:tcW w:w="450" w:type="pct"/>
            <w:vAlign w:val="center"/>
          </w:tcPr>
          <w:p w14:paraId="50B1B1A9">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bl>
    <w:p w14:paraId="5AFA9E84">
      <w:pPr>
        <w:keepNext w:val="0"/>
        <w:keepLines w:val="0"/>
        <w:pageBreakBefore w:val="0"/>
        <w:widowControl w:val="0"/>
        <w:kinsoku/>
        <w:wordWrap/>
        <w:overflowPunct/>
        <w:topLinePunct w:val="0"/>
        <w:autoSpaceDE/>
        <w:autoSpaceDN/>
        <w:bidi w:val="0"/>
        <w:adjustRightInd/>
        <w:snapToGrid/>
        <w:spacing w:before="464" w:beforeLines="100" w:line="360" w:lineRule="auto"/>
        <w:ind w:firstLine="480" w:firstLineChars="200"/>
        <w:textAlignment w:val="auto"/>
        <w:rPr>
          <w:rFonts w:hint="eastAsia" w:ascii="宋体" w:hAnsi="宋体" w:eastAsia="宋体" w:cs="宋体"/>
          <w:i w:val="0"/>
          <w:iCs w:val="0"/>
          <w:color w:val="auto"/>
          <w:spacing w:val="0"/>
          <w:position w:val="0"/>
          <w:sz w:val="24"/>
          <w:highlight w:val="none"/>
          <w:u w:val="single"/>
          <w:lang w:val="en-US" w:eastAsia="zh-CN"/>
        </w:rPr>
      </w:pPr>
      <w:r>
        <w:rPr>
          <w:rFonts w:hint="eastAsia" w:ascii="宋体" w:hAnsi="宋体" w:eastAsia="宋体" w:cs="宋体"/>
          <w:i w:val="0"/>
          <w:iCs w:val="0"/>
          <w:color w:val="auto"/>
          <w:spacing w:val="0"/>
          <w:position w:val="0"/>
          <w:sz w:val="24"/>
          <w:highlight w:val="none"/>
        </w:rPr>
        <w:t>5.合同履行期限：</w:t>
      </w:r>
      <w:r>
        <w:rPr>
          <w:rFonts w:hint="eastAsia" w:ascii="宋体" w:hAnsi="宋体" w:cs="宋体"/>
          <w:i w:val="0"/>
          <w:iCs w:val="0"/>
          <w:color w:val="auto"/>
          <w:spacing w:val="0"/>
          <w:position w:val="0"/>
          <w:sz w:val="24"/>
          <w:highlight w:val="none"/>
          <w:lang w:val="en-US" w:eastAsia="zh-CN"/>
        </w:rPr>
        <w:t>自合同签订之日起90个工作日内完成设备的供货、运输、安装调试及验收。</w:t>
      </w:r>
    </w:p>
    <w:p w14:paraId="05771F4E">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6.本项目是否接受联合体投标：</w:t>
      </w: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 xml:space="preserve">是  </w:t>
      </w: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否。</w:t>
      </w:r>
    </w:p>
    <w:p w14:paraId="4FA25951">
      <w:pPr>
        <w:pStyle w:val="3"/>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8" w:name="_Toc35393791"/>
      <w:bookmarkStart w:id="9" w:name="_Toc28359080"/>
      <w:bookmarkStart w:id="10" w:name="_Toc28359003"/>
      <w:bookmarkStart w:id="11" w:name="_Toc35393622"/>
      <w:r>
        <w:rPr>
          <w:rFonts w:hint="eastAsia" w:ascii="宋体" w:hAnsi="宋体" w:eastAsia="宋体" w:cs="宋体"/>
          <w:i w:val="0"/>
          <w:iCs w:val="0"/>
          <w:color w:val="auto"/>
          <w:spacing w:val="0"/>
          <w:position w:val="0"/>
          <w:sz w:val="24"/>
          <w:szCs w:val="24"/>
          <w:highlight w:val="none"/>
        </w:rPr>
        <w:t>二、申请人的资格要求（须同时满足）</w:t>
      </w:r>
      <w:bookmarkEnd w:id="8"/>
      <w:bookmarkEnd w:id="9"/>
      <w:bookmarkEnd w:id="10"/>
      <w:bookmarkEnd w:id="11"/>
    </w:p>
    <w:p w14:paraId="0713F1C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1.满足《中华人民共和国政府采购法》第二十二条规定；</w:t>
      </w:r>
    </w:p>
    <w:p w14:paraId="07AC7E9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bookmarkStart w:id="12" w:name="_Toc28359004"/>
      <w:bookmarkStart w:id="13" w:name="_Toc28359081"/>
      <w:r>
        <w:rPr>
          <w:rFonts w:hint="eastAsia" w:ascii="宋体" w:hAnsi="宋体" w:eastAsia="宋体" w:cs="宋体"/>
          <w:i w:val="0"/>
          <w:iCs w:val="0"/>
          <w:color w:val="auto"/>
          <w:spacing w:val="0"/>
          <w:position w:val="0"/>
          <w:sz w:val="24"/>
          <w:highlight w:val="none"/>
        </w:rPr>
        <w:t>2.落实政府采购政策需满足的资格要求：</w:t>
      </w:r>
    </w:p>
    <w:p w14:paraId="6CD47936">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 中小企业政策</w:t>
      </w:r>
    </w:p>
    <w:p w14:paraId="06E9409C">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本项目不专门面向中小企业预留采购份额。</w:t>
      </w:r>
    </w:p>
    <w:p w14:paraId="3E6981B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 xml:space="preserve">本项目专门面向  </w:t>
      </w: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中小</w:t>
      </w:r>
      <w:r>
        <w:rPr>
          <w:rFonts w:hint="eastAsia" w:ascii="宋体" w:hAnsi="宋体" w:eastAsia="宋体" w:cs="宋体"/>
          <w:i w:val="0"/>
          <w:iCs w:val="0"/>
          <w:color w:val="auto"/>
          <w:spacing w:val="0"/>
          <w:position w:val="0"/>
          <w:sz w:val="24"/>
          <w:highlight w:val="none"/>
          <w:lang w:val="en-US" w:eastAsia="zh-CN"/>
        </w:rPr>
        <w:t xml:space="preserve"> </w:t>
      </w:r>
      <w:r>
        <w:rPr>
          <w:rFonts w:hint="eastAsia" w:ascii="宋体" w:hAnsi="宋体" w:eastAsia="宋体" w:cs="宋体"/>
          <w:i w:val="0"/>
          <w:iCs w:val="0"/>
          <w:color w:val="auto"/>
          <w:spacing w:val="0"/>
          <w:position w:val="0"/>
          <w:sz w:val="24"/>
          <w:highlight w:val="none"/>
        </w:rPr>
        <w:t xml:space="preserve"> □小微企业  采购。即：提供的货物全部由符合政策要求的中小/小微企业制造、服务全部由符合政策要求的中小/小微企业承接。</w:t>
      </w:r>
    </w:p>
    <w:p w14:paraId="406DDED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4EF8CE8B">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2.2 其它落实政府采购政策的资格要求（如有）：</w:t>
      </w:r>
      <w:r>
        <w:rPr>
          <w:rFonts w:hint="eastAsia" w:ascii="宋体" w:hAnsi="宋体" w:cs="宋体"/>
          <w:i w:val="0"/>
          <w:iCs w:val="0"/>
          <w:color w:val="auto"/>
          <w:spacing w:val="0"/>
          <w:position w:val="0"/>
          <w:sz w:val="24"/>
          <w:highlight w:val="none"/>
          <w:u w:val="single"/>
          <w:lang w:val="en-US" w:eastAsia="zh-CN"/>
        </w:rPr>
        <w:t>/</w:t>
      </w:r>
      <w:r>
        <w:rPr>
          <w:rFonts w:hint="eastAsia" w:ascii="宋体" w:hAnsi="宋体" w:eastAsia="宋体" w:cs="宋体"/>
          <w:i w:val="0"/>
          <w:iCs w:val="0"/>
          <w:color w:val="auto"/>
          <w:spacing w:val="0"/>
          <w:position w:val="0"/>
          <w:sz w:val="24"/>
          <w:highlight w:val="none"/>
        </w:rPr>
        <w:t>。</w:t>
      </w:r>
    </w:p>
    <w:p w14:paraId="608E258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3.本项目的特定资格要求：</w:t>
      </w:r>
    </w:p>
    <w:p w14:paraId="3AF109C6">
      <w:pPr>
        <w:pageBreakBefore w:val="0"/>
        <w:tabs>
          <w:tab w:val="left" w:pos="900"/>
          <w:tab w:val="left" w:pos="1134"/>
          <w:tab w:val="left" w:pos="1589"/>
          <w:tab w:val="left" w:pos="5521"/>
        </w:tabs>
        <w:wordWrap/>
        <w:topLinePunct w:val="0"/>
        <w:bidi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3.1本项目是否属于政府购买服务：</w:t>
      </w:r>
    </w:p>
    <w:p w14:paraId="586AD88B">
      <w:pPr>
        <w:pageBreakBefore w:val="0"/>
        <w:tabs>
          <w:tab w:val="left" w:pos="900"/>
          <w:tab w:val="left" w:pos="1134"/>
          <w:tab w:val="left" w:pos="1589"/>
          <w:tab w:val="left" w:pos="5521"/>
        </w:tabs>
        <w:wordWrap/>
        <w:topLinePunct w:val="0"/>
        <w:bidi w:val="0"/>
        <w:snapToGrid w:val="0"/>
        <w:spacing w:line="360" w:lineRule="auto"/>
        <w:ind w:firstLine="960" w:firstLineChars="4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■否</w:t>
      </w:r>
    </w:p>
    <w:p w14:paraId="02002562">
      <w:pPr>
        <w:pageBreakBefore w:val="0"/>
        <w:tabs>
          <w:tab w:val="left" w:pos="900"/>
          <w:tab w:val="left" w:pos="1134"/>
          <w:tab w:val="left" w:pos="1589"/>
          <w:tab w:val="left" w:pos="5521"/>
        </w:tabs>
        <w:wordWrap/>
        <w:topLinePunct w:val="0"/>
        <w:bidi w:val="0"/>
        <w:snapToGrid w:val="0"/>
        <w:spacing w:line="360" w:lineRule="auto"/>
        <w:ind w:firstLine="960" w:firstLineChars="4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□是，公益一类事业单位、使用事业编制且由财政拨款保障的群团组织，不得作为承接主体；</w:t>
      </w:r>
    </w:p>
    <w:p w14:paraId="1C1B78F4">
      <w:pPr>
        <w:pageBreakBefore w:val="0"/>
        <w:tabs>
          <w:tab w:val="left" w:pos="900"/>
          <w:tab w:val="left" w:pos="1134"/>
          <w:tab w:val="left" w:pos="1589"/>
          <w:tab w:val="left" w:pos="5521"/>
        </w:tabs>
        <w:wordWrap/>
        <w:topLinePunct w:val="0"/>
        <w:bidi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3.2其他特定资格要求：</w:t>
      </w:r>
    </w:p>
    <w:bookmarkEnd w:id="12"/>
    <w:bookmarkEnd w:id="13"/>
    <w:p w14:paraId="0C455633">
      <w:pPr>
        <w:pageBreakBefore w:val="0"/>
        <w:topLinePunct w:val="0"/>
        <w:bidi w:val="0"/>
        <w:spacing w:before="94" w:beforeLines="20" w:after="94" w:afterLines="20" w:line="360" w:lineRule="auto"/>
        <w:ind w:firstLine="480" w:firstLineChars="200"/>
        <w:rPr>
          <w:rFonts w:hint="eastAsia" w:ascii="宋体" w:hAnsi="宋体" w:eastAsia="宋体" w:cs="宋体"/>
          <w:i w:val="0"/>
          <w:iCs w:val="0"/>
          <w:color w:val="auto"/>
          <w:spacing w:val="0"/>
          <w:position w:val="0"/>
          <w:sz w:val="24"/>
          <w:highlight w:val="none"/>
          <w:u w:val="single"/>
        </w:rPr>
      </w:pPr>
      <w:bookmarkStart w:id="14" w:name="_Toc35393623"/>
      <w:bookmarkStart w:id="15" w:name="_Toc35393792"/>
      <w:r>
        <w:rPr>
          <w:rFonts w:hint="eastAsia" w:ascii="宋体" w:hAnsi="宋体" w:eastAsia="宋体" w:cs="宋体"/>
          <w:i w:val="0"/>
          <w:iCs w:val="0"/>
          <w:color w:val="auto"/>
          <w:spacing w:val="0"/>
          <w:position w:val="0"/>
          <w:sz w:val="24"/>
          <w:highlight w:val="none"/>
          <w:u w:val="single"/>
        </w:rPr>
        <w:t>（1）供应商未被“信用中国”</w:t>
      </w:r>
      <w:r>
        <w:rPr>
          <w:rFonts w:hint="eastAsia" w:ascii="宋体" w:hAnsi="宋体" w:eastAsia="宋体" w:cs="宋体"/>
          <w:i w:val="0"/>
          <w:iCs w:val="0"/>
          <w:color w:val="auto"/>
          <w:spacing w:val="0"/>
          <w:position w:val="0"/>
          <w:sz w:val="24"/>
          <w:highlight w:val="none"/>
          <w:u w:val="single"/>
          <w:shd w:val="clear"/>
        </w:rPr>
        <w:t>网站列入</w:t>
      </w:r>
      <w:r>
        <w:rPr>
          <w:rFonts w:hint="eastAsia" w:ascii="宋体" w:hAnsi="宋体" w:eastAsia="宋体" w:cs="宋体"/>
          <w:i w:val="0"/>
          <w:iCs w:val="0"/>
          <w:color w:val="auto"/>
          <w:spacing w:val="0"/>
          <w:position w:val="0"/>
          <w:sz w:val="24"/>
          <w:highlight w:val="none"/>
          <w:u w:val="single"/>
          <w:shd w:val="clear"/>
          <w:lang w:val="en-US" w:eastAsia="zh-CN"/>
        </w:rPr>
        <w:t>失信被执行人</w:t>
      </w:r>
      <w:r>
        <w:rPr>
          <w:rFonts w:hint="eastAsia" w:ascii="宋体" w:hAnsi="宋体" w:eastAsia="宋体" w:cs="宋体"/>
          <w:i w:val="0"/>
          <w:iCs w:val="0"/>
          <w:color w:val="auto"/>
          <w:spacing w:val="0"/>
          <w:position w:val="0"/>
          <w:sz w:val="24"/>
          <w:highlight w:val="none"/>
          <w:u w:val="single"/>
          <w:shd w:val="clear"/>
        </w:rPr>
        <w:t>、重大税收违法失信主体名单、</w:t>
      </w:r>
      <w:r>
        <w:rPr>
          <w:rFonts w:hint="eastAsia" w:ascii="宋体" w:hAnsi="宋体" w:eastAsia="宋体" w:cs="宋体"/>
          <w:i w:val="0"/>
          <w:iCs w:val="0"/>
          <w:color w:val="auto"/>
          <w:spacing w:val="0"/>
          <w:position w:val="0"/>
          <w:sz w:val="24"/>
          <w:highlight w:val="none"/>
          <w:u w:val="single"/>
        </w:rPr>
        <w:t>政府采购严重违法失信行为记录名单</w:t>
      </w:r>
      <w:r>
        <w:rPr>
          <w:rFonts w:hint="eastAsia" w:ascii="宋体" w:hAnsi="宋体" w:eastAsia="宋体" w:cs="宋体"/>
          <w:i w:val="0"/>
          <w:iCs w:val="0"/>
          <w:color w:val="auto"/>
          <w:spacing w:val="0"/>
          <w:position w:val="0"/>
          <w:sz w:val="24"/>
          <w:highlight w:val="none"/>
          <w:u w:val="single"/>
          <w:shd w:val="clear"/>
        </w:rPr>
        <w:t>，未被“中国政府采购网”网站列入</w:t>
      </w:r>
      <w:r>
        <w:rPr>
          <w:rFonts w:hint="eastAsia" w:ascii="宋体" w:hAnsi="宋体" w:eastAsia="宋体" w:cs="宋体"/>
          <w:i w:val="0"/>
          <w:iCs w:val="0"/>
          <w:color w:val="auto"/>
          <w:spacing w:val="0"/>
          <w:position w:val="0"/>
          <w:sz w:val="24"/>
          <w:highlight w:val="none"/>
          <w:u w:val="single"/>
        </w:rPr>
        <w:t>政府采购严重违法失信行为记录名单。</w:t>
      </w:r>
    </w:p>
    <w:p w14:paraId="627D4D1E">
      <w:pPr>
        <w:pStyle w:val="3"/>
        <w:pageBreakBefore w:val="0"/>
        <w:widowControl/>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三、获取招标文件</w:t>
      </w:r>
      <w:bookmarkEnd w:id="14"/>
      <w:bookmarkEnd w:id="15"/>
    </w:p>
    <w:p w14:paraId="7BDA34F4">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1.时间：</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09</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30</w:t>
      </w:r>
      <w:r>
        <w:rPr>
          <w:rFonts w:hint="eastAsia" w:ascii="宋体" w:hAnsi="宋体" w:eastAsia="宋体" w:cs="宋体"/>
          <w:i w:val="0"/>
          <w:iCs w:val="0"/>
          <w:color w:val="auto"/>
          <w:spacing w:val="0"/>
          <w:position w:val="0"/>
          <w:sz w:val="24"/>
          <w:highlight w:val="none"/>
          <w:lang w:bidi="ar"/>
        </w:rPr>
        <w:t>日至</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10</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12</w:t>
      </w:r>
      <w:r>
        <w:rPr>
          <w:rFonts w:hint="eastAsia" w:ascii="宋体" w:hAnsi="宋体" w:eastAsia="宋体" w:cs="宋体"/>
          <w:i w:val="0"/>
          <w:iCs w:val="0"/>
          <w:color w:val="auto"/>
          <w:spacing w:val="0"/>
          <w:position w:val="0"/>
          <w:sz w:val="24"/>
          <w:highlight w:val="none"/>
          <w:lang w:bidi="ar"/>
        </w:rPr>
        <w:t>日，</w:t>
      </w:r>
      <w:r>
        <w:rPr>
          <w:rFonts w:hint="eastAsia" w:ascii="宋体" w:hAnsi="宋体" w:eastAsia="宋体" w:cs="宋体"/>
          <w:i w:val="0"/>
          <w:iCs w:val="0"/>
          <w:color w:val="auto"/>
          <w:spacing w:val="0"/>
          <w:kern w:val="0"/>
          <w:position w:val="0"/>
          <w:sz w:val="24"/>
          <w:highlight w:val="none"/>
          <w:lang w:bidi="ar"/>
        </w:rPr>
        <w:t>每天上午</w:t>
      </w:r>
      <w:r>
        <w:rPr>
          <w:rFonts w:hint="eastAsia" w:ascii="宋体" w:hAnsi="宋体" w:eastAsia="宋体" w:cs="宋体"/>
          <w:i w:val="0"/>
          <w:iCs w:val="0"/>
          <w:color w:val="auto"/>
          <w:spacing w:val="0"/>
          <w:kern w:val="0"/>
          <w:position w:val="0"/>
          <w:sz w:val="24"/>
          <w:highlight w:val="none"/>
          <w:u w:val="single"/>
          <w:lang w:val="en-US" w:eastAsia="zh-CN" w:bidi="ar"/>
        </w:rPr>
        <w:t>09：00</w:t>
      </w:r>
      <w:r>
        <w:rPr>
          <w:rFonts w:hint="eastAsia" w:ascii="宋体" w:hAnsi="宋体" w:eastAsia="宋体" w:cs="宋体"/>
          <w:i w:val="0"/>
          <w:iCs w:val="0"/>
          <w:color w:val="auto"/>
          <w:spacing w:val="0"/>
          <w:kern w:val="0"/>
          <w:position w:val="0"/>
          <w:sz w:val="24"/>
          <w:highlight w:val="none"/>
          <w:lang w:bidi="ar"/>
        </w:rPr>
        <w:t>至</w:t>
      </w:r>
      <w:r>
        <w:rPr>
          <w:rFonts w:hint="eastAsia" w:ascii="宋体" w:hAnsi="宋体" w:eastAsia="宋体" w:cs="宋体"/>
          <w:i w:val="0"/>
          <w:iCs w:val="0"/>
          <w:color w:val="auto"/>
          <w:spacing w:val="0"/>
          <w:kern w:val="0"/>
          <w:position w:val="0"/>
          <w:sz w:val="24"/>
          <w:highlight w:val="none"/>
          <w:u w:val="single"/>
          <w:lang w:val="en-US" w:eastAsia="zh-CN" w:bidi="ar"/>
        </w:rPr>
        <w:t>12：00</w:t>
      </w:r>
      <w:r>
        <w:rPr>
          <w:rFonts w:hint="eastAsia" w:ascii="宋体" w:hAnsi="宋体" w:eastAsia="宋体" w:cs="宋体"/>
          <w:i w:val="0"/>
          <w:iCs w:val="0"/>
          <w:color w:val="auto"/>
          <w:spacing w:val="0"/>
          <w:kern w:val="0"/>
          <w:position w:val="0"/>
          <w:sz w:val="24"/>
          <w:highlight w:val="none"/>
          <w:lang w:bidi="ar"/>
        </w:rPr>
        <w:t>，下午</w:t>
      </w:r>
      <w:r>
        <w:rPr>
          <w:rFonts w:hint="eastAsia" w:ascii="宋体" w:hAnsi="宋体" w:eastAsia="宋体" w:cs="宋体"/>
          <w:i w:val="0"/>
          <w:iCs w:val="0"/>
          <w:color w:val="auto"/>
          <w:spacing w:val="0"/>
          <w:kern w:val="0"/>
          <w:position w:val="0"/>
          <w:sz w:val="24"/>
          <w:highlight w:val="none"/>
          <w:u w:val="single"/>
          <w:lang w:val="en-US" w:eastAsia="zh-CN" w:bidi="ar"/>
        </w:rPr>
        <w:t>12：00</w:t>
      </w:r>
      <w:r>
        <w:rPr>
          <w:rFonts w:hint="eastAsia" w:ascii="宋体" w:hAnsi="宋体" w:eastAsia="宋体" w:cs="宋体"/>
          <w:i w:val="0"/>
          <w:iCs w:val="0"/>
          <w:color w:val="auto"/>
          <w:spacing w:val="0"/>
          <w:kern w:val="0"/>
          <w:position w:val="0"/>
          <w:sz w:val="24"/>
          <w:highlight w:val="none"/>
          <w:lang w:bidi="ar"/>
        </w:rPr>
        <w:t>至</w:t>
      </w:r>
      <w:r>
        <w:rPr>
          <w:rFonts w:hint="eastAsia" w:ascii="宋体" w:hAnsi="宋体" w:cs="宋体"/>
          <w:i w:val="0"/>
          <w:iCs w:val="0"/>
          <w:color w:val="auto"/>
          <w:spacing w:val="0"/>
          <w:kern w:val="0"/>
          <w:position w:val="0"/>
          <w:sz w:val="24"/>
          <w:highlight w:val="none"/>
          <w:u w:val="single"/>
          <w:lang w:val="en-US" w:eastAsia="zh-CN" w:bidi="ar"/>
        </w:rPr>
        <w:t>17</w:t>
      </w:r>
      <w:r>
        <w:rPr>
          <w:rFonts w:hint="eastAsia" w:ascii="宋体" w:hAnsi="宋体" w:eastAsia="宋体" w:cs="宋体"/>
          <w:i w:val="0"/>
          <w:iCs w:val="0"/>
          <w:color w:val="auto"/>
          <w:spacing w:val="0"/>
          <w:kern w:val="0"/>
          <w:position w:val="0"/>
          <w:sz w:val="24"/>
          <w:highlight w:val="none"/>
          <w:u w:val="single"/>
          <w:lang w:val="en-US" w:eastAsia="zh-CN" w:bidi="ar"/>
        </w:rPr>
        <w:t>：</w:t>
      </w:r>
      <w:r>
        <w:rPr>
          <w:rFonts w:hint="eastAsia" w:ascii="宋体" w:hAnsi="宋体" w:cs="宋体"/>
          <w:i w:val="0"/>
          <w:iCs w:val="0"/>
          <w:color w:val="auto"/>
          <w:spacing w:val="0"/>
          <w:kern w:val="0"/>
          <w:position w:val="0"/>
          <w:sz w:val="24"/>
          <w:highlight w:val="none"/>
          <w:u w:val="single"/>
          <w:lang w:val="en-US" w:eastAsia="zh-CN" w:bidi="ar"/>
        </w:rPr>
        <w:t>00</w:t>
      </w:r>
      <w:r>
        <w:rPr>
          <w:rFonts w:hint="eastAsia" w:ascii="宋体" w:hAnsi="宋体" w:eastAsia="宋体" w:cs="宋体"/>
          <w:i w:val="0"/>
          <w:iCs w:val="0"/>
          <w:color w:val="auto"/>
          <w:spacing w:val="0"/>
          <w:kern w:val="0"/>
          <w:position w:val="0"/>
          <w:sz w:val="24"/>
          <w:highlight w:val="none"/>
          <w:lang w:bidi="ar"/>
        </w:rPr>
        <w:t>（</w:t>
      </w:r>
      <w:r>
        <w:rPr>
          <w:rFonts w:hint="eastAsia" w:ascii="宋体" w:hAnsi="宋体" w:eastAsia="宋体" w:cs="宋体"/>
          <w:i w:val="0"/>
          <w:iCs w:val="0"/>
          <w:color w:val="auto"/>
          <w:spacing w:val="0"/>
          <w:position w:val="0"/>
          <w:sz w:val="24"/>
          <w:highlight w:val="none"/>
          <w:lang w:bidi="ar"/>
        </w:rPr>
        <w:t>（北京时间，法定节假日除外）。</w:t>
      </w:r>
    </w:p>
    <w:p w14:paraId="337FE780">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2.地点：北京市政府采购电子交易平台</w:t>
      </w:r>
    </w:p>
    <w:p w14:paraId="5E013F6D">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3.方式：供应商使用CA数字证书或电子营业执照登录北京市政府采购电子交易平台（http</w:t>
      </w:r>
      <w:r>
        <w:rPr>
          <w:rFonts w:hint="eastAsia" w:ascii="宋体" w:hAnsi="宋体" w:eastAsia="宋体" w:cs="宋体"/>
          <w:i w:val="0"/>
          <w:iCs w:val="0"/>
          <w:color w:val="auto"/>
          <w:spacing w:val="0"/>
          <w:position w:val="0"/>
          <w:sz w:val="24"/>
          <w:highlight w:val="none"/>
          <w:lang w:eastAsia="zh-CN" w:bidi="ar"/>
        </w:rPr>
        <w:t>：</w:t>
      </w:r>
      <w:r>
        <w:rPr>
          <w:rFonts w:hint="eastAsia" w:ascii="宋体" w:hAnsi="宋体" w:eastAsia="宋体" w:cs="宋体"/>
          <w:i w:val="0"/>
          <w:iCs w:val="0"/>
          <w:color w:val="auto"/>
          <w:spacing w:val="0"/>
          <w:position w:val="0"/>
          <w:sz w:val="24"/>
          <w:highlight w:val="none"/>
          <w:lang w:bidi="ar"/>
        </w:rPr>
        <w:t>//zbcg-bjzc.zhongcy.com/bjczj-portal-site/index.html#/home）获取电子版招标文件。</w:t>
      </w:r>
    </w:p>
    <w:p w14:paraId="6D146243">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4.售价：0元。</w:t>
      </w:r>
    </w:p>
    <w:p w14:paraId="40B848C6">
      <w:pPr>
        <w:pStyle w:val="3"/>
        <w:pageBreakBefore w:val="0"/>
        <w:widowControl/>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16" w:name="_Toc28359005"/>
      <w:bookmarkStart w:id="17" w:name="_Toc28359082"/>
      <w:bookmarkStart w:id="18" w:name="_Toc35393624"/>
      <w:bookmarkStart w:id="19" w:name="_Toc35393793"/>
      <w:r>
        <w:rPr>
          <w:rFonts w:hint="eastAsia" w:ascii="宋体" w:hAnsi="宋体" w:eastAsia="宋体" w:cs="宋体"/>
          <w:i w:val="0"/>
          <w:iCs w:val="0"/>
          <w:color w:val="auto"/>
          <w:spacing w:val="0"/>
          <w:position w:val="0"/>
          <w:sz w:val="24"/>
          <w:szCs w:val="24"/>
          <w:highlight w:val="none"/>
        </w:rPr>
        <w:t>四、提交投标文件</w:t>
      </w:r>
      <w:bookmarkEnd w:id="16"/>
      <w:bookmarkEnd w:id="17"/>
      <w:r>
        <w:rPr>
          <w:rFonts w:hint="eastAsia" w:ascii="宋体" w:hAnsi="宋体" w:eastAsia="宋体" w:cs="宋体"/>
          <w:i w:val="0"/>
          <w:iCs w:val="0"/>
          <w:color w:val="auto"/>
          <w:spacing w:val="0"/>
          <w:position w:val="0"/>
          <w:sz w:val="24"/>
          <w:szCs w:val="24"/>
          <w:highlight w:val="none"/>
        </w:rPr>
        <w:t>截止时间、开标时间和地点</w:t>
      </w:r>
      <w:bookmarkEnd w:id="18"/>
      <w:bookmarkEnd w:id="19"/>
    </w:p>
    <w:p w14:paraId="72FA4597">
      <w:pPr>
        <w:pageBreakBefore w:val="0"/>
        <w:wordWrap/>
        <w:topLinePunct w:val="0"/>
        <w:bidi w:val="0"/>
        <w:spacing w:line="360" w:lineRule="auto"/>
        <w:ind w:firstLine="480" w:firstLineChars="200"/>
        <w:rPr>
          <w:rFonts w:hint="eastAsia" w:ascii="宋体" w:hAnsi="宋体" w:eastAsia="宋体" w:cs="宋体"/>
          <w:bCs/>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bidi="ar"/>
        </w:rPr>
        <w:t>投标截止时间、开标时间：</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10</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20</w:t>
      </w:r>
      <w:r>
        <w:rPr>
          <w:rFonts w:hint="eastAsia" w:ascii="宋体" w:hAnsi="宋体" w:eastAsia="宋体" w:cs="宋体"/>
          <w:i w:val="0"/>
          <w:iCs w:val="0"/>
          <w:color w:val="auto"/>
          <w:spacing w:val="0"/>
          <w:position w:val="0"/>
          <w:sz w:val="24"/>
          <w:highlight w:val="none"/>
          <w:lang w:bidi="ar"/>
        </w:rPr>
        <w:t>日</w:t>
      </w:r>
      <w:r>
        <w:rPr>
          <w:rFonts w:hint="eastAsia" w:ascii="宋体" w:hAnsi="宋体" w:eastAsia="宋体" w:cs="宋体"/>
          <w:i w:val="0"/>
          <w:iCs w:val="0"/>
          <w:color w:val="auto"/>
          <w:spacing w:val="0"/>
          <w:kern w:val="0"/>
          <w:position w:val="0"/>
          <w:sz w:val="24"/>
          <w:highlight w:val="none"/>
          <w:u w:val="single"/>
          <w:lang w:val="en-US" w:eastAsia="zh-CN" w:bidi="ar"/>
        </w:rPr>
        <w:t>09</w:t>
      </w:r>
      <w:r>
        <w:rPr>
          <w:rFonts w:hint="eastAsia" w:ascii="宋体" w:hAnsi="宋体" w:eastAsia="宋体" w:cs="宋体"/>
          <w:i w:val="0"/>
          <w:iCs w:val="0"/>
          <w:color w:val="auto"/>
          <w:spacing w:val="0"/>
          <w:kern w:val="0"/>
          <w:position w:val="0"/>
          <w:sz w:val="24"/>
          <w:highlight w:val="none"/>
          <w:lang w:bidi="ar"/>
        </w:rPr>
        <w:t>点</w:t>
      </w:r>
      <w:r>
        <w:rPr>
          <w:rFonts w:hint="eastAsia" w:ascii="宋体" w:hAnsi="宋体" w:cs="宋体"/>
          <w:i w:val="0"/>
          <w:iCs w:val="0"/>
          <w:color w:val="auto"/>
          <w:spacing w:val="0"/>
          <w:kern w:val="0"/>
          <w:position w:val="0"/>
          <w:sz w:val="24"/>
          <w:highlight w:val="none"/>
          <w:u w:val="single"/>
          <w:lang w:val="en-US" w:eastAsia="zh-CN" w:bidi="ar"/>
        </w:rPr>
        <w:t>0</w:t>
      </w:r>
      <w:r>
        <w:rPr>
          <w:rFonts w:hint="eastAsia" w:ascii="宋体" w:hAnsi="宋体" w:eastAsia="宋体" w:cs="宋体"/>
          <w:i w:val="0"/>
          <w:iCs w:val="0"/>
          <w:color w:val="auto"/>
          <w:spacing w:val="0"/>
          <w:kern w:val="0"/>
          <w:position w:val="0"/>
          <w:sz w:val="24"/>
          <w:highlight w:val="none"/>
          <w:u w:val="single"/>
          <w:lang w:val="en-US" w:eastAsia="zh-CN" w:bidi="ar"/>
        </w:rPr>
        <w:t>0</w:t>
      </w:r>
      <w:r>
        <w:rPr>
          <w:rFonts w:hint="eastAsia" w:ascii="宋体" w:hAnsi="宋体" w:eastAsia="宋体" w:cs="宋体"/>
          <w:i w:val="0"/>
          <w:iCs w:val="0"/>
          <w:color w:val="auto"/>
          <w:spacing w:val="0"/>
          <w:kern w:val="0"/>
          <w:position w:val="0"/>
          <w:sz w:val="24"/>
          <w:highlight w:val="none"/>
          <w:lang w:bidi="ar"/>
        </w:rPr>
        <w:t>分</w:t>
      </w:r>
      <w:r>
        <w:rPr>
          <w:rFonts w:hint="eastAsia" w:ascii="宋体" w:hAnsi="宋体" w:eastAsia="宋体" w:cs="宋体"/>
          <w:bCs/>
          <w:i w:val="0"/>
          <w:iCs w:val="0"/>
          <w:color w:val="auto"/>
          <w:spacing w:val="0"/>
          <w:position w:val="0"/>
          <w:sz w:val="24"/>
          <w:highlight w:val="none"/>
          <w:lang w:bidi="ar"/>
        </w:rPr>
        <w:t>（北京时间）</w:t>
      </w:r>
      <w:r>
        <w:rPr>
          <w:rFonts w:hint="eastAsia" w:ascii="宋体" w:hAnsi="宋体" w:eastAsia="宋体" w:cs="宋体"/>
          <w:i w:val="0"/>
          <w:iCs w:val="0"/>
          <w:color w:val="auto"/>
          <w:spacing w:val="0"/>
          <w:position w:val="0"/>
          <w:sz w:val="24"/>
          <w:highlight w:val="none"/>
          <w:lang w:bidi="ar"/>
        </w:rPr>
        <w:t>。</w:t>
      </w:r>
    </w:p>
    <w:p w14:paraId="7DE255A9">
      <w:pPr>
        <w:pageBreakBefore w:val="0"/>
        <w:wordWrap/>
        <w:topLinePunct w:val="0"/>
        <w:bidi w:val="0"/>
        <w:spacing w:line="360" w:lineRule="auto"/>
        <w:ind w:firstLine="480" w:firstLineChars="200"/>
        <w:rPr>
          <w:rFonts w:hint="eastAsia" w:ascii="宋体" w:hAnsi="宋体" w:eastAsia="宋体" w:cs="宋体"/>
          <w:bCs/>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bidi="ar"/>
        </w:rPr>
        <w:t>地点：北京市政府采购电子交易平台</w:t>
      </w:r>
      <w:r>
        <w:rPr>
          <w:rFonts w:hint="eastAsia" w:ascii="宋体" w:hAnsi="宋体" w:eastAsia="宋体" w:cs="宋体"/>
          <w:i w:val="0"/>
          <w:iCs w:val="0"/>
          <w:color w:val="auto"/>
          <w:spacing w:val="0"/>
          <w:position w:val="0"/>
          <w:sz w:val="24"/>
          <w:highlight w:val="none"/>
          <w:lang w:val="zh-TW" w:bidi="ar"/>
        </w:rPr>
        <w:t>。</w:t>
      </w:r>
    </w:p>
    <w:p w14:paraId="65E373E0">
      <w:pPr>
        <w:pStyle w:val="3"/>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0" w:name="_Toc28359007"/>
      <w:bookmarkStart w:id="21" w:name="_Toc28359084"/>
      <w:bookmarkStart w:id="22" w:name="_Toc35393794"/>
      <w:bookmarkStart w:id="23" w:name="_Toc35393625"/>
      <w:r>
        <w:rPr>
          <w:rFonts w:hint="eastAsia" w:ascii="宋体" w:hAnsi="宋体" w:eastAsia="宋体" w:cs="宋体"/>
          <w:i w:val="0"/>
          <w:iCs w:val="0"/>
          <w:color w:val="auto"/>
          <w:spacing w:val="0"/>
          <w:position w:val="0"/>
          <w:sz w:val="24"/>
          <w:szCs w:val="24"/>
          <w:highlight w:val="none"/>
        </w:rPr>
        <w:t>五、公告期限</w:t>
      </w:r>
      <w:bookmarkEnd w:id="20"/>
      <w:bookmarkEnd w:id="21"/>
      <w:bookmarkEnd w:id="22"/>
      <w:bookmarkEnd w:id="23"/>
    </w:p>
    <w:p w14:paraId="050E14D9">
      <w:pPr>
        <w:pageBreakBefore w:val="0"/>
        <w:wordWrap/>
        <w:topLinePunct w:val="0"/>
        <w:bidi w:val="0"/>
        <w:spacing w:line="360" w:lineRule="auto"/>
        <w:ind w:firstLine="480" w:firstLineChars="200"/>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自本公告发布之日起5个工作日。</w:t>
      </w:r>
    </w:p>
    <w:p w14:paraId="1BA8C220">
      <w:pPr>
        <w:pStyle w:val="3"/>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4" w:name="_Toc35393626"/>
      <w:bookmarkStart w:id="25" w:name="_Toc35393795"/>
      <w:r>
        <w:rPr>
          <w:rFonts w:hint="eastAsia" w:ascii="宋体" w:hAnsi="宋体" w:eastAsia="宋体" w:cs="宋体"/>
          <w:i w:val="0"/>
          <w:iCs w:val="0"/>
          <w:color w:val="auto"/>
          <w:spacing w:val="0"/>
          <w:position w:val="0"/>
          <w:sz w:val="24"/>
          <w:szCs w:val="24"/>
          <w:highlight w:val="none"/>
        </w:rPr>
        <w:t>六、其他补充事宜</w:t>
      </w:r>
      <w:bookmarkEnd w:id="24"/>
      <w:bookmarkEnd w:id="25"/>
    </w:p>
    <w:p w14:paraId="3B045D2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1.本项目需要落实的政府采购政策：</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1）</w:t>
      </w:r>
      <w:r>
        <w:rPr>
          <w:rFonts w:hint="eastAsia" w:ascii="宋体" w:hAnsi="宋体" w:eastAsia="宋体" w:cs="宋体"/>
          <w:i w:val="0"/>
          <w:iCs w:val="0"/>
          <w:color w:val="auto"/>
          <w:spacing w:val="0"/>
          <w:position w:val="0"/>
          <w:sz w:val="24"/>
          <w:highlight w:val="none"/>
          <w:u w:val="single"/>
          <w:lang w:bidi="ar"/>
        </w:rPr>
        <w:t>政府采购异常低价审查</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2）</w:t>
      </w:r>
      <w:r>
        <w:rPr>
          <w:rFonts w:hint="eastAsia" w:ascii="宋体" w:hAnsi="宋体" w:eastAsia="宋体" w:cs="宋体"/>
          <w:i w:val="0"/>
          <w:iCs w:val="0"/>
          <w:color w:val="auto"/>
          <w:spacing w:val="0"/>
          <w:position w:val="0"/>
          <w:sz w:val="24"/>
          <w:highlight w:val="none"/>
          <w:u w:val="single"/>
          <w:lang w:bidi="ar"/>
        </w:rPr>
        <w:t>政府采购促进中小企业发展；</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3）</w:t>
      </w:r>
      <w:r>
        <w:rPr>
          <w:rFonts w:hint="eastAsia" w:ascii="宋体" w:hAnsi="宋体" w:eastAsia="宋体" w:cs="宋体"/>
          <w:i w:val="0"/>
          <w:iCs w:val="0"/>
          <w:color w:val="auto"/>
          <w:spacing w:val="0"/>
          <w:position w:val="0"/>
          <w:sz w:val="24"/>
          <w:highlight w:val="none"/>
          <w:u w:val="single"/>
          <w:lang w:bidi="ar"/>
        </w:rPr>
        <w:t>政府采购促进残疾人就业；</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4）</w:t>
      </w:r>
      <w:r>
        <w:rPr>
          <w:rFonts w:hint="eastAsia" w:ascii="宋体" w:hAnsi="宋体" w:eastAsia="宋体" w:cs="宋体"/>
          <w:i w:val="0"/>
          <w:iCs w:val="0"/>
          <w:color w:val="auto"/>
          <w:spacing w:val="0"/>
          <w:position w:val="0"/>
          <w:sz w:val="24"/>
          <w:highlight w:val="none"/>
          <w:u w:val="single"/>
          <w:lang w:bidi="ar"/>
        </w:rPr>
        <w:t>政府采购项目支持监狱企业发展；</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5）</w:t>
      </w:r>
      <w:r>
        <w:rPr>
          <w:rFonts w:hint="eastAsia" w:ascii="宋体" w:hAnsi="宋体" w:eastAsia="宋体" w:cs="宋体"/>
          <w:i w:val="0"/>
          <w:iCs w:val="0"/>
          <w:color w:val="auto"/>
          <w:spacing w:val="0"/>
          <w:position w:val="0"/>
          <w:sz w:val="24"/>
          <w:highlight w:val="none"/>
          <w:u w:val="single"/>
          <w:lang w:bidi="ar"/>
        </w:rPr>
        <w:t>扶持不发达地区和少数民族地区；</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6）</w:t>
      </w:r>
      <w:r>
        <w:rPr>
          <w:rFonts w:hint="eastAsia" w:ascii="宋体" w:hAnsi="宋体" w:eastAsia="宋体" w:cs="宋体"/>
          <w:i w:val="0"/>
          <w:iCs w:val="0"/>
          <w:color w:val="auto"/>
          <w:spacing w:val="0"/>
          <w:position w:val="0"/>
          <w:sz w:val="24"/>
          <w:highlight w:val="none"/>
          <w:u w:val="single"/>
          <w:lang w:bidi="ar"/>
        </w:rPr>
        <w:t>本国产品</w:t>
      </w:r>
      <w:r>
        <w:rPr>
          <w:rFonts w:hint="eastAsia" w:ascii="宋体" w:hAnsi="宋体" w:eastAsia="宋体" w:cs="宋体"/>
          <w:i w:val="0"/>
          <w:iCs w:val="0"/>
          <w:color w:val="auto"/>
          <w:spacing w:val="0"/>
          <w:position w:val="0"/>
          <w:sz w:val="24"/>
          <w:highlight w:val="none"/>
          <w:u w:val="single"/>
          <w:lang w:val="en-US" w:eastAsia="zh-CN" w:bidi="ar"/>
        </w:rPr>
        <w:t>标准及要求</w:t>
      </w:r>
      <w:r>
        <w:rPr>
          <w:rFonts w:hint="eastAsia" w:ascii="宋体" w:hAnsi="宋体" w:eastAsia="宋体" w:cs="宋体"/>
          <w:i w:val="0"/>
          <w:iCs w:val="0"/>
          <w:color w:val="auto"/>
          <w:spacing w:val="0"/>
          <w:position w:val="0"/>
          <w:sz w:val="24"/>
          <w:highlight w:val="none"/>
          <w:u w:val="single"/>
          <w:lang w:bidi="ar"/>
        </w:rPr>
        <w:t>；</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7）</w:t>
      </w:r>
      <w:r>
        <w:rPr>
          <w:rFonts w:hint="eastAsia" w:ascii="宋体" w:hAnsi="宋体" w:eastAsia="宋体" w:cs="宋体"/>
          <w:i w:val="0"/>
          <w:iCs w:val="0"/>
          <w:color w:val="auto"/>
          <w:spacing w:val="0"/>
          <w:position w:val="0"/>
          <w:sz w:val="24"/>
          <w:highlight w:val="none"/>
          <w:u w:val="single"/>
          <w:lang w:bidi="ar"/>
        </w:rPr>
        <w:t>节能产品强制采购；</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8）</w:t>
      </w:r>
      <w:r>
        <w:rPr>
          <w:rFonts w:hint="eastAsia" w:ascii="宋体" w:hAnsi="宋体" w:eastAsia="宋体" w:cs="宋体"/>
          <w:i w:val="0"/>
          <w:iCs w:val="0"/>
          <w:color w:val="auto"/>
          <w:spacing w:val="0"/>
          <w:position w:val="0"/>
          <w:sz w:val="24"/>
          <w:highlight w:val="none"/>
          <w:u w:val="single"/>
          <w:lang w:bidi="ar"/>
        </w:rPr>
        <w:t>节能产品、环境标志产品优先采购；</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9）</w:t>
      </w:r>
      <w:r>
        <w:rPr>
          <w:rFonts w:hint="eastAsia" w:ascii="宋体" w:hAnsi="宋体" w:eastAsia="宋体" w:cs="宋体"/>
          <w:i w:val="0"/>
          <w:iCs w:val="0"/>
          <w:color w:val="auto"/>
          <w:spacing w:val="0"/>
          <w:position w:val="0"/>
          <w:sz w:val="24"/>
          <w:highlight w:val="none"/>
          <w:u w:val="single"/>
          <w:lang w:bidi="ar"/>
        </w:rPr>
        <w:t>政府采购信用担保。</w:t>
      </w:r>
    </w:p>
    <w:p w14:paraId="4FCAC379">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bCs/>
          <w:i w:val="0"/>
          <w:iCs w:val="0"/>
          <w:color w:val="auto"/>
          <w:spacing w:val="0"/>
          <w:position w:val="0"/>
          <w:sz w:val="24"/>
          <w:highlight w:val="none"/>
          <w:lang w:bidi="ar"/>
        </w:rPr>
      </w:pPr>
      <w:r>
        <w:rPr>
          <w:rFonts w:hint="eastAsia" w:ascii="宋体" w:hAnsi="宋体" w:cs="宋体"/>
          <w:b w:val="0"/>
          <w:bCs w:val="0"/>
          <w:i w:val="0"/>
          <w:iCs w:val="0"/>
          <w:color w:val="auto"/>
          <w:spacing w:val="0"/>
          <w:position w:val="0"/>
          <w:sz w:val="24"/>
          <w:highlight w:val="none"/>
          <w:lang w:val="en-US" w:eastAsia="zh-CN" w:bidi="ar"/>
        </w:rPr>
        <w:t>2</w:t>
      </w:r>
      <w:r>
        <w:rPr>
          <w:rFonts w:hint="eastAsia" w:ascii="宋体" w:hAnsi="宋体" w:eastAsia="宋体" w:cs="宋体"/>
          <w:b w:val="0"/>
          <w:bCs w:val="0"/>
          <w:i w:val="0"/>
          <w:iCs w:val="0"/>
          <w:color w:val="auto"/>
          <w:spacing w:val="0"/>
          <w:position w:val="0"/>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w:t>
      </w:r>
      <w:r>
        <w:rPr>
          <w:rFonts w:hint="eastAsia" w:ascii="宋体" w:hAnsi="宋体" w:eastAsia="宋体" w:cs="宋体"/>
          <w:i w:val="0"/>
          <w:iCs w:val="0"/>
          <w:color w:val="auto"/>
          <w:spacing w:val="0"/>
          <w:position w:val="0"/>
          <w:sz w:val="24"/>
          <w:highlight w:val="none"/>
          <w:lang w:bidi="ar"/>
        </w:rPr>
        <w:t>易平台注册绑定，并认真核实</w:t>
      </w:r>
      <w:r>
        <w:rPr>
          <w:rFonts w:hint="eastAsia" w:ascii="宋体" w:hAnsi="宋体" w:eastAsia="宋体" w:cs="宋体"/>
          <w:bCs/>
          <w:i w:val="0"/>
          <w:iCs w:val="0"/>
          <w:color w:val="auto"/>
          <w:spacing w:val="0"/>
          <w:position w:val="0"/>
          <w:sz w:val="24"/>
          <w:highlight w:val="none"/>
          <w:lang w:bidi="ar"/>
        </w:rPr>
        <w:t>CA数字证书</w:t>
      </w:r>
      <w:r>
        <w:rPr>
          <w:rFonts w:hint="eastAsia" w:ascii="宋体" w:hAnsi="宋体" w:eastAsia="宋体" w:cs="宋体"/>
          <w:i w:val="0"/>
          <w:iCs w:val="0"/>
          <w:color w:val="auto"/>
          <w:spacing w:val="0"/>
          <w:position w:val="0"/>
          <w:sz w:val="24"/>
          <w:highlight w:val="none"/>
          <w:lang w:bidi="ar"/>
        </w:rPr>
        <w:t>或电子营业执照</w:t>
      </w:r>
      <w:r>
        <w:rPr>
          <w:rFonts w:hint="eastAsia" w:ascii="宋体" w:hAnsi="宋体" w:eastAsia="宋体" w:cs="宋体"/>
          <w:bCs/>
          <w:i w:val="0"/>
          <w:iCs w:val="0"/>
          <w:color w:val="auto"/>
          <w:spacing w:val="0"/>
          <w:position w:val="0"/>
          <w:sz w:val="24"/>
          <w:highlight w:val="none"/>
          <w:lang w:bidi="ar"/>
        </w:rPr>
        <w:t>情况确认是否符合本项目电子化采购流程要求。</w:t>
      </w:r>
    </w:p>
    <w:p w14:paraId="0EFF827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CA数字证书服务热线 010-58511086</w:t>
      </w:r>
    </w:p>
    <w:p w14:paraId="321A260E">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电子营业执照服务热线 400-699-7000</w:t>
      </w:r>
    </w:p>
    <w:p w14:paraId="0B29A92A">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技术支持服务热线    010-86483801</w:t>
      </w:r>
    </w:p>
    <w:p w14:paraId="3E8E4E2C">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.1办理CA数字证书或电子营业执照</w:t>
      </w:r>
    </w:p>
    <w:p w14:paraId="6E56F483">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供应商登录北京市政府采购电子交易平台查阅 “用户指南”—“操作指南”—“市场主体CA办理操作流程指引”/“电子营业执照使用指南”，按照程序要求办理。</w:t>
      </w:r>
    </w:p>
    <w:p w14:paraId="595D49C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.2注册</w:t>
      </w:r>
    </w:p>
    <w:p w14:paraId="1F7FE91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供应商登录北京市政府采购电子交易平台“用户指南”—“操作指南”—“市场主体注册入库操作流程指引”进行自助注册绑定。</w:t>
      </w:r>
    </w:p>
    <w:p w14:paraId="1B14B7E1">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.3驱动、客户端下载</w:t>
      </w:r>
    </w:p>
    <w:p w14:paraId="2B709FE8">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供应商登录北京市政府采购电子交易平台“用户指南”—“工具下载”—“招标采购系统文件驱动安装包”下载相关驱动。</w:t>
      </w:r>
    </w:p>
    <w:p w14:paraId="1AC331BE">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供应商登录北京市政府采购电子交易平台“用户指南”—“工具下载”—“投标文件编制工具”下载相关客户端。</w:t>
      </w:r>
    </w:p>
    <w:p w14:paraId="2B12E185">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.4 获取电子招标文件</w:t>
      </w:r>
    </w:p>
    <w:p w14:paraId="6803B586">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供应商使用CA数字证书或电子营业执照登录北京市政府采购电子交易平台获取电子招标文件。</w:t>
      </w:r>
    </w:p>
    <w:p w14:paraId="6CF1280B">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7746C74">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.5编制电子投标文件</w:t>
      </w:r>
    </w:p>
    <w:p w14:paraId="14A5BE35">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i w:val="0"/>
          <w:iCs w:val="0"/>
          <w:color w:val="auto"/>
          <w:spacing w:val="0"/>
          <w:position w:val="0"/>
          <w:sz w:val="24"/>
          <w:highlight w:val="none"/>
          <w:lang w:bidi="ar"/>
        </w:rPr>
        <w:t>，如无法按照要求在电子投标文件中加盖电子签章和加密，请及时通过技术支持服务热线联系技术人员</w:t>
      </w:r>
      <w:r>
        <w:rPr>
          <w:rFonts w:hint="eastAsia" w:ascii="宋体" w:hAnsi="宋体" w:eastAsia="宋体" w:cs="宋体"/>
          <w:i w:val="0"/>
          <w:iCs w:val="0"/>
          <w:color w:val="auto"/>
          <w:spacing w:val="0"/>
          <w:position w:val="0"/>
          <w:sz w:val="24"/>
          <w:highlight w:val="none"/>
          <w:lang w:bidi="ar"/>
        </w:rPr>
        <w:t>。</w:t>
      </w:r>
    </w:p>
    <w:p w14:paraId="43AC9D00">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val="zh-TW"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val="zh-TW" w:eastAsia="zh-TW" w:bidi="ar"/>
        </w:rPr>
        <w:t>.6</w:t>
      </w:r>
      <w:r>
        <w:rPr>
          <w:rFonts w:hint="eastAsia" w:ascii="宋体" w:hAnsi="宋体" w:eastAsia="宋体" w:cs="宋体"/>
          <w:i w:val="0"/>
          <w:iCs w:val="0"/>
          <w:color w:val="auto"/>
          <w:spacing w:val="0"/>
          <w:position w:val="0"/>
          <w:sz w:val="24"/>
          <w:highlight w:val="none"/>
          <w:lang w:val="zh-TW" w:bidi="ar"/>
        </w:rPr>
        <w:t>提交电子投标文件</w:t>
      </w:r>
    </w:p>
    <w:p w14:paraId="622645D4">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供应商应于投标截止时间前在北京市政府采购电子交易平台提交电子投标文件，上传电子投标文件过程中请保持与互联网的连接畅通。</w:t>
      </w:r>
    </w:p>
    <w:p w14:paraId="6D5F3E92">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eastAsia="zh-TW"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val="zh-TW" w:bidi="ar"/>
        </w:rPr>
        <w:t>.</w:t>
      </w:r>
      <w:r>
        <w:rPr>
          <w:rFonts w:hint="eastAsia" w:ascii="宋体" w:hAnsi="宋体" w:eastAsia="宋体" w:cs="宋体"/>
          <w:i w:val="0"/>
          <w:iCs w:val="0"/>
          <w:color w:val="auto"/>
          <w:spacing w:val="0"/>
          <w:position w:val="0"/>
          <w:sz w:val="24"/>
          <w:highlight w:val="none"/>
          <w:lang w:val="zh-TW" w:eastAsia="zh-TW" w:bidi="ar"/>
        </w:rPr>
        <w:t>7</w:t>
      </w:r>
      <w:r>
        <w:rPr>
          <w:rFonts w:hint="eastAsia" w:ascii="宋体" w:hAnsi="宋体" w:eastAsia="宋体" w:cs="宋体"/>
          <w:i w:val="0"/>
          <w:iCs w:val="0"/>
          <w:color w:val="auto"/>
          <w:spacing w:val="0"/>
          <w:position w:val="0"/>
          <w:sz w:val="24"/>
          <w:highlight w:val="none"/>
          <w:lang w:val="zh-TW" w:bidi="ar"/>
        </w:rPr>
        <w:t>电子开标</w:t>
      </w:r>
    </w:p>
    <w:p w14:paraId="736D932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val="zh-TW" w:bidi="ar"/>
        </w:rPr>
      </w:pPr>
      <w:r>
        <w:rPr>
          <w:rFonts w:hint="eastAsia" w:ascii="宋体" w:hAnsi="宋体" w:eastAsia="宋体" w:cs="宋体"/>
          <w:i w:val="0"/>
          <w:iCs w:val="0"/>
          <w:color w:val="auto"/>
          <w:spacing w:val="0"/>
          <w:position w:val="0"/>
          <w:sz w:val="24"/>
          <w:highlight w:val="none"/>
          <w:lang w:val="zh-TW" w:bidi="ar"/>
        </w:rPr>
        <w:t>供应商在开标地点使用</w:t>
      </w:r>
      <w:r>
        <w:rPr>
          <w:rFonts w:hint="eastAsia" w:ascii="宋体" w:hAnsi="宋体" w:eastAsia="宋体" w:cs="宋体"/>
          <w:i w:val="0"/>
          <w:iCs w:val="0"/>
          <w:color w:val="auto"/>
          <w:spacing w:val="0"/>
          <w:position w:val="0"/>
          <w:sz w:val="24"/>
          <w:highlight w:val="none"/>
          <w:lang w:bidi="ar"/>
        </w:rPr>
        <w:t>CA数字证书或电子营业执照</w:t>
      </w:r>
      <w:r>
        <w:rPr>
          <w:rFonts w:hint="eastAsia" w:ascii="宋体" w:hAnsi="宋体" w:eastAsia="宋体" w:cs="宋体"/>
          <w:i w:val="0"/>
          <w:iCs w:val="0"/>
          <w:color w:val="auto"/>
          <w:spacing w:val="0"/>
          <w:position w:val="0"/>
          <w:sz w:val="24"/>
          <w:highlight w:val="none"/>
          <w:lang w:val="zh-TW" w:bidi="ar"/>
        </w:rPr>
        <w:t>登录</w:t>
      </w:r>
      <w:r>
        <w:rPr>
          <w:rFonts w:hint="eastAsia" w:ascii="宋体" w:hAnsi="宋体" w:eastAsia="宋体" w:cs="宋体"/>
          <w:i w:val="0"/>
          <w:iCs w:val="0"/>
          <w:color w:val="auto"/>
          <w:spacing w:val="0"/>
          <w:position w:val="0"/>
          <w:sz w:val="24"/>
          <w:highlight w:val="none"/>
          <w:lang w:bidi="ar"/>
        </w:rPr>
        <w:t>北京市政府采购电子交易平台进行电子开标</w:t>
      </w:r>
      <w:r>
        <w:rPr>
          <w:rFonts w:hint="eastAsia" w:ascii="宋体" w:hAnsi="宋体" w:eastAsia="宋体" w:cs="宋体"/>
          <w:i w:val="0"/>
          <w:iCs w:val="0"/>
          <w:color w:val="auto"/>
          <w:spacing w:val="0"/>
          <w:position w:val="0"/>
          <w:sz w:val="24"/>
          <w:highlight w:val="none"/>
          <w:lang w:val="zh-TW" w:bidi="ar"/>
        </w:rPr>
        <w:t>。</w:t>
      </w:r>
    </w:p>
    <w:p w14:paraId="72C1B2A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u w:val="single"/>
          <w:lang w:val="en-US" w:eastAsia="zh-CN"/>
        </w:rPr>
      </w:pPr>
    </w:p>
    <w:p w14:paraId="65B6CECD">
      <w:pPr>
        <w:pStyle w:val="3"/>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6" w:name="_Toc28359008"/>
      <w:bookmarkStart w:id="27" w:name="_Toc35393796"/>
      <w:bookmarkStart w:id="28" w:name="_Toc35393627"/>
      <w:bookmarkStart w:id="29" w:name="_Toc28359085"/>
      <w:r>
        <w:rPr>
          <w:rFonts w:hint="eastAsia" w:ascii="宋体" w:hAnsi="宋体" w:eastAsia="宋体" w:cs="宋体"/>
          <w:i w:val="0"/>
          <w:iCs w:val="0"/>
          <w:color w:val="auto"/>
          <w:spacing w:val="0"/>
          <w:position w:val="0"/>
          <w:sz w:val="24"/>
          <w:szCs w:val="24"/>
          <w:highlight w:val="none"/>
        </w:rPr>
        <w:t>七、对本次招标提出询问，请按以下方式联系。</w:t>
      </w:r>
      <w:bookmarkEnd w:id="26"/>
      <w:bookmarkEnd w:id="27"/>
      <w:bookmarkEnd w:id="28"/>
      <w:bookmarkEnd w:id="29"/>
    </w:p>
    <w:p w14:paraId="7A51B41D">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1.采购人信息</w:t>
      </w:r>
    </w:p>
    <w:p w14:paraId="48AFEC8A">
      <w:pPr>
        <w:pageBreakBefore w:val="0"/>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bookmarkStart w:id="30" w:name="_Toc28359086"/>
      <w:bookmarkStart w:id="31" w:name="_Toc28359009"/>
      <w:r>
        <w:rPr>
          <w:rFonts w:hint="eastAsia" w:ascii="宋体" w:hAnsi="宋体" w:eastAsia="宋体" w:cs="宋体"/>
          <w:i w:val="0"/>
          <w:iCs w:val="0"/>
          <w:color w:val="auto"/>
          <w:spacing w:val="0"/>
          <w:position w:val="0"/>
          <w:sz w:val="24"/>
          <w:highlight w:val="none"/>
        </w:rPr>
        <w:t>名    称：</w:t>
      </w:r>
      <w:r>
        <w:rPr>
          <w:rFonts w:hint="eastAsia" w:ascii="宋体" w:hAnsi="宋体" w:cs="宋体"/>
          <w:i w:val="0"/>
          <w:iCs w:val="0"/>
          <w:color w:val="auto"/>
          <w:spacing w:val="0"/>
          <w:position w:val="0"/>
          <w:sz w:val="24"/>
          <w:highlight w:val="none"/>
          <w:u w:val="single"/>
          <w:lang w:eastAsia="zh-CN"/>
        </w:rPr>
        <w:t>北京市通州区生态环境局</w:t>
      </w:r>
    </w:p>
    <w:p w14:paraId="089E06DA">
      <w:pPr>
        <w:pageBreakBefore w:val="0"/>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地    址：</w:t>
      </w:r>
      <w:r>
        <w:rPr>
          <w:rFonts w:hint="eastAsia" w:ascii="宋体" w:hAnsi="宋体" w:eastAsia="宋体" w:cs="宋体"/>
          <w:i w:val="0"/>
          <w:iCs w:val="0"/>
          <w:color w:val="auto"/>
          <w:spacing w:val="0"/>
          <w:position w:val="0"/>
          <w:sz w:val="24"/>
          <w:highlight w:val="none"/>
          <w:u w:val="single"/>
        </w:rPr>
        <w:t>北京市通州区运河西大街248号</w:t>
      </w:r>
    </w:p>
    <w:p w14:paraId="5095FE9D">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outlineLvl w:val="9"/>
        <w:rPr>
          <w:rFonts w:hint="default" w:ascii="宋体" w:hAnsi="宋体" w:eastAsia="宋体" w:cs="宋体"/>
          <w:i w:val="0"/>
          <w:iCs w:val="0"/>
          <w:color w:val="auto"/>
          <w:spacing w:val="0"/>
          <w:position w:val="0"/>
          <w:sz w:val="24"/>
          <w:highlight w:val="none"/>
          <w:u w:val="single"/>
          <w:lang w:val="en-US" w:eastAsia="zh-CN"/>
        </w:rPr>
      </w:pPr>
      <w:r>
        <w:rPr>
          <w:rFonts w:hint="eastAsia" w:ascii="宋体" w:hAnsi="宋体" w:eastAsia="宋体" w:cs="宋体"/>
          <w:i w:val="0"/>
          <w:iCs w:val="0"/>
          <w:color w:val="auto"/>
          <w:spacing w:val="0"/>
          <w:position w:val="0"/>
          <w:sz w:val="24"/>
          <w:highlight w:val="none"/>
        </w:rPr>
        <w:t>联系方式：</w:t>
      </w:r>
      <w:r>
        <w:rPr>
          <w:rFonts w:hint="eastAsia" w:ascii="宋体" w:hAnsi="宋体" w:eastAsia="宋体" w:cs="宋体"/>
          <w:i w:val="0"/>
          <w:iCs w:val="0"/>
          <w:color w:val="auto"/>
          <w:spacing w:val="0"/>
          <w:position w:val="0"/>
          <w:sz w:val="24"/>
          <w:highlight w:val="none"/>
          <w:u w:val="single"/>
          <w:lang w:eastAsia="zh-CN"/>
        </w:rPr>
        <w:t>乔</w:t>
      </w:r>
      <w:r>
        <w:rPr>
          <w:rFonts w:hint="eastAsia" w:ascii="宋体" w:hAnsi="宋体" w:cs="宋体"/>
          <w:i w:val="0"/>
          <w:iCs w:val="0"/>
          <w:color w:val="auto"/>
          <w:spacing w:val="0"/>
          <w:position w:val="0"/>
          <w:sz w:val="24"/>
          <w:highlight w:val="none"/>
          <w:u w:val="single"/>
          <w:lang w:eastAsia="zh-CN"/>
        </w:rPr>
        <w:t>老师</w:t>
      </w:r>
      <w:r>
        <w:rPr>
          <w:rFonts w:hint="eastAsia" w:ascii="宋体" w:hAnsi="宋体" w:cs="宋体"/>
          <w:i w:val="0"/>
          <w:iCs w:val="0"/>
          <w:color w:val="auto"/>
          <w:spacing w:val="0"/>
          <w:position w:val="0"/>
          <w:sz w:val="24"/>
          <w:highlight w:val="none"/>
          <w:u w:val="single"/>
          <w:lang w:val="en-US" w:eastAsia="zh-CN"/>
        </w:rPr>
        <w:t xml:space="preserve"> </w:t>
      </w:r>
      <w:r>
        <w:rPr>
          <w:rFonts w:hint="eastAsia" w:ascii="宋体" w:hAnsi="宋体" w:eastAsia="宋体" w:cs="宋体"/>
          <w:color w:val="auto"/>
          <w:kern w:val="0"/>
          <w:sz w:val="24"/>
          <w:highlight w:val="none"/>
          <w:u w:val="single"/>
          <w:lang w:val="en-US" w:eastAsia="zh-CN"/>
        </w:rPr>
        <w:t>010-</w:t>
      </w:r>
      <w:r>
        <w:rPr>
          <w:rFonts w:hint="eastAsia" w:ascii="宋体" w:hAnsi="宋体" w:eastAsia="宋体" w:cs="宋体"/>
          <w:color w:val="auto"/>
          <w:kern w:val="0"/>
          <w:sz w:val="24"/>
          <w:highlight w:val="none"/>
          <w:u w:val="single"/>
        </w:rPr>
        <w:t>81514951</w:t>
      </w:r>
    </w:p>
    <w:p w14:paraId="215B1A53">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2.采购代理机构信息</w:t>
      </w:r>
      <w:bookmarkEnd w:id="30"/>
      <w:bookmarkEnd w:id="31"/>
    </w:p>
    <w:p w14:paraId="7411B5EF">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bookmarkStart w:id="32" w:name="_Toc28359087"/>
      <w:bookmarkStart w:id="33" w:name="_Toc28359010"/>
      <w:r>
        <w:rPr>
          <w:rFonts w:hint="eastAsia" w:ascii="宋体" w:hAnsi="宋体" w:eastAsia="宋体" w:cs="宋体"/>
          <w:i w:val="0"/>
          <w:iCs w:val="0"/>
          <w:color w:val="auto"/>
          <w:spacing w:val="0"/>
          <w:position w:val="0"/>
          <w:sz w:val="24"/>
          <w:highlight w:val="none"/>
        </w:rPr>
        <w:t>名    称：</w:t>
      </w:r>
      <w:r>
        <w:rPr>
          <w:rFonts w:hint="eastAsia" w:ascii="宋体" w:hAnsi="宋体" w:eastAsia="宋体" w:cs="宋体"/>
          <w:i w:val="0"/>
          <w:iCs w:val="0"/>
          <w:color w:val="auto"/>
          <w:spacing w:val="0"/>
          <w:position w:val="0"/>
          <w:sz w:val="24"/>
          <w:highlight w:val="none"/>
          <w:u w:val="single"/>
          <w:lang w:eastAsia="zh-CN"/>
        </w:rPr>
        <w:t>中归咨询管理（北京）有限公司</w:t>
      </w:r>
    </w:p>
    <w:p w14:paraId="50FA05DF">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地    址：</w:t>
      </w:r>
      <w:r>
        <w:rPr>
          <w:rFonts w:hint="eastAsia" w:ascii="宋体" w:hAnsi="宋体" w:eastAsia="宋体" w:cs="宋体"/>
          <w:i w:val="0"/>
          <w:iCs w:val="0"/>
          <w:color w:val="auto"/>
          <w:spacing w:val="0"/>
          <w:position w:val="0"/>
          <w:sz w:val="24"/>
          <w:highlight w:val="none"/>
          <w:u w:val="single"/>
          <w:lang w:eastAsia="zh-CN"/>
        </w:rPr>
        <w:t>北京市怀柔区迎宾南路11号五幢二层2213室</w:t>
      </w:r>
    </w:p>
    <w:p w14:paraId="6B1357F5">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联系方式：</w:t>
      </w:r>
      <w:r>
        <w:rPr>
          <w:rFonts w:hint="eastAsia" w:ascii="宋体" w:hAnsi="宋体" w:eastAsia="宋体" w:cs="宋体"/>
          <w:i w:val="0"/>
          <w:iCs w:val="0"/>
          <w:color w:val="auto"/>
          <w:spacing w:val="0"/>
          <w:position w:val="0"/>
          <w:sz w:val="24"/>
          <w:highlight w:val="none"/>
          <w:u w:val="single"/>
          <w:lang w:eastAsia="zh-CN"/>
        </w:rPr>
        <w:t>师博科； 010-53606938</w:t>
      </w:r>
    </w:p>
    <w:p w14:paraId="78495410">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3.项目联系方式</w:t>
      </w:r>
      <w:bookmarkEnd w:id="32"/>
      <w:bookmarkEnd w:id="33"/>
    </w:p>
    <w:p w14:paraId="0B584222">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项目联系人：</w:t>
      </w:r>
      <w:r>
        <w:rPr>
          <w:rFonts w:hint="eastAsia" w:ascii="宋体" w:hAnsi="宋体" w:eastAsia="宋体" w:cs="宋体"/>
          <w:i w:val="0"/>
          <w:iCs w:val="0"/>
          <w:color w:val="auto"/>
          <w:spacing w:val="0"/>
          <w:position w:val="0"/>
          <w:sz w:val="24"/>
          <w:highlight w:val="none"/>
          <w:u w:val="single"/>
          <w:lang w:eastAsia="zh-CN"/>
        </w:rPr>
        <w:t>师博科</w:t>
      </w:r>
      <w:r>
        <w:rPr>
          <w:rFonts w:hint="eastAsia" w:ascii="宋体" w:hAnsi="宋体" w:eastAsia="宋体" w:cs="宋体"/>
          <w:i w:val="0"/>
          <w:iCs w:val="0"/>
          <w:color w:val="auto"/>
          <w:spacing w:val="0"/>
          <w:position w:val="0"/>
          <w:sz w:val="24"/>
          <w:highlight w:val="none"/>
        </w:rPr>
        <w:t xml:space="preserve"> </w:t>
      </w:r>
    </w:p>
    <w:p w14:paraId="0839D3FD">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电      话：</w:t>
      </w:r>
      <w:r>
        <w:rPr>
          <w:rFonts w:hint="eastAsia" w:ascii="宋体" w:hAnsi="宋体" w:eastAsia="宋体" w:cs="宋体"/>
          <w:i w:val="0"/>
          <w:iCs w:val="0"/>
          <w:color w:val="auto"/>
          <w:spacing w:val="0"/>
          <w:position w:val="0"/>
          <w:sz w:val="24"/>
          <w:highlight w:val="none"/>
          <w:u w:val="single"/>
          <w:lang w:eastAsia="zh-CN"/>
        </w:rPr>
        <w:t>010-53606938；</w:t>
      </w:r>
      <w:r>
        <w:rPr>
          <w:rFonts w:hint="eastAsia" w:ascii="宋体" w:hAnsi="宋体" w:eastAsia="宋体" w:cs="宋体"/>
          <w:i w:val="0"/>
          <w:iCs w:val="0"/>
          <w:color w:val="auto"/>
          <w:spacing w:val="0"/>
          <w:position w:val="0"/>
          <w:sz w:val="24"/>
          <w:highlight w:val="none"/>
          <w:u w:val="single"/>
        </w:rPr>
        <w:t>15718869895</w:t>
      </w:r>
    </w:p>
    <w:p w14:paraId="4EEAF5D7">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i w:val="0"/>
          <w:iCs w:val="0"/>
          <w:color w:val="auto"/>
          <w:spacing w:val="0"/>
          <w:position w:val="0"/>
          <w:sz w:val="24"/>
          <w:highlight w:val="none"/>
        </w:rPr>
        <w:br w:type="page"/>
      </w:r>
      <w:bookmarkStart w:id="34" w:name="_Toc26061"/>
      <w:bookmarkStart w:id="35" w:name="_Toc150774783"/>
      <w:bookmarkStart w:id="36" w:name="_Toc127151777"/>
      <w:bookmarkStart w:id="37" w:name="_Toc127161488"/>
      <w:bookmarkStart w:id="38" w:name="_Toc353873938"/>
      <w:bookmarkStart w:id="39" w:name="_Toc353825548"/>
      <w:bookmarkStart w:id="40" w:name="_Toc512937850"/>
      <w:bookmarkStart w:id="41" w:name="_Toc195842950"/>
      <w:bookmarkStart w:id="42" w:name="_Toc264969275"/>
      <w:bookmarkStart w:id="43" w:name="_Toc305158928"/>
      <w:bookmarkStart w:id="44" w:name="_Toc305158854"/>
      <w:bookmarkStart w:id="45" w:name="_Toc226965856"/>
      <w:bookmarkStart w:id="46" w:name="_Toc265228423"/>
      <w:r>
        <w:rPr>
          <w:rFonts w:hint="eastAsia" w:ascii="宋体" w:hAnsi="宋体" w:eastAsia="宋体" w:cs="宋体"/>
          <w:b/>
          <w:i w:val="0"/>
          <w:iCs w:val="0"/>
          <w:color w:val="auto"/>
          <w:spacing w:val="0"/>
          <w:position w:val="0"/>
          <w:sz w:val="36"/>
          <w:szCs w:val="36"/>
          <w:highlight w:val="none"/>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368E11D3">
      <w:pPr>
        <w:pStyle w:val="3"/>
        <w:pageBreakBefore w:val="0"/>
        <w:tabs>
          <w:tab w:val="center" w:pos="4592"/>
          <w:tab w:val="left" w:pos="7860"/>
        </w:tabs>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47" w:name="_Toc226965792"/>
      <w:bookmarkStart w:id="48" w:name="_Toc142311021"/>
      <w:bookmarkStart w:id="49" w:name="_Toc164351613"/>
      <w:bookmarkStart w:id="50" w:name="_Toc520356144"/>
      <w:bookmarkStart w:id="51" w:name="_Toc150509270"/>
      <w:bookmarkStart w:id="52" w:name="_Toc151193617"/>
      <w:bookmarkStart w:id="53" w:name="_Toc127151720"/>
      <w:bookmarkStart w:id="54" w:name="_Toc151193833"/>
      <w:bookmarkStart w:id="55" w:name="_Toc149720812"/>
      <w:bookmarkStart w:id="56" w:name="_Toc164608788"/>
      <w:bookmarkStart w:id="57" w:name="_Toc151193761"/>
      <w:bookmarkStart w:id="58" w:name="_Toc151190146"/>
      <w:bookmarkStart w:id="59" w:name="_Toc164229360"/>
      <w:bookmarkStart w:id="60" w:name="_Toc226309763"/>
      <w:bookmarkStart w:id="61" w:name="_Toc127151519"/>
      <w:bookmarkStart w:id="62" w:name="_Toc151193907"/>
      <w:bookmarkStart w:id="63" w:name="_Toc226337215"/>
      <w:bookmarkStart w:id="64" w:name="_Toc150774724"/>
      <w:bookmarkStart w:id="65" w:name="_Toc164229214"/>
      <w:bookmarkStart w:id="66" w:name="_Toc195842884"/>
      <w:bookmarkStart w:id="67" w:name="_Toc164608633"/>
      <w:bookmarkStart w:id="68" w:name="_Toc150774619"/>
      <w:bookmarkStart w:id="69" w:name="_Toc151193689"/>
      <w:bookmarkStart w:id="70" w:name="_Toc226965709"/>
      <w:bookmarkStart w:id="71" w:name="_Toc127161433"/>
      <w:bookmarkStart w:id="72" w:name="_Toc150480757"/>
      <w:r>
        <w:rPr>
          <w:rFonts w:hint="eastAsia" w:ascii="宋体" w:hAnsi="宋体" w:eastAsia="宋体" w:cs="宋体"/>
          <w:i w:val="0"/>
          <w:iCs w:val="0"/>
          <w:color w:val="auto"/>
          <w:spacing w:val="0"/>
          <w:position w:val="0"/>
          <w:sz w:val="28"/>
          <w:highlight w:val="none"/>
        </w:rPr>
        <w:t>投标人须知资料表</w:t>
      </w:r>
    </w:p>
    <w:p w14:paraId="39722FF4">
      <w:pPr>
        <w:pageBreakBefore w:val="0"/>
        <w:wordWrap/>
        <w:topLinePunct w:val="0"/>
        <w:bidi w:val="0"/>
        <w:spacing w:line="360" w:lineRule="auto"/>
        <w:ind w:firstLine="48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本表是对投标人须知的具体补充和修改，如有矛盾，均以本资料表为准。</w:t>
      </w:r>
    </w:p>
    <w:tbl>
      <w:tblPr>
        <w:tblStyle w:val="44"/>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244"/>
      </w:tblGrid>
      <w:tr w14:paraId="4FC9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646AB1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条款号</w:t>
            </w:r>
          </w:p>
        </w:tc>
        <w:tc>
          <w:tcPr>
            <w:tcW w:w="1701" w:type="dxa"/>
            <w:vAlign w:val="center"/>
          </w:tcPr>
          <w:p w14:paraId="30CD9D2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szCs w:val="24"/>
                <w:highlight w:val="none"/>
              </w:rPr>
              <w:t>条目</w:t>
            </w:r>
          </w:p>
        </w:tc>
        <w:tc>
          <w:tcPr>
            <w:tcW w:w="6244" w:type="dxa"/>
            <w:vAlign w:val="center"/>
          </w:tcPr>
          <w:p w14:paraId="3CA6981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szCs w:val="24"/>
                <w:highlight w:val="none"/>
              </w:rPr>
              <w:t>内容</w:t>
            </w:r>
          </w:p>
        </w:tc>
      </w:tr>
      <w:tr w14:paraId="78C6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78BB74">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2.2</w:t>
            </w:r>
          </w:p>
        </w:tc>
        <w:tc>
          <w:tcPr>
            <w:tcW w:w="1701" w:type="dxa"/>
            <w:vAlign w:val="center"/>
          </w:tcPr>
          <w:p w14:paraId="3DEFAB3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项目属性</w:t>
            </w:r>
          </w:p>
        </w:tc>
        <w:tc>
          <w:tcPr>
            <w:tcW w:w="6244" w:type="dxa"/>
            <w:vAlign w:val="center"/>
          </w:tcPr>
          <w:p w14:paraId="4D23378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项目属性：</w:t>
            </w:r>
          </w:p>
          <w:p w14:paraId="5586871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服务</w:t>
            </w:r>
          </w:p>
          <w:p w14:paraId="3F04E25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lang w:val="en-US"/>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货物</w:t>
            </w:r>
          </w:p>
        </w:tc>
      </w:tr>
      <w:tr w14:paraId="1939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C32823">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2.3</w:t>
            </w:r>
          </w:p>
        </w:tc>
        <w:tc>
          <w:tcPr>
            <w:tcW w:w="1701" w:type="dxa"/>
            <w:vAlign w:val="center"/>
          </w:tcPr>
          <w:p w14:paraId="3D979AE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科研仪器设备</w:t>
            </w:r>
          </w:p>
        </w:tc>
        <w:tc>
          <w:tcPr>
            <w:tcW w:w="6244" w:type="dxa"/>
            <w:vAlign w:val="center"/>
          </w:tcPr>
          <w:p w14:paraId="4CE2267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是否属于科研仪器设备采购项目：</w:t>
            </w:r>
          </w:p>
          <w:p w14:paraId="6AC890B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是</w:t>
            </w:r>
          </w:p>
          <w:p w14:paraId="089BFA1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否</w:t>
            </w:r>
          </w:p>
        </w:tc>
      </w:tr>
      <w:tr w14:paraId="7248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21E2C5">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2.4</w:t>
            </w:r>
          </w:p>
        </w:tc>
        <w:tc>
          <w:tcPr>
            <w:tcW w:w="1701" w:type="dxa"/>
            <w:vAlign w:val="center"/>
          </w:tcPr>
          <w:p w14:paraId="439D27F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核心产品</w:t>
            </w:r>
          </w:p>
        </w:tc>
        <w:tc>
          <w:tcPr>
            <w:tcW w:w="6244" w:type="dxa"/>
            <w:vAlign w:val="center"/>
          </w:tcPr>
          <w:p w14:paraId="3258555B">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关于核心产品本项目</w:t>
            </w:r>
            <w:r>
              <w:rPr>
                <w:rFonts w:hint="eastAsia" w:ascii="宋体" w:hAnsi="宋体" w:eastAsia="宋体" w:cs="宋体"/>
                <w:i w:val="0"/>
                <w:iCs w:val="0"/>
                <w:color w:val="auto"/>
                <w:spacing w:val="0"/>
                <w:position w:val="0"/>
                <w:sz w:val="24"/>
                <w:szCs w:val="24"/>
                <w:highlight w:val="none"/>
                <w:u w:val="single"/>
                <w:lang w:val="en-US" w:eastAsia="zh-CN"/>
              </w:rPr>
              <w:t xml:space="preserve"> </w:t>
            </w:r>
            <w:r>
              <w:rPr>
                <w:rFonts w:hint="eastAsia" w:hAnsi="宋体" w:cs="宋体"/>
                <w:i w:val="0"/>
                <w:iCs w:val="0"/>
                <w:color w:val="auto"/>
                <w:spacing w:val="0"/>
                <w:position w:val="0"/>
                <w:sz w:val="24"/>
                <w:szCs w:val="24"/>
                <w:highlight w:val="none"/>
                <w:u w:val="single"/>
                <w:lang w:val="en-US" w:eastAsia="zh-CN"/>
              </w:rPr>
              <w:t>/</w:t>
            </w:r>
            <w:r>
              <w:rPr>
                <w:rFonts w:hint="eastAsia" w:ascii="宋体" w:hAnsi="宋体" w:eastAsia="宋体" w:cs="宋体"/>
                <w:i w:val="0"/>
                <w:iCs w:val="0"/>
                <w:color w:val="auto"/>
                <w:spacing w:val="0"/>
                <w:position w:val="0"/>
                <w:sz w:val="24"/>
                <w:szCs w:val="24"/>
                <w:highlight w:val="none"/>
                <w:lang w:val="en-US" w:eastAsia="zh-CN"/>
              </w:rPr>
              <w:t>包</w:t>
            </w:r>
            <w:r>
              <w:rPr>
                <w:rFonts w:hint="eastAsia" w:ascii="宋体" w:hAnsi="宋体" w:eastAsia="宋体" w:cs="宋体"/>
                <w:i w:val="0"/>
                <w:iCs w:val="0"/>
                <w:color w:val="auto"/>
                <w:spacing w:val="0"/>
                <w:position w:val="0"/>
                <w:sz w:val="24"/>
                <w:szCs w:val="24"/>
                <w:highlight w:val="none"/>
              </w:rPr>
              <w:t>不适用。</w:t>
            </w:r>
          </w:p>
          <w:p w14:paraId="456FA6D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本项目__包为单一产品采购项目。</w:t>
            </w:r>
          </w:p>
          <w:p w14:paraId="6C1E7BD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本项目</w:t>
            </w:r>
            <w:r>
              <w:rPr>
                <w:rFonts w:hint="eastAsia" w:ascii="宋体" w:hAnsi="宋体" w:cs="宋体"/>
                <w:i w:val="0"/>
                <w:iCs w:val="0"/>
                <w:color w:val="auto"/>
                <w:spacing w:val="0"/>
                <w:position w:val="0"/>
                <w:sz w:val="24"/>
                <w:szCs w:val="24"/>
                <w:highlight w:val="none"/>
                <w:u w:val="single"/>
                <w:lang w:val="en-US" w:eastAsia="zh-CN"/>
              </w:rPr>
              <w:t>01</w:t>
            </w:r>
            <w:r>
              <w:rPr>
                <w:rFonts w:hint="eastAsia" w:ascii="宋体" w:hAnsi="宋体" w:eastAsia="宋体" w:cs="宋体"/>
                <w:i w:val="0"/>
                <w:iCs w:val="0"/>
                <w:color w:val="auto"/>
                <w:spacing w:val="0"/>
                <w:position w:val="0"/>
                <w:sz w:val="24"/>
                <w:szCs w:val="24"/>
                <w:highlight w:val="none"/>
              </w:rPr>
              <w:t>包为非单一产品采购项目，核心产品为：</w:t>
            </w:r>
            <w:r>
              <w:rPr>
                <w:rFonts w:hint="eastAsia" w:ascii="宋体" w:hAnsi="宋体" w:eastAsia="宋体" w:cs="宋体"/>
                <w:i w:val="0"/>
                <w:iCs w:val="0"/>
                <w:color w:val="auto"/>
                <w:spacing w:val="0"/>
                <w:position w:val="0"/>
                <w:sz w:val="24"/>
                <w:szCs w:val="24"/>
                <w:highlight w:val="none"/>
                <w:u w:val="single"/>
              </w:rPr>
              <w:t>环境气体综合分析仪。</w:t>
            </w:r>
          </w:p>
          <w:p w14:paraId="71F4B766">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本项目</w:t>
            </w:r>
            <w:r>
              <w:rPr>
                <w:rFonts w:hint="eastAsia" w:ascii="宋体" w:hAnsi="宋体" w:cs="宋体"/>
                <w:i w:val="0"/>
                <w:iCs w:val="0"/>
                <w:color w:val="auto"/>
                <w:spacing w:val="0"/>
                <w:position w:val="0"/>
                <w:sz w:val="24"/>
                <w:szCs w:val="24"/>
                <w:highlight w:val="none"/>
                <w:u w:val="single"/>
                <w:lang w:val="en-US" w:eastAsia="zh-CN"/>
              </w:rPr>
              <w:t>02</w:t>
            </w:r>
            <w:r>
              <w:rPr>
                <w:rFonts w:hint="eastAsia" w:ascii="宋体" w:hAnsi="宋体" w:eastAsia="宋体" w:cs="宋体"/>
                <w:i w:val="0"/>
                <w:iCs w:val="0"/>
                <w:color w:val="auto"/>
                <w:spacing w:val="0"/>
                <w:position w:val="0"/>
                <w:sz w:val="24"/>
                <w:szCs w:val="24"/>
                <w:highlight w:val="none"/>
              </w:rPr>
              <w:t>包为非单一产品采购项目，核心产品为：</w:t>
            </w:r>
            <w:r>
              <w:rPr>
                <w:rFonts w:hint="eastAsia" w:ascii="宋体" w:hAnsi="宋体" w:eastAsia="宋体" w:cs="宋体"/>
                <w:i w:val="0"/>
                <w:iCs w:val="0"/>
                <w:color w:val="auto"/>
                <w:spacing w:val="0"/>
                <w:position w:val="0"/>
                <w:sz w:val="24"/>
                <w:szCs w:val="24"/>
                <w:highlight w:val="none"/>
                <w:u w:val="single"/>
              </w:rPr>
              <w:t>移动源执法监测设备（OBD 诊断仪）。</w:t>
            </w:r>
          </w:p>
        </w:tc>
      </w:tr>
      <w:tr w14:paraId="10B9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9247354">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3.1</w:t>
            </w:r>
          </w:p>
        </w:tc>
        <w:tc>
          <w:tcPr>
            <w:tcW w:w="1701" w:type="dxa"/>
            <w:vAlign w:val="center"/>
          </w:tcPr>
          <w:p w14:paraId="33B7452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现场考察</w:t>
            </w:r>
          </w:p>
        </w:tc>
        <w:tc>
          <w:tcPr>
            <w:tcW w:w="6244" w:type="dxa"/>
            <w:vAlign w:val="center"/>
          </w:tcPr>
          <w:p w14:paraId="333A5F4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不组织</w:t>
            </w:r>
          </w:p>
          <w:p w14:paraId="208EF4B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组织，考察时间：__年_月_日_</w:t>
            </w:r>
            <w:r>
              <w:rPr>
                <w:rFonts w:hint="eastAsia" w:ascii="宋体" w:hAnsi="宋体" w:eastAsia="宋体" w:cs="宋体"/>
                <w:bCs/>
                <w:i w:val="0"/>
                <w:iCs w:val="0"/>
                <w:color w:val="auto"/>
                <w:spacing w:val="0"/>
                <w:position w:val="0"/>
                <w:sz w:val="24"/>
                <w:szCs w:val="24"/>
                <w:highlight w:val="none"/>
              </w:rPr>
              <w:t>点</w:t>
            </w:r>
            <w:r>
              <w:rPr>
                <w:rFonts w:hint="eastAsia" w:ascii="宋体" w:hAnsi="宋体" w:eastAsia="宋体" w:cs="宋体"/>
                <w:i w:val="0"/>
                <w:iCs w:val="0"/>
                <w:color w:val="auto"/>
                <w:spacing w:val="0"/>
                <w:position w:val="0"/>
                <w:sz w:val="24"/>
                <w:szCs w:val="24"/>
                <w:highlight w:val="none"/>
              </w:rPr>
              <w:t>_</w:t>
            </w:r>
            <w:r>
              <w:rPr>
                <w:rFonts w:hint="eastAsia" w:ascii="宋体" w:hAnsi="宋体" w:eastAsia="宋体" w:cs="宋体"/>
                <w:bCs/>
                <w:i w:val="0"/>
                <w:iCs w:val="0"/>
                <w:color w:val="auto"/>
                <w:spacing w:val="0"/>
                <w:position w:val="0"/>
                <w:sz w:val="24"/>
                <w:szCs w:val="24"/>
                <w:highlight w:val="none"/>
              </w:rPr>
              <w:t>分</w:t>
            </w:r>
          </w:p>
          <w:p w14:paraId="23FD6B39">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考察地点：____________。</w:t>
            </w:r>
          </w:p>
        </w:tc>
      </w:tr>
      <w:tr w14:paraId="0716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0305C23">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p>
        </w:tc>
        <w:tc>
          <w:tcPr>
            <w:tcW w:w="1701" w:type="dxa"/>
            <w:vAlign w:val="center"/>
          </w:tcPr>
          <w:p w14:paraId="21BCB1B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开标前答疑会</w:t>
            </w:r>
          </w:p>
        </w:tc>
        <w:tc>
          <w:tcPr>
            <w:tcW w:w="6244" w:type="dxa"/>
            <w:vAlign w:val="center"/>
          </w:tcPr>
          <w:p w14:paraId="5FC5D15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不召开</w:t>
            </w:r>
          </w:p>
          <w:p w14:paraId="154F190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召开，召开时间：__年_月_日_</w:t>
            </w:r>
            <w:r>
              <w:rPr>
                <w:rFonts w:hint="eastAsia" w:ascii="宋体" w:hAnsi="宋体" w:eastAsia="宋体" w:cs="宋体"/>
                <w:bCs/>
                <w:i w:val="0"/>
                <w:iCs w:val="0"/>
                <w:color w:val="auto"/>
                <w:spacing w:val="0"/>
                <w:position w:val="0"/>
                <w:sz w:val="24"/>
                <w:szCs w:val="24"/>
                <w:highlight w:val="none"/>
              </w:rPr>
              <w:t>点</w:t>
            </w:r>
            <w:r>
              <w:rPr>
                <w:rFonts w:hint="eastAsia" w:ascii="宋体" w:hAnsi="宋体" w:eastAsia="宋体" w:cs="宋体"/>
                <w:i w:val="0"/>
                <w:iCs w:val="0"/>
                <w:color w:val="auto"/>
                <w:spacing w:val="0"/>
                <w:position w:val="0"/>
                <w:sz w:val="24"/>
                <w:szCs w:val="24"/>
                <w:highlight w:val="none"/>
              </w:rPr>
              <w:t>_</w:t>
            </w:r>
            <w:r>
              <w:rPr>
                <w:rFonts w:hint="eastAsia" w:ascii="宋体" w:hAnsi="宋体" w:eastAsia="宋体" w:cs="宋体"/>
                <w:bCs/>
                <w:i w:val="0"/>
                <w:iCs w:val="0"/>
                <w:color w:val="auto"/>
                <w:spacing w:val="0"/>
                <w:position w:val="0"/>
                <w:sz w:val="24"/>
                <w:szCs w:val="24"/>
                <w:highlight w:val="none"/>
              </w:rPr>
              <w:t>分</w:t>
            </w:r>
          </w:p>
          <w:p w14:paraId="4C232F6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召开地点：____________。</w:t>
            </w:r>
          </w:p>
        </w:tc>
      </w:tr>
      <w:tr w14:paraId="3096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FED28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4.1</w:t>
            </w:r>
          </w:p>
        </w:tc>
        <w:tc>
          <w:tcPr>
            <w:tcW w:w="1701" w:type="dxa"/>
            <w:vAlign w:val="center"/>
          </w:tcPr>
          <w:p w14:paraId="7239CEC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样品</w:t>
            </w:r>
          </w:p>
        </w:tc>
        <w:tc>
          <w:tcPr>
            <w:tcW w:w="6244" w:type="dxa"/>
            <w:vAlign w:val="center"/>
          </w:tcPr>
          <w:p w14:paraId="2E12CD1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投标样品递交：</w:t>
            </w:r>
          </w:p>
          <w:p w14:paraId="793F1DD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不需要</w:t>
            </w:r>
          </w:p>
          <w:p w14:paraId="45FCC2A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需要，具体要求如下：</w:t>
            </w:r>
          </w:p>
          <w:p w14:paraId="380358E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（1）样品制作的标准和要求：_________；</w:t>
            </w:r>
          </w:p>
          <w:p w14:paraId="26FA789E">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（2）是否需要随样品提交相关检测报告：</w:t>
            </w:r>
          </w:p>
          <w:p w14:paraId="4176E78F">
            <w:pPr>
              <w:keepNext w:val="0"/>
              <w:keepLines w:val="0"/>
              <w:pageBreakBefore w:val="0"/>
              <w:widowControl w:val="0"/>
              <w:kinsoku/>
              <w:wordWrap/>
              <w:overflowPunct/>
              <w:topLinePunct w:val="0"/>
              <w:autoSpaceDE/>
              <w:autoSpaceDN/>
              <w:bidi w:val="0"/>
              <w:spacing w:line="360" w:lineRule="auto"/>
              <w:ind w:firstLine="600" w:firstLineChars="250"/>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不需要</w:t>
            </w:r>
          </w:p>
          <w:p w14:paraId="45614339">
            <w:pPr>
              <w:keepNext w:val="0"/>
              <w:keepLines w:val="0"/>
              <w:pageBreakBefore w:val="0"/>
              <w:widowControl w:val="0"/>
              <w:kinsoku/>
              <w:wordWrap/>
              <w:overflowPunct/>
              <w:topLinePunct w:val="0"/>
              <w:autoSpaceDE/>
              <w:autoSpaceDN/>
              <w:bidi w:val="0"/>
              <w:spacing w:line="360" w:lineRule="auto"/>
              <w:ind w:firstLine="600" w:firstLineChars="250"/>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需要</w:t>
            </w:r>
          </w:p>
          <w:p w14:paraId="2F61F3AC">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（3）样品递交要求：_________；</w:t>
            </w:r>
          </w:p>
          <w:p w14:paraId="5EBEF52C">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（4）未中标人样品退还：_________；</w:t>
            </w:r>
          </w:p>
          <w:p w14:paraId="28E5315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（5）中标人样品保管、封存及退还：_________；</w:t>
            </w:r>
          </w:p>
          <w:p w14:paraId="631278F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（6）其他要求（如有）：_________。</w:t>
            </w:r>
          </w:p>
        </w:tc>
      </w:tr>
      <w:tr w14:paraId="3186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40E7522B">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5.3.5</w:t>
            </w:r>
          </w:p>
        </w:tc>
        <w:tc>
          <w:tcPr>
            <w:tcW w:w="1701" w:type="dxa"/>
            <w:vAlign w:val="center"/>
          </w:tcPr>
          <w:p w14:paraId="1FCEF21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标的所属行业</w:t>
            </w:r>
          </w:p>
        </w:tc>
        <w:tc>
          <w:tcPr>
            <w:tcW w:w="6244" w:type="dxa"/>
            <w:vAlign w:val="center"/>
          </w:tcPr>
          <w:p w14:paraId="042276D0">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本项目采购标的对应的中小企业划分标准所属行业：</w:t>
            </w:r>
          </w:p>
          <w:tbl>
            <w:tblPr>
              <w:tblStyle w:val="44"/>
              <w:tblW w:w="6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968"/>
              <w:gridCol w:w="2421"/>
            </w:tblGrid>
            <w:tr w14:paraId="6443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5" w:type="pct"/>
                  <w:tcBorders>
                    <w:top w:val="single" w:color="auto" w:sz="4" w:space="0"/>
                    <w:left w:val="single" w:color="auto" w:sz="4" w:space="0"/>
                    <w:bottom w:val="single" w:color="auto" w:sz="4" w:space="0"/>
                    <w:right w:val="single" w:color="auto" w:sz="4" w:space="0"/>
                  </w:tcBorders>
                  <w:vAlign w:val="center"/>
                </w:tcPr>
                <w:p w14:paraId="1FA9CD9C">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bCs/>
                      <w:i w:val="0"/>
                      <w:iCs w:val="0"/>
                      <w:color w:val="auto"/>
                      <w:spacing w:val="0"/>
                      <w:position w:val="0"/>
                      <w:sz w:val="24"/>
                      <w:szCs w:val="24"/>
                      <w:highlight w:val="none"/>
                    </w:rPr>
                    <w:t>包号</w:t>
                  </w:r>
                </w:p>
              </w:tc>
              <w:tc>
                <w:tcPr>
                  <w:tcW w:w="2425" w:type="pct"/>
                  <w:tcBorders>
                    <w:top w:val="single" w:color="auto" w:sz="4" w:space="0"/>
                    <w:left w:val="single" w:color="auto" w:sz="4" w:space="0"/>
                    <w:bottom w:val="single" w:color="auto" w:sz="4" w:space="0"/>
                    <w:right w:val="single" w:color="auto" w:sz="4" w:space="0"/>
                  </w:tcBorders>
                  <w:vAlign w:val="center"/>
                </w:tcPr>
                <w:p w14:paraId="491E5C62">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bCs/>
                      <w:i w:val="0"/>
                      <w:iCs w:val="0"/>
                      <w:color w:val="auto"/>
                      <w:spacing w:val="0"/>
                      <w:position w:val="0"/>
                      <w:sz w:val="24"/>
                      <w:szCs w:val="24"/>
                      <w:highlight w:val="none"/>
                    </w:rPr>
                    <w:t>标的名称</w:t>
                  </w:r>
                </w:p>
              </w:tc>
              <w:tc>
                <w:tcPr>
                  <w:tcW w:w="1978" w:type="pct"/>
                  <w:tcBorders>
                    <w:top w:val="single" w:color="auto" w:sz="4" w:space="0"/>
                    <w:left w:val="single" w:color="auto" w:sz="4" w:space="0"/>
                    <w:bottom w:val="single" w:color="auto" w:sz="4" w:space="0"/>
                    <w:right w:val="single" w:color="auto" w:sz="4" w:space="0"/>
                  </w:tcBorders>
                  <w:vAlign w:val="center"/>
                </w:tcPr>
                <w:p w14:paraId="62629E79">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中小企业划分标准所属行业</w:t>
                  </w:r>
                </w:p>
              </w:tc>
            </w:tr>
            <w:tr w14:paraId="28DD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95" w:type="pct"/>
                  <w:vMerge w:val="restart"/>
                  <w:tcBorders>
                    <w:top w:val="single" w:color="auto" w:sz="4" w:space="0"/>
                    <w:left w:val="single" w:color="auto" w:sz="4" w:space="0"/>
                    <w:right w:val="single" w:color="auto" w:sz="4" w:space="0"/>
                  </w:tcBorders>
                  <w:vAlign w:val="center"/>
                </w:tcPr>
                <w:p w14:paraId="6A498DBB">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r>
                    <w:rPr>
                      <w:rFonts w:hint="eastAsia" w:ascii="宋体" w:hAnsi="宋体" w:eastAsia="宋体" w:cs="宋体"/>
                      <w:bCs/>
                      <w:i w:val="0"/>
                      <w:iCs w:val="0"/>
                      <w:color w:val="auto"/>
                      <w:spacing w:val="0"/>
                      <w:position w:val="0"/>
                      <w:sz w:val="24"/>
                      <w:szCs w:val="24"/>
                      <w:highlight w:val="none"/>
                      <w:lang w:val="en-US" w:eastAsia="zh-CN"/>
                    </w:rPr>
                    <w:t>01</w:t>
                  </w:r>
                </w:p>
              </w:tc>
              <w:tc>
                <w:tcPr>
                  <w:tcW w:w="2968" w:type="dxa"/>
                  <w:tcBorders>
                    <w:top w:val="single" w:color="auto" w:sz="4" w:space="0"/>
                    <w:left w:val="single" w:color="auto" w:sz="4" w:space="0"/>
                    <w:bottom w:val="single" w:color="auto" w:sz="4" w:space="0"/>
                    <w:right w:val="single" w:color="auto" w:sz="4" w:space="0"/>
                  </w:tcBorders>
                  <w:vAlign w:val="center"/>
                </w:tcPr>
                <w:p w14:paraId="1CB63D5B">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eastAsia" w:ascii="宋体" w:hAnsi="宋体" w:cs="宋体"/>
                      <w:bCs/>
                      <w:i w:val="0"/>
                      <w:iCs w:val="0"/>
                      <w:color w:val="auto"/>
                      <w:spacing w:val="0"/>
                      <w:position w:val="0"/>
                      <w:sz w:val="21"/>
                      <w:szCs w:val="21"/>
                      <w:highlight w:val="none"/>
                      <w:lang w:val="en-US" w:eastAsia="zh-CN"/>
                    </w:rPr>
                    <w:t>防爆强光手电</w:t>
                  </w:r>
                </w:p>
              </w:tc>
              <w:tc>
                <w:tcPr>
                  <w:tcW w:w="1978" w:type="pct"/>
                  <w:tcBorders>
                    <w:top w:val="single" w:color="auto" w:sz="4" w:space="0"/>
                    <w:left w:val="single" w:color="auto" w:sz="4" w:space="0"/>
                    <w:bottom w:val="single" w:color="auto" w:sz="4" w:space="0"/>
                    <w:right w:val="single" w:color="auto" w:sz="4" w:space="0"/>
                  </w:tcBorders>
                  <w:vAlign w:val="center"/>
                </w:tcPr>
                <w:p w14:paraId="51F9A0B0">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309E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95" w:type="pct"/>
                  <w:vMerge w:val="continue"/>
                  <w:tcBorders>
                    <w:left w:val="single" w:color="auto" w:sz="4" w:space="0"/>
                    <w:bottom w:val="single" w:color="auto" w:sz="4" w:space="0"/>
                    <w:right w:val="single" w:color="auto" w:sz="4" w:space="0"/>
                  </w:tcBorders>
                  <w:vAlign w:val="center"/>
                </w:tcPr>
                <w:p w14:paraId="1636E267">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1F5419E5">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eastAsia" w:ascii="宋体" w:hAnsi="宋体" w:cs="宋体"/>
                      <w:bCs/>
                      <w:i w:val="0"/>
                      <w:iCs w:val="0"/>
                      <w:color w:val="auto"/>
                      <w:spacing w:val="0"/>
                      <w:position w:val="0"/>
                      <w:sz w:val="21"/>
                      <w:szCs w:val="21"/>
                      <w:highlight w:val="none"/>
                      <w:lang w:val="en-US" w:eastAsia="zh-CN"/>
                    </w:rPr>
                    <w:t>手提式防爆手电</w:t>
                  </w:r>
                </w:p>
              </w:tc>
              <w:tc>
                <w:tcPr>
                  <w:tcW w:w="1978" w:type="pct"/>
                  <w:tcBorders>
                    <w:top w:val="single" w:color="auto" w:sz="4" w:space="0"/>
                    <w:left w:val="single" w:color="auto" w:sz="4" w:space="0"/>
                    <w:bottom w:val="single" w:color="auto" w:sz="4" w:space="0"/>
                    <w:right w:val="single" w:color="auto" w:sz="4" w:space="0"/>
                  </w:tcBorders>
                  <w:vAlign w:val="center"/>
                </w:tcPr>
                <w:p w14:paraId="71BC98F9">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75E5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95" w:type="pct"/>
                  <w:vMerge w:val="continue"/>
                  <w:tcBorders>
                    <w:left w:val="single" w:color="auto" w:sz="4" w:space="0"/>
                    <w:bottom w:val="single" w:color="auto" w:sz="4" w:space="0"/>
                    <w:right w:val="single" w:color="auto" w:sz="4" w:space="0"/>
                  </w:tcBorders>
                  <w:vAlign w:val="center"/>
                </w:tcPr>
                <w:p w14:paraId="4EE0A465">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488A25F7">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eastAsia" w:ascii="宋体" w:hAnsi="宋体" w:cs="宋体"/>
                      <w:bCs/>
                      <w:i w:val="0"/>
                      <w:iCs w:val="0"/>
                      <w:color w:val="auto"/>
                      <w:spacing w:val="0"/>
                      <w:position w:val="0"/>
                      <w:sz w:val="21"/>
                      <w:szCs w:val="21"/>
                      <w:highlight w:val="none"/>
                      <w:lang w:val="en-US" w:eastAsia="zh-CN"/>
                    </w:rPr>
                    <w:t>重型防化服</w:t>
                  </w:r>
                </w:p>
              </w:tc>
              <w:tc>
                <w:tcPr>
                  <w:tcW w:w="1978" w:type="pct"/>
                  <w:tcBorders>
                    <w:top w:val="single" w:color="auto" w:sz="4" w:space="0"/>
                    <w:left w:val="single" w:color="auto" w:sz="4" w:space="0"/>
                    <w:bottom w:val="single" w:color="auto" w:sz="4" w:space="0"/>
                    <w:right w:val="single" w:color="auto" w:sz="4" w:space="0"/>
                  </w:tcBorders>
                  <w:vAlign w:val="center"/>
                </w:tcPr>
                <w:p w14:paraId="73D490E6">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6585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595" w:type="pct"/>
                  <w:vMerge w:val="continue"/>
                  <w:tcBorders>
                    <w:left w:val="single" w:color="auto" w:sz="4" w:space="0"/>
                    <w:bottom w:val="single" w:color="auto" w:sz="4" w:space="0"/>
                    <w:right w:val="single" w:color="auto" w:sz="4" w:space="0"/>
                  </w:tcBorders>
                  <w:vAlign w:val="center"/>
                </w:tcPr>
                <w:p w14:paraId="49649ADD">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13F2C0D0">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eastAsia" w:ascii="宋体" w:hAnsi="宋体" w:cs="宋体"/>
                      <w:bCs/>
                      <w:i w:val="0"/>
                      <w:iCs w:val="0"/>
                      <w:color w:val="auto"/>
                      <w:spacing w:val="0"/>
                      <w:position w:val="0"/>
                      <w:sz w:val="21"/>
                      <w:szCs w:val="21"/>
                      <w:highlight w:val="none"/>
                      <w:lang w:val="en-US" w:eastAsia="zh-CN"/>
                    </w:rPr>
                    <w:t>滤毒盒（6 类规格）</w:t>
                  </w:r>
                </w:p>
              </w:tc>
              <w:tc>
                <w:tcPr>
                  <w:tcW w:w="1978" w:type="pct"/>
                  <w:tcBorders>
                    <w:top w:val="single" w:color="auto" w:sz="4" w:space="0"/>
                    <w:left w:val="single" w:color="auto" w:sz="4" w:space="0"/>
                    <w:bottom w:val="single" w:color="auto" w:sz="4" w:space="0"/>
                    <w:right w:val="single" w:color="auto" w:sz="4" w:space="0"/>
                  </w:tcBorders>
                  <w:vAlign w:val="center"/>
                </w:tcPr>
                <w:p w14:paraId="4461EBAF">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4948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595" w:type="pct"/>
                  <w:vMerge w:val="continue"/>
                  <w:tcBorders>
                    <w:left w:val="single" w:color="auto" w:sz="4" w:space="0"/>
                    <w:bottom w:val="single" w:color="auto" w:sz="4" w:space="0"/>
                    <w:right w:val="single" w:color="auto" w:sz="4" w:space="0"/>
                  </w:tcBorders>
                  <w:vAlign w:val="center"/>
                </w:tcPr>
                <w:p w14:paraId="550A7323">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72F18C48">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一次性防护服</w:t>
                  </w:r>
                </w:p>
              </w:tc>
              <w:tc>
                <w:tcPr>
                  <w:tcW w:w="1978" w:type="pct"/>
                  <w:tcBorders>
                    <w:top w:val="single" w:color="auto" w:sz="4" w:space="0"/>
                    <w:left w:val="single" w:color="auto" w:sz="4" w:space="0"/>
                    <w:bottom w:val="single" w:color="auto" w:sz="4" w:space="0"/>
                    <w:right w:val="single" w:color="auto" w:sz="4" w:space="0"/>
                  </w:tcBorders>
                  <w:vAlign w:val="center"/>
                </w:tcPr>
                <w:p w14:paraId="6B228DDD">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7420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595" w:type="pct"/>
                  <w:vMerge w:val="continue"/>
                  <w:tcBorders>
                    <w:left w:val="single" w:color="auto" w:sz="4" w:space="0"/>
                    <w:bottom w:val="single" w:color="auto" w:sz="4" w:space="0"/>
                    <w:right w:val="single" w:color="auto" w:sz="4" w:space="0"/>
                  </w:tcBorders>
                  <w:vAlign w:val="center"/>
                </w:tcPr>
                <w:p w14:paraId="0FE09667">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3E343844">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无人船改造 - 组合导航系统</w:t>
                  </w:r>
                </w:p>
              </w:tc>
              <w:tc>
                <w:tcPr>
                  <w:tcW w:w="1978" w:type="pct"/>
                  <w:tcBorders>
                    <w:top w:val="single" w:color="auto" w:sz="4" w:space="0"/>
                    <w:left w:val="single" w:color="auto" w:sz="4" w:space="0"/>
                    <w:bottom w:val="single" w:color="auto" w:sz="4" w:space="0"/>
                    <w:right w:val="single" w:color="auto" w:sz="4" w:space="0"/>
                  </w:tcBorders>
                  <w:vAlign w:val="center"/>
                </w:tcPr>
                <w:p w14:paraId="3ABB5865">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7209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595" w:type="pct"/>
                  <w:vMerge w:val="continue"/>
                  <w:tcBorders>
                    <w:left w:val="single" w:color="auto" w:sz="4" w:space="0"/>
                    <w:bottom w:val="single" w:color="auto" w:sz="4" w:space="0"/>
                    <w:right w:val="single" w:color="auto" w:sz="4" w:space="0"/>
                  </w:tcBorders>
                  <w:vAlign w:val="center"/>
                </w:tcPr>
                <w:p w14:paraId="3D4F7BC8">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454D02D9">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无人船改造 - 采样器</w:t>
                  </w:r>
                </w:p>
              </w:tc>
              <w:tc>
                <w:tcPr>
                  <w:tcW w:w="1978" w:type="pct"/>
                  <w:tcBorders>
                    <w:top w:val="single" w:color="auto" w:sz="4" w:space="0"/>
                    <w:left w:val="single" w:color="auto" w:sz="4" w:space="0"/>
                    <w:bottom w:val="single" w:color="auto" w:sz="4" w:space="0"/>
                    <w:right w:val="single" w:color="auto" w:sz="4" w:space="0"/>
                  </w:tcBorders>
                  <w:vAlign w:val="center"/>
                </w:tcPr>
                <w:p w14:paraId="1599AA4A">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336C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95" w:type="pct"/>
                  <w:vMerge w:val="continue"/>
                  <w:tcBorders>
                    <w:left w:val="single" w:color="auto" w:sz="4" w:space="0"/>
                    <w:bottom w:val="single" w:color="auto" w:sz="4" w:space="0"/>
                    <w:right w:val="single" w:color="auto" w:sz="4" w:space="0"/>
                  </w:tcBorders>
                  <w:vAlign w:val="center"/>
                </w:tcPr>
                <w:p w14:paraId="2A9ACD8D">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0B99F429">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手持核素识别仪</w:t>
                  </w:r>
                </w:p>
              </w:tc>
              <w:tc>
                <w:tcPr>
                  <w:tcW w:w="1978" w:type="pct"/>
                  <w:tcBorders>
                    <w:top w:val="single" w:color="auto" w:sz="4" w:space="0"/>
                    <w:left w:val="single" w:color="auto" w:sz="4" w:space="0"/>
                    <w:bottom w:val="single" w:color="auto" w:sz="4" w:space="0"/>
                    <w:right w:val="single" w:color="auto" w:sz="4" w:space="0"/>
                  </w:tcBorders>
                  <w:vAlign w:val="center"/>
                </w:tcPr>
                <w:p w14:paraId="375E5B37">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1764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95" w:type="pct"/>
                  <w:vMerge w:val="continue"/>
                  <w:tcBorders>
                    <w:left w:val="single" w:color="auto" w:sz="4" w:space="0"/>
                    <w:bottom w:val="single" w:color="auto" w:sz="4" w:space="0"/>
                    <w:right w:val="single" w:color="auto" w:sz="4" w:space="0"/>
                  </w:tcBorders>
                  <w:vAlign w:val="center"/>
                </w:tcPr>
                <w:p w14:paraId="7034DD95">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115E4DD8">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环境气体综合分析仪</w:t>
                  </w:r>
                </w:p>
              </w:tc>
              <w:tc>
                <w:tcPr>
                  <w:tcW w:w="1978" w:type="pct"/>
                  <w:tcBorders>
                    <w:top w:val="single" w:color="auto" w:sz="4" w:space="0"/>
                    <w:left w:val="single" w:color="auto" w:sz="4" w:space="0"/>
                    <w:bottom w:val="single" w:color="auto" w:sz="4" w:space="0"/>
                    <w:right w:val="single" w:color="auto" w:sz="4" w:space="0"/>
                  </w:tcBorders>
                  <w:vAlign w:val="center"/>
                </w:tcPr>
                <w:p w14:paraId="4BC74E8F">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0E7A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95" w:type="pct"/>
                  <w:vMerge w:val="continue"/>
                  <w:tcBorders>
                    <w:left w:val="single" w:color="auto" w:sz="4" w:space="0"/>
                    <w:bottom w:val="single" w:color="auto" w:sz="4" w:space="0"/>
                    <w:right w:val="single" w:color="auto" w:sz="4" w:space="0"/>
                  </w:tcBorders>
                  <w:vAlign w:val="center"/>
                </w:tcPr>
                <w:p w14:paraId="752732A6">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795066F2">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便携式傅里叶红外气体分析仪</w:t>
                  </w:r>
                </w:p>
              </w:tc>
              <w:tc>
                <w:tcPr>
                  <w:tcW w:w="1978" w:type="pct"/>
                  <w:tcBorders>
                    <w:top w:val="single" w:color="auto" w:sz="4" w:space="0"/>
                    <w:left w:val="single" w:color="auto" w:sz="4" w:space="0"/>
                    <w:bottom w:val="single" w:color="auto" w:sz="4" w:space="0"/>
                    <w:right w:val="single" w:color="auto" w:sz="4" w:space="0"/>
                  </w:tcBorders>
                  <w:vAlign w:val="center"/>
                </w:tcPr>
                <w:p w14:paraId="35F45543">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6ED3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95" w:type="pct"/>
                  <w:vMerge w:val="continue"/>
                  <w:tcBorders>
                    <w:left w:val="single" w:color="auto" w:sz="4" w:space="0"/>
                    <w:bottom w:val="single" w:color="auto" w:sz="4" w:space="0"/>
                    <w:right w:val="single" w:color="auto" w:sz="4" w:space="0"/>
                  </w:tcBorders>
                  <w:vAlign w:val="center"/>
                </w:tcPr>
                <w:p w14:paraId="0787315F">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716833BE">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铅衣</w:t>
                  </w:r>
                </w:p>
              </w:tc>
              <w:tc>
                <w:tcPr>
                  <w:tcW w:w="1978" w:type="pct"/>
                  <w:tcBorders>
                    <w:top w:val="single" w:color="auto" w:sz="4" w:space="0"/>
                    <w:left w:val="single" w:color="auto" w:sz="4" w:space="0"/>
                    <w:bottom w:val="single" w:color="auto" w:sz="4" w:space="0"/>
                    <w:right w:val="single" w:color="auto" w:sz="4" w:space="0"/>
                  </w:tcBorders>
                  <w:vAlign w:val="center"/>
                </w:tcPr>
                <w:p w14:paraId="43528D07">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650C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595" w:type="pct"/>
                  <w:vMerge w:val="continue"/>
                  <w:tcBorders>
                    <w:left w:val="single" w:color="auto" w:sz="4" w:space="0"/>
                    <w:bottom w:val="single" w:color="auto" w:sz="4" w:space="0"/>
                    <w:right w:val="single" w:color="auto" w:sz="4" w:space="0"/>
                  </w:tcBorders>
                  <w:vAlign w:val="center"/>
                </w:tcPr>
                <w:p w14:paraId="60CFD743">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0860F6A0">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放射源操作长柄</w:t>
                  </w:r>
                </w:p>
              </w:tc>
              <w:tc>
                <w:tcPr>
                  <w:tcW w:w="1978" w:type="pct"/>
                  <w:tcBorders>
                    <w:top w:val="single" w:color="auto" w:sz="4" w:space="0"/>
                    <w:left w:val="single" w:color="auto" w:sz="4" w:space="0"/>
                    <w:bottom w:val="single" w:color="auto" w:sz="4" w:space="0"/>
                    <w:right w:val="single" w:color="auto" w:sz="4" w:space="0"/>
                  </w:tcBorders>
                  <w:vAlign w:val="center"/>
                </w:tcPr>
                <w:p w14:paraId="69F7D370">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3EE1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595" w:type="pct"/>
                  <w:vMerge w:val="continue"/>
                  <w:tcBorders>
                    <w:left w:val="single" w:color="auto" w:sz="4" w:space="0"/>
                    <w:bottom w:val="single" w:color="auto" w:sz="4" w:space="0"/>
                    <w:right w:val="single" w:color="auto" w:sz="4" w:space="0"/>
                  </w:tcBorders>
                  <w:vAlign w:val="center"/>
                </w:tcPr>
                <w:p w14:paraId="3F4F56BF">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2EC1FA33">
                  <w:pPr>
                    <w:pageBreakBefore w:val="0"/>
                    <w:wordWrap/>
                    <w:topLinePunct w:val="0"/>
                    <w:bidi w:val="0"/>
                    <w:spacing w:line="360" w:lineRule="auto"/>
                    <w:jc w:val="center"/>
                    <w:rPr>
                      <w:rFonts w:hint="eastAsia" w:ascii="宋体" w:hAnsi="宋体" w:eastAsia="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移动大电源</w:t>
                  </w:r>
                </w:p>
              </w:tc>
              <w:tc>
                <w:tcPr>
                  <w:tcW w:w="1978" w:type="pct"/>
                  <w:tcBorders>
                    <w:top w:val="single" w:color="auto" w:sz="4" w:space="0"/>
                    <w:left w:val="single" w:color="auto" w:sz="4" w:space="0"/>
                    <w:bottom w:val="single" w:color="auto" w:sz="4" w:space="0"/>
                    <w:right w:val="single" w:color="auto" w:sz="4" w:space="0"/>
                  </w:tcBorders>
                  <w:vAlign w:val="center"/>
                </w:tcPr>
                <w:p w14:paraId="0B63B449">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4B75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95" w:type="pct"/>
                  <w:vMerge w:val="restart"/>
                  <w:tcBorders>
                    <w:top w:val="single" w:color="auto" w:sz="4" w:space="0"/>
                    <w:left w:val="single" w:color="auto" w:sz="4" w:space="0"/>
                    <w:right w:val="single" w:color="auto" w:sz="4" w:space="0"/>
                  </w:tcBorders>
                  <w:vAlign w:val="center"/>
                </w:tcPr>
                <w:p w14:paraId="12A779CE">
                  <w:pPr>
                    <w:keepNext w:val="0"/>
                    <w:keepLines w:val="0"/>
                    <w:pageBreakBefore w:val="0"/>
                    <w:widowControl w:val="0"/>
                    <w:shd w:val="clear"/>
                    <w:kinsoku/>
                    <w:wordWrap/>
                    <w:overflowPunct/>
                    <w:topLinePunct w:val="0"/>
                    <w:autoSpaceDE/>
                    <w:autoSpaceDN/>
                    <w:bidi w:val="0"/>
                    <w:spacing w:line="360" w:lineRule="auto"/>
                    <w:jc w:val="center"/>
                    <w:textAlignment w:val="auto"/>
                    <w:rPr>
                      <w:rFonts w:hint="default" w:ascii="宋体" w:hAnsi="宋体" w:eastAsia="宋体" w:cs="宋体"/>
                      <w:bCs/>
                      <w:i w:val="0"/>
                      <w:iCs w:val="0"/>
                      <w:color w:val="auto"/>
                      <w:spacing w:val="0"/>
                      <w:position w:val="0"/>
                      <w:sz w:val="24"/>
                      <w:szCs w:val="24"/>
                      <w:highlight w:val="none"/>
                      <w:lang w:val="en-US" w:eastAsia="zh-CN"/>
                    </w:rPr>
                  </w:pPr>
                  <w:r>
                    <w:rPr>
                      <w:rFonts w:hint="eastAsia" w:ascii="宋体" w:hAnsi="宋体" w:cs="宋体"/>
                      <w:bCs/>
                      <w:i w:val="0"/>
                      <w:iCs w:val="0"/>
                      <w:color w:val="auto"/>
                      <w:spacing w:val="0"/>
                      <w:position w:val="0"/>
                      <w:sz w:val="24"/>
                      <w:szCs w:val="24"/>
                      <w:highlight w:val="none"/>
                      <w:lang w:val="en-US" w:eastAsia="zh-CN"/>
                    </w:rPr>
                    <w:t>02</w:t>
                  </w:r>
                </w:p>
              </w:tc>
              <w:tc>
                <w:tcPr>
                  <w:tcW w:w="2968" w:type="dxa"/>
                  <w:tcBorders>
                    <w:top w:val="single" w:color="auto" w:sz="4" w:space="0"/>
                    <w:left w:val="single" w:color="auto" w:sz="4" w:space="0"/>
                    <w:bottom w:val="single" w:color="auto" w:sz="4" w:space="0"/>
                    <w:right w:val="single" w:color="auto" w:sz="4" w:space="0"/>
                  </w:tcBorders>
                  <w:vAlign w:val="center"/>
                </w:tcPr>
                <w:p w14:paraId="5FB285D1">
                  <w:pPr>
                    <w:pageBreakBefore w:val="0"/>
                    <w:wordWrap/>
                    <w:topLinePunct w:val="0"/>
                    <w:bidi w:val="0"/>
                    <w:spacing w:line="360" w:lineRule="auto"/>
                    <w:jc w:val="center"/>
                    <w:rPr>
                      <w:rFonts w:hint="eastAsia" w:ascii="宋体" w:hAnsi="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移动源执法监测设备（OBD 诊断仪）</w:t>
                  </w:r>
                </w:p>
              </w:tc>
              <w:tc>
                <w:tcPr>
                  <w:tcW w:w="1978" w:type="pct"/>
                  <w:tcBorders>
                    <w:top w:val="single" w:color="auto" w:sz="4" w:space="0"/>
                    <w:left w:val="single" w:color="auto" w:sz="4" w:space="0"/>
                    <w:bottom w:val="single" w:color="auto" w:sz="4" w:space="0"/>
                    <w:right w:val="single" w:color="auto" w:sz="4" w:space="0"/>
                  </w:tcBorders>
                  <w:vAlign w:val="center"/>
                </w:tcPr>
                <w:p w14:paraId="0EFD5962">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0D4A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595" w:type="pct"/>
                  <w:vMerge w:val="continue"/>
                  <w:tcBorders>
                    <w:left w:val="single" w:color="auto" w:sz="4" w:space="0"/>
                    <w:right w:val="single" w:color="auto" w:sz="4" w:space="0"/>
                  </w:tcBorders>
                  <w:vAlign w:val="center"/>
                </w:tcPr>
                <w:p w14:paraId="2CB8863B">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45458012">
                  <w:pPr>
                    <w:pageBreakBefore w:val="0"/>
                    <w:wordWrap/>
                    <w:topLinePunct w:val="0"/>
                    <w:bidi w:val="0"/>
                    <w:spacing w:line="360" w:lineRule="auto"/>
                    <w:jc w:val="center"/>
                    <w:rPr>
                      <w:rFonts w:hint="eastAsia" w:ascii="宋体" w:hAnsi="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移动源执法监测设备 (不透光烟度计)</w:t>
                  </w:r>
                </w:p>
              </w:tc>
              <w:tc>
                <w:tcPr>
                  <w:tcW w:w="1978" w:type="pct"/>
                  <w:tcBorders>
                    <w:top w:val="single" w:color="auto" w:sz="4" w:space="0"/>
                    <w:left w:val="single" w:color="auto" w:sz="4" w:space="0"/>
                    <w:bottom w:val="single" w:color="auto" w:sz="4" w:space="0"/>
                    <w:right w:val="single" w:color="auto" w:sz="4" w:space="0"/>
                  </w:tcBorders>
                  <w:vAlign w:val="center"/>
                </w:tcPr>
                <w:p w14:paraId="09CD49AA">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r w14:paraId="2CF5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95" w:type="pct"/>
                  <w:vMerge w:val="continue"/>
                  <w:tcBorders>
                    <w:left w:val="single" w:color="auto" w:sz="4" w:space="0"/>
                    <w:bottom w:val="single" w:color="auto" w:sz="4" w:space="0"/>
                    <w:right w:val="single" w:color="auto" w:sz="4" w:space="0"/>
                  </w:tcBorders>
                  <w:vAlign w:val="center"/>
                </w:tcPr>
                <w:p w14:paraId="3A47F138">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bCs/>
                      <w:i w:val="0"/>
                      <w:iCs w:val="0"/>
                      <w:color w:val="auto"/>
                      <w:spacing w:val="0"/>
                      <w:position w:val="0"/>
                      <w:sz w:val="24"/>
                      <w:szCs w:val="24"/>
                      <w:highlight w:val="none"/>
                      <w:lang w:val="en-US" w:eastAsia="zh-CN"/>
                    </w:rPr>
                  </w:pPr>
                </w:p>
              </w:tc>
              <w:tc>
                <w:tcPr>
                  <w:tcW w:w="2968" w:type="dxa"/>
                  <w:tcBorders>
                    <w:top w:val="single" w:color="auto" w:sz="4" w:space="0"/>
                    <w:left w:val="single" w:color="auto" w:sz="4" w:space="0"/>
                    <w:bottom w:val="single" w:color="auto" w:sz="4" w:space="0"/>
                    <w:right w:val="single" w:color="auto" w:sz="4" w:space="0"/>
                  </w:tcBorders>
                  <w:vAlign w:val="center"/>
                </w:tcPr>
                <w:p w14:paraId="7B6CC374">
                  <w:pPr>
                    <w:pageBreakBefore w:val="0"/>
                    <w:wordWrap/>
                    <w:topLinePunct w:val="0"/>
                    <w:bidi w:val="0"/>
                    <w:spacing w:line="360" w:lineRule="auto"/>
                    <w:jc w:val="center"/>
                    <w:rPr>
                      <w:rFonts w:hint="eastAsia" w:ascii="宋体" w:hAnsi="宋体" w:cs="宋体"/>
                      <w:bCs/>
                      <w:i w:val="0"/>
                      <w:iCs w:val="0"/>
                      <w:color w:val="auto"/>
                      <w:spacing w:val="0"/>
                      <w:position w:val="0"/>
                      <w:sz w:val="24"/>
                      <w:szCs w:val="24"/>
                      <w:highlight w:val="none"/>
                      <w:lang w:eastAsia="zh-CN"/>
                    </w:rPr>
                  </w:pPr>
                  <w:r>
                    <w:rPr>
                      <w:rFonts w:hint="default" w:ascii="宋体" w:hAnsi="宋体" w:cs="宋体"/>
                      <w:bCs/>
                      <w:i w:val="0"/>
                      <w:iCs w:val="0"/>
                      <w:color w:val="auto"/>
                      <w:spacing w:val="0"/>
                      <w:position w:val="0"/>
                      <w:sz w:val="21"/>
                      <w:szCs w:val="21"/>
                      <w:highlight w:val="none"/>
                      <w:lang w:val="en-US" w:eastAsia="zh-CN"/>
                    </w:rPr>
                    <w:t>移动源执法监测设备（重型汽车氮氧化物快速检测仪）</w:t>
                  </w:r>
                </w:p>
              </w:tc>
              <w:tc>
                <w:tcPr>
                  <w:tcW w:w="1978" w:type="pct"/>
                  <w:tcBorders>
                    <w:top w:val="single" w:color="auto" w:sz="4" w:space="0"/>
                    <w:left w:val="single" w:color="auto" w:sz="4" w:space="0"/>
                    <w:bottom w:val="single" w:color="auto" w:sz="4" w:space="0"/>
                    <w:right w:val="single" w:color="auto" w:sz="4" w:space="0"/>
                  </w:tcBorders>
                  <w:vAlign w:val="center"/>
                </w:tcPr>
                <w:p w14:paraId="1F1FAF3D">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工业</w:t>
                  </w:r>
                </w:p>
              </w:tc>
            </w:tr>
          </w:tbl>
          <w:p w14:paraId="35322F34">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cs="宋体"/>
                <w:i w:val="0"/>
                <w:iCs w:val="0"/>
                <w:color w:val="auto"/>
                <w:spacing w:val="0"/>
                <w:kern w:val="0"/>
                <w:position w:val="0"/>
                <w:sz w:val="24"/>
                <w:szCs w:val="24"/>
                <w:highlight w:val="none"/>
                <w:lang w:eastAsia="zh-CN"/>
              </w:rPr>
              <w:t>工业</w:t>
            </w:r>
            <w:r>
              <w:rPr>
                <w:rFonts w:hint="eastAsia" w:ascii="宋体" w:hAnsi="宋体" w:eastAsia="宋体" w:cs="宋体"/>
                <w:i w:val="0"/>
                <w:iCs w:val="0"/>
                <w:color w:val="auto"/>
                <w:spacing w:val="0"/>
                <w:kern w:val="0"/>
                <w:position w:val="0"/>
                <w:sz w:val="24"/>
                <w:szCs w:val="24"/>
                <w:highlight w:val="none"/>
                <w:lang w:eastAsia="zh-CN"/>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1ED3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86DC075">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br w:type="page"/>
            </w:r>
            <w:r>
              <w:rPr>
                <w:rFonts w:hint="eastAsia" w:ascii="宋体" w:hAnsi="宋体" w:eastAsia="宋体" w:cs="宋体"/>
                <w:i w:val="0"/>
                <w:iCs w:val="0"/>
                <w:color w:val="auto"/>
                <w:spacing w:val="0"/>
                <w:position w:val="0"/>
                <w:sz w:val="24"/>
                <w:szCs w:val="24"/>
                <w:highlight w:val="none"/>
              </w:rPr>
              <w:t>11.2</w:t>
            </w:r>
          </w:p>
        </w:tc>
        <w:tc>
          <w:tcPr>
            <w:tcW w:w="1701" w:type="dxa"/>
            <w:vAlign w:val="center"/>
          </w:tcPr>
          <w:p w14:paraId="0BDBBBD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投标报价</w:t>
            </w:r>
          </w:p>
        </w:tc>
        <w:tc>
          <w:tcPr>
            <w:tcW w:w="6244" w:type="dxa"/>
            <w:vAlign w:val="center"/>
          </w:tcPr>
          <w:p w14:paraId="5F35114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投标报价的特殊规定：</w:t>
            </w:r>
          </w:p>
          <w:p w14:paraId="5810554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无</w:t>
            </w:r>
          </w:p>
          <w:p w14:paraId="68D2D45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有，具体情形：</w:t>
            </w:r>
            <w:r>
              <w:rPr>
                <w:rFonts w:hint="eastAsia" w:ascii="宋体" w:hAnsi="宋体" w:eastAsia="宋体" w:cs="宋体"/>
                <w:i w:val="0"/>
                <w:iCs w:val="0"/>
                <w:color w:val="auto"/>
                <w:spacing w:val="0"/>
                <w:position w:val="0"/>
                <w:sz w:val="24"/>
                <w:highlight w:val="none"/>
                <w:u w:val="single"/>
                <w:lang w:val="en-US" w:eastAsia="zh-CN"/>
              </w:rPr>
              <w:t xml:space="preserve">                </w:t>
            </w:r>
            <w:r>
              <w:rPr>
                <w:rFonts w:hint="eastAsia" w:ascii="宋体" w:hAnsi="宋体" w:eastAsia="宋体" w:cs="宋体"/>
                <w:i w:val="0"/>
                <w:iCs w:val="0"/>
                <w:color w:val="auto"/>
                <w:spacing w:val="0"/>
                <w:position w:val="0"/>
                <w:sz w:val="24"/>
                <w:szCs w:val="24"/>
                <w:highlight w:val="none"/>
              </w:rPr>
              <w:t>。</w:t>
            </w:r>
          </w:p>
        </w:tc>
      </w:tr>
      <w:tr w14:paraId="3939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0F8700D">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12.1</w:t>
            </w:r>
          </w:p>
        </w:tc>
        <w:tc>
          <w:tcPr>
            <w:tcW w:w="1701" w:type="dxa"/>
            <w:vMerge w:val="restart"/>
            <w:vAlign w:val="center"/>
          </w:tcPr>
          <w:p w14:paraId="3A3B3F0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w:t>
            </w:r>
          </w:p>
        </w:tc>
        <w:tc>
          <w:tcPr>
            <w:tcW w:w="6244" w:type="dxa"/>
            <w:vAlign w:val="center"/>
          </w:tcPr>
          <w:p w14:paraId="34558F5D">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投标保证金金额：</w:t>
            </w:r>
          </w:p>
          <w:p w14:paraId="1D875EB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i w:val="0"/>
                <w:iCs w:val="0"/>
                <w:color w:val="auto"/>
                <w:spacing w:val="0"/>
                <w:position w:val="0"/>
                <w:sz w:val="24"/>
                <w:szCs w:val="24"/>
                <w:highlight w:val="none"/>
                <w:lang w:eastAsia="zh-CN"/>
              </w:rPr>
            </w:pPr>
            <w:r>
              <w:rPr>
                <w:rFonts w:hint="eastAsia" w:ascii="宋体" w:hAnsi="宋体" w:eastAsia="宋体" w:cs="宋体"/>
                <w:b/>
                <w:bCs/>
                <w:i w:val="0"/>
                <w:iCs w:val="0"/>
                <w:color w:val="auto"/>
                <w:spacing w:val="0"/>
                <w:position w:val="0"/>
                <w:sz w:val="24"/>
                <w:szCs w:val="24"/>
                <w:highlight w:val="none"/>
              </w:rPr>
              <w:t>01包</w:t>
            </w:r>
            <w:r>
              <w:rPr>
                <w:rFonts w:hint="eastAsia" w:ascii="宋体" w:hAnsi="宋体" w:eastAsia="宋体" w:cs="宋体"/>
                <w:i w:val="0"/>
                <w:iCs w:val="0"/>
                <w:color w:val="auto"/>
                <w:spacing w:val="0"/>
                <w:position w:val="0"/>
                <w:sz w:val="24"/>
                <w:szCs w:val="24"/>
                <w:highlight w:val="none"/>
              </w:rPr>
              <w:t>：</w:t>
            </w:r>
            <w:r>
              <w:rPr>
                <w:rFonts w:hint="eastAsia" w:ascii="宋体" w:hAnsi="宋体" w:cs="宋体"/>
                <w:b/>
                <w:bCs/>
                <w:i w:val="0"/>
                <w:iCs w:val="0"/>
                <w:color w:val="auto"/>
                <w:spacing w:val="0"/>
                <w:position w:val="0"/>
                <w:sz w:val="24"/>
                <w:szCs w:val="24"/>
                <w:highlight w:val="none"/>
                <w:lang w:val="en-US" w:eastAsia="zh-CN"/>
              </w:rPr>
              <w:t>4</w:t>
            </w:r>
            <w:r>
              <w:rPr>
                <w:rFonts w:hint="eastAsia" w:ascii="宋体" w:hAnsi="宋体" w:eastAsia="宋体" w:cs="宋体"/>
                <w:b/>
                <w:bCs/>
                <w:i w:val="0"/>
                <w:iCs w:val="0"/>
                <w:color w:val="auto"/>
                <w:spacing w:val="0"/>
                <w:position w:val="0"/>
                <w:sz w:val="24"/>
                <w:szCs w:val="24"/>
                <w:highlight w:val="none"/>
                <w:lang w:val="en-US" w:eastAsia="zh-CN"/>
              </w:rPr>
              <w:t>万元整</w:t>
            </w:r>
            <w:r>
              <w:rPr>
                <w:rFonts w:hint="eastAsia" w:ascii="宋体" w:hAnsi="宋体" w:eastAsia="宋体" w:cs="宋体"/>
                <w:b/>
                <w:bCs/>
                <w:i w:val="0"/>
                <w:iCs w:val="0"/>
                <w:color w:val="auto"/>
                <w:spacing w:val="0"/>
                <w:position w:val="0"/>
                <w:sz w:val="24"/>
                <w:szCs w:val="24"/>
                <w:highlight w:val="none"/>
                <w:lang w:eastAsia="zh-CN"/>
              </w:rPr>
              <w:t>。</w:t>
            </w:r>
          </w:p>
          <w:p w14:paraId="164E6F00">
            <w:pPr>
              <w:keepNext w:val="0"/>
              <w:keepLines w:val="0"/>
              <w:pageBreakBefore w:val="0"/>
              <w:widowControl w:val="0"/>
              <w:kinsoku/>
              <w:wordWrap/>
              <w:overflowPunct/>
              <w:topLinePunct w:val="0"/>
              <w:autoSpaceDE/>
              <w:autoSpaceDN/>
              <w:bidi w:val="0"/>
              <w:spacing w:line="360" w:lineRule="auto"/>
              <w:jc w:val="left"/>
              <w:textAlignment w:val="auto"/>
              <w:rPr>
                <w:rFonts w:hint="default" w:ascii="宋体" w:hAnsi="宋体" w:eastAsia="宋体" w:cs="宋体"/>
                <w:b/>
                <w:bCs/>
                <w:i w:val="0"/>
                <w:iCs w:val="0"/>
                <w:color w:val="auto"/>
                <w:spacing w:val="0"/>
                <w:position w:val="0"/>
                <w:sz w:val="24"/>
                <w:szCs w:val="24"/>
                <w:highlight w:val="none"/>
                <w:lang w:val="en-US" w:eastAsia="zh-CN"/>
              </w:rPr>
            </w:pPr>
            <w:r>
              <w:rPr>
                <w:rFonts w:hint="eastAsia" w:ascii="宋体" w:hAnsi="宋体" w:cs="宋体"/>
                <w:b/>
                <w:bCs/>
                <w:i w:val="0"/>
                <w:iCs w:val="0"/>
                <w:color w:val="auto"/>
                <w:spacing w:val="0"/>
                <w:position w:val="0"/>
                <w:sz w:val="24"/>
                <w:szCs w:val="24"/>
                <w:highlight w:val="none"/>
                <w:lang w:val="en-US" w:eastAsia="zh-CN"/>
              </w:rPr>
              <w:t>02包：3</w:t>
            </w:r>
            <w:r>
              <w:rPr>
                <w:rFonts w:hint="eastAsia" w:ascii="宋体" w:hAnsi="宋体" w:eastAsia="宋体" w:cs="宋体"/>
                <w:b/>
                <w:bCs/>
                <w:i w:val="0"/>
                <w:iCs w:val="0"/>
                <w:color w:val="auto"/>
                <w:spacing w:val="0"/>
                <w:position w:val="0"/>
                <w:sz w:val="24"/>
                <w:szCs w:val="24"/>
                <w:highlight w:val="none"/>
                <w:lang w:val="en-US" w:eastAsia="zh-CN"/>
              </w:rPr>
              <w:t>万元整</w:t>
            </w:r>
            <w:r>
              <w:rPr>
                <w:rFonts w:hint="eastAsia" w:ascii="宋体" w:hAnsi="宋体" w:eastAsia="宋体" w:cs="宋体"/>
                <w:b/>
                <w:bCs/>
                <w:i w:val="0"/>
                <w:iCs w:val="0"/>
                <w:color w:val="auto"/>
                <w:spacing w:val="0"/>
                <w:position w:val="0"/>
                <w:sz w:val="24"/>
                <w:szCs w:val="24"/>
                <w:highlight w:val="none"/>
                <w:lang w:eastAsia="zh-CN"/>
              </w:rPr>
              <w:t>。</w:t>
            </w:r>
          </w:p>
          <w:p w14:paraId="1BABE65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b/>
                <w:bCs/>
                <w:i w:val="0"/>
                <w:iCs w:val="0"/>
                <w:color w:val="auto"/>
                <w:spacing w:val="0"/>
                <w:position w:val="0"/>
                <w:sz w:val="24"/>
                <w:szCs w:val="24"/>
                <w:highlight w:val="none"/>
              </w:rPr>
              <w:t>投标保证金递交形式</w:t>
            </w:r>
            <w:r>
              <w:rPr>
                <w:rFonts w:hint="eastAsia" w:ascii="宋体" w:hAnsi="宋体" w:eastAsia="宋体" w:cs="宋体"/>
                <w:b/>
                <w:bCs/>
                <w:i w:val="0"/>
                <w:iCs w:val="0"/>
                <w:color w:val="auto"/>
                <w:spacing w:val="0"/>
                <w:position w:val="0"/>
                <w:sz w:val="24"/>
                <w:szCs w:val="24"/>
                <w:highlight w:val="none"/>
                <w:lang w:eastAsia="zh-CN"/>
              </w:rPr>
              <w:t>：</w:t>
            </w:r>
            <w:r>
              <w:rPr>
                <w:rFonts w:hint="eastAsia" w:ascii="宋体" w:hAnsi="宋体" w:eastAsia="宋体" w:cs="宋体"/>
                <w:b/>
                <w:bCs/>
                <w:i w:val="0"/>
                <w:iCs w:val="0"/>
                <w:color w:val="auto"/>
                <w:spacing w:val="0"/>
                <w:position w:val="0"/>
                <w:sz w:val="24"/>
                <w:szCs w:val="24"/>
                <w:highlight w:val="none"/>
                <w:u w:val="single"/>
                <w:lang w:val="en-US" w:eastAsia="zh-CN"/>
              </w:rPr>
              <w:t>无其他特殊要求，按投标人须知约定提交。</w:t>
            </w:r>
          </w:p>
          <w:p w14:paraId="4CBA3CF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b/>
                <w:bCs/>
                <w:i w:val="0"/>
                <w:iCs w:val="0"/>
                <w:color w:val="auto"/>
                <w:spacing w:val="0"/>
                <w:position w:val="0"/>
                <w:sz w:val="24"/>
                <w:highlight w:val="none"/>
                <w:lang w:val="en-US" w:eastAsia="zh-CN"/>
              </w:rPr>
              <w:t>投标保证金缴款信息：</w:t>
            </w:r>
            <w:r>
              <w:rPr>
                <w:rFonts w:hint="eastAsia" w:ascii="宋体" w:hAnsi="宋体" w:eastAsia="宋体" w:cs="宋体"/>
                <w:i w:val="0"/>
                <w:iCs w:val="0"/>
                <w:color w:val="auto"/>
                <w:spacing w:val="0"/>
                <w:position w:val="0"/>
                <w:sz w:val="24"/>
                <w:highlight w:val="none"/>
                <w:lang w:val="en-US" w:eastAsia="zh-CN"/>
              </w:rPr>
              <w:t>投标人登录该网站链接获取缴纳账户信息</w:t>
            </w:r>
            <w:r>
              <w:rPr>
                <w:rFonts w:ascii="Segoe UI" w:hAnsi="Segoe UI" w:eastAsia="Segoe UI" w:cs="Segoe UI"/>
                <w:i w:val="0"/>
                <w:iCs w:val="0"/>
                <w:caps w:val="0"/>
                <w:color w:val="2B73F0"/>
                <w:spacing w:val="0"/>
                <w:sz w:val="21"/>
                <w:szCs w:val="21"/>
                <w:highlight w:val="none"/>
                <w:u w:val="none"/>
                <w:shd w:val="clear" w:fill="F7F8FA"/>
              </w:rPr>
              <w:fldChar w:fldCharType="begin"/>
            </w:r>
            <w:r>
              <w:rPr>
                <w:rFonts w:ascii="Segoe UI" w:hAnsi="Segoe UI" w:eastAsia="Segoe UI" w:cs="Segoe UI"/>
                <w:i w:val="0"/>
                <w:iCs w:val="0"/>
                <w:caps w:val="0"/>
                <w:color w:val="2B73F0"/>
                <w:spacing w:val="0"/>
                <w:sz w:val="21"/>
                <w:szCs w:val="21"/>
                <w:highlight w:val="none"/>
                <w:u w:val="none"/>
                <w:shd w:val="clear" w:fill="F7F8FA"/>
              </w:rPr>
              <w:instrText xml:space="preserve"> HYPERLINK "https://www.jiandaoyun.com/external_link_redirect?target_url=https://s8giz9twlp.jiandaoyun.com/f/6866a233c47e3c423e2b11be&amp;ticket=eyJhbGciOiJIUzI1NiIsInR5cCI6IkpXVCJ9.eyJtZXRhZGF0YSI6eyJtZW1iZXJJZCI6IjY4OTJiYmM2ZWFlYTcxMTRhYTZhZDEwYSIsInRlbmFudElkIjoiNjcyYWYzZTM2MmU2MzAwM2Q2NmI3ZjRkIiwicmVzb3VyY2VLZXkiOiIiLCJwdWJsaWNTY2VuZSI6bnVsbH0sImF1ZCI6ImV4dGVybmFsX2xpbmtfcmVkaXJlY3QiLCJpc3MiOiJjb20uamlhbmRhb3l1biJ9.-PCWVItWWb0yQXbliMR3PRZqzQkXsIDkPLjCFQOmsfw" \t "https://www.jiandaoyun.com/dashboard" \l "/app/67e4fd7ba49d372ccf296319/form/_blank" </w:instrText>
            </w:r>
            <w:r>
              <w:rPr>
                <w:rFonts w:ascii="Segoe UI" w:hAnsi="Segoe UI" w:eastAsia="Segoe UI" w:cs="Segoe UI"/>
                <w:i w:val="0"/>
                <w:iCs w:val="0"/>
                <w:caps w:val="0"/>
                <w:color w:val="2B73F0"/>
                <w:spacing w:val="0"/>
                <w:sz w:val="21"/>
                <w:szCs w:val="21"/>
                <w:highlight w:val="none"/>
                <w:u w:val="none"/>
                <w:shd w:val="clear" w:fill="F7F8FA"/>
              </w:rPr>
              <w:fldChar w:fldCharType="separate"/>
            </w:r>
            <w:r>
              <w:rPr>
                <w:rStyle w:val="52"/>
                <w:rFonts w:hint="default" w:ascii="Segoe UI" w:hAnsi="Segoe UI" w:eastAsia="Segoe UI" w:cs="Segoe UI"/>
                <w:i w:val="0"/>
                <w:iCs w:val="0"/>
                <w:caps w:val="0"/>
                <w:color w:val="2B73F0"/>
                <w:spacing w:val="0"/>
                <w:sz w:val="21"/>
                <w:szCs w:val="21"/>
                <w:highlight w:val="none"/>
                <w:u w:val="none"/>
                <w:shd w:val="clear" w:fill="F7F8FA"/>
              </w:rPr>
              <w:t>https://s8giz9twlp.jiandaoyun.com/f/6866a233c47e3c423e2b11be</w:t>
            </w:r>
            <w:r>
              <w:rPr>
                <w:rFonts w:hint="default" w:ascii="Segoe UI" w:hAnsi="Segoe UI" w:eastAsia="Segoe UI" w:cs="Segoe UI"/>
                <w:i w:val="0"/>
                <w:iCs w:val="0"/>
                <w:caps w:val="0"/>
                <w:color w:val="2B73F0"/>
                <w:spacing w:val="0"/>
                <w:sz w:val="21"/>
                <w:szCs w:val="21"/>
                <w:highlight w:val="none"/>
                <w:u w:val="none"/>
                <w:shd w:val="clear" w:fill="F7F8FA"/>
              </w:rPr>
              <w:fldChar w:fldCharType="end"/>
            </w:r>
            <w:r>
              <w:rPr>
                <w:rFonts w:hint="eastAsia" w:ascii="宋体" w:hAnsi="宋体" w:eastAsia="宋体" w:cs="宋体"/>
                <w:i w:val="0"/>
                <w:iCs w:val="0"/>
                <w:color w:val="auto"/>
                <w:spacing w:val="0"/>
                <w:position w:val="0"/>
                <w:sz w:val="24"/>
                <w:highlight w:val="none"/>
                <w:lang w:val="en-US" w:eastAsia="zh-CN"/>
              </w:rPr>
              <w:t>并上传缴纳凭证。如投标人不按照以上要求缴纳投标保证金，可能会造成投标过程的不利情形。</w:t>
            </w:r>
          </w:p>
          <w:p w14:paraId="0A31C5A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highlight w:val="none"/>
                <w:lang w:val="en-US" w:eastAsia="zh-CN"/>
              </w:rPr>
              <w:t>提示</w:t>
            </w:r>
            <w:r>
              <w:rPr>
                <w:rFonts w:hint="eastAsia" w:ascii="宋体" w:hAnsi="宋体" w:eastAsia="宋体" w:cs="宋体"/>
                <w:b/>
                <w:bCs/>
                <w:i w:val="0"/>
                <w:iCs w:val="0"/>
                <w:color w:val="auto"/>
                <w:spacing w:val="0"/>
                <w:position w:val="0"/>
                <w:sz w:val="24"/>
                <w:highlight w:val="none"/>
              </w:rPr>
              <w:t>：</w:t>
            </w:r>
            <w:r>
              <w:rPr>
                <w:rFonts w:hint="eastAsia" w:ascii="宋体" w:hAnsi="宋体" w:eastAsia="宋体" w:cs="宋体"/>
                <w:b/>
                <w:bCs/>
                <w:i w:val="0"/>
                <w:iCs w:val="0"/>
                <w:color w:val="auto"/>
                <w:spacing w:val="0"/>
                <w:position w:val="0"/>
                <w:sz w:val="24"/>
                <w:highlight w:val="none"/>
                <w:lang w:val="en-US" w:eastAsia="zh-CN"/>
              </w:rPr>
              <w:t>缴纳完成后需将电子回单上传至</w:t>
            </w:r>
            <w:r>
              <w:rPr>
                <w:rFonts w:hint="eastAsia" w:ascii="宋体" w:hAnsi="宋体" w:eastAsia="宋体" w:cs="宋体"/>
                <w:b/>
                <w:bCs/>
                <w:i w:val="0"/>
                <w:iCs w:val="0"/>
                <w:color w:val="auto"/>
                <w:spacing w:val="0"/>
                <w:position w:val="0"/>
                <w:sz w:val="24"/>
                <w:highlight w:val="none"/>
                <w:lang w:bidi="ar"/>
              </w:rPr>
              <w:t>北京市政府采购电子交易平台</w:t>
            </w:r>
          </w:p>
        </w:tc>
      </w:tr>
      <w:tr w14:paraId="25F5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B9F031">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12.8.2</w:t>
            </w:r>
          </w:p>
        </w:tc>
        <w:tc>
          <w:tcPr>
            <w:tcW w:w="1701" w:type="dxa"/>
            <w:vMerge w:val="continue"/>
            <w:vAlign w:val="center"/>
          </w:tcPr>
          <w:p w14:paraId="5041CC2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p>
        </w:tc>
        <w:tc>
          <w:tcPr>
            <w:tcW w:w="6244" w:type="dxa"/>
            <w:vAlign w:val="center"/>
          </w:tcPr>
          <w:p w14:paraId="79679C5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投标保证金可以不予退还的其他情形：</w:t>
            </w:r>
          </w:p>
          <w:p w14:paraId="514B048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szCs w:val="24"/>
                <w:highlight w:val="none"/>
                <w:lang w:eastAsia="zh-CN"/>
              </w:rPr>
              <w:t>□</w:t>
            </w:r>
            <w:r>
              <w:rPr>
                <w:rFonts w:hint="eastAsia" w:ascii="宋体" w:hAnsi="宋体" w:eastAsia="宋体" w:cs="宋体"/>
                <w:i w:val="0"/>
                <w:iCs w:val="0"/>
                <w:color w:val="auto"/>
                <w:spacing w:val="0"/>
                <w:position w:val="0"/>
                <w:sz w:val="24"/>
                <w:szCs w:val="24"/>
                <w:highlight w:val="none"/>
              </w:rPr>
              <w:t>无</w:t>
            </w:r>
          </w:p>
          <w:p w14:paraId="2A1BA95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有，具体情形：</w:t>
            </w:r>
          </w:p>
          <w:p w14:paraId="22BA767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w w:val="100"/>
                <w:kern w:val="0"/>
                <w:position w:val="0"/>
                <w:sz w:val="24"/>
                <w:szCs w:val="24"/>
                <w:highlight w:val="none"/>
                <w:u w:val="single" w:color="auto"/>
                <w:lang w:eastAsia="zh-CN"/>
              </w:rPr>
            </w:pP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color w:val="auto"/>
                <w:spacing w:val="0"/>
                <w:w w:val="100"/>
                <w:kern w:val="0"/>
                <w:position w:val="0"/>
                <w:sz w:val="24"/>
                <w:szCs w:val="24"/>
                <w:highlight w:val="none"/>
                <w:u w:val="single" w:color="auto"/>
                <w:lang w:val="en-US" w:eastAsia="zh-CN"/>
              </w:rPr>
              <w:t>1</w:t>
            </w: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snapToGrid w:val="0"/>
                <w:color w:val="auto"/>
                <w:spacing w:val="0"/>
                <w:position w:val="0"/>
                <w:sz w:val="24"/>
                <w:szCs w:val="24"/>
                <w:highlight w:val="none"/>
                <w:u w:val="single" w:color="auto"/>
              </w:rPr>
              <w:t>在投标有效期内，投标人擅自撤销投标文件的</w:t>
            </w:r>
            <w:r>
              <w:rPr>
                <w:rFonts w:hint="eastAsia" w:ascii="宋体" w:hAnsi="宋体" w:eastAsia="宋体" w:cs="宋体"/>
                <w:i w:val="0"/>
                <w:iCs w:val="0"/>
                <w:color w:val="auto"/>
                <w:spacing w:val="0"/>
                <w:kern w:val="0"/>
                <w:position w:val="0"/>
                <w:sz w:val="24"/>
                <w:szCs w:val="24"/>
                <w:highlight w:val="none"/>
                <w:u w:val="single" w:color="auto"/>
                <w:lang w:eastAsia="zh-CN"/>
              </w:rPr>
              <w:t>；</w:t>
            </w:r>
          </w:p>
          <w:p w14:paraId="19F57F9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w w:val="100"/>
                <w:kern w:val="0"/>
                <w:position w:val="0"/>
                <w:sz w:val="24"/>
                <w:szCs w:val="24"/>
                <w:highlight w:val="none"/>
                <w:u w:val="single" w:color="auto"/>
                <w:lang w:eastAsia="zh-CN"/>
              </w:rPr>
            </w:pP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color w:val="auto"/>
                <w:spacing w:val="0"/>
                <w:w w:val="100"/>
                <w:kern w:val="0"/>
                <w:position w:val="0"/>
                <w:sz w:val="24"/>
                <w:szCs w:val="24"/>
                <w:highlight w:val="none"/>
                <w:u w:val="single" w:color="auto"/>
                <w:lang w:val="en-US" w:eastAsia="zh-CN"/>
              </w:rPr>
              <w:t>2）</w:t>
            </w:r>
            <w:r>
              <w:rPr>
                <w:rFonts w:hint="eastAsia" w:ascii="宋体" w:hAnsi="宋体" w:eastAsia="宋体" w:cs="宋体"/>
                <w:i w:val="0"/>
                <w:iCs w:val="0"/>
                <w:color w:val="auto"/>
                <w:spacing w:val="0"/>
                <w:w w:val="100"/>
                <w:kern w:val="0"/>
                <w:position w:val="0"/>
                <w:sz w:val="24"/>
                <w:szCs w:val="24"/>
                <w:highlight w:val="none"/>
                <w:u w:val="single" w:color="auto"/>
              </w:rPr>
              <w:t>投标人在收到中标通知书后，未按招标文件要求与采购人签订政府采购合同</w:t>
            </w:r>
            <w:r>
              <w:rPr>
                <w:rFonts w:hint="eastAsia" w:ascii="宋体" w:hAnsi="宋体" w:eastAsia="宋体" w:cs="宋体"/>
                <w:i w:val="0"/>
                <w:iCs w:val="0"/>
                <w:color w:val="auto"/>
                <w:spacing w:val="0"/>
                <w:w w:val="100"/>
                <w:kern w:val="0"/>
                <w:position w:val="0"/>
                <w:sz w:val="24"/>
                <w:szCs w:val="24"/>
                <w:highlight w:val="none"/>
                <w:u w:val="single" w:color="auto"/>
                <w:lang w:eastAsia="zh-CN"/>
              </w:rPr>
              <w:t>；</w:t>
            </w:r>
          </w:p>
          <w:p w14:paraId="5757A11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kern w:val="0"/>
                <w:position w:val="0"/>
                <w:sz w:val="24"/>
                <w:szCs w:val="24"/>
                <w:highlight w:val="none"/>
                <w:u w:val="single" w:color="auto"/>
                <w:lang w:eastAsia="zh-CN"/>
              </w:rPr>
            </w:pPr>
            <w:r>
              <w:rPr>
                <w:rFonts w:hint="eastAsia" w:ascii="宋体" w:hAnsi="宋体" w:eastAsia="宋体" w:cs="宋体"/>
                <w:i w:val="0"/>
                <w:iCs w:val="0"/>
                <w:snapToGrid w:val="0"/>
                <w:color w:val="auto"/>
                <w:spacing w:val="0"/>
                <w:kern w:val="0"/>
                <w:position w:val="0"/>
                <w:sz w:val="24"/>
                <w:szCs w:val="24"/>
                <w:highlight w:val="none"/>
                <w:u w:val="single" w:color="auto"/>
                <w:lang w:val="en-US" w:eastAsia="zh-CN" w:bidi="ar-SA"/>
              </w:rPr>
              <w:t>（3）</w:t>
            </w:r>
            <w:r>
              <w:rPr>
                <w:rFonts w:hint="eastAsia" w:ascii="宋体" w:hAnsi="宋体" w:eastAsia="宋体" w:cs="宋体"/>
                <w:i w:val="0"/>
                <w:iCs w:val="0"/>
                <w:color w:val="auto"/>
                <w:spacing w:val="0"/>
                <w:kern w:val="0"/>
                <w:position w:val="0"/>
                <w:sz w:val="24"/>
                <w:szCs w:val="24"/>
                <w:highlight w:val="none"/>
                <w:u w:val="single" w:color="auto"/>
              </w:rPr>
              <w:t>投标人提供虚假资料</w:t>
            </w:r>
            <w:r>
              <w:rPr>
                <w:rFonts w:hint="eastAsia" w:ascii="宋体" w:hAnsi="宋体" w:eastAsia="宋体" w:cs="宋体"/>
                <w:i w:val="0"/>
                <w:iCs w:val="0"/>
                <w:color w:val="auto"/>
                <w:spacing w:val="0"/>
                <w:kern w:val="0"/>
                <w:position w:val="0"/>
                <w:sz w:val="24"/>
                <w:szCs w:val="24"/>
                <w:highlight w:val="none"/>
                <w:u w:val="single" w:color="auto"/>
                <w:lang w:eastAsia="zh-CN"/>
              </w:rPr>
              <w:t>；</w:t>
            </w:r>
          </w:p>
          <w:p w14:paraId="0B38C1B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snapToGrid w:val="0"/>
                <w:color w:val="auto"/>
                <w:spacing w:val="0"/>
                <w:w w:val="100"/>
                <w:kern w:val="0"/>
                <w:position w:val="0"/>
                <w:sz w:val="24"/>
                <w:szCs w:val="24"/>
                <w:highlight w:val="none"/>
                <w:u w:val="single" w:color="auto"/>
                <w:lang w:val="en-US" w:eastAsia="zh-CN" w:bidi="ar-SA"/>
              </w:rPr>
              <w:t>（4）</w:t>
            </w:r>
            <w:r>
              <w:rPr>
                <w:rFonts w:hint="eastAsia" w:ascii="宋体" w:hAnsi="宋体" w:eastAsia="宋体" w:cs="宋体"/>
                <w:i w:val="0"/>
                <w:iCs w:val="0"/>
                <w:color w:val="auto"/>
                <w:spacing w:val="0"/>
                <w:kern w:val="0"/>
                <w:position w:val="0"/>
                <w:sz w:val="24"/>
                <w:szCs w:val="24"/>
                <w:highlight w:val="none"/>
                <w:u w:val="single" w:color="auto"/>
                <w:lang w:val="en-US" w:eastAsia="zh-CN"/>
              </w:rPr>
              <w:t>法律法规规定的其他情形</w:t>
            </w:r>
            <w:r>
              <w:rPr>
                <w:rFonts w:hint="eastAsia" w:ascii="宋体" w:hAnsi="宋体" w:eastAsia="宋体" w:cs="宋体"/>
                <w:i w:val="0"/>
                <w:iCs w:val="0"/>
                <w:color w:val="auto"/>
                <w:spacing w:val="0"/>
                <w:kern w:val="0"/>
                <w:position w:val="0"/>
                <w:sz w:val="24"/>
                <w:szCs w:val="24"/>
                <w:highlight w:val="none"/>
                <w:u w:val="single" w:color="auto"/>
                <w:lang w:eastAsia="zh-CN"/>
              </w:rPr>
              <w:t>。</w:t>
            </w:r>
          </w:p>
        </w:tc>
      </w:tr>
      <w:tr w14:paraId="5748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97E872">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13.1</w:t>
            </w:r>
          </w:p>
        </w:tc>
        <w:tc>
          <w:tcPr>
            <w:tcW w:w="1701" w:type="dxa"/>
            <w:vAlign w:val="center"/>
          </w:tcPr>
          <w:p w14:paraId="3A4E31D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投标有效期</w:t>
            </w:r>
          </w:p>
        </w:tc>
        <w:tc>
          <w:tcPr>
            <w:tcW w:w="6244" w:type="dxa"/>
            <w:vAlign w:val="center"/>
          </w:tcPr>
          <w:p w14:paraId="3636733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自提交投标文件的截止之日起算</w:t>
            </w:r>
            <w:r>
              <w:rPr>
                <w:rFonts w:hint="eastAsia" w:ascii="宋体" w:hAnsi="宋体" w:eastAsia="宋体" w:cs="宋体"/>
                <w:i w:val="0"/>
                <w:iCs w:val="0"/>
                <w:color w:val="auto"/>
                <w:spacing w:val="0"/>
                <w:position w:val="0"/>
                <w:sz w:val="24"/>
                <w:szCs w:val="24"/>
                <w:highlight w:val="none"/>
                <w:u w:val="single"/>
                <w:lang w:val="en-US" w:eastAsia="zh-CN"/>
              </w:rPr>
              <w:t xml:space="preserve"> 90 </w:t>
            </w:r>
            <w:r>
              <w:rPr>
                <w:rFonts w:hint="eastAsia" w:ascii="宋体" w:hAnsi="宋体" w:eastAsia="宋体" w:cs="宋体"/>
                <w:i w:val="0"/>
                <w:iCs w:val="0"/>
                <w:color w:val="auto"/>
                <w:spacing w:val="0"/>
                <w:position w:val="0"/>
                <w:sz w:val="24"/>
                <w:szCs w:val="24"/>
                <w:highlight w:val="none"/>
              </w:rPr>
              <w:t>日历天。</w:t>
            </w:r>
          </w:p>
        </w:tc>
      </w:tr>
      <w:tr w14:paraId="5391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FECD92">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18.2</w:t>
            </w:r>
          </w:p>
        </w:tc>
        <w:tc>
          <w:tcPr>
            <w:tcW w:w="1701" w:type="dxa"/>
            <w:vAlign w:val="center"/>
          </w:tcPr>
          <w:p w14:paraId="4286E3F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解密时间</w:t>
            </w:r>
          </w:p>
        </w:tc>
        <w:tc>
          <w:tcPr>
            <w:tcW w:w="6244" w:type="dxa"/>
            <w:vAlign w:val="center"/>
          </w:tcPr>
          <w:p w14:paraId="3181EBA6">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解密时间：</w:t>
            </w:r>
            <w:r>
              <w:rPr>
                <w:rFonts w:hint="eastAsia" w:ascii="宋体" w:hAnsi="宋体" w:eastAsia="宋体" w:cs="宋体"/>
                <w:i w:val="0"/>
                <w:iCs w:val="0"/>
                <w:color w:val="auto"/>
                <w:spacing w:val="0"/>
                <w:position w:val="0"/>
                <w:sz w:val="24"/>
                <w:szCs w:val="24"/>
                <w:highlight w:val="none"/>
                <w:u w:val="single"/>
              </w:rPr>
              <w:t xml:space="preserve"> </w:t>
            </w:r>
            <w:r>
              <w:rPr>
                <w:rFonts w:hint="eastAsia" w:ascii="宋体" w:hAnsi="宋体" w:eastAsia="宋体" w:cs="宋体"/>
                <w:i w:val="0"/>
                <w:iCs w:val="0"/>
                <w:color w:val="auto"/>
                <w:spacing w:val="0"/>
                <w:position w:val="0"/>
                <w:sz w:val="24"/>
                <w:szCs w:val="24"/>
                <w:highlight w:val="none"/>
                <w:u w:val="single"/>
                <w:lang w:val="en-US" w:eastAsia="zh-CN"/>
              </w:rPr>
              <w:t>30</w:t>
            </w:r>
            <w:r>
              <w:rPr>
                <w:rFonts w:hint="eastAsia" w:ascii="宋体" w:hAnsi="宋体" w:eastAsia="宋体" w:cs="宋体"/>
                <w:i w:val="0"/>
                <w:iCs w:val="0"/>
                <w:color w:val="auto"/>
                <w:spacing w:val="0"/>
                <w:position w:val="0"/>
                <w:sz w:val="24"/>
                <w:szCs w:val="24"/>
                <w:highlight w:val="none"/>
                <w:u w:val="single"/>
              </w:rPr>
              <w:t xml:space="preserve"> </w:t>
            </w:r>
            <w:r>
              <w:rPr>
                <w:rFonts w:hint="eastAsia" w:ascii="宋体" w:hAnsi="宋体" w:eastAsia="宋体" w:cs="宋体"/>
                <w:i w:val="0"/>
                <w:iCs w:val="0"/>
                <w:color w:val="auto"/>
                <w:spacing w:val="0"/>
                <w:position w:val="0"/>
                <w:sz w:val="24"/>
                <w:szCs w:val="24"/>
                <w:highlight w:val="none"/>
              </w:rPr>
              <w:t>分钟</w:t>
            </w:r>
          </w:p>
        </w:tc>
      </w:tr>
      <w:tr w14:paraId="5939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8BA9EA">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22.1</w:t>
            </w:r>
          </w:p>
        </w:tc>
        <w:tc>
          <w:tcPr>
            <w:tcW w:w="1701" w:type="dxa"/>
            <w:vAlign w:val="center"/>
          </w:tcPr>
          <w:p w14:paraId="1B6512D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确定中标人</w:t>
            </w:r>
          </w:p>
        </w:tc>
        <w:tc>
          <w:tcPr>
            <w:tcW w:w="6244" w:type="dxa"/>
            <w:vAlign w:val="center"/>
          </w:tcPr>
          <w:p w14:paraId="09687B9B">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中标候选人并列的，采购人是否委托评标委员会确定中标人：</w:t>
            </w:r>
          </w:p>
          <w:p w14:paraId="2CEBF13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否</w:t>
            </w:r>
          </w:p>
          <w:p w14:paraId="69401A31">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是</w:t>
            </w:r>
          </w:p>
          <w:p w14:paraId="4F7AD63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 xml:space="preserve">中标候选人并列的，按照以下方式确定中标人： </w:t>
            </w:r>
          </w:p>
          <w:p w14:paraId="5CEBF3E7">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得分且投标报价均相同的，以</w:t>
            </w:r>
            <w:r>
              <w:rPr>
                <w:rFonts w:hint="eastAsia" w:ascii="宋体" w:hAnsi="宋体" w:eastAsia="宋体" w:cs="宋体"/>
                <w:i w:val="0"/>
                <w:iCs w:val="0"/>
                <w:color w:val="auto"/>
                <w:spacing w:val="0"/>
                <w:position w:val="0"/>
                <w:sz w:val="24"/>
                <w:szCs w:val="24"/>
                <w:highlight w:val="none"/>
                <w:u w:val="single"/>
                <w:lang w:val="en-US" w:eastAsia="zh-CN"/>
              </w:rPr>
              <w:t xml:space="preserve"> 按照技术部分评审因素 </w:t>
            </w:r>
            <w:r>
              <w:rPr>
                <w:rFonts w:hint="eastAsia" w:ascii="宋体" w:hAnsi="宋体" w:eastAsia="宋体" w:cs="宋体"/>
                <w:i w:val="0"/>
                <w:iCs w:val="0"/>
                <w:color w:val="auto"/>
                <w:spacing w:val="0"/>
                <w:position w:val="0"/>
                <w:sz w:val="24"/>
                <w:szCs w:val="24"/>
                <w:highlight w:val="none"/>
              </w:rPr>
              <w:t>得分高者为中标人</w:t>
            </w:r>
          </w:p>
          <w:p w14:paraId="29B0F3D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随机抽取</w:t>
            </w:r>
          </w:p>
        </w:tc>
      </w:tr>
      <w:tr w14:paraId="3EF5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61135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25.5</w:t>
            </w:r>
          </w:p>
        </w:tc>
        <w:tc>
          <w:tcPr>
            <w:tcW w:w="1701" w:type="dxa"/>
            <w:vAlign w:val="center"/>
          </w:tcPr>
          <w:p w14:paraId="43AF3B9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分包</w:t>
            </w:r>
          </w:p>
        </w:tc>
        <w:tc>
          <w:tcPr>
            <w:tcW w:w="6244" w:type="dxa"/>
            <w:vAlign w:val="center"/>
          </w:tcPr>
          <w:p w14:paraId="70F18D6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 xml:space="preserve">本项目的非主体、非关键性工作是否允许分包： </w:t>
            </w:r>
          </w:p>
          <w:p w14:paraId="2DE07771">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不允许</w:t>
            </w:r>
          </w:p>
          <w:p w14:paraId="76CF024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允许，具体要求：</w:t>
            </w:r>
          </w:p>
          <w:p w14:paraId="2BF2A41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（1）可以分包履行的具体内容：_____；</w:t>
            </w:r>
          </w:p>
          <w:p w14:paraId="5FBD269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（2）允许分包的金额或者比例：_____；</w:t>
            </w:r>
          </w:p>
          <w:p w14:paraId="274C2FE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（3）其他要求：_____。</w:t>
            </w:r>
          </w:p>
        </w:tc>
      </w:tr>
      <w:tr w14:paraId="3ECD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976F6B">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25.6</w:t>
            </w:r>
          </w:p>
        </w:tc>
        <w:tc>
          <w:tcPr>
            <w:tcW w:w="1701" w:type="dxa"/>
            <w:vAlign w:val="center"/>
          </w:tcPr>
          <w:p w14:paraId="5DBF9BC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政采贷</w:t>
            </w:r>
          </w:p>
        </w:tc>
        <w:tc>
          <w:tcPr>
            <w:tcW w:w="6244" w:type="dxa"/>
            <w:vAlign w:val="center"/>
          </w:tcPr>
          <w:p w14:paraId="5B06BAA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szCs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8DA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6D5D40">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26.1.1</w:t>
            </w:r>
          </w:p>
        </w:tc>
        <w:tc>
          <w:tcPr>
            <w:tcW w:w="1701" w:type="dxa"/>
            <w:vAlign w:val="center"/>
          </w:tcPr>
          <w:p w14:paraId="487B5AB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询问</w:t>
            </w:r>
          </w:p>
        </w:tc>
        <w:tc>
          <w:tcPr>
            <w:tcW w:w="6244" w:type="dxa"/>
            <w:vAlign w:val="center"/>
          </w:tcPr>
          <w:p w14:paraId="7594DBD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询问提出形式：</w:t>
            </w:r>
            <w:r>
              <w:rPr>
                <w:rFonts w:hint="eastAsia" w:ascii="宋体" w:hAnsi="宋体" w:eastAsia="宋体" w:cs="宋体"/>
                <w:i w:val="0"/>
                <w:iCs w:val="0"/>
                <w:color w:val="auto"/>
                <w:spacing w:val="0"/>
                <w:w w:val="100"/>
                <w:kern w:val="0"/>
                <w:position w:val="0"/>
                <w:sz w:val="24"/>
                <w:szCs w:val="24"/>
                <w:highlight w:val="none"/>
                <w:u w:val="single"/>
                <w:lang w:val="en-US" w:eastAsia="zh-CN"/>
              </w:rPr>
              <w:t>书面形式</w:t>
            </w:r>
          </w:p>
        </w:tc>
      </w:tr>
      <w:tr w14:paraId="6209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C8664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26.3</w:t>
            </w:r>
          </w:p>
        </w:tc>
        <w:tc>
          <w:tcPr>
            <w:tcW w:w="1701" w:type="dxa"/>
            <w:vAlign w:val="center"/>
          </w:tcPr>
          <w:p w14:paraId="7F21AAA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联系方式</w:t>
            </w:r>
          </w:p>
        </w:tc>
        <w:tc>
          <w:tcPr>
            <w:tcW w:w="6244" w:type="dxa"/>
            <w:vAlign w:val="center"/>
          </w:tcPr>
          <w:p w14:paraId="37886CE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接收询问和质疑的联系方式</w:t>
            </w:r>
          </w:p>
          <w:p w14:paraId="45EDB018">
            <w:pPr>
              <w:pageBreakBefore w:val="0"/>
              <w:wordWrap/>
              <w:topLinePunct w:val="0"/>
              <w:bidi w:val="0"/>
              <w:spacing w:line="360" w:lineRule="auto"/>
              <w:jc w:val="both"/>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联系部门：</w:t>
            </w:r>
            <w:r>
              <w:rPr>
                <w:rFonts w:hint="eastAsia" w:ascii="宋体" w:hAnsi="宋体" w:eastAsia="宋体" w:cs="宋体"/>
                <w:i w:val="0"/>
                <w:iCs w:val="0"/>
                <w:color w:val="auto"/>
                <w:spacing w:val="0"/>
                <w:kern w:val="0"/>
                <w:position w:val="0"/>
                <w:sz w:val="24"/>
                <w:highlight w:val="none"/>
                <w:u w:val="single"/>
                <w:lang w:val="en-US" w:eastAsia="zh-CN"/>
              </w:rPr>
              <w:t>招标代理机构</w:t>
            </w:r>
            <w:r>
              <w:rPr>
                <w:rFonts w:hint="eastAsia" w:ascii="宋体" w:hAnsi="宋体" w:eastAsia="宋体" w:cs="宋体"/>
                <w:i w:val="0"/>
                <w:iCs w:val="0"/>
                <w:color w:val="auto"/>
                <w:spacing w:val="0"/>
                <w:kern w:val="0"/>
                <w:position w:val="0"/>
                <w:sz w:val="24"/>
                <w:highlight w:val="none"/>
                <w:u w:val="single"/>
              </w:rPr>
              <w:t>招标部</w:t>
            </w:r>
            <w:r>
              <w:rPr>
                <w:rFonts w:hint="eastAsia" w:ascii="宋体" w:hAnsi="宋体" w:eastAsia="宋体" w:cs="宋体"/>
                <w:i w:val="0"/>
                <w:iCs w:val="0"/>
                <w:color w:val="auto"/>
                <w:spacing w:val="0"/>
                <w:kern w:val="0"/>
                <w:position w:val="0"/>
                <w:sz w:val="24"/>
                <w:highlight w:val="none"/>
              </w:rPr>
              <w:t>；</w:t>
            </w:r>
          </w:p>
          <w:p w14:paraId="13B9D501">
            <w:pPr>
              <w:pageBreakBefore w:val="0"/>
              <w:wordWrap/>
              <w:topLinePunct w:val="0"/>
              <w:bidi w:val="0"/>
              <w:spacing w:line="360" w:lineRule="auto"/>
              <w:jc w:val="both"/>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联系电话：</w:t>
            </w:r>
            <w:r>
              <w:rPr>
                <w:rFonts w:hint="eastAsia" w:ascii="宋体" w:hAnsi="宋体" w:eastAsia="宋体" w:cs="宋体"/>
                <w:i w:val="0"/>
                <w:iCs w:val="0"/>
                <w:color w:val="auto"/>
                <w:spacing w:val="0"/>
                <w:kern w:val="0"/>
                <w:position w:val="0"/>
                <w:sz w:val="24"/>
                <w:highlight w:val="none"/>
                <w:u w:val="single"/>
              </w:rPr>
              <w:t>010-53606938</w:t>
            </w:r>
            <w:r>
              <w:rPr>
                <w:rFonts w:hint="eastAsia" w:ascii="宋体" w:hAnsi="宋体" w:eastAsia="宋体" w:cs="宋体"/>
                <w:i w:val="0"/>
                <w:iCs w:val="0"/>
                <w:color w:val="auto"/>
                <w:spacing w:val="0"/>
                <w:kern w:val="0"/>
                <w:position w:val="0"/>
                <w:sz w:val="24"/>
                <w:highlight w:val="none"/>
              </w:rPr>
              <w:t>；</w:t>
            </w:r>
          </w:p>
          <w:p w14:paraId="652F643F">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rPr>
              <w:t>通讯地址：</w:t>
            </w:r>
            <w:r>
              <w:rPr>
                <w:rFonts w:hint="eastAsia" w:ascii="宋体" w:hAnsi="宋体" w:eastAsia="宋体" w:cs="宋体"/>
                <w:i w:val="0"/>
                <w:iCs w:val="0"/>
                <w:color w:val="auto"/>
                <w:spacing w:val="0"/>
                <w:kern w:val="0"/>
                <w:position w:val="0"/>
                <w:sz w:val="24"/>
                <w:highlight w:val="none"/>
                <w:u w:val="single"/>
              </w:rPr>
              <w:t>北京市怀柔区迎宾南路11号五幢二层2213室。</w:t>
            </w:r>
          </w:p>
        </w:tc>
      </w:tr>
      <w:tr w14:paraId="5464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BB332E">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F1BEC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代理费</w:t>
            </w:r>
          </w:p>
        </w:tc>
        <w:tc>
          <w:tcPr>
            <w:tcW w:w="6244" w:type="dxa"/>
            <w:tcBorders>
              <w:top w:val="single" w:color="auto" w:sz="4" w:space="0"/>
              <w:left w:val="single" w:color="auto" w:sz="4" w:space="0"/>
              <w:bottom w:val="single" w:color="auto" w:sz="4" w:space="0"/>
              <w:right w:val="single" w:color="auto" w:sz="4" w:space="0"/>
            </w:tcBorders>
            <w:vAlign w:val="center"/>
          </w:tcPr>
          <w:p w14:paraId="3024E21F">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收费对象：</w:t>
            </w:r>
          </w:p>
          <w:p w14:paraId="35319A8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采购人</w:t>
            </w:r>
          </w:p>
          <w:p w14:paraId="040C5E4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中标人</w:t>
            </w:r>
          </w:p>
          <w:p w14:paraId="37F40EA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收费标准：</w:t>
            </w:r>
            <w:r>
              <w:rPr>
                <w:rFonts w:hint="eastAsia" w:ascii="宋体" w:hAnsi="宋体" w:eastAsia="宋体" w:cs="宋体"/>
                <w:i w:val="0"/>
                <w:iCs w:val="0"/>
                <w:color w:val="auto"/>
                <w:spacing w:val="0"/>
                <w:position w:val="0"/>
                <w:sz w:val="24"/>
                <w:szCs w:val="24"/>
                <w:highlight w:val="none"/>
                <w:u w:val="single"/>
              </w:rPr>
              <w:t>依据原国家发展计划委员会《招标代理服务收费管理暂行办法》（计价格[2002]1980号）、国家发展改革委办公厅《关于招标代理服务收费有关问题的通知》（发改办价格[2003]857号）和国家发展和改革委员会《关于降低部分建设项目收费标准规范收费行为等有关问题的通知》（发改价格[2011]534号）中收费标准计算，且下浮</w:t>
            </w:r>
            <w:r>
              <w:rPr>
                <w:rFonts w:hint="eastAsia" w:ascii="宋体" w:hAnsi="宋体" w:cs="宋体"/>
                <w:i w:val="0"/>
                <w:iCs w:val="0"/>
                <w:color w:val="auto"/>
                <w:spacing w:val="0"/>
                <w:position w:val="0"/>
                <w:sz w:val="24"/>
                <w:szCs w:val="24"/>
                <w:highlight w:val="none"/>
                <w:u w:val="single"/>
                <w:lang w:val="en-US" w:eastAsia="zh-CN"/>
              </w:rPr>
              <w:t>25</w:t>
            </w:r>
            <w:r>
              <w:rPr>
                <w:rFonts w:hint="eastAsia" w:ascii="宋体" w:hAnsi="宋体" w:eastAsia="宋体" w:cs="宋体"/>
                <w:i w:val="0"/>
                <w:iCs w:val="0"/>
                <w:color w:val="auto"/>
                <w:spacing w:val="0"/>
                <w:position w:val="0"/>
                <w:sz w:val="24"/>
                <w:szCs w:val="24"/>
                <w:highlight w:val="none"/>
                <w:u w:val="single"/>
              </w:rPr>
              <w:t>%，由中标人支付。</w:t>
            </w:r>
          </w:p>
          <w:p w14:paraId="67E4E992">
            <w:pPr>
              <w:pStyle w:val="254"/>
              <w:keepNext w:val="0"/>
              <w:keepLines w:val="0"/>
              <w:pageBreakBefore w:val="0"/>
              <w:widowControl/>
              <w:kinsoku/>
              <w:wordWrap/>
              <w:overflowPunct/>
              <w:topLinePunct w:val="0"/>
              <w:autoSpaceDE/>
              <w:autoSpaceDN/>
              <w:bidi w:val="0"/>
              <w:adjustRightInd w:val="0"/>
              <w:snapToGrid w:val="0"/>
              <w:spacing w:line="360" w:lineRule="auto"/>
              <w:ind w:left="0"/>
              <w:jc w:val="both"/>
              <w:textAlignment w:val="baseline"/>
              <w:rPr>
                <w:rFonts w:hint="eastAsia" w:ascii="宋体" w:hAnsi="宋体" w:eastAsia="宋体" w:cs="宋体"/>
                <w:i w:val="0"/>
                <w:iCs w:val="0"/>
                <w:color w:val="auto"/>
                <w:spacing w:val="0"/>
                <w:w w:val="100"/>
                <w:kern w:val="0"/>
                <w:position w:val="0"/>
                <w:highlight w:val="none"/>
              </w:rPr>
            </w:pPr>
            <w:r>
              <w:rPr>
                <w:rFonts w:hint="eastAsia" w:ascii="宋体" w:hAnsi="宋体" w:eastAsia="宋体" w:cs="宋体"/>
                <w:i w:val="0"/>
                <w:iCs w:val="0"/>
                <w:color w:val="auto"/>
                <w:spacing w:val="0"/>
                <w:w w:val="100"/>
                <w:kern w:val="0"/>
                <w:position w:val="0"/>
                <w:highlight w:val="none"/>
              </w:rPr>
              <w:t>缴纳时间：</w:t>
            </w:r>
            <w:r>
              <w:rPr>
                <w:rFonts w:hint="eastAsia" w:ascii="宋体" w:hAnsi="宋体" w:eastAsia="宋体" w:cs="宋体"/>
                <w:i w:val="0"/>
                <w:iCs w:val="0"/>
                <w:color w:val="auto"/>
                <w:spacing w:val="0"/>
                <w:w w:val="100"/>
                <w:kern w:val="0"/>
                <w:position w:val="0"/>
                <w:highlight w:val="none"/>
                <w:u w:val="single" w:color="auto"/>
              </w:rPr>
              <w:t>中标人领取中标通知书时</w:t>
            </w:r>
            <w:r>
              <w:rPr>
                <w:rFonts w:hint="eastAsia" w:ascii="宋体" w:hAnsi="宋体" w:eastAsia="宋体" w:cs="宋体"/>
                <w:i w:val="0"/>
                <w:iCs w:val="0"/>
                <w:color w:val="auto"/>
                <w:spacing w:val="0"/>
                <w:w w:val="100"/>
                <w:kern w:val="0"/>
                <w:position w:val="0"/>
                <w:highlight w:val="none"/>
              </w:rPr>
              <w:t>。</w:t>
            </w:r>
          </w:p>
          <w:p w14:paraId="21524D26">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b/>
                <w:bCs/>
                <w:i w:val="0"/>
                <w:iCs w:val="0"/>
                <w:color w:val="auto"/>
                <w:spacing w:val="0"/>
                <w:kern w:val="0"/>
                <w:position w:val="0"/>
                <w:sz w:val="24"/>
                <w:szCs w:val="24"/>
                <w:highlight w:val="none"/>
              </w:rPr>
            </w:pPr>
            <w:r>
              <w:rPr>
                <w:rFonts w:hint="eastAsia" w:ascii="宋体" w:hAnsi="宋体" w:eastAsia="宋体" w:cs="宋体"/>
                <w:b/>
                <w:bCs/>
                <w:i w:val="0"/>
                <w:iCs w:val="0"/>
                <w:color w:val="auto"/>
                <w:spacing w:val="0"/>
                <w:kern w:val="0"/>
                <w:position w:val="0"/>
                <w:sz w:val="24"/>
                <w:szCs w:val="24"/>
                <w:highlight w:val="none"/>
              </w:rPr>
              <w:t>代理服务费缴纳银行账号信息：</w:t>
            </w:r>
          </w:p>
          <w:p w14:paraId="5BEE0A6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账户名称：中归咨询管理（北京）有限公司通州第一分公司</w:t>
            </w:r>
          </w:p>
          <w:p w14:paraId="056F862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账户号码：35280188000213412</w:t>
            </w:r>
          </w:p>
          <w:p w14:paraId="34DF5E11">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开户银行：中国光大银行股份有限公司北京经济技术开发区支行</w:t>
            </w:r>
          </w:p>
        </w:tc>
      </w:tr>
      <w:tr w14:paraId="3CCD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right w:val="single" w:color="auto" w:sz="4" w:space="0"/>
            </w:tcBorders>
            <w:vAlign w:val="center"/>
          </w:tcPr>
          <w:p w14:paraId="40B891F0">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lang w:val="en-US" w:eastAsia="zh-CN"/>
              </w:rPr>
            </w:pPr>
            <w:r>
              <w:rPr>
                <w:rFonts w:hint="eastAsia" w:ascii="宋体" w:hAnsi="宋体" w:eastAsia="宋体" w:cs="宋体"/>
                <w:i w:val="0"/>
                <w:iCs w:val="0"/>
                <w:color w:val="auto"/>
                <w:spacing w:val="0"/>
                <w:position w:val="0"/>
                <w:sz w:val="24"/>
                <w:szCs w:val="24"/>
                <w:highlight w:val="none"/>
                <w:lang w:val="en-US" w:eastAsia="zh-CN"/>
              </w:rPr>
              <w:t>28</w:t>
            </w:r>
          </w:p>
        </w:tc>
        <w:tc>
          <w:tcPr>
            <w:tcW w:w="1701" w:type="dxa"/>
            <w:tcBorders>
              <w:top w:val="single" w:color="auto" w:sz="4" w:space="0"/>
              <w:left w:val="single" w:color="auto" w:sz="4" w:space="0"/>
              <w:right w:val="single" w:color="auto" w:sz="4" w:space="0"/>
            </w:tcBorders>
            <w:vAlign w:val="center"/>
          </w:tcPr>
          <w:p w14:paraId="62C1C48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lang w:val="en-US"/>
              </w:rPr>
            </w:pPr>
            <w:r>
              <w:rPr>
                <w:rFonts w:hint="eastAsia" w:ascii="宋体" w:hAnsi="宋体" w:eastAsia="宋体" w:cs="宋体"/>
                <w:i w:val="0"/>
                <w:iCs w:val="0"/>
                <w:color w:val="auto"/>
                <w:spacing w:val="0"/>
                <w:position w:val="0"/>
                <w:sz w:val="24"/>
                <w:szCs w:val="24"/>
                <w:highlight w:val="none"/>
                <w:lang w:val="en-US" w:eastAsia="zh-CN"/>
              </w:rPr>
              <w:t>其他</w:t>
            </w:r>
          </w:p>
        </w:tc>
        <w:tc>
          <w:tcPr>
            <w:tcW w:w="6244" w:type="dxa"/>
            <w:tcBorders>
              <w:top w:val="single" w:color="auto" w:sz="4" w:space="0"/>
              <w:left w:val="single" w:color="auto" w:sz="4" w:space="0"/>
              <w:bottom w:val="single" w:color="auto" w:sz="4" w:space="0"/>
              <w:right w:val="single" w:color="auto" w:sz="4" w:space="0"/>
            </w:tcBorders>
            <w:vAlign w:val="center"/>
          </w:tcPr>
          <w:p w14:paraId="7EDF1643">
            <w:pPr>
              <w:pageBreakBefore w:val="0"/>
              <w:wordWrap/>
              <w:topLinePunct w:val="0"/>
              <w:bidi w:val="0"/>
              <w:spacing w:line="360" w:lineRule="auto"/>
              <w:ind w:left="42" w:leftChars="20" w:right="42" w:rightChars="20"/>
              <w:jc w:val="both"/>
              <w:rPr>
                <w:rFonts w:hint="eastAsia" w:ascii="宋体" w:hAnsi="宋体" w:eastAsia="宋体" w:cs="宋体"/>
                <w:i w:val="0"/>
                <w:iCs w:val="0"/>
                <w:color w:val="auto"/>
                <w:spacing w:val="0"/>
                <w:position w:val="0"/>
                <w:sz w:val="24"/>
                <w:szCs w:val="24"/>
                <w:highlight w:val="none"/>
                <w:u w:val="single"/>
                <w:lang w:val="en-US" w:eastAsia="zh-CN"/>
              </w:rPr>
            </w:pPr>
            <w:r>
              <w:rPr>
                <w:rFonts w:hint="eastAsia" w:ascii="宋体" w:hAnsi="宋体" w:eastAsia="宋体" w:cs="宋体"/>
                <w:i w:val="0"/>
                <w:iCs w:val="0"/>
                <w:color w:val="auto"/>
                <w:spacing w:val="0"/>
                <w:position w:val="0"/>
                <w:sz w:val="24"/>
                <w:szCs w:val="24"/>
                <w:highlight w:val="none"/>
                <w:lang w:eastAsia="zh-CN"/>
              </w:rPr>
              <w:t>1.是否收取履约保证金：</w:t>
            </w:r>
            <w:r>
              <w:rPr>
                <w:rFonts w:hint="eastAsia" w:ascii="宋体" w:hAnsi="宋体" w:eastAsia="宋体" w:cs="宋体"/>
                <w:i w:val="0"/>
                <w:iCs w:val="0"/>
                <w:color w:val="auto"/>
                <w:spacing w:val="0"/>
                <w:position w:val="0"/>
                <w:sz w:val="24"/>
                <w:szCs w:val="24"/>
                <w:highlight w:val="none"/>
                <w:u w:val="single"/>
                <w:lang w:val="en-US" w:eastAsia="zh-CN"/>
              </w:rPr>
              <w:t xml:space="preserve">  见合同约定  </w:t>
            </w:r>
          </w:p>
          <w:p w14:paraId="2B67F069">
            <w:pPr>
              <w:pageBreakBefore w:val="0"/>
              <w:wordWrap/>
              <w:topLinePunct w:val="0"/>
              <w:bidi w:val="0"/>
              <w:spacing w:line="360" w:lineRule="auto"/>
              <w:ind w:left="42" w:leftChars="20" w:right="42" w:rightChars="20"/>
              <w:jc w:val="both"/>
              <w:rPr>
                <w:rFonts w:hint="eastAsia" w:ascii="宋体" w:hAnsi="宋体" w:eastAsia="宋体" w:cs="宋体"/>
                <w:i w:val="0"/>
                <w:iCs w:val="0"/>
                <w:color w:val="auto"/>
                <w:spacing w:val="0"/>
                <w:position w:val="0"/>
                <w:sz w:val="24"/>
                <w:szCs w:val="24"/>
                <w:highlight w:val="none"/>
                <w:u w:val="single"/>
                <w:lang w:val="en-US" w:eastAsia="zh-CN"/>
              </w:rPr>
            </w:pPr>
            <w:r>
              <w:rPr>
                <w:rFonts w:hint="eastAsia" w:ascii="宋体" w:hAnsi="宋体" w:eastAsia="宋体" w:cs="宋体"/>
                <w:i w:val="0"/>
                <w:iCs w:val="0"/>
                <w:color w:val="auto"/>
                <w:spacing w:val="0"/>
                <w:position w:val="0"/>
                <w:sz w:val="24"/>
                <w:szCs w:val="24"/>
                <w:highlight w:val="none"/>
                <w:lang w:eastAsia="zh-CN"/>
              </w:rPr>
              <w:t>履约保证金递交时间</w:t>
            </w:r>
            <w:r>
              <w:rPr>
                <w:rFonts w:hint="eastAsia" w:ascii="宋体" w:hAnsi="宋体" w:eastAsia="宋体" w:cs="宋体"/>
                <w:i w:val="0"/>
                <w:iCs w:val="0"/>
                <w:color w:val="auto"/>
                <w:spacing w:val="0"/>
                <w:position w:val="0"/>
                <w:sz w:val="24"/>
                <w:szCs w:val="24"/>
                <w:highlight w:val="none"/>
                <w:lang w:val="en-US" w:eastAsia="zh-CN"/>
              </w:rPr>
              <w:t>及形式</w:t>
            </w:r>
            <w:r>
              <w:rPr>
                <w:rFonts w:hint="eastAsia" w:ascii="宋体" w:hAnsi="宋体" w:eastAsia="宋体" w:cs="宋体"/>
                <w:i w:val="0"/>
                <w:iCs w:val="0"/>
                <w:color w:val="auto"/>
                <w:spacing w:val="0"/>
                <w:position w:val="0"/>
                <w:sz w:val="24"/>
                <w:szCs w:val="24"/>
                <w:highlight w:val="none"/>
                <w:lang w:eastAsia="zh-CN"/>
              </w:rPr>
              <w:t>：</w:t>
            </w:r>
            <w:r>
              <w:rPr>
                <w:rFonts w:hint="eastAsia" w:ascii="宋体" w:hAnsi="宋体" w:eastAsia="宋体" w:cs="宋体"/>
                <w:i w:val="0"/>
                <w:iCs w:val="0"/>
                <w:color w:val="auto"/>
                <w:spacing w:val="0"/>
                <w:position w:val="0"/>
                <w:sz w:val="24"/>
                <w:szCs w:val="24"/>
                <w:highlight w:val="none"/>
                <w:u w:val="single"/>
                <w:lang w:val="en-US" w:eastAsia="zh-CN"/>
              </w:rPr>
              <w:t xml:space="preserve">  见合同约定  </w:t>
            </w:r>
          </w:p>
          <w:p w14:paraId="1BC200C7">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zh-CN"/>
              </w:rPr>
            </w:pPr>
            <w:r>
              <w:rPr>
                <w:rFonts w:hint="eastAsia" w:ascii="宋体" w:hAnsi="宋体" w:eastAsia="宋体" w:cs="宋体"/>
                <w:i w:val="0"/>
                <w:iCs w:val="0"/>
                <w:color w:val="auto"/>
                <w:spacing w:val="0"/>
                <w:kern w:val="0"/>
                <w:position w:val="0"/>
                <w:sz w:val="24"/>
                <w:szCs w:val="24"/>
                <w:highlight w:val="none"/>
                <w:lang w:val="zh-CN" w:eastAsia="zh-CN" w:bidi="ar-SA"/>
              </w:rPr>
              <w:t>2.</w:t>
            </w:r>
            <w:r>
              <w:rPr>
                <w:rFonts w:hint="eastAsia" w:ascii="宋体" w:hAnsi="宋体" w:eastAsia="宋体" w:cs="宋体"/>
                <w:i w:val="0"/>
                <w:iCs w:val="0"/>
                <w:color w:val="auto"/>
                <w:spacing w:val="0"/>
                <w:kern w:val="0"/>
                <w:position w:val="0"/>
                <w:sz w:val="24"/>
                <w:highlight w:val="none"/>
                <w:lang w:val="zh-CN"/>
              </w:rPr>
              <w:t>供应商如果在投标文件中提供了虚假材料，在任何时候采购人都有权否决其投标，并视情况追究其责任。</w:t>
            </w:r>
          </w:p>
          <w:p w14:paraId="4824406E">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szCs w:val="24"/>
                <w:highlight w:val="none"/>
                <w:lang w:val="zh-CN" w:eastAsia="zh-CN" w:bidi="ar-SA"/>
              </w:rPr>
              <w:t>3.</w:t>
            </w:r>
            <w:r>
              <w:rPr>
                <w:rFonts w:hint="eastAsia" w:ascii="宋体" w:hAnsi="宋体" w:eastAsia="宋体" w:cs="宋体"/>
                <w:i w:val="0"/>
                <w:iCs w:val="0"/>
                <w:color w:val="auto"/>
                <w:spacing w:val="0"/>
                <w:kern w:val="0"/>
                <w:position w:val="0"/>
                <w:sz w:val="24"/>
                <w:highlight w:val="none"/>
                <w:lang w:val="en-US" w:eastAsia="zh-CN"/>
              </w:rPr>
              <w:t>采购人发现供应商存在“空壳公司”、“挂靠他人”投标情形的，其投标将被否决。合同签署或履约阶段发现以上情形的，采购人有权解除合同，给采购人造成损失的，应进行相应赔偿。</w:t>
            </w:r>
          </w:p>
          <w:p w14:paraId="24D125DB">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4.其他</w:t>
            </w:r>
          </w:p>
          <w:p w14:paraId="10F849D9">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供应商提供的服务、货物需满足国家法律法规、行业规范等有强制性规定和行政许可的要求。</w:t>
            </w:r>
          </w:p>
          <w:p w14:paraId="59972CA3">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供应商应提供的服务、货物不涉及因第三方提出侵犯其所有权和专利权、商标权或其它知识产权而引起的法律和经济纠纷，如因所有权或知识产权瑕疵而引起法律和经济纠纷，由供应商承担所有相关责任。</w:t>
            </w:r>
          </w:p>
          <w:p w14:paraId="230126F0">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供应商明确其商业秘密，因自身未明确此关键信息造成的不良后果，由供应商自行承担。无论成交与否，供应商的响应文件不予退还。</w:t>
            </w:r>
          </w:p>
          <w:p w14:paraId="17CCEF58">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供应商未经采购人书面同意的，不得将本项目、与项目中相关的任何内容、资料（包括纸质和电子介质资料，下同）透露给任何人。</w:t>
            </w:r>
          </w:p>
        </w:tc>
      </w:tr>
    </w:tbl>
    <w:p w14:paraId="46A9582E">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687C3381">
      <w:pPr>
        <w:pageBreakBefore w:val="0"/>
        <w:wordWrap/>
        <w:topLinePunct w:val="0"/>
        <w:bidi w:val="0"/>
        <w:spacing w:before="240" w:beforeLines="100" w:after="240" w:afterLines="100" w:line="360" w:lineRule="auto"/>
        <w:jc w:val="center"/>
        <w:rPr>
          <w:rFonts w:hint="eastAsia" w:ascii="宋体" w:hAnsi="宋体" w:eastAsia="宋体" w:cs="宋体"/>
          <w:b/>
          <w:i w:val="0"/>
          <w:iCs w:val="0"/>
          <w:color w:val="auto"/>
          <w:spacing w:val="0"/>
          <w:position w:val="0"/>
          <w:sz w:val="28"/>
          <w:szCs w:val="28"/>
          <w:highlight w:val="none"/>
        </w:rPr>
      </w:pPr>
      <w:bookmarkStart w:id="73" w:name="_Toc195842882"/>
      <w:bookmarkStart w:id="74" w:name="_Toc353873932"/>
      <w:bookmarkStart w:id="75" w:name="_Toc353873662"/>
      <w:bookmarkStart w:id="76" w:name="_Toc305158859"/>
      <w:bookmarkStart w:id="77" w:name="_Toc265228355"/>
      <w:bookmarkStart w:id="78" w:name="_Toc150774722"/>
      <w:bookmarkStart w:id="79" w:name="_Toc264969207"/>
      <w:bookmarkStart w:id="80" w:name="_Toc353825542"/>
      <w:bookmarkStart w:id="81" w:name="_Toc226965790"/>
      <w:bookmarkStart w:id="82" w:name="_Toc142311019"/>
      <w:bookmarkStart w:id="83" w:name="_Toc305158785"/>
      <w:bookmarkStart w:id="84" w:name="_Toc127151517"/>
      <w:bookmarkStart w:id="85" w:name="_Toc150480755"/>
      <w:bookmarkStart w:id="86" w:name="_Toc226337213"/>
      <w:r>
        <w:rPr>
          <w:rFonts w:hint="eastAsia" w:ascii="宋体" w:hAnsi="宋体" w:eastAsia="宋体" w:cs="宋体"/>
          <w:b/>
          <w:i w:val="0"/>
          <w:iCs w:val="0"/>
          <w:color w:val="auto"/>
          <w:spacing w:val="0"/>
          <w:position w:val="0"/>
          <w:sz w:val="28"/>
          <w:szCs w:val="28"/>
          <w:highlight w:val="none"/>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54444747">
      <w:pPr>
        <w:pStyle w:val="3"/>
        <w:pageBreakBefore w:val="0"/>
        <w:tabs>
          <w:tab w:val="center" w:pos="4592"/>
          <w:tab w:val="left" w:pos="7860"/>
        </w:tabs>
        <w:wordWrap/>
        <w:topLinePunct w:val="0"/>
        <w:bidi w:val="0"/>
        <w:spacing w:before="0" w:line="360" w:lineRule="auto"/>
        <w:jc w:val="left"/>
        <w:rPr>
          <w:rFonts w:hint="eastAsia" w:ascii="宋体" w:hAnsi="宋体" w:eastAsia="宋体" w:cs="宋体"/>
          <w:i w:val="0"/>
          <w:iCs w:val="0"/>
          <w:color w:val="auto"/>
          <w:spacing w:val="0"/>
          <w:position w:val="0"/>
          <w:sz w:val="28"/>
          <w:highlight w:val="none"/>
        </w:rPr>
      </w:pPr>
      <w:bookmarkStart w:id="87" w:name="_Toc520356143"/>
      <w:bookmarkStart w:id="88" w:name="_Toc127151518"/>
      <w:r>
        <w:rPr>
          <w:rFonts w:hint="eastAsia" w:ascii="宋体" w:hAnsi="宋体" w:eastAsia="宋体" w:cs="宋体"/>
          <w:i w:val="0"/>
          <w:iCs w:val="0"/>
          <w:color w:val="auto"/>
          <w:spacing w:val="0"/>
          <w:position w:val="0"/>
          <w:sz w:val="28"/>
          <w:highlight w:val="none"/>
        </w:rPr>
        <w:tab/>
      </w:r>
      <w:bookmarkStart w:id="89" w:name="_Toc226337214"/>
      <w:bookmarkStart w:id="90" w:name="_Toc305158786"/>
      <w:bookmarkStart w:id="91" w:name="_Toc151193616"/>
      <w:bookmarkStart w:id="92" w:name="_Toc150774618"/>
      <w:bookmarkStart w:id="93" w:name="_Toc150774723"/>
      <w:bookmarkStart w:id="94" w:name="_Toc226965791"/>
      <w:bookmarkStart w:id="95" w:name="_Toc151193906"/>
      <w:bookmarkStart w:id="96" w:name="_Toc305158860"/>
      <w:bookmarkStart w:id="97" w:name="_Toc226965708"/>
      <w:bookmarkStart w:id="98" w:name="_Toc151193760"/>
      <w:bookmarkStart w:id="99" w:name="_Toc265228356"/>
      <w:bookmarkStart w:id="100" w:name="_Toc151190145"/>
      <w:bookmarkStart w:id="101" w:name="_Toc142311020"/>
      <w:bookmarkStart w:id="102" w:name="_Toc226309762"/>
      <w:bookmarkStart w:id="103" w:name="_Toc195842883"/>
      <w:bookmarkStart w:id="104" w:name="_Toc151193832"/>
      <w:bookmarkStart w:id="105" w:name="_Toc264969208"/>
      <w:bookmarkStart w:id="106" w:name="_Toc151193688"/>
      <w:bookmarkStart w:id="107" w:name="_Toc150509269"/>
      <w:bookmarkStart w:id="108" w:name="_Toc150480756"/>
      <w:r>
        <w:rPr>
          <w:rFonts w:hint="eastAsia" w:ascii="宋体" w:hAnsi="宋体" w:eastAsia="宋体" w:cs="宋体"/>
          <w:i w:val="0"/>
          <w:iCs w:val="0"/>
          <w:color w:val="auto"/>
          <w:spacing w:val="0"/>
          <w:position w:val="0"/>
          <w:sz w:val="28"/>
          <w:highlight w:val="none"/>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ascii="宋体" w:hAnsi="宋体" w:eastAsia="宋体" w:cs="宋体"/>
          <w:i w:val="0"/>
          <w:iCs w:val="0"/>
          <w:color w:val="auto"/>
          <w:spacing w:val="0"/>
          <w:position w:val="0"/>
          <w:sz w:val="28"/>
          <w:highlight w:val="none"/>
        </w:rPr>
        <w:tab/>
      </w:r>
    </w:p>
    <w:p w14:paraId="1351C21A">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09" w:name="_Toc264969209"/>
      <w:bookmarkStart w:id="110" w:name="_Toc265228357"/>
      <w:bookmarkStart w:id="111" w:name="_Toc305158787"/>
      <w:bookmarkStart w:id="112" w:name="_Toc305158861"/>
      <w:r>
        <w:rPr>
          <w:rFonts w:hint="eastAsia" w:ascii="宋体" w:hAnsi="宋体" w:eastAsia="宋体" w:cs="宋体"/>
          <w:i w:val="0"/>
          <w:iCs w:val="0"/>
          <w:color w:val="auto"/>
          <w:spacing w:val="0"/>
          <w:position w:val="0"/>
          <w:sz w:val="24"/>
          <w:highlight w:val="none"/>
        </w:rPr>
        <w:t>采购人、采购代理机构、投标人</w:t>
      </w:r>
      <w:bookmarkEnd w:id="109"/>
      <w:bookmarkEnd w:id="110"/>
      <w:bookmarkEnd w:id="111"/>
      <w:bookmarkEnd w:id="112"/>
      <w:r>
        <w:rPr>
          <w:rFonts w:hint="eastAsia" w:ascii="宋体" w:hAnsi="宋体" w:eastAsia="宋体" w:cs="宋体"/>
          <w:i w:val="0"/>
          <w:iCs w:val="0"/>
          <w:color w:val="auto"/>
          <w:spacing w:val="0"/>
          <w:position w:val="0"/>
          <w:sz w:val="24"/>
          <w:highlight w:val="none"/>
        </w:rPr>
        <w:t>、联合体</w:t>
      </w:r>
    </w:p>
    <w:p w14:paraId="26FEB7EC">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采购人、采购代理机构：指依法进行政府采购的国家机关、事业单位、团体组织，及其委托的采购代理机构。本项目采购人、采购代理机构见第一章《投标邀请》。</w:t>
      </w:r>
    </w:p>
    <w:p w14:paraId="0755AFE1">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投标人（也称“供应商”、“申请人”）：指向采购人提供货物、工程或者服务的法人、其他组织或者自然人。</w:t>
      </w:r>
    </w:p>
    <w:p w14:paraId="03FBDD4B">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联合体：指两个以上的自然人、法人或者其他组织组成一个联合体，以一个供应商的身份共同参加政府采购。</w:t>
      </w:r>
    </w:p>
    <w:p w14:paraId="1C706112">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13" w:name="_Toc226337216"/>
      <w:bookmarkStart w:id="114" w:name="_Toc264969210"/>
      <w:bookmarkStart w:id="115" w:name="_Toc226965710"/>
      <w:bookmarkStart w:id="116" w:name="_Toc305158862"/>
      <w:bookmarkStart w:id="117" w:name="_Toc151193762"/>
      <w:bookmarkStart w:id="118" w:name="_Toc127151520"/>
      <w:bookmarkStart w:id="119" w:name="_Toc164608634"/>
      <w:bookmarkStart w:id="120" w:name="_Toc150480758"/>
      <w:bookmarkStart w:id="121" w:name="_Toc151193834"/>
      <w:bookmarkStart w:id="122" w:name="_Toc150509271"/>
      <w:bookmarkStart w:id="123" w:name="_Toc149720813"/>
      <w:bookmarkStart w:id="124" w:name="_Toc164229361"/>
      <w:bookmarkStart w:id="125" w:name="_Toc265228358"/>
      <w:bookmarkStart w:id="126" w:name="_Toc164229215"/>
      <w:bookmarkStart w:id="127" w:name="_Toc151193908"/>
      <w:bookmarkStart w:id="128" w:name="_Toc151190147"/>
      <w:bookmarkStart w:id="129" w:name="_Toc305158788"/>
      <w:bookmarkStart w:id="130" w:name="_Toc226965793"/>
      <w:bookmarkStart w:id="131" w:name="_Toc127151721"/>
      <w:bookmarkStart w:id="132" w:name="_Toc164608789"/>
      <w:bookmarkStart w:id="133" w:name="_Toc150774620"/>
      <w:bookmarkStart w:id="134" w:name="_Toc142311022"/>
      <w:bookmarkStart w:id="135" w:name="_Toc164351614"/>
      <w:bookmarkStart w:id="136" w:name="_Toc151193690"/>
      <w:bookmarkStart w:id="137" w:name="_Toc195842885"/>
      <w:bookmarkStart w:id="138" w:name="_Toc226309764"/>
      <w:bookmarkStart w:id="139" w:name="_Toc127161434"/>
      <w:bookmarkStart w:id="140" w:name="_Toc151193618"/>
      <w:bookmarkStart w:id="141" w:name="_Toc150774725"/>
      <w:r>
        <w:rPr>
          <w:rFonts w:hint="eastAsia" w:ascii="宋体" w:hAnsi="宋体" w:eastAsia="宋体" w:cs="宋体"/>
          <w:i w:val="0"/>
          <w:iCs w:val="0"/>
          <w:color w:val="auto"/>
          <w:spacing w:val="0"/>
          <w:position w:val="0"/>
          <w:sz w:val="24"/>
          <w:highlight w:val="none"/>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hint="eastAsia" w:ascii="宋体" w:hAnsi="宋体" w:eastAsia="宋体" w:cs="宋体"/>
          <w:i w:val="0"/>
          <w:iCs w:val="0"/>
          <w:color w:val="auto"/>
          <w:spacing w:val="0"/>
          <w:position w:val="0"/>
          <w:sz w:val="24"/>
          <w:highlight w:val="none"/>
        </w:rPr>
        <w:t>、项目属性、科研仪器设备采购、核心产品</w:t>
      </w:r>
    </w:p>
    <w:p w14:paraId="65A719C6">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资金来源为财政性资金和/或本项目采购中无法与财政性资金分割的非财政性资金。</w:t>
      </w:r>
    </w:p>
    <w:p w14:paraId="0AB216E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项目属性见《投标人须知资料表》。</w:t>
      </w:r>
    </w:p>
    <w:p w14:paraId="553A09A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是否属于科研仪器设备采购见《投标人须知资料表》。</w:t>
      </w:r>
    </w:p>
    <w:p w14:paraId="78F15923">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核心产品见《投标人须知资料表》。</w:t>
      </w:r>
    </w:p>
    <w:p w14:paraId="3216133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现场考察、开标前答疑会</w:t>
      </w:r>
    </w:p>
    <w:p w14:paraId="0A5E2EA4">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4"/>
          <w:highlight w:val="none"/>
        </w:rPr>
        <w:t>若《投标人须知资料表》中规定了组织现场考察、召开开标前答疑会，则投标人应按要求在规定的时间和地点参加。</w:t>
      </w:r>
      <w:bookmarkStart w:id="142" w:name="_Toc150774727"/>
      <w:bookmarkStart w:id="143" w:name="_Toc150480760"/>
      <w:bookmarkStart w:id="144" w:name="_Toc151193692"/>
      <w:bookmarkStart w:id="145" w:name="_Toc305158864"/>
      <w:bookmarkStart w:id="146" w:name="_Toc150509273"/>
      <w:bookmarkStart w:id="147" w:name="_Toc151193836"/>
      <w:bookmarkStart w:id="148" w:name="_Toc520356146"/>
      <w:bookmarkStart w:id="149" w:name="_Toc264969212"/>
      <w:bookmarkStart w:id="150" w:name="_Toc151193620"/>
      <w:bookmarkStart w:id="151" w:name="_Toc226337218"/>
      <w:bookmarkStart w:id="152" w:name="_Toc226309766"/>
      <w:bookmarkStart w:id="153" w:name="_Toc142311024"/>
      <w:bookmarkStart w:id="154" w:name="_Toc151193764"/>
      <w:bookmarkStart w:id="155" w:name="_Toc265228360"/>
      <w:bookmarkStart w:id="156" w:name="_Toc305158790"/>
      <w:bookmarkStart w:id="157" w:name="_Toc195842887"/>
      <w:bookmarkStart w:id="158" w:name="_Toc226965795"/>
      <w:bookmarkStart w:id="159" w:name="_Toc226965712"/>
      <w:bookmarkStart w:id="160" w:name="_Toc151193910"/>
      <w:bookmarkStart w:id="161" w:name="_Toc150774622"/>
      <w:bookmarkStart w:id="162" w:name="_Toc127151522"/>
      <w:bookmarkStart w:id="163" w:name="_Toc151190149"/>
    </w:p>
    <w:p w14:paraId="00EEC0D8">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由于未参加现场考察或开标前答疑会而导致对项目实际情况不了解，影响投标文件编制、投标报价准确性、综合因素响应不全面等问题的，由投标人自行承担不利评审后果。</w:t>
      </w:r>
    </w:p>
    <w:p w14:paraId="2E08F12B">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样品</w:t>
      </w:r>
    </w:p>
    <w:p w14:paraId="645B013D">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本项目是否要求投标人提供样品，以及样品制作的标准和要求、是否需要随样品提交相关检测报告、样品的递交与退还等要求见《投标人须知资料表》。</w:t>
      </w:r>
    </w:p>
    <w:p w14:paraId="57B1E24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样品的评审方法以及评审标准等内容见第四章《评标程序、评标方法和评标标准》。</w:t>
      </w:r>
    </w:p>
    <w:p w14:paraId="66812448">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政府采购政策（包括但不限于下列具体政策要求）</w:t>
      </w:r>
    </w:p>
    <w:p w14:paraId="0912664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采购本国货物、工程和服务</w:t>
      </w:r>
    </w:p>
    <w:p w14:paraId="284088DB">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政府采购应当采购本国货物、工程和服务。但有《</w:t>
      </w:r>
      <w:r>
        <w:rPr>
          <w:rFonts w:hint="eastAsia" w:ascii="宋体" w:hAnsi="宋体" w:eastAsia="宋体" w:cs="宋体"/>
          <w:b/>
          <w:i w:val="0"/>
          <w:iCs w:val="0"/>
          <w:color w:val="auto"/>
          <w:spacing w:val="0"/>
          <w:kern w:val="0"/>
          <w:position w:val="0"/>
          <w:sz w:val="24"/>
          <w:highlight w:val="none"/>
        </w:rPr>
        <w:t>中华人民共和国政府采购法</w:t>
      </w:r>
      <w:r>
        <w:rPr>
          <w:rFonts w:hint="eastAsia" w:ascii="宋体" w:hAnsi="宋体" w:eastAsia="宋体" w:cs="宋体"/>
          <w:i w:val="0"/>
          <w:iCs w:val="0"/>
          <w:color w:val="auto"/>
          <w:spacing w:val="0"/>
          <w:kern w:val="0"/>
          <w:position w:val="0"/>
          <w:sz w:val="24"/>
          <w:highlight w:val="none"/>
        </w:rPr>
        <w:t>》第十条规定情形的除外。</w:t>
      </w:r>
    </w:p>
    <w:p w14:paraId="6AED2EAF">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本项目如接受非本国货物、工程、服务参与投标，则具体要求见第五章《采购需求》。</w:t>
      </w:r>
    </w:p>
    <w:p w14:paraId="114CDA03">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9B279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本国产品</w:t>
      </w:r>
    </w:p>
    <w:p w14:paraId="40FBBBE4">
      <w:pPr>
        <w:pageBreakBefore w:val="0"/>
        <w:tabs>
          <w:tab w:val="left" w:pos="900"/>
          <w:tab w:val="left" w:pos="1080"/>
          <w:tab w:val="left" w:pos="1589"/>
        </w:tabs>
        <w:wordWrap/>
        <w:topLinePunct w:val="0"/>
        <w:bidi w:val="0"/>
        <w:snapToGrid w:val="0"/>
        <w:spacing w:line="360" w:lineRule="auto"/>
        <w:ind w:left="1080"/>
        <w:rPr>
          <w:rFonts w:hint="eastAsia" w:ascii="宋体" w:hAnsi="宋体" w:eastAsia="宋体" w:cs="宋体"/>
          <w:i w:val="0"/>
          <w:iCs w:val="0"/>
          <w:color w:val="auto"/>
          <w:spacing w:val="0"/>
          <w:position w:val="0"/>
          <w:sz w:val="24"/>
          <w:highlight w:val="none"/>
        </w:rPr>
      </w:pPr>
      <w:bookmarkStart w:id="164" w:name="_Hlk217316762"/>
      <w:r>
        <w:rPr>
          <w:rFonts w:hint="eastAsia" w:ascii="宋体" w:hAnsi="宋体" w:eastAsia="宋体" w:cs="宋体"/>
          <w:i w:val="0"/>
          <w:iCs w:val="0"/>
          <w:color w:val="auto"/>
          <w:spacing w:val="0"/>
          <w:position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rFonts w:hint="eastAsia" w:ascii="宋体" w:hAnsi="宋体" w:eastAsia="宋体" w:cs="宋体"/>
          <w:i w:val="0"/>
          <w:iCs w:val="0"/>
          <w:color w:val="auto"/>
          <w:spacing w:val="0"/>
          <w:position w:val="0"/>
          <w:sz w:val="24"/>
          <w:highlight w:val="none"/>
        </w:rPr>
        <w:t>，落实本国产品</w:t>
      </w:r>
      <w:r>
        <w:rPr>
          <w:rFonts w:hint="eastAsia" w:ascii="宋体" w:hAnsi="宋体" w:eastAsia="宋体" w:cs="宋体"/>
          <w:i w:val="0"/>
          <w:iCs w:val="0"/>
          <w:color w:val="auto"/>
          <w:spacing w:val="0"/>
          <w:position w:val="0"/>
          <w:sz w:val="24"/>
          <w:highlight w:val="none"/>
          <w:lang w:eastAsia="zh-CN"/>
        </w:rPr>
        <w:t>标准</w:t>
      </w:r>
      <w:r>
        <w:rPr>
          <w:rFonts w:hint="eastAsia" w:ascii="宋体" w:hAnsi="宋体" w:eastAsia="宋体" w:cs="宋体"/>
          <w:i w:val="0"/>
          <w:iCs w:val="0"/>
          <w:color w:val="auto"/>
          <w:spacing w:val="0"/>
          <w:position w:val="0"/>
          <w:sz w:val="24"/>
          <w:highlight w:val="none"/>
        </w:rPr>
        <w:t>。</w:t>
      </w:r>
    </w:p>
    <w:p w14:paraId="4EC0532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中小企业、监狱企业及残疾人福利性单位</w:t>
      </w:r>
    </w:p>
    <w:p w14:paraId="1B1E572F">
      <w:pPr>
        <w:pageBreakBefore w:val="0"/>
        <w:numPr>
          <w:ilvl w:val="2"/>
          <w:numId w:val="8"/>
        </w:numPr>
        <w:wordWrap/>
        <w:topLinePunct w:val="0"/>
        <w:bidi w:val="0"/>
        <w:snapToGrid w:val="0"/>
        <w:spacing w:line="360" w:lineRule="auto"/>
        <w:rPr>
          <w:rFonts w:hint="eastAsia" w:ascii="宋体" w:hAnsi="宋体" w:eastAsia="宋体" w:cs="宋体"/>
          <w:i w:val="0"/>
          <w:iCs w:val="0"/>
          <w:vanish/>
          <w:color w:val="auto"/>
          <w:spacing w:val="0"/>
          <w:position w:val="0"/>
          <w:sz w:val="24"/>
          <w:szCs w:val="24"/>
          <w:highlight w:val="none"/>
        </w:rPr>
      </w:pPr>
      <w:r>
        <w:rPr>
          <w:rFonts w:hint="eastAsia" w:ascii="宋体" w:hAnsi="宋体" w:eastAsia="宋体" w:cs="宋体"/>
          <w:i w:val="0"/>
          <w:iCs w:val="0"/>
          <w:color w:val="auto"/>
          <w:spacing w:val="0"/>
          <w:position w:val="0"/>
          <w:sz w:val="24"/>
          <w:highlight w:val="none"/>
        </w:rPr>
        <w:t>中小企业定义：</w:t>
      </w:r>
    </w:p>
    <w:p w14:paraId="57C67D62">
      <w:pPr>
        <w:pageBreakBefore w:val="0"/>
        <w:numPr>
          <w:ilvl w:val="3"/>
          <w:numId w:val="0"/>
        </w:numPr>
        <w:tabs>
          <w:tab w:val="left" w:pos="1988"/>
          <w:tab w:val="left" w:pos="203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5.3.1.1</w:t>
      </w:r>
      <w:r>
        <w:rPr>
          <w:rFonts w:hint="eastAsia" w:ascii="宋体" w:hAnsi="宋体" w:eastAsia="宋体" w:cs="宋体"/>
          <w:i w:val="0"/>
          <w:iCs w:val="0"/>
          <w:color w:val="auto"/>
          <w:spacing w:val="0"/>
          <w:position w:val="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045F06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5.3.1.2</w:t>
      </w:r>
      <w:r>
        <w:rPr>
          <w:rFonts w:hint="eastAsia" w:ascii="宋体" w:hAnsi="宋体" w:eastAsia="宋体" w:cs="宋体"/>
          <w:i w:val="0"/>
          <w:iCs w:val="0"/>
          <w:color w:val="auto"/>
          <w:spacing w:val="0"/>
          <w:position w:val="0"/>
          <w:sz w:val="24"/>
          <w:highlight w:val="none"/>
        </w:rPr>
        <w:t>供应商提供的货物、工程或者服务符合下列情形的，享受中小企业扶持政策：</w:t>
      </w:r>
    </w:p>
    <w:p w14:paraId="17BA804C">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（1）在货物采购项目中，货物由中小企业制造，即货物由中小企业生产且使用该中小企业商号或者注册商标；</w:t>
      </w:r>
    </w:p>
    <w:p w14:paraId="12CD1BB4">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（2）在工程采购项目中，工程由中小企业承建，即工程施工单位为中小企业；</w:t>
      </w:r>
    </w:p>
    <w:p w14:paraId="7A90A144">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（3）在服务采购项目中，服务由中小企业承接，即提供服务的人员为中小企业依照《中华人民共和国劳动合同法》订立劳动合同的从业人员。</w:t>
      </w:r>
    </w:p>
    <w:p w14:paraId="63CB01E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5.3.1.3</w:t>
      </w:r>
      <w:r>
        <w:rPr>
          <w:rFonts w:hint="eastAsia" w:ascii="宋体" w:hAnsi="宋体" w:eastAsia="宋体" w:cs="宋体"/>
          <w:i w:val="0"/>
          <w:iCs w:val="0"/>
          <w:color w:val="auto"/>
          <w:spacing w:val="0"/>
          <w:position w:val="0"/>
          <w:sz w:val="24"/>
          <w:highlight w:val="none"/>
        </w:rPr>
        <w:t>在货物采购项目中，供应商提供的货物既有中小企业制造货物，也有大型企业制造货物的，不享受中小企业扶持政策。</w:t>
      </w:r>
    </w:p>
    <w:p w14:paraId="6E83881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5.3.1.4</w:t>
      </w:r>
      <w:r>
        <w:rPr>
          <w:rFonts w:hint="eastAsia" w:ascii="宋体" w:hAnsi="宋体" w:eastAsia="宋体" w:cs="宋体"/>
          <w:i w:val="0"/>
          <w:iCs w:val="0"/>
          <w:color w:val="auto"/>
          <w:spacing w:val="0"/>
          <w:position w:val="0"/>
          <w:sz w:val="24"/>
          <w:highlight w:val="none"/>
        </w:rPr>
        <w:t>以联合体形式参加政府采购活动，联合体各方均为中小企业的，联合体视同中小企业。其中，联合体各方均为小微企业的，联合体视同小微企业。</w:t>
      </w:r>
    </w:p>
    <w:p w14:paraId="640E4E1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6F7E34C">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172C6E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5.3.3.1</w:t>
      </w:r>
      <w:r>
        <w:rPr>
          <w:rFonts w:hint="eastAsia" w:ascii="宋体" w:hAnsi="宋体" w:eastAsia="宋体" w:cs="宋体"/>
          <w:i w:val="0"/>
          <w:iCs w:val="0"/>
          <w:color w:val="auto"/>
          <w:spacing w:val="0"/>
          <w:position w:val="0"/>
          <w:sz w:val="24"/>
          <w:highlight w:val="none"/>
        </w:rPr>
        <w:t>安置的残疾人占本单位在职职工人数的比例不低于25%（含25%），并且安置的残疾人人数不少于10 人（含10 人）；</w:t>
      </w:r>
    </w:p>
    <w:p w14:paraId="0BF596B6">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5.3.3.2</w:t>
      </w:r>
      <w:r>
        <w:rPr>
          <w:rFonts w:hint="eastAsia" w:ascii="宋体" w:hAnsi="宋体" w:eastAsia="宋体" w:cs="宋体"/>
          <w:i w:val="0"/>
          <w:iCs w:val="0"/>
          <w:color w:val="auto"/>
          <w:spacing w:val="0"/>
          <w:position w:val="0"/>
          <w:sz w:val="24"/>
          <w:highlight w:val="none"/>
        </w:rPr>
        <w:t>依法与安置的每位残疾人签订了一年以上（含一年）的劳动合同或服务协议；</w:t>
      </w:r>
    </w:p>
    <w:p w14:paraId="27F1916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5.3.3.3</w:t>
      </w:r>
      <w:r>
        <w:rPr>
          <w:rFonts w:hint="eastAsia" w:ascii="宋体" w:hAnsi="宋体" w:eastAsia="宋体" w:cs="宋体"/>
          <w:i w:val="0"/>
          <w:iCs w:val="0"/>
          <w:color w:val="auto"/>
          <w:spacing w:val="0"/>
          <w:position w:val="0"/>
          <w:sz w:val="24"/>
          <w:highlight w:val="none"/>
        </w:rPr>
        <w:t>为安置的每位残疾人按月足额缴纳了基本养老保险、基本医疗保险、失业保险、工伤保险和生育保险等社会保险费；</w:t>
      </w:r>
    </w:p>
    <w:p w14:paraId="2BBD239F">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5.3.3.4</w:t>
      </w:r>
      <w:r>
        <w:rPr>
          <w:rFonts w:hint="eastAsia" w:ascii="宋体" w:hAnsi="宋体" w:eastAsia="宋体" w:cs="宋体"/>
          <w:i w:val="0"/>
          <w:iCs w:val="0"/>
          <w:color w:val="auto"/>
          <w:spacing w:val="0"/>
          <w:position w:val="0"/>
          <w:sz w:val="24"/>
          <w:highlight w:val="none"/>
        </w:rPr>
        <w:t>通过银行等金融机构向安置的每位残疾人，按月支付了不低于单位所在区县适用的经省级人民政府批准的月最低工资标准的工资；</w:t>
      </w:r>
    </w:p>
    <w:p w14:paraId="45AB5285">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5.3.3.5</w:t>
      </w:r>
      <w:r>
        <w:rPr>
          <w:rFonts w:hint="eastAsia" w:ascii="宋体" w:hAnsi="宋体" w:eastAsia="宋体" w:cs="宋体"/>
          <w:i w:val="0"/>
          <w:iCs w:val="0"/>
          <w:color w:val="auto"/>
          <w:spacing w:val="0"/>
          <w:position w:val="0"/>
          <w:sz w:val="24"/>
          <w:highlight w:val="none"/>
        </w:rPr>
        <w:t>提供本单位制造的货物、承担的工程或者服务（以下简称产品），或者提供其他残疾人福利性单位制造的货物（不包括使用非残疾人福利性单位注册商标的货物）；</w:t>
      </w:r>
    </w:p>
    <w:p w14:paraId="3351191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5.3.3.6</w:t>
      </w:r>
      <w:r>
        <w:rPr>
          <w:rFonts w:hint="eastAsia" w:ascii="宋体" w:hAnsi="宋体" w:eastAsia="宋体" w:cs="宋体"/>
          <w:i w:val="0"/>
          <w:iCs w:val="0"/>
          <w:color w:val="auto"/>
          <w:spacing w:val="0"/>
          <w:position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C8BAB00">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本项目是否专门面向中小企业预留采购份额见第一章《投标邀请》。</w:t>
      </w:r>
    </w:p>
    <w:p w14:paraId="0D25D07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采购标的对应的中小企业划分标准所属行业见《投标人须知资料表》。</w:t>
      </w:r>
    </w:p>
    <w:p w14:paraId="329F768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小微企业价格评审优惠的政策调整：见第四章《评标程序、评标方法和评标标准》。</w:t>
      </w:r>
    </w:p>
    <w:p w14:paraId="2DFDF923">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政府采购节能产品、环境标志产品</w:t>
      </w:r>
    </w:p>
    <w:p w14:paraId="13B318A3">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FB91FD6">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DE7E73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4B8A57C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非政府强制采购的节能产品或环境标志产品，依据品目清单和认证证书实施政府优先采购。优先采购的具体规定见第四章《评标程序、评标方法和评标标准》（如涉及）。</w:t>
      </w:r>
    </w:p>
    <w:p w14:paraId="1EEF811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正版软件</w:t>
      </w:r>
    </w:p>
    <w:p w14:paraId="041233C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0DBA7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网络安全专用产品</w:t>
      </w:r>
    </w:p>
    <w:p w14:paraId="315AB5F7">
      <w:pPr>
        <w:pageBreakBefore w:val="0"/>
        <w:numPr>
          <w:ilvl w:val="2"/>
          <w:numId w:val="8"/>
        </w:numPr>
        <w:tabs>
          <w:tab w:val="left" w:pos="900"/>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32C038A">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推广使用低挥发性有机化合物（VOCs）</w:t>
      </w:r>
    </w:p>
    <w:p w14:paraId="4A62B506">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position w:val="0"/>
          <w:sz w:val="24"/>
          <w:highlight w:val="none"/>
        </w:rPr>
        <w:t>；属于推荐性标准的，优先采购，具体见第四章《评标程序、评标方法和评标标准》。</w:t>
      </w:r>
    </w:p>
    <w:p w14:paraId="4DDCCECD">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采购需求标准</w:t>
      </w:r>
    </w:p>
    <w:p w14:paraId="4D8B87CF">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商品包装、快递包装政府采购需求标准（试行）</w:t>
      </w:r>
    </w:p>
    <w:p w14:paraId="0725AD46">
      <w:pPr>
        <w:pageBreakBefore w:val="0"/>
        <w:tabs>
          <w:tab w:val="left" w:pos="900"/>
          <w:tab w:val="left" w:pos="1980"/>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F8254EE">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bookmarkStart w:id="165" w:name="_Hlk164953935"/>
      <w:r>
        <w:rPr>
          <w:rFonts w:hint="eastAsia" w:ascii="宋体" w:hAnsi="宋体" w:eastAsia="宋体" w:cs="宋体"/>
          <w:i w:val="0"/>
          <w:iCs w:val="0"/>
          <w:color w:val="auto"/>
          <w:spacing w:val="0"/>
          <w:position w:val="0"/>
          <w:sz w:val="24"/>
          <w:highlight w:val="none"/>
        </w:rPr>
        <w:t xml:space="preserve">其他政府采购需求标准 </w:t>
      </w:r>
    </w:p>
    <w:bookmarkEnd w:id="165"/>
    <w:p w14:paraId="11E2E2DF">
      <w:pPr>
        <w:pageBreakBefore w:val="0"/>
        <w:tabs>
          <w:tab w:val="left" w:pos="900"/>
          <w:tab w:val="left" w:pos="1980"/>
        </w:tabs>
        <w:wordWrap/>
        <w:topLinePunct w:val="0"/>
        <w:bidi w:val="0"/>
        <w:snapToGrid w:val="0"/>
        <w:spacing w:line="360" w:lineRule="auto"/>
        <w:ind w:left="1980"/>
        <w:rPr>
          <w:rFonts w:hint="eastAsia" w:ascii="宋体" w:hAnsi="宋体" w:eastAsia="宋体" w:cs="宋体"/>
          <w:i w:val="0"/>
          <w:iCs w:val="0"/>
          <w:color w:val="auto"/>
          <w:spacing w:val="0"/>
          <w:position w:val="0"/>
          <w:sz w:val="24"/>
          <w:highlight w:val="none"/>
        </w:rPr>
      </w:pPr>
      <w:bookmarkStart w:id="166" w:name="_Hlk164955325"/>
      <w:r>
        <w:rPr>
          <w:rFonts w:hint="eastAsia" w:ascii="宋体" w:hAnsi="宋体" w:eastAsia="宋体" w:cs="宋体"/>
          <w:i w:val="0"/>
          <w:iCs w:val="0"/>
          <w:color w:val="auto"/>
          <w:spacing w:val="0"/>
          <w:position w:val="0"/>
          <w:sz w:val="24"/>
          <w:highlight w:val="none"/>
        </w:rPr>
        <w:t>为贯彻落实《深化政府采购制度改革方案》有关要求，推动政府采购需求标准建设</w:t>
      </w:r>
      <w:bookmarkEnd w:id="166"/>
      <w:r>
        <w:rPr>
          <w:rFonts w:hint="eastAsia" w:ascii="宋体" w:hAnsi="宋体" w:eastAsia="宋体" w:cs="宋体"/>
          <w:i w:val="0"/>
          <w:iCs w:val="0"/>
          <w:color w:val="auto"/>
          <w:spacing w:val="0"/>
          <w:position w:val="0"/>
          <w:sz w:val="24"/>
          <w:highlight w:val="none"/>
        </w:rPr>
        <w:t>，财政部门会同有关部门制定发布的其他政府采购需求标准，本项目如涉及，则具体要求见第五章《采购需求》。</w:t>
      </w:r>
    </w:p>
    <w:p w14:paraId="647B4F8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投标费用</w:t>
      </w:r>
    </w:p>
    <w:p w14:paraId="1712A947">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投标人应自行承担所有与准备和参加投标有关的费用，无论投标的结果如何，采购人或采购代理机构在任何情况下均无承担这些费用的义务和责任。</w:t>
      </w:r>
    </w:p>
    <w:p w14:paraId="3FF5597A">
      <w:pPr>
        <w:pageBreakBefore w:val="0"/>
        <w:tabs>
          <w:tab w:val="left" w:pos="1080"/>
        </w:tabs>
        <w:wordWrap/>
        <w:topLinePunct w:val="0"/>
        <w:bidi w:val="0"/>
        <w:snapToGrid w:val="0"/>
        <w:spacing w:line="360" w:lineRule="auto"/>
        <w:ind w:left="1080"/>
        <w:rPr>
          <w:rFonts w:hint="eastAsia" w:ascii="宋体" w:hAnsi="宋体" w:eastAsia="宋体" w:cs="宋体"/>
          <w:i w:val="0"/>
          <w:iCs w:val="0"/>
          <w:color w:val="auto"/>
          <w:spacing w:val="0"/>
          <w:position w:val="0"/>
          <w:sz w:val="28"/>
          <w:highlight w:val="none"/>
        </w:rPr>
      </w:pPr>
      <w:bookmarkStart w:id="167" w:name="_1.8_计量单位"/>
      <w:bookmarkEnd w:id="167"/>
    </w:p>
    <w:p w14:paraId="368B460F">
      <w:pPr>
        <w:pStyle w:val="3"/>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382CD59C">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68" w:name="_Toc265228361"/>
      <w:bookmarkStart w:id="169" w:name="_Toc226337219"/>
      <w:bookmarkStart w:id="170" w:name="_Toc164351617"/>
      <w:bookmarkStart w:id="171" w:name="_Toc164229218"/>
      <w:bookmarkStart w:id="172" w:name="_Toc226309767"/>
      <w:bookmarkStart w:id="173" w:name="_Toc164229364"/>
      <w:bookmarkStart w:id="174" w:name="_Toc264969213"/>
      <w:bookmarkStart w:id="175" w:name="_Toc305158865"/>
      <w:bookmarkStart w:id="176" w:name="_Toc195842888"/>
      <w:bookmarkStart w:id="177" w:name="_Toc142311025"/>
      <w:bookmarkStart w:id="178" w:name="_Toc226965796"/>
      <w:bookmarkStart w:id="179" w:name="_Toc149720816"/>
      <w:bookmarkStart w:id="180" w:name="_Toc151193837"/>
      <w:bookmarkStart w:id="181" w:name="_Toc151193621"/>
      <w:bookmarkStart w:id="182" w:name="_Toc151193765"/>
      <w:bookmarkStart w:id="183" w:name="_Toc127151724"/>
      <w:bookmarkStart w:id="184" w:name="_Toc164608792"/>
      <w:bookmarkStart w:id="185" w:name="_Toc151190150"/>
      <w:bookmarkStart w:id="186" w:name="_Toc150480761"/>
      <w:bookmarkStart w:id="187" w:name="_Toc127151523"/>
      <w:bookmarkStart w:id="188" w:name="_Toc151193693"/>
      <w:bookmarkStart w:id="189" w:name="_Toc127161437"/>
      <w:bookmarkStart w:id="190" w:name="_Toc520356147"/>
      <w:bookmarkStart w:id="191" w:name="_Toc150509274"/>
      <w:bookmarkStart w:id="192" w:name="_Toc164608637"/>
      <w:bookmarkStart w:id="193" w:name="_Toc226965713"/>
      <w:bookmarkStart w:id="194" w:name="_Toc150774623"/>
      <w:bookmarkStart w:id="195" w:name="_Toc150774728"/>
      <w:bookmarkStart w:id="196" w:name="_Toc305158791"/>
      <w:bookmarkStart w:id="197" w:name="_Toc151193911"/>
      <w:r>
        <w:rPr>
          <w:rFonts w:hint="eastAsia" w:ascii="宋体" w:hAnsi="宋体" w:eastAsia="宋体" w:cs="宋体"/>
          <w:i w:val="0"/>
          <w:iCs w:val="0"/>
          <w:color w:val="auto"/>
          <w:spacing w:val="0"/>
          <w:position w:val="0"/>
          <w:sz w:val="24"/>
          <w:highlight w:val="none"/>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Fonts w:hint="eastAsia" w:ascii="宋体" w:hAnsi="宋体" w:eastAsia="宋体" w:cs="宋体"/>
          <w:i w:val="0"/>
          <w:iCs w:val="0"/>
          <w:color w:val="auto"/>
          <w:spacing w:val="0"/>
          <w:position w:val="0"/>
          <w:sz w:val="24"/>
          <w:highlight w:val="none"/>
        </w:rPr>
        <w:t>成</w:t>
      </w:r>
    </w:p>
    <w:p w14:paraId="10FDFC3F">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招标文件包括以下部分：</w:t>
      </w:r>
    </w:p>
    <w:p w14:paraId="42F8B914">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投标邀请</w:t>
      </w:r>
    </w:p>
    <w:p w14:paraId="42E08AB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投标人须知</w:t>
      </w:r>
    </w:p>
    <w:p w14:paraId="61594C58">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w:t>
      </w:r>
    </w:p>
    <w:p w14:paraId="5E1FDFE1">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评标程序、评标方法和评标标准</w:t>
      </w:r>
    </w:p>
    <w:p w14:paraId="39517B91">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采购需求</w:t>
      </w:r>
    </w:p>
    <w:p w14:paraId="141ADD8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拟签订的合同文本</w:t>
      </w:r>
    </w:p>
    <w:p w14:paraId="37F2E3D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投标文件格式</w:t>
      </w:r>
    </w:p>
    <w:p w14:paraId="609A47D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1B26615">
      <w:pPr>
        <w:pageBreakBefore w:val="0"/>
        <w:numPr>
          <w:ilvl w:val="0"/>
          <w:numId w:val="8"/>
        </w:numPr>
        <w:tabs>
          <w:tab w:val="left" w:pos="1080"/>
          <w:tab w:val="left" w:pos="2014"/>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对招标文件的澄清或修改</w:t>
      </w:r>
    </w:p>
    <w:p w14:paraId="1B3F9976">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采购人或采购代理机构对已发出的招标文件进行必要澄清或者修改的，将在原公告发布媒体上发布更正公告，并以书面形式通知所有获取招标文件的潜在投标人。</w:t>
      </w:r>
    </w:p>
    <w:p w14:paraId="2432C27A">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上述书面通知，按照获取招标文件的潜在投标人提供的联系方式发出，因提供的信息有误导致通知延迟或无法通知的，采购人或采购代理机构不承担责任。</w:t>
      </w:r>
    </w:p>
    <w:p w14:paraId="258454D9">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144974">
      <w:pPr>
        <w:pageBreakBefore w:val="0"/>
        <w:tabs>
          <w:tab w:val="left" w:pos="1080"/>
          <w:tab w:val="left" w:pos="1561"/>
        </w:tabs>
        <w:wordWrap/>
        <w:topLinePunct w:val="0"/>
        <w:bidi w:val="0"/>
        <w:snapToGrid w:val="0"/>
        <w:spacing w:line="360" w:lineRule="auto"/>
        <w:ind w:left="1080"/>
        <w:rPr>
          <w:rFonts w:hint="eastAsia" w:ascii="宋体" w:hAnsi="宋体" w:eastAsia="宋体" w:cs="宋体"/>
          <w:i w:val="0"/>
          <w:iCs w:val="0"/>
          <w:color w:val="auto"/>
          <w:spacing w:val="0"/>
          <w:position w:val="0"/>
          <w:sz w:val="28"/>
          <w:highlight w:val="none"/>
        </w:rPr>
      </w:pPr>
      <w:bookmarkStart w:id="198" w:name="_Toc516367020"/>
      <w:bookmarkStart w:id="199" w:name="_Toc151193696"/>
      <w:bookmarkStart w:id="200" w:name="_Toc150509277"/>
      <w:bookmarkStart w:id="201" w:name="_Toc127151526"/>
      <w:bookmarkStart w:id="202" w:name="_Toc150774731"/>
      <w:bookmarkStart w:id="203" w:name="_Toc305158794"/>
      <w:bookmarkStart w:id="204" w:name="_Toc520356150"/>
      <w:bookmarkStart w:id="205" w:name="_Toc305158868"/>
      <w:bookmarkStart w:id="206" w:name="_Toc151190153"/>
      <w:bookmarkStart w:id="207" w:name="_Toc151193624"/>
      <w:bookmarkStart w:id="208" w:name="_Toc264969216"/>
      <w:bookmarkStart w:id="209" w:name="_Toc150774626"/>
      <w:bookmarkStart w:id="210" w:name="_Toc226965716"/>
      <w:bookmarkStart w:id="211" w:name="_Toc151193914"/>
      <w:bookmarkStart w:id="212" w:name="_Toc150480764"/>
      <w:bookmarkStart w:id="213" w:name="_Toc151193768"/>
      <w:bookmarkStart w:id="214" w:name="_Toc151193840"/>
      <w:bookmarkStart w:id="215" w:name="_Toc226309770"/>
      <w:bookmarkStart w:id="216" w:name="_Toc195842891"/>
      <w:bookmarkStart w:id="217" w:name="_Toc142311028"/>
      <w:bookmarkStart w:id="218" w:name="_Toc226965799"/>
      <w:bookmarkStart w:id="219" w:name="_Toc265228364"/>
      <w:bookmarkStart w:id="220" w:name="_Toc226337222"/>
    </w:p>
    <w:p w14:paraId="4F474E8D">
      <w:pPr>
        <w:pStyle w:val="3"/>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三   投标文件</w:t>
      </w:r>
      <w:bookmarkEnd w:id="198"/>
      <w:r>
        <w:rPr>
          <w:rFonts w:hint="eastAsia" w:ascii="宋体" w:hAnsi="宋体" w:eastAsia="宋体" w:cs="宋体"/>
          <w:i w:val="0"/>
          <w:iCs w:val="0"/>
          <w:color w:val="auto"/>
          <w:spacing w:val="0"/>
          <w:position w:val="0"/>
          <w:sz w:val="28"/>
          <w:highlight w:val="none"/>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477CCC9">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21" w:name="_Toc150774732"/>
      <w:bookmarkStart w:id="222" w:name="_Toc520356151"/>
      <w:bookmarkStart w:id="223" w:name="_Toc164229222"/>
      <w:bookmarkStart w:id="224" w:name="_Toc195842892"/>
      <w:bookmarkStart w:id="225" w:name="_Toc142311029"/>
      <w:bookmarkStart w:id="226" w:name="_Toc151193625"/>
      <w:bookmarkStart w:id="227" w:name="_Toc151193697"/>
      <w:bookmarkStart w:id="228" w:name="_Toc226309771"/>
      <w:bookmarkStart w:id="229" w:name="_Toc164608641"/>
      <w:bookmarkStart w:id="230" w:name="_Toc516367021"/>
      <w:bookmarkStart w:id="231" w:name="_Toc305158869"/>
      <w:bookmarkStart w:id="232" w:name="_Toc151193915"/>
      <w:bookmarkStart w:id="233" w:name="_Toc264969217"/>
      <w:bookmarkStart w:id="234" w:name="_Toc150774627"/>
      <w:bookmarkStart w:id="235" w:name="_Toc127161441"/>
      <w:bookmarkStart w:id="236" w:name="_Toc164351621"/>
      <w:bookmarkStart w:id="237" w:name="_Toc127151527"/>
      <w:bookmarkStart w:id="238" w:name="_Toc151193841"/>
      <w:bookmarkStart w:id="239" w:name="_Toc265228365"/>
      <w:bookmarkStart w:id="240" w:name="_Toc226337223"/>
      <w:bookmarkStart w:id="241" w:name="_Toc150480765"/>
      <w:bookmarkStart w:id="242" w:name="_Toc150509278"/>
      <w:bookmarkStart w:id="243" w:name="_Toc151190154"/>
      <w:bookmarkStart w:id="244" w:name="_Toc226965800"/>
      <w:bookmarkStart w:id="245" w:name="_Toc226965717"/>
      <w:bookmarkStart w:id="246" w:name="_Toc164229368"/>
      <w:bookmarkStart w:id="247" w:name="_Toc127151728"/>
      <w:bookmarkStart w:id="248" w:name="_Toc149720820"/>
      <w:bookmarkStart w:id="249" w:name="_Toc151193769"/>
      <w:bookmarkStart w:id="250" w:name="_Toc305158795"/>
      <w:bookmarkStart w:id="251" w:name="_Toc164608796"/>
      <w:r>
        <w:rPr>
          <w:rFonts w:hint="eastAsia" w:ascii="宋体" w:hAnsi="宋体" w:eastAsia="宋体" w:cs="宋体"/>
          <w:i w:val="0"/>
          <w:iCs w:val="0"/>
          <w:color w:val="auto"/>
          <w:spacing w:val="0"/>
          <w:position w:val="0"/>
          <w:sz w:val="24"/>
          <w:highlight w:val="none"/>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Fonts w:hint="eastAsia" w:ascii="宋体" w:hAnsi="宋体" w:eastAsia="宋体" w:cs="宋体"/>
          <w:i w:val="0"/>
          <w:iCs w:val="0"/>
          <w:color w:val="auto"/>
          <w:spacing w:val="0"/>
          <w:position w:val="0"/>
          <w:sz w:val="24"/>
          <w:highlight w:val="none"/>
        </w:rPr>
        <w:t>及投标语言</w:t>
      </w:r>
    </w:p>
    <w:p w14:paraId="218F9413">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i w:val="0"/>
          <w:iCs w:val="0"/>
          <w:color w:val="auto"/>
          <w:spacing w:val="0"/>
          <w:position w:val="0"/>
          <w:sz w:val="24"/>
          <w:highlight w:val="none"/>
        </w:rPr>
        <w:t>无效投标</w:t>
      </w:r>
      <w:r>
        <w:rPr>
          <w:rFonts w:hint="eastAsia" w:ascii="宋体" w:hAnsi="宋体" w:eastAsia="宋体" w:cs="宋体"/>
          <w:i w:val="0"/>
          <w:iCs w:val="0"/>
          <w:color w:val="auto"/>
          <w:spacing w:val="0"/>
          <w:position w:val="0"/>
          <w:sz w:val="24"/>
          <w:highlight w:val="none"/>
        </w:rPr>
        <w:t>。</w:t>
      </w:r>
    </w:p>
    <w:p w14:paraId="2EB3C9E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除招标文件有特殊要求外，本项目投标所使用的计量单位，应采用中华人民共和国法定计量单位。</w:t>
      </w:r>
    </w:p>
    <w:p w14:paraId="28474B5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107BA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52" w:name="_Ref467306195"/>
      <w:bookmarkStart w:id="253" w:name="_Ref467306676"/>
      <w:bookmarkStart w:id="254" w:name="_Toc516367022"/>
      <w:bookmarkStart w:id="255" w:name="_Toc151190155"/>
      <w:bookmarkStart w:id="256" w:name="_Toc150774628"/>
      <w:bookmarkStart w:id="257" w:name="_Toc127161442"/>
      <w:bookmarkStart w:id="258" w:name="_Toc305158870"/>
      <w:bookmarkStart w:id="259" w:name="_Toc164229369"/>
      <w:bookmarkStart w:id="260" w:name="_Toc195842893"/>
      <w:bookmarkStart w:id="261" w:name="_Toc226309772"/>
      <w:bookmarkStart w:id="262" w:name="_Toc151193626"/>
      <w:bookmarkStart w:id="263" w:name="_Toc127151528"/>
      <w:bookmarkStart w:id="264" w:name="_Toc164351622"/>
      <w:bookmarkStart w:id="265" w:name="_Toc151193770"/>
      <w:bookmarkStart w:id="266" w:name="_Toc142311030"/>
      <w:bookmarkStart w:id="267" w:name="_Toc264969218"/>
      <w:bookmarkStart w:id="268" w:name="_Toc151193698"/>
      <w:bookmarkStart w:id="269" w:name="_Toc265228366"/>
      <w:bookmarkStart w:id="270" w:name="_Toc149720821"/>
      <w:bookmarkStart w:id="271" w:name="_Toc150509279"/>
      <w:bookmarkStart w:id="272" w:name="_Toc226965718"/>
      <w:bookmarkStart w:id="273" w:name="_Toc151193842"/>
      <w:bookmarkStart w:id="274" w:name="_Toc150774733"/>
      <w:bookmarkStart w:id="275" w:name="_Toc164608642"/>
      <w:bookmarkStart w:id="276" w:name="_Toc226965801"/>
      <w:bookmarkStart w:id="277" w:name="_Toc164608797"/>
      <w:bookmarkStart w:id="278" w:name="_Toc520356152"/>
      <w:bookmarkStart w:id="279" w:name="_Toc164229223"/>
      <w:bookmarkStart w:id="280" w:name="_Toc150480766"/>
      <w:bookmarkStart w:id="281" w:name="_Toc151193916"/>
      <w:bookmarkStart w:id="282" w:name="_Toc127151729"/>
      <w:bookmarkStart w:id="283" w:name="_Toc226337224"/>
      <w:bookmarkStart w:id="284" w:name="_Toc305158796"/>
      <w:r>
        <w:rPr>
          <w:rFonts w:hint="eastAsia" w:ascii="宋体" w:hAnsi="宋体" w:eastAsia="宋体" w:cs="宋体"/>
          <w:i w:val="0"/>
          <w:iCs w:val="0"/>
          <w:color w:val="auto"/>
          <w:spacing w:val="0"/>
          <w:position w:val="0"/>
          <w:sz w:val="24"/>
          <w:highlight w:val="none"/>
        </w:rPr>
        <w:t>投标文件</w:t>
      </w:r>
      <w:bookmarkEnd w:id="252"/>
      <w:bookmarkEnd w:id="253"/>
      <w:bookmarkEnd w:id="254"/>
      <w:r>
        <w:rPr>
          <w:rFonts w:hint="eastAsia" w:ascii="宋体" w:hAnsi="宋体" w:eastAsia="宋体" w:cs="宋体"/>
          <w:i w:val="0"/>
          <w:iCs w:val="0"/>
          <w:color w:val="auto"/>
          <w:spacing w:val="0"/>
          <w:position w:val="0"/>
          <w:sz w:val="24"/>
          <w:highlight w:val="none"/>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578694C8">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285" w:name="_Ref467052588"/>
      <w:r>
        <w:rPr>
          <w:rFonts w:hint="eastAsia" w:ascii="宋体" w:hAnsi="宋体" w:eastAsia="宋体" w:cs="宋体"/>
          <w:i w:val="0"/>
          <w:iCs w:val="0"/>
          <w:color w:val="auto"/>
          <w:spacing w:val="0"/>
          <w:position w:val="0"/>
          <w:sz w:val="24"/>
          <w:highlight w:val="none"/>
        </w:rPr>
        <w:t>投标人应当按照招标文件的要求编制投标文件。投标文件应由《资格证明文件》、《商务技术文件》两部分构成。投标文件的部分格式要求，见第七章《投标文件格式》。</w:t>
      </w:r>
    </w:p>
    <w:p w14:paraId="48910B4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对于招标文件中标记了“实质性格式”文件的，</w:t>
      </w:r>
      <w:r>
        <w:rPr>
          <w:rFonts w:hint="eastAsia" w:ascii="宋体" w:hAnsi="宋体" w:eastAsia="宋体" w:cs="宋体"/>
          <w:i w:val="0"/>
          <w:iCs w:val="0"/>
          <w:color w:val="auto"/>
          <w:spacing w:val="0"/>
          <w:position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kern w:val="0"/>
          <w:position w:val="0"/>
          <w:sz w:val="24"/>
          <w:highlight w:val="none"/>
        </w:rPr>
        <w:t>。未标记“实质性格式”的文件和招标文件未提供格式的内容，可由投标人自行编写。</w:t>
      </w:r>
    </w:p>
    <w:p w14:paraId="448B71E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第四章《评标程序、评标方法和评标标准》中涉及的证明文件。</w:t>
      </w:r>
    </w:p>
    <w:p w14:paraId="6180B1C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807E5F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投标人认为应附的其他材料。</w:t>
      </w:r>
      <w:bookmarkEnd w:id="285"/>
    </w:p>
    <w:p w14:paraId="41F2591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86" w:name="_Toc164229225"/>
      <w:bookmarkStart w:id="287" w:name="_Toc150480768"/>
      <w:bookmarkStart w:id="288" w:name="_Toc151193844"/>
      <w:bookmarkStart w:id="289" w:name="_Toc151193628"/>
      <w:bookmarkStart w:id="290" w:name="_Toc127151731"/>
      <w:bookmarkStart w:id="291" w:name="_Toc164229371"/>
      <w:bookmarkStart w:id="292" w:name="_Toc164351624"/>
      <w:bookmarkStart w:id="293" w:name="_Toc150509281"/>
      <w:bookmarkStart w:id="294" w:name="_Toc127161444"/>
      <w:bookmarkStart w:id="295" w:name="_Toc151190157"/>
      <w:bookmarkStart w:id="296" w:name="_Toc149720823"/>
      <w:bookmarkStart w:id="297" w:name="_Toc164608799"/>
      <w:bookmarkStart w:id="298" w:name="_Toc520356155"/>
      <w:bookmarkStart w:id="299" w:name="_Toc164608644"/>
      <w:bookmarkStart w:id="300" w:name="_Toc151193918"/>
      <w:bookmarkStart w:id="301" w:name="_Toc142311032"/>
      <w:bookmarkStart w:id="302" w:name="_Toc151193772"/>
      <w:bookmarkStart w:id="303" w:name="_Toc127151530"/>
      <w:bookmarkStart w:id="304" w:name="_Toc150774735"/>
      <w:bookmarkStart w:id="305" w:name="_Toc151193700"/>
      <w:bookmarkStart w:id="306" w:name="_Toc150774630"/>
      <w:bookmarkStart w:id="307" w:name="_Toc195842895"/>
      <w:r>
        <w:rPr>
          <w:rFonts w:hint="eastAsia" w:ascii="宋体" w:hAnsi="宋体" w:eastAsia="宋体" w:cs="宋体"/>
          <w:i w:val="0"/>
          <w:iCs w:val="0"/>
          <w:color w:val="auto"/>
          <w:spacing w:val="0"/>
          <w:position w:val="0"/>
          <w:sz w:val="24"/>
          <w:highlight w:val="none"/>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2417C27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所有投标均以人民币为计价货币。</w:t>
      </w:r>
    </w:p>
    <w:p w14:paraId="5E8345F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4CC9D26B">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08F673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按照招标文件要求完成本项目的全部相关费用。 </w:t>
      </w:r>
    </w:p>
    <w:p w14:paraId="46AF5F7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采购人不得向供应商索要或者接受其给予的赠品、回扣或者与采购无关的其他商品、服务。</w:t>
      </w:r>
    </w:p>
    <w:p w14:paraId="7D9F2B38">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投标人不能提供任何有选择性或可调整的报价（招标文件另有规定的除外），否则其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214A99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08" w:name="_Toc164229372"/>
      <w:bookmarkStart w:id="309" w:name="_Toc195842896"/>
      <w:bookmarkStart w:id="310" w:name="_Toc151190158"/>
      <w:bookmarkStart w:id="311" w:name="_Toc226337227"/>
      <w:bookmarkStart w:id="312" w:name="_Toc226965804"/>
      <w:bookmarkStart w:id="313" w:name="_Toc151193629"/>
      <w:bookmarkStart w:id="314" w:name="_Toc520356156"/>
      <w:bookmarkStart w:id="315" w:name="_Toc305158873"/>
      <w:bookmarkStart w:id="316" w:name="_Toc149720824"/>
      <w:bookmarkStart w:id="317" w:name="_Toc142311033"/>
      <w:bookmarkStart w:id="318" w:name="_Toc164608645"/>
      <w:bookmarkStart w:id="319" w:name="_Toc164229226"/>
      <w:bookmarkStart w:id="320" w:name="_Toc151193845"/>
      <w:bookmarkStart w:id="321" w:name="_Toc150509282"/>
      <w:bookmarkStart w:id="322" w:name="_Toc265228369"/>
      <w:bookmarkStart w:id="323" w:name="_Ref467306513"/>
      <w:bookmarkStart w:id="324" w:name="_Toc226309775"/>
      <w:bookmarkStart w:id="325" w:name="_Toc264969221"/>
      <w:bookmarkStart w:id="326" w:name="_Toc305158799"/>
      <w:bookmarkStart w:id="327" w:name="_Toc151193701"/>
      <w:bookmarkStart w:id="328" w:name="_Toc127161445"/>
      <w:bookmarkStart w:id="329" w:name="_Toc127151732"/>
      <w:bookmarkStart w:id="330" w:name="_Toc127151531"/>
      <w:bookmarkStart w:id="331" w:name="_Toc151193919"/>
      <w:bookmarkStart w:id="332" w:name="_Toc164608800"/>
      <w:bookmarkStart w:id="333" w:name="_Toc164351625"/>
      <w:bookmarkStart w:id="334" w:name="_Toc150774736"/>
      <w:bookmarkStart w:id="335" w:name="_Toc150480769"/>
      <w:bookmarkStart w:id="336" w:name="_Toc226965721"/>
      <w:bookmarkStart w:id="337" w:name="_Toc150774631"/>
      <w:bookmarkStart w:id="338" w:name="_Toc151193773"/>
      <w:r>
        <w:rPr>
          <w:rFonts w:hint="eastAsia" w:ascii="宋体" w:hAnsi="宋体" w:eastAsia="宋体" w:cs="宋体"/>
          <w:i w:val="0"/>
          <w:iCs w:val="0"/>
          <w:color w:val="auto"/>
          <w:spacing w:val="0"/>
          <w:position w:val="0"/>
          <w:sz w:val="24"/>
          <w:highlight w:val="none"/>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5ED0792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339" w:name="_Ref467306302"/>
      <w:r>
        <w:rPr>
          <w:rFonts w:hint="eastAsia" w:ascii="宋体" w:hAnsi="宋体" w:eastAsia="宋体" w:cs="宋体"/>
          <w:i w:val="0"/>
          <w:iCs w:val="0"/>
          <w:color w:val="auto"/>
          <w:spacing w:val="0"/>
          <w:position w:val="0"/>
          <w:sz w:val="24"/>
          <w:highlight w:val="none"/>
        </w:rPr>
        <w:t>投标人应按《投标人须知资料表》中规定的金额及要求交纳投标保证金</w:t>
      </w:r>
      <w:bookmarkEnd w:id="339"/>
      <w:r>
        <w:rPr>
          <w:rFonts w:hint="eastAsia" w:ascii="宋体" w:hAnsi="宋体" w:eastAsia="宋体" w:cs="宋体"/>
          <w:i w:val="0"/>
          <w:iCs w:val="0"/>
          <w:color w:val="auto"/>
          <w:spacing w:val="0"/>
          <w:position w:val="0"/>
          <w:sz w:val="24"/>
          <w:highlight w:val="none"/>
        </w:rPr>
        <w:t>。投标人自愿超额缴纳投标保证金的，投标文件不做无效处理。</w:t>
      </w:r>
    </w:p>
    <w:p w14:paraId="29335971">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交纳投标保证金可采用的形式：政府采购法律法规接受的支票、汇票、本票、网上银行支付或者金融机构、担保机构出具的保函等非现金形式。</w:t>
      </w:r>
    </w:p>
    <w:p w14:paraId="423B8FE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rFonts w:hint="eastAsia" w:ascii="宋体" w:hAnsi="宋体" w:eastAsia="宋体" w:cs="宋体"/>
          <w:i w:val="0"/>
          <w:iCs w:val="0"/>
          <w:color w:val="auto"/>
          <w:spacing w:val="0"/>
          <w:position w:val="0"/>
          <w:sz w:val="24"/>
          <w:highlight w:val="none"/>
        </w:rPr>
        <w:t>以电子保函形式提交投标保证金的，应在投标截止时间前通过</w:t>
      </w:r>
      <w:r>
        <w:rPr>
          <w:rFonts w:hint="eastAsia" w:ascii="宋体" w:hAnsi="宋体" w:eastAsia="宋体" w:cs="宋体"/>
          <w:i w:val="0"/>
          <w:iCs w:val="0"/>
          <w:color w:val="auto"/>
          <w:spacing w:val="0"/>
          <w:position w:val="0"/>
          <w:sz w:val="24"/>
          <w:highlight w:val="none"/>
          <w:lang w:bidi="ar"/>
        </w:rPr>
        <w:t>北京市政府采购电子交易平台完成电子保函在线办理。</w:t>
      </w:r>
      <w:bookmarkEnd w:id="340"/>
      <w:r>
        <w:rPr>
          <w:rFonts w:hint="eastAsia" w:ascii="宋体" w:hAnsi="宋体" w:eastAsia="宋体" w:cs="宋体"/>
          <w:i w:val="0"/>
          <w:iCs w:val="0"/>
          <w:color w:val="auto"/>
          <w:spacing w:val="0"/>
          <w:position w:val="0"/>
          <w:sz w:val="24"/>
          <w:highlight w:val="none"/>
        </w:rPr>
        <w:t>未按上述要求缴纳投标保证金的，其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2B980045">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投标人除需在投标文件中提供“</w:t>
      </w:r>
      <w:r>
        <w:rPr>
          <w:rFonts w:hint="eastAsia" w:ascii="宋体" w:hAnsi="宋体" w:eastAsia="宋体" w:cs="宋体"/>
          <w:i w:val="0"/>
          <w:iCs w:val="0"/>
          <w:color w:val="auto"/>
          <w:spacing w:val="0"/>
          <w:position w:val="0"/>
          <w:sz w:val="24"/>
          <w:szCs w:val="20"/>
          <w:highlight w:val="none"/>
        </w:rPr>
        <w:t>投标保证金凭证/交款单据电子件</w:t>
      </w:r>
      <w:r>
        <w:rPr>
          <w:rFonts w:hint="eastAsia" w:ascii="宋体" w:hAnsi="宋体" w:eastAsia="宋体" w:cs="宋体"/>
          <w:i w:val="0"/>
          <w:iCs w:val="0"/>
          <w:color w:val="auto"/>
          <w:spacing w:val="0"/>
          <w:position w:val="0"/>
          <w:sz w:val="24"/>
          <w:highlight w:val="none"/>
        </w:rPr>
        <w:t>”，还需在投标截止时间前，通过电子交易平台上传“</w:t>
      </w:r>
      <w:r>
        <w:rPr>
          <w:rFonts w:hint="eastAsia" w:ascii="宋体" w:hAnsi="宋体" w:eastAsia="宋体" w:cs="宋体"/>
          <w:i w:val="0"/>
          <w:iCs w:val="0"/>
          <w:color w:val="auto"/>
          <w:spacing w:val="0"/>
          <w:position w:val="0"/>
          <w:sz w:val="24"/>
          <w:szCs w:val="20"/>
          <w:highlight w:val="none"/>
        </w:rPr>
        <w:t>投标保证金凭证/交款单据电子件</w:t>
      </w:r>
      <w:r>
        <w:rPr>
          <w:rFonts w:hint="eastAsia" w:ascii="宋体" w:hAnsi="宋体" w:eastAsia="宋体" w:cs="宋体"/>
          <w:i w:val="0"/>
          <w:iCs w:val="0"/>
          <w:color w:val="auto"/>
          <w:spacing w:val="0"/>
          <w:position w:val="0"/>
          <w:sz w:val="24"/>
          <w:highlight w:val="none"/>
        </w:rPr>
        <w:t>”。</w:t>
      </w:r>
    </w:p>
    <w:p w14:paraId="14F83D3F">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投标保证金有效期同投标有效期。</w:t>
      </w:r>
    </w:p>
    <w:p w14:paraId="0B83680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投标人为联合体的，可以由联合体中的一方或者多方共同交纳投标保证金，其交纳的投标保证金对联合体各方均具有约束力。</w:t>
      </w:r>
    </w:p>
    <w:p w14:paraId="014781B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3D8EE15">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投标人在投标截止时间前撤回已提交的投标文件的，自收到投标人书面撤回通知之日起5个工作日内退还已收取的投标保证金；</w:t>
      </w:r>
    </w:p>
    <w:p w14:paraId="52B436A5">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中标人的投标保证金，自采购合同签订之日起5个工作日内退还中标人；</w:t>
      </w:r>
    </w:p>
    <w:p w14:paraId="3C2CFCA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未中标投标人的投标保证金，自中标通知书发出之日起5个工作日内退还未中标人；</w:t>
      </w:r>
    </w:p>
    <w:p w14:paraId="34E0350D">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终止招标项目已经收取投标保证金的，自终止采购活动后5个工作日内退还已收取的投标保证金及其在银行产生的孳息。</w:t>
      </w:r>
    </w:p>
    <w:p w14:paraId="55859FA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有下列情形之一的，采购人或采购代理机构可以不予退还投标保证金：</w:t>
      </w:r>
    </w:p>
    <w:p w14:paraId="09CED4C0">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投标有效期内投标人撤销投标文件的；</w:t>
      </w:r>
    </w:p>
    <w:p w14:paraId="2612764C">
      <w:pPr>
        <w:pageBreakBefore w:val="0"/>
        <w:numPr>
          <w:ilvl w:val="2"/>
          <w:numId w:val="8"/>
        </w:numPr>
        <w:tabs>
          <w:tab w:val="left" w:pos="900"/>
          <w:tab w:val="left" w:pos="1080"/>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《投标人须知资料表》中规定的其他情形。</w:t>
      </w:r>
    </w:p>
    <w:p w14:paraId="74F31CF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41" w:name="_Toc226965805"/>
      <w:bookmarkStart w:id="342" w:name="_Toc151193630"/>
      <w:bookmarkStart w:id="343" w:name="_Toc520356157"/>
      <w:bookmarkStart w:id="344" w:name="_Toc151193774"/>
      <w:bookmarkStart w:id="345" w:name="_Toc149720825"/>
      <w:bookmarkStart w:id="346" w:name="_Toc151190159"/>
      <w:bookmarkStart w:id="347" w:name="_Toc150774632"/>
      <w:bookmarkStart w:id="348" w:name="_Toc305158800"/>
      <w:bookmarkStart w:id="349" w:name="_Toc164229373"/>
      <w:bookmarkStart w:id="350" w:name="_Toc164229227"/>
      <w:bookmarkStart w:id="351" w:name="_Toc151193702"/>
      <w:bookmarkStart w:id="352" w:name="_Toc265228370"/>
      <w:bookmarkStart w:id="353" w:name="_Toc151193920"/>
      <w:bookmarkStart w:id="354" w:name="_Toc305158874"/>
      <w:bookmarkStart w:id="355" w:name="_Toc127151532"/>
      <w:bookmarkStart w:id="356" w:name="_Toc127161446"/>
      <w:bookmarkStart w:id="357" w:name="_Toc150509283"/>
      <w:bookmarkStart w:id="358" w:name="_Toc164608801"/>
      <w:bookmarkStart w:id="359" w:name="_Toc127151733"/>
      <w:bookmarkStart w:id="360" w:name="_Toc164608646"/>
      <w:bookmarkStart w:id="361" w:name="_Toc264969222"/>
      <w:bookmarkStart w:id="362" w:name="_Toc226337228"/>
      <w:bookmarkStart w:id="363" w:name="_Toc195842897"/>
      <w:bookmarkStart w:id="364" w:name="_Toc164351626"/>
      <w:bookmarkStart w:id="365" w:name="_Toc150774737"/>
      <w:bookmarkStart w:id="366" w:name="_Toc151193846"/>
      <w:bookmarkStart w:id="367" w:name="_Toc142311034"/>
      <w:bookmarkStart w:id="368" w:name="_Toc226309776"/>
      <w:bookmarkStart w:id="369" w:name="_Toc150480770"/>
      <w:bookmarkStart w:id="370" w:name="_Toc226965722"/>
      <w:r>
        <w:rPr>
          <w:rFonts w:hint="eastAsia" w:ascii="宋体" w:hAnsi="宋体" w:eastAsia="宋体" w:cs="宋体"/>
          <w:i w:val="0"/>
          <w:iCs w:val="0"/>
          <w:color w:val="auto"/>
          <w:spacing w:val="0"/>
          <w:position w:val="0"/>
          <w:sz w:val="24"/>
          <w:highlight w:val="none"/>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207453B">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65032E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71" w:name="_Toc164608647"/>
      <w:bookmarkStart w:id="372" w:name="_Toc226965806"/>
      <w:bookmarkStart w:id="373" w:name="_Toc164229374"/>
      <w:bookmarkStart w:id="374" w:name="_Toc151193631"/>
      <w:bookmarkStart w:id="375" w:name="_Toc264969223"/>
      <w:bookmarkStart w:id="376" w:name="_Toc164608802"/>
      <w:bookmarkStart w:id="377" w:name="_Toc164229228"/>
      <w:bookmarkStart w:id="378" w:name="_Toc226965723"/>
      <w:bookmarkStart w:id="379" w:name="_Toc226309777"/>
      <w:bookmarkStart w:id="380" w:name="_Toc520356158"/>
      <w:bookmarkStart w:id="381" w:name="_Toc226337229"/>
      <w:bookmarkStart w:id="382" w:name="_Toc150480771"/>
      <w:bookmarkStart w:id="383" w:name="_Toc127151734"/>
      <w:bookmarkStart w:id="384" w:name="_Toc164351627"/>
      <w:bookmarkStart w:id="385" w:name="_Toc151193703"/>
      <w:bookmarkStart w:id="386" w:name="_Toc150774738"/>
      <w:bookmarkStart w:id="387" w:name="_Toc149720826"/>
      <w:bookmarkStart w:id="388" w:name="_Toc305158875"/>
      <w:bookmarkStart w:id="389" w:name="_Toc150509284"/>
      <w:bookmarkStart w:id="390" w:name="_Toc127151533"/>
      <w:bookmarkStart w:id="391" w:name="_Toc151193921"/>
      <w:bookmarkStart w:id="392" w:name="_Toc151193775"/>
      <w:bookmarkStart w:id="393" w:name="_Toc127161447"/>
      <w:bookmarkStart w:id="394" w:name="_Toc305158801"/>
      <w:bookmarkStart w:id="395" w:name="_Toc150774633"/>
      <w:bookmarkStart w:id="396" w:name="_Toc265228371"/>
      <w:bookmarkStart w:id="397" w:name="_Toc142311035"/>
      <w:bookmarkStart w:id="398" w:name="_Toc151193847"/>
      <w:bookmarkStart w:id="399" w:name="_Toc195842898"/>
      <w:bookmarkStart w:id="400" w:name="_Toc151190160"/>
      <w:r>
        <w:rPr>
          <w:rFonts w:hint="eastAsia" w:ascii="宋体" w:hAnsi="宋体" w:eastAsia="宋体" w:cs="宋体"/>
          <w:i w:val="0"/>
          <w:iCs w:val="0"/>
          <w:color w:val="auto"/>
          <w:spacing w:val="0"/>
          <w:position w:val="0"/>
          <w:sz w:val="24"/>
          <w:highlight w:val="none"/>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Fonts w:hint="eastAsia" w:ascii="宋体" w:hAnsi="宋体" w:eastAsia="宋体" w:cs="宋体"/>
          <w:i w:val="0"/>
          <w:iCs w:val="0"/>
          <w:color w:val="auto"/>
          <w:spacing w:val="0"/>
          <w:position w:val="0"/>
          <w:sz w:val="24"/>
          <w:highlight w:val="none"/>
        </w:rPr>
        <w:t>、盖章</w:t>
      </w:r>
    </w:p>
    <w:p w14:paraId="7A4ED2E1">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401" w:name="_Toc151193848"/>
      <w:bookmarkStart w:id="402" w:name="_Toc226965807"/>
      <w:bookmarkStart w:id="403" w:name="_Toc151193922"/>
      <w:bookmarkStart w:id="404" w:name="_Toc151193704"/>
      <w:bookmarkStart w:id="405" w:name="_Toc142311036"/>
      <w:bookmarkStart w:id="406" w:name="_Toc150774634"/>
      <w:bookmarkStart w:id="407" w:name="_Toc520356159"/>
      <w:bookmarkStart w:id="408" w:name="_Toc265228372"/>
      <w:bookmarkStart w:id="409" w:name="_Toc195842899"/>
      <w:bookmarkStart w:id="410" w:name="_Toc151190161"/>
      <w:bookmarkStart w:id="411" w:name="_Toc305158876"/>
      <w:bookmarkStart w:id="412" w:name="_Toc226337230"/>
      <w:bookmarkStart w:id="413" w:name="_Toc226309778"/>
      <w:bookmarkStart w:id="414" w:name="_Toc264969224"/>
      <w:bookmarkStart w:id="415" w:name="_Toc150774739"/>
      <w:bookmarkStart w:id="416" w:name="_Toc150480772"/>
      <w:bookmarkStart w:id="417" w:name="_Toc150509285"/>
      <w:bookmarkStart w:id="418" w:name="_Toc127151534"/>
      <w:bookmarkStart w:id="419" w:name="_Toc151193632"/>
      <w:bookmarkStart w:id="420" w:name="_Toc226965724"/>
      <w:bookmarkStart w:id="421" w:name="_Toc305158802"/>
      <w:bookmarkStart w:id="422" w:name="_Toc151193776"/>
      <w:r>
        <w:rPr>
          <w:rFonts w:hint="eastAsia" w:ascii="宋体" w:hAnsi="宋体" w:eastAsia="宋体" w:cs="宋体"/>
          <w:i w:val="0"/>
          <w:iCs w:val="0"/>
          <w:color w:val="auto"/>
          <w:spacing w:val="0"/>
          <w:position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B4E05F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招标文件要求盖章的内容，一般通过投标文件编制工具加盖电子签章。</w:t>
      </w:r>
    </w:p>
    <w:p w14:paraId="2DFFE698">
      <w:pPr>
        <w:pageBreakBefore w:val="0"/>
        <w:tabs>
          <w:tab w:val="left" w:pos="900"/>
          <w:tab w:val="left" w:pos="1080"/>
        </w:tabs>
        <w:wordWrap/>
        <w:topLinePunct w:val="0"/>
        <w:bidi w:val="0"/>
        <w:snapToGrid w:val="0"/>
        <w:spacing w:line="360" w:lineRule="auto"/>
        <w:ind w:left="357"/>
        <w:rPr>
          <w:rFonts w:hint="eastAsia" w:ascii="宋体" w:hAnsi="宋体" w:eastAsia="宋体" w:cs="宋体"/>
          <w:i w:val="0"/>
          <w:iCs w:val="0"/>
          <w:color w:val="auto"/>
          <w:spacing w:val="0"/>
          <w:position w:val="0"/>
          <w:highlight w:val="none"/>
        </w:rPr>
      </w:pPr>
    </w:p>
    <w:p w14:paraId="59ED36DA">
      <w:pPr>
        <w:pStyle w:val="3"/>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4D29DCCB">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23" w:name="_Toc305158877"/>
      <w:bookmarkStart w:id="424" w:name="_Toc127151535"/>
      <w:bookmarkStart w:id="425" w:name="_Toc151193633"/>
      <w:bookmarkStart w:id="426" w:name="_Toc164608649"/>
      <w:bookmarkStart w:id="427" w:name="_Toc149720828"/>
      <w:bookmarkStart w:id="428" w:name="_Toc151193705"/>
      <w:bookmarkStart w:id="429" w:name="_Toc226309779"/>
      <w:bookmarkStart w:id="430" w:name="_Toc226965808"/>
      <w:bookmarkStart w:id="431" w:name="_Toc164351629"/>
      <w:bookmarkStart w:id="432" w:name="_Toc142311037"/>
      <w:bookmarkStart w:id="433" w:name="_Toc164229376"/>
      <w:bookmarkStart w:id="434" w:name="_Toc151193849"/>
      <w:bookmarkStart w:id="435" w:name="_Toc226337231"/>
      <w:bookmarkStart w:id="436" w:name="_Toc226965725"/>
      <w:bookmarkStart w:id="437" w:name="_Toc151190162"/>
      <w:bookmarkStart w:id="438" w:name="_Toc265228373"/>
      <w:bookmarkStart w:id="439" w:name="_Toc150509286"/>
      <w:bookmarkStart w:id="440" w:name="_Toc520356160"/>
      <w:bookmarkStart w:id="441" w:name="_Toc264969225"/>
      <w:bookmarkStart w:id="442" w:name="_Toc151193777"/>
      <w:bookmarkStart w:id="443" w:name="_Toc164229230"/>
      <w:bookmarkStart w:id="444" w:name="_Toc151193923"/>
      <w:bookmarkStart w:id="445" w:name="_Toc195842900"/>
      <w:bookmarkStart w:id="446" w:name="_Toc127161449"/>
      <w:bookmarkStart w:id="447" w:name="_Toc164608804"/>
      <w:bookmarkStart w:id="448" w:name="_Toc150480773"/>
      <w:bookmarkStart w:id="449" w:name="_Toc150774740"/>
      <w:bookmarkStart w:id="450" w:name="_Toc127151736"/>
      <w:bookmarkStart w:id="451" w:name="_Toc150774635"/>
      <w:bookmarkStart w:id="452" w:name="_Toc305158803"/>
      <w:r>
        <w:rPr>
          <w:rFonts w:hint="eastAsia" w:ascii="宋体" w:hAnsi="宋体" w:eastAsia="宋体" w:cs="宋体"/>
          <w:i w:val="0"/>
          <w:iCs w:val="0"/>
          <w:color w:val="auto"/>
          <w:spacing w:val="0"/>
          <w:position w:val="0"/>
          <w:sz w:val="24"/>
          <w:highlight w:val="none"/>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Fonts w:hint="eastAsia" w:ascii="宋体" w:hAnsi="宋体" w:eastAsia="宋体" w:cs="宋体"/>
          <w:i w:val="0"/>
          <w:iCs w:val="0"/>
          <w:color w:val="auto"/>
          <w:spacing w:val="0"/>
          <w:position w:val="0"/>
          <w:sz w:val="24"/>
          <w:highlight w:val="none"/>
        </w:rPr>
        <w:t>提交</w:t>
      </w:r>
    </w:p>
    <w:p w14:paraId="0AB2B41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本项目使用北京市政府采购电子交易平台。投标人根据招标文件及电子交易平台供应商操作手册要求编制、生成并提交电子投标文件。</w:t>
      </w:r>
    </w:p>
    <w:p w14:paraId="76C183A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采购人及采购代理机构拒绝接受通过电子交易平台以外任何形式提交的投标文件，投标保证金除外。</w:t>
      </w:r>
    </w:p>
    <w:p w14:paraId="3B3A4E4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53" w:name="_Toc150774636"/>
      <w:bookmarkStart w:id="454" w:name="_Toc142311038"/>
      <w:bookmarkStart w:id="455" w:name="_Toc164229231"/>
      <w:bookmarkStart w:id="456" w:name="_Toc150774741"/>
      <w:bookmarkStart w:id="457" w:name="_Toc149720829"/>
      <w:bookmarkStart w:id="458" w:name="_Toc520356161"/>
      <w:bookmarkStart w:id="459" w:name="_Toc226309780"/>
      <w:bookmarkStart w:id="460" w:name="_Toc164608650"/>
      <w:bookmarkStart w:id="461" w:name="_Toc127151536"/>
      <w:bookmarkStart w:id="462" w:name="_Toc150509287"/>
      <w:bookmarkStart w:id="463" w:name="_Toc164351630"/>
      <w:bookmarkStart w:id="464" w:name="_Toc305158804"/>
      <w:bookmarkStart w:id="465" w:name="_Toc226965809"/>
      <w:bookmarkStart w:id="466" w:name="_Toc305158878"/>
      <w:bookmarkStart w:id="467" w:name="_Toc264969226"/>
      <w:bookmarkStart w:id="468" w:name="_Toc265228374"/>
      <w:bookmarkStart w:id="469" w:name="_Toc151193924"/>
      <w:bookmarkStart w:id="470" w:name="_Toc151193850"/>
      <w:bookmarkStart w:id="471" w:name="_Toc127161450"/>
      <w:bookmarkStart w:id="472" w:name="_Toc127151737"/>
      <w:bookmarkStart w:id="473" w:name="_Toc151193706"/>
      <w:bookmarkStart w:id="474" w:name="_Toc226337232"/>
      <w:bookmarkStart w:id="475" w:name="_Toc151193634"/>
      <w:bookmarkStart w:id="476" w:name="_Toc226965726"/>
      <w:bookmarkStart w:id="477" w:name="_Toc151190163"/>
      <w:bookmarkStart w:id="478" w:name="_Toc164229377"/>
      <w:bookmarkStart w:id="479" w:name="_Toc164608805"/>
      <w:bookmarkStart w:id="480" w:name="_Toc150480774"/>
      <w:bookmarkStart w:id="481" w:name="_Toc151193778"/>
      <w:bookmarkStart w:id="482" w:name="_Toc195842901"/>
      <w:r>
        <w:rPr>
          <w:rFonts w:hint="eastAsia" w:ascii="宋体" w:hAnsi="宋体" w:eastAsia="宋体" w:cs="宋体"/>
          <w:i w:val="0"/>
          <w:iCs w:val="0"/>
          <w:color w:val="auto"/>
          <w:spacing w:val="0"/>
          <w:position w:val="0"/>
          <w:sz w:val="24"/>
          <w:highlight w:val="none"/>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Fonts w:hint="eastAsia" w:ascii="宋体" w:hAnsi="宋体" w:eastAsia="宋体" w:cs="宋体"/>
          <w:i w:val="0"/>
          <w:iCs w:val="0"/>
          <w:color w:val="auto"/>
          <w:spacing w:val="0"/>
          <w:position w:val="0"/>
          <w:sz w:val="24"/>
          <w:highlight w:val="none"/>
        </w:rPr>
        <w:t>时间</w:t>
      </w:r>
    </w:p>
    <w:p w14:paraId="630CC70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投标人应在招标文件要求提交投标文件截止时间前，将电子投标文件提交至电子交易平台。</w:t>
      </w:r>
    </w:p>
    <w:p w14:paraId="40A29034">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83" w:name="_Toc264969227"/>
      <w:bookmarkStart w:id="484" w:name="_Toc164608806"/>
      <w:bookmarkStart w:id="485" w:name="_Toc150509288"/>
      <w:bookmarkStart w:id="486" w:name="_Toc149720830"/>
      <w:bookmarkStart w:id="487" w:name="_Toc150480775"/>
      <w:bookmarkStart w:id="488" w:name="_Toc127151738"/>
      <w:bookmarkStart w:id="489" w:name="_Toc265228375"/>
      <w:bookmarkStart w:id="490" w:name="_Toc150774742"/>
      <w:bookmarkStart w:id="491" w:name="_Toc151193707"/>
      <w:bookmarkStart w:id="492" w:name="_Toc226309781"/>
      <w:bookmarkStart w:id="493" w:name="_Toc305158805"/>
      <w:bookmarkStart w:id="494" w:name="_Toc164229378"/>
      <w:bookmarkStart w:id="495" w:name="_Toc164351631"/>
      <w:bookmarkStart w:id="496" w:name="_Toc151190164"/>
      <w:bookmarkStart w:id="497" w:name="_Toc150774637"/>
      <w:bookmarkStart w:id="498" w:name="_Toc520356162"/>
      <w:bookmarkStart w:id="499" w:name="_Toc164229232"/>
      <w:bookmarkStart w:id="500" w:name="_Toc142311039"/>
      <w:bookmarkStart w:id="501" w:name="_Toc305158879"/>
      <w:bookmarkStart w:id="502" w:name="_Toc151193925"/>
      <w:bookmarkStart w:id="503" w:name="_Toc226965727"/>
      <w:bookmarkStart w:id="504" w:name="_Toc164608651"/>
      <w:bookmarkStart w:id="505" w:name="_Toc226337233"/>
      <w:bookmarkStart w:id="506" w:name="_Toc151193779"/>
      <w:bookmarkStart w:id="507" w:name="_Toc226965810"/>
      <w:bookmarkStart w:id="508" w:name="_Toc195842902"/>
      <w:bookmarkStart w:id="509" w:name="_Toc127151537"/>
      <w:bookmarkStart w:id="510" w:name="_Toc151193851"/>
      <w:bookmarkStart w:id="511" w:name="_Toc127161451"/>
      <w:bookmarkStart w:id="512" w:name="_Toc151193635"/>
      <w:r>
        <w:rPr>
          <w:rFonts w:hint="eastAsia" w:ascii="宋体" w:hAnsi="宋体" w:eastAsia="宋体" w:cs="宋体"/>
          <w:i w:val="0"/>
          <w:iCs w:val="0"/>
          <w:color w:val="auto"/>
          <w:spacing w:val="0"/>
          <w:position w:val="0"/>
          <w:sz w:val="24"/>
          <w:highlight w:val="none"/>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5226657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22B579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投标人对投标文件的补充、修改的内容应当按照招标文件要求签署、盖章，作为投标文件的组成部分。</w:t>
      </w:r>
    </w:p>
    <w:p w14:paraId="3D16EC16">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p>
    <w:p w14:paraId="37CF682A">
      <w:pPr>
        <w:pStyle w:val="3"/>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513" w:name="_Toc226309782"/>
      <w:bookmarkStart w:id="514" w:name="_Toc520356163"/>
      <w:bookmarkStart w:id="515" w:name="_Toc151190165"/>
      <w:bookmarkStart w:id="516" w:name="_Toc150480776"/>
      <w:bookmarkStart w:id="517" w:name="_Toc127151538"/>
      <w:bookmarkStart w:id="518" w:name="_Toc151193852"/>
      <w:bookmarkStart w:id="519" w:name="_Toc264969228"/>
      <w:bookmarkStart w:id="520" w:name="_Toc151193926"/>
      <w:bookmarkStart w:id="521" w:name="_Toc305158806"/>
      <w:bookmarkStart w:id="522" w:name="_Toc226337234"/>
      <w:bookmarkStart w:id="523" w:name="_Toc150774743"/>
      <w:bookmarkStart w:id="524" w:name="_Toc142311040"/>
      <w:bookmarkStart w:id="525" w:name="_Toc226965728"/>
      <w:bookmarkStart w:id="526" w:name="_Toc305158880"/>
      <w:bookmarkStart w:id="527" w:name="_Toc195842903"/>
      <w:bookmarkStart w:id="528" w:name="_Toc265228376"/>
      <w:bookmarkStart w:id="529" w:name="_Toc150774638"/>
      <w:bookmarkStart w:id="530" w:name="_Toc151193708"/>
      <w:bookmarkStart w:id="531" w:name="_Toc226965811"/>
      <w:bookmarkStart w:id="532" w:name="_Toc151193636"/>
      <w:bookmarkStart w:id="533" w:name="_Toc151193780"/>
      <w:bookmarkStart w:id="534" w:name="_Toc150509289"/>
      <w:r>
        <w:rPr>
          <w:rFonts w:hint="eastAsia" w:ascii="宋体" w:hAnsi="宋体" w:eastAsia="宋体" w:cs="宋体"/>
          <w:i w:val="0"/>
          <w:iCs w:val="0"/>
          <w:color w:val="auto"/>
          <w:spacing w:val="0"/>
          <w:position w:val="0"/>
          <w:sz w:val="28"/>
          <w:highlight w:val="none"/>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64E91B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535" w:name="_Toc151193709"/>
      <w:bookmarkStart w:id="536" w:name="_Toc164351633"/>
      <w:bookmarkStart w:id="537" w:name="_Toc164229380"/>
      <w:bookmarkStart w:id="538" w:name="_Toc149720832"/>
      <w:bookmarkStart w:id="539" w:name="_Toc150774639"/>
      <w:bookmarkStart w:id="540" w:name="_Toc151190166"/>
      <w:bookmarkStart w:id="541" w:name="_Toc164229234"/>
      <w:bookmarkStart w:id="542" w:name="_Toc164608808"/>
      <w:bookmarkStart w:id="543" w:name="_Toc226309783"/>
      <w:bookmarkStart w:id="544" w:name="_Toc226965729"/>
      <w:bookmarkStart w:id="545" w:name="_Toc150480777"/>
      <w:bookmarkStart w:id="546" w:name="_Toc127161453"/>
      <w:bookmarkStart w:id="547" w:name="_Toc305158881"/>
      <w:bookmarkStart w:id="548" w:name="_Toc151193781"/>
      <w:bookmarkStart w:id="549" w:name="_Toc151193927"/>
      <w:bookmarkStart w:id="550" w:name="_Toc195842904"/>
      <w:bookmarkStart w:id="551" w:name="_Toc226965812"/>
      <w:bookmarkStart w:id="552" w:name="_Toc151193637"/>
      <w:bookmarkStart w:id="553" w:name="_Toc520356164"/>
      <w:bookmarkStart w:id="554" w:name="_Toc127151539"/>
      <w:bookmarkStart w:id="555" w:name="_Toc164608653"/>
      <w:bookmarkStart w:id="556" w:name="_Toc127151740"/>
      <w:bookmarkStart w:id="557" w:name="_Toc150509290"/>
      <w:bookmarkStart w:id="558" w:name="_Toc151193853"/>
      <w:bookmarkStart w:id="559" w:name="_Toc265228377"/>
      <w:bookmarkStart w:id="560" w:name="_Toc264969229"/>
      <w:bookmarkStart w:id="561" w:name="_Toc305158807"/>
      <w:bookmarkStart w:id="562" w:name="_Toc150774744"/>
      <w:bookmarkStart w:id="563" w:name="_Toc142311041"/>
      <w:bookmarkStart w:id="564" w:name="_Toc226337235"/>
      <w:r>
        <w:rPr>
          <w:rFonts w:hint="eastAsia" w:ascii="宋体" w:hAnsi="宋体" w:eastAsia="宋体" w:cs="宋体"/>
          <w:i w:val="0"/>
          <w:iCs w:val="0"/>
          <w:color w:val="auto"/>
          <w:spacing w:val="0"/>
          <w:position w:val="0"/>
          <w:sz w:val="24"/>
          <w:highlight w:val="none"/>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1589345">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采购人或采购代理机构将按招标文件的规定，在投标截止时间的同一时间和招标文件预先确定的地点组织开标。</w:t>
      </w:r>
    </w:p>
    <w:p w14:paraId="0E60641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本项目开标使用北京市政府采购电子交易平台。投标人应在</w:t>
      </w:r>
      <w:bookmarkStart w:id="565" w:name="_Hlk167284562"/>
      <w:r>
        <w:rPr>
          <w:rFonts w:hint="eastAsia" w:ascii="宋体" w:hAnsi="宋体" w:eastAsia="宋体" w:cs="宋体"/>
          <w:i w:val="0"/>
          <w:iCs w:val="0"/>
          <w:color w:val="auto"/>
          <w:spacing w:val="0"/>
          <w:position w:val="0"/>
          <w:sz w:val="24"/>
          <w:highlight w:val="none"/>
        </w:rPr>
        <w:t>《投标人须知资料表》</w:t>
      </w:r>
      <w:bookmarkEnd w:id="565"/>
      <w:r>
        <w:rPr>
          <w:rFonts w:hint="eastAsia" w:ascii="宋体" w:hAnsi="宋体" w:eastAsia="宋体" w:cs="宋体"/>
          <w:i w:val="0"/>
          <w:iCs w:val="0"/>
          <w:color w:val="auto"/>
          <w:spacing w:val="0"/>
          <w:position w:val="0"/>
          <w:sz w:val="24"/>
          <w:highlight w:val="none"/>
        </w:rPr>
        <w:t>规定的时间内对投标文件进行解密，因非系统原因导致的解密失败，视为</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4D44EE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开标过程将使用电子交易平台宣布投标人名称、投标价格和招标文件规定的需要宣布的其他内容并进行记录，并由参加开标的各投标人确认</w:t>
      </w:r>
      <w:bookmarkStart w:id="566" w:name="_Toc520356165"/>
      <w:r>
        <w:rPr>
          <w:rFonts w:hint="eastAsia" w:ascii="宋体" w:hAnsi="宋体" w:eastAsia="宋体" w:cs="宋体"/>
          <w:i w:val="0"/>
          <w:iCs w:val="0"/>
          <w:color w:val="auto"/>
          <w:spacing w:val="0"/>
          <w:position w:val="0"/>
          <w:sz w:val="24"/>
          <w:highlight w:val="none"/>
        </w:rPr>
        <w:t>。</w:t>
      </w:r>
      <w:bookmarkStart w:id="567" w:name="_Hlk143533942"/>
      <w:r>
        <w:rPr>
          <w:rFonts w:hint="eastAsia" w:ascii="宋体" w:hAnsi="宋体" w:eastAsia="宋体" w:cs="宋体"/>
          <w:i w:val="0"/>
          <w:iCs w:val="0"/>
          <w:color w:val="auto"/>
          <w:spacing w:val="0"/>
          <w:position w:val="0"/>
          <w:sz w:val="24"/>
          <w:highlight w:val="none"/>
        </w:rPr>
        <w:t>投标人未在规定时间内提出疑义或确认一览表的，视同认可开标结果。</w:t>
      </w:r>
      <w:bookmarkEnd w:id="567"/>
    </w:p>
    <w:p w14:paraId="7856B45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942F098">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投标人不足3家的，不予开标。</w:t>
      </w:r>
    </w:p>
    <w:p w14:paraId="56D211B0">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w:t>
      </w:r>
    </w:p>
    <w:p w14:paraId="2C0CBCF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见第三章《资格审查》。</w:t>
      </w:r>
    </w:p>
    <w:bookmarkEnd w:id="566"/>
    <w:p w14:paraId="2C4C899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568" w:name="_Toc226965730"/>
      <w:bookmarkStart w:id="569" w:name="_Toc164351634"/>
      <w:bookmarkStart w:id="570" w:name="_Toc151193854"/>
      <w:bookmarkStart w:id="571" w:name="_Toc164608654"/>
      <w:bookmarkStart w:id="572" w:name="_Toc149720833"/>
      <w:bookmarkStart w:id="573" w:name="_Toc150774745"/>
      <w:bookmarkStart w:id="574" w:name="_Toc151190167"/>
      <w:bookmarkStart w:id="575" w:name="_Toc226309784"/>
      <w:bookmarkStart w:id="576" w:name="_Toc164608809"/>
      <w:bookmarkStart w:id="577" w:name="_Toc226965813"/>
      <w:bookmarkStart w:id="578" w:name="_Toc151193638"/>
      <w:bookmarkStart w:id="579" w:name="_Toc164229235"/>
      <w:bookmarkStart w:id="580" w:name="_Toc127151540"/>
      <w:bookmarkStart w:id="581" w:name="_Toc150480778"/>
      <w:bookmarkStart w:id="582" w:name="_Toc127161454"/>
      <w:bookmarkStart w:id="583" w:name="_Toc226337236"/>
      <w:bookmarkStart w:id="584" w:name="_Toc151193928"/>
      <w:bookmarkStart w:id="585" w:name="_Toc127151741"/>
      <w:bookmarkStart w:id="586" w:name="_Toc151193782"/>
      <w:bookmarkStart w:id="587" w:name="_Toc164229381"/>
      <w:bookmarkStart w:id="588" w:name="_Toc264969230"/>
      <w:bookmarkStart w:id="589" w:name="_Toc150774640"/>
      <w:bookmarkStart w:id="590" w:name="_Toc265228378"/>
      <w:bookmarkStart w:id="591" w:name="_Toc305158808"/>
      <w:bookmarkStart w:id="592" w:name="_Toc305158882"/>
      <w:bookmarkStart w:id="593" w:name="_Toc142311042"/>
      <w:bookmarkStart w:id="594" w:name="_Toc195842905"/>
      <w:bookmarkStart w:id="595" w:name="_Toc150509291"/>
      <w:bookmarkStart w:id="596" w:name="_Toc151193710"/>
      <w:r>
        <w:rPr>
          <w:rFonts w:hint="eastAsia" w:ascii="宋体" w:hAnsi="宋体" w:eastAsia="宋体" w:cs="宋体"/>
          <w:i w:val="0"/>
          <w:iCs w:val="0"/>
          <w:color w:val="auto"/>
          <w:spacing w:val="0"/>
          <w:position w:val="0"/>
          <w:sz w:val="24"/>
          <w:highlight w:val="none"/>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213100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评标委员会根据政府采购有关规定和本次采购项目的特点进行组建，并负责具体评标事务，独立履行职责。</w:t>
      </w:r>
      <w:bookmarkStart w:id="597" w:name="_Toc520356166"/>
    </w:p>
    <w:p w14:paraId="5564881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4594D6D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评标程序、评标方法和评标标准</w:t>
      </w:r>
    </w:p>
    <w:p w14:paraId="59005DC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见第四章《评标程序、评标方法和评标标准》。</w:t>
      </w:r>
    </w:p>
    <w:p w14:paraId="15038011">
      <w:pPr>
        <w:pageBreakBefore w:val="0"/>
        <w:tabs>
          <w:tab w:val="left" w:pos="360"/>
          <w:tab w:val="left" w:pos="1080"/>
        </w:tabs>
        <w:wordWrap/>
        <w:topLinePunct w:val="0"/>
        <w:bidi w:val="0"/>
        <w:snapToGrid w:val="0"/>
        <w:spacing w:line="360" w:lineRule="auto"/>
        <w:ind w:left="1080"/>
        <w:rPr>
          <w:rFonts w:hint="eastAsia" w:ascii="宋体" w:hAnsi="宋体" w:eastAsia="宋体" w:cs="宋体"/>
          <w:i w:val="0"/>
          <w:iCs w:val="0"/>
          <w:color w:val="auto"/>
          <w:spacing w:val="0"/>
          <w:position w:val="0"/>
          <w:sz w:val="24"/>
          <w:highlight w:val="none"/>
        </w:rPr>
      </w:pPr>
    </w:p>
    <w:p w14:paraId="26410B15">
      <w:pPr>
        <w:pStyle w:val="3"/>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599" w:name="_Toc226309789"/>
      <w:bookmarkStart w:id="600" w:name="_Toc305158887"/>
      <w:bookmarkStart w:id="601" w:name="_Toc127151545"/>
      <w:bookmarkStart w:id="602" w:name="_Toc150480783"/>
      <w:bookmarkStart w:id="603" w:name="_Toc264969235"/>
      <w:bookmarkStart w:id="604" w:name="_Toc226965818"/>
      <w:bookmarkStart w:id="605" w:name="_Toc226965735"/>
      <w:bookmarkStart w:id="606" w:name="_Toc142311047"/>
      <w:bookmarkStart w:id="607" w:name="_Toc151193787"/>
      <w:bookmarkStart w:id="608" w:name="_Toc151193715"/>
      <w:bookmarkStart w:id="609" w:name="_Toc226337241"/>
      <w:bookmarkStart w:id="610" w:name="_Toc150774750"/>
      <w:bookmarkStart w:id="611" w:name="_Toc151193643"/>
      <w:bookmarkStart w:id="612" w:name="_Toc151193859"/>
      <w:bookmarkStart w:id="613" w:name="_Toc151193933"/>
      <w:bookmarkStart w:id="614" w:name="_Toc150774645"/>
      <w:bookmarkStart w:id="615" w:name="_Toc150509296"/>
      <w:bookmarkStart w:id="616" w:name="_Toc195842910"/>
      <w:bookmarkStart w:id="617" w:name="_Toc305158813"/>
      <w:bookmarkStart w:id="618" w:name="_Toc265228383"/>
      <w:bookmarkStart w:id="619" w:name="_Toc151190172"/>
      <w:r>
        <w:rPr>
          <w:rFonts w:hint="eastAsia" w:ascii="宋体" w:hAnsi="宋体" w:eastAsia="宋体" w:cs="宋体"/>
          <w:i w:val="0"/>
          <w:iCs w:val="0"/>
          <w:color w:val="auto"/>
          <w:spacing w:val="0"/>
          <w:position w:val="0"/>
          <w:sz w:val="28"/>
          <w:highlight w:val="none"/>
        </w:rPr>
        <w:t xml:space="preserve">六   </w:t>
      </w:r>
      <w:bookmarkEnd w:id="598"/>
      <w:r>
        <w:rPr>
          <w:rFonts w:hint="eastAsia" w:ascii="宋体" w:hAnsi="宋体" w:eastAsia="宋体" w:cs="宋体"/>
          <w:i w:val="0"/>
          <w:iCs w:val="0"/>
          <w:color w:val="auto"/>
          <w:spacing w:val="0"/>
          <w:position w:val="0"/>
          <w:sz w:val="28"/>
          <w:highlight w:val="none"/>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151193789"/>
      <w:bookmarkStart w:id="621" w:name="_Toc142311049"/>
      <w:bookmarkStart w:id="622" w:name="_Toc151193645"/>
      <w:bookmarkStart w:id="623" w:name="_Toc151193935"/>
      <w:bookmarkStart w:id="624" w:name="_Toc127151748"/>
      <w:bookmarkStart w:id="625" w:name="_Toc226965737"/>
      <w:bookmarkStart w:id="626" w:name="_Toc164229388"/>
      <w:bookmarkStart w:id="627" w:name="_Toc151190174"/>
      <w:bookmarkStart w:id="628" w:name="_Toc150509298"/>
      <w:bookmarkStart w:id="629" w:name="_Toc164229242"/>
      <w:bookmarkStart w:id="630" w:name="_Toc226965820"/>
      <w:bookmarkStart w:id="631" w:name="_Toc150480785"/>
      <w:bookmarkStart w:id="632" w:name="_Toc305158889"/>
      <w:bookmarkStart w:id="633" w:name="_Toc127151547"/>
      <w:bookmarkStart w:id="634" w:name="_Toc150774752"/>
      <w:bookmarkStart w:id="635" w:name="_Toc151193861"/>
      <w:bookmarkStart w:id="636" w:name="_Toc164608661"/>
      <w:bookmarkStart w:id="637" w:name="_Toc265228385"/>
      <w:bookmarkStart w:id="638" w:name="_Toc305158815"/>
      <w:bookmarkStart w:id="639" w:name="_Toc164351641"/>
      <w:bookmarkStart w:id="640" w:name="_Toc264969237"/>
      <w:bookmarkStart w:id="641" w:name="_Toc226309791"/>
      <w:bookmarkStart w:id="642" w:name="_Toc149720840"/>
      <w:bookmarkStart w:id="643" w:name="_Toc127161461"/>
      <w:bookmarkStart w:id="644" w:name="_Toc151193717"/>
      <w:bookmarkStart w:id="645" w:name="_Toc226337243"/>
      <w:bookmarkStart w:id="646" w:name="_Toc195842912"/>
      <w:bookmarkStart w:id="647" w:name="_Toc150774647"/>
      <w:bookmarkStart w:id="648" w:name="_Toc164608816"/>
    </w:p>
    <w:p w14:paraId="04431FC6">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2050E95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6391D39">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649" w:name="_Toc305158817"/>
      <w:bookmarkStart w:id="650" w:name="_Toc305158891"/>
      <w:bookmarkStart w:id="651" w:name="_Toc226965739"/>
      <w:bookmarkStart w:id="652" w:name="_Toc151193791"/>
      <w:bookmarkStart w:id="653" w:name="_Toc164351643"/>
      <w:bookmarkStart w:id="654" w:name="_Toc164229390"/>
      <w:bookmarkStart w:id="655" w:name="_Toc226337245"/>
      <w:bookmarkStart w:id="656" w:name="_Toc150774649"/>
      <w:bookmarkStart w:id="657" w:name="_Toc151193937"/>
      <w:bookmarkStart w:id="658" w:name="_Toc151193719"/>
      <w:bookmarkStart w:id="659" w:name="_Toc142311051"/>
      <w:bookmarkStart w:id="660" w:name="_Toc151193647"/>
      <w:bookmarkStart w:id="661" w:name="_Toc127151750"/>
      <w:bookmarkStart w:id="662" w:name="_Toc265228387"/>
      <w:bookmarkStart w:id="663" w:name="_Toc150480787"/>
      <w:bookmarkStart w:id="664" w:name="_Toc164229244"/>
      <w:bookmarkStart w:id="665" w:name="_Toc264969239"/>
      <w:bookmarkStart w:id="666" w:name="_Toc226309793"/>
      <w:bookmarkStart w:id="667" w:name="_Toc164608818"/>
      <w:bookmarkStart w:id="668" w:name="_Toc164608663"/>
      <w:bookmarkStart w:id="669" w:name="_Toc150509300"/>
      <w:bookmarkStart w:id="670" w:name="_Toc150774754"/>
      <w:bookmarkStart w:id="671" w:name="_Toc151190176"/>
      <w:bookmarkStart w:id="672" w:name="_Toc151193863"/>
      <w:bookmarkStart w:id="673" w:name="_Toc149720842"/>
      <w:bookmarkStart w:id="674" w:name="_Toc127151549"/>
      <w:bookmarkStart w:id="675" w:name="_Toc226965822"/>
      <w:bookmarkStart w:id="676" w:name="_Toc195842914"/>
      <w:bookmarkStart w:id="677" w:name="_Toc127161463"/>
      <w:bookmarkStart w:id="678" w:name="_Toc520356176"/>
      <w:bookmarkStart w:id="679" w:name="_Ref467306425"/>
      <w:bookmarkStart w:id="680" w:name="_Ref467307090"/>
      <w:r>
        <w:rPr>
          <w:rFonts w:hint="eastAsia" w:ascii="宋体" w:hAnsi="宋体" w:eastAsia="宋体" w:cs="宋体"/>
          <w:i w:val="0"/>
          <w:iCs w:val="0"/>
          <w:color w:val="auto"/>
          <w:spacing w:val="0"/>
          <w:position w:val="0"/>
          <w:sz w:val="24"/>
          <w:highlight w:val="none"/>
        </w:rPr>
        <w:t>中标公告与中标通知书</w:t>
      </w:r>
      <w:bookmarkEnd w:id="649"/>
      <w:bookmarkEnd w:id="650"/>
    </w:p>
    <w:p w14:paraId="0E98E97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采购人或采购代理机构自中标人确定之日起2个工作日内，</w:t>
      </w:r>
      <w:r>
        <w:rPr>
          <w:rFonts w:hint="eastAsia" w:ascii="宋体" w:hAnsi="宋体" w:eastAsia="宋体" w:cs="宋体"/>
          <w:i w:val="0"/>
          <w:iCs w:val="0"/>
          <w:color w:val="auto"/>
          <w:spacing w:val="0"/>
          <w:kern w:val="0"/>
          <w:position w:val="0"/>
          <w:sz w:val="24"/>
          <w:highlight w:val="none"/>
        </w:rPr>
        <w:t>在北京市政府采购网公告中标结果</w:t>
      </w:r>
      <w:r>
        <w:rPr>
          <w:rFonts w:hint="eastAsia" w:ascii="宋体" w:hAnsi="宋体" w:eastAsia="宋体" w:cs="宋体"/>
          <w:i w:val="0"/>
          <w:iCs w:val="0"/>
          <w:color w:val="auto"/>
          <w:spacing w:val="0"/>
          <w:position w:val="0"/>
          <w:sz w:val="24"/>
          <w:highlight w:val="none"/>
        </w:rPr>
        <w:t>，同时向中标人发出中标通知书，中标公告期限为1个工作日。</w:t>
      </w:r>
    </w:p>
    <w:p w14:paraId="13B71C6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中标通知书对采购人和中标供应商均具有法律效力。中标通知书发出后，采购人改变中标结果的，或者中标供应商放弃中标项目的，应当依法承担法律责任。</w:t>
      </w:r>
    </w:p>
    <w:p w14:paraId="05BABE9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废标</w:t>
      </w:r>
    </w:p>
    <w:p w14:paraId="2FFA89A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在招标采购中，出现下列情形之一的，应予废标：</w:t>
      </w:r>
    </w:p>
    <w:p w14:paraId="252E129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符合专业条件的供应商或者对招标文件作实质响应的供应商不足三家的；</w:t>
      </w:r>
    </w:p>
    <w:p w14:paraId="4E48954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出现影响采购公正的违法、违规行为的；</w:t>
      </w:r>
    </w:p>
    <w:p w14:paraId="7E8416C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投标人的报价均超过了采购预算，采购人不能支付的；</w:t>
      </w:r>
    </w:p>
    <w:p w14:paraId="3D44F7A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因重大变故，采购任务取消的。</w:t>
      </w:r>
    </w:p>
    <w:p w14:paraId="36EA97A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07DBA71E">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681" w:name="_Toc305158892"/>
      <w:bookmarkStart w:id="682" w:name="_Ref467307062"/>
      <w:bookmarkStart w:id="683" w:name="_Toc305158818"/>
      <w:bookmarkStart w:id="684" w:name="_Toc150774755"/>
      <w:bookmarkStart w:id="685" w:name="_Toc150509301"/>
      <w:bookmarkStart w:id="686" w:name="_Toc151193938"/>
      <w:bookmarkStart w:id="687" w:name="_Toc226965740"/>
      <w:bookmarkStart w:id="688" w:name="_Toc151193720"/>
      <w:bookmarkStart w:id="689" w:name="_Toc127161464"/>
      <w:bookmarkStart w:id="690" w:name="_Toc127151751"/>
      <w:bookmarkStart w:id="691" w:name="_Toc195842915"/>
      <w:bookmarkStart w:id="692" w:name="_Toc164229391"/>
      <w:bookmarkStart w:id="693" w:name="_Toc164608664"/>
      <w:bookmarkStart w:id="694" w:name="_Toc151193648"/>
      <w:bookmarkStart w:id="695" w:name="_Toc142311052"/>
      <w:bookmarkStart w:id="696" w:name="_Toc164229245"/>
      <w:bookmarkStart w:id="697" w:name="_Toc151193792"/>
      <w:bookmarkStart w:id="698" w:name="_Toc520356175"/>
      <w:bookmarkStart w:id="699" w:name="_Toc164351644"/>
      <w:bookmarkStart w:id="700" w:name="_Ref467307204"/>
      <w:bookmarkStart w:id="701" w:name="_Toc264969240"/>
      <w:bookmarkStart w:id="702" w:name="_Toc149720843"/>
      <w:bookmarkStart w:id="703" w:name="_Toc226337246"/>
      <w:bookmarkStart w:id="704" w:name="_Toc151193864"/>
      <w:bookmarkStart w:id="705" w:name="_Ref467306978"/>
      <w:bookmarkStart w:id="706" w:name="_Toc151190177"/>
      <w:bookmarkStart w:id="707" w:name="_Ref467306377"/>
      <w:bookmarkStart w:id="708" w:name="_Toc265228388"/>
      <w:bookmarkStart w:id="709" w:name="_Toc226965823"/>
      <w:bookmarkStart w:id="710" w:name="_Toc150480788"/>
      <w:bookmarkStart w:id="711" w:name="_Toc127151550"/>
      <w:bookmarkStart w:id="712" w:name="_Toc164608819"/>
      <w:bookmarkStart w:id="713" w:name="_Toc226309794"/>
      <w:bookmarkStart w:id="714" w:name="_Toc150774650"/>
      <w:r>
        <w:rPr>
          <w:rFonts w:hint="eastAsia" w:ascii="宋体" w:hAnsi="宋体" w:eastAsia="宋体" w:cs="宋体"/>
          <w:i w:val="0"/>
          <w:iCs w:val="0"/>
          <w:color w:val="auto"/>
          <w:spacing w:val="0"/>
          <w:position w:val="0"/>
          <w:sz w:val="24"/>
          <w:highlight w:val="none"/>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1F1E941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7A51D2F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中标人拒绝与采购人签订合同的，采购人可以按照评标报告推荐的中标候选人名单排序，确定下一候选人为中标人，也可以重新开展政府采购活动。</w:t>
      </w:r>
    </w:p>
    <w:p w14:paraId="734B27C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联合体中标的，联合体各方应当共同与采购人签订合同，就采购合同约定的事项向采购人承担连带责任。</w:t>
      </w:r>
    </w:p>
    <w:p w14:paraId="67F2103B">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政府采购合同不能转包。</w:t>
      </w:r>
    </w:p>
    <w:p w14:paraId="0952443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color w:val="auto"/>
          <w:spacing w:val="0"/>
          <w:position w:val="0"/>
          <w:sz w:val="24"/>
          <w:highlight w:val="none"/>
        </w:rPr>
        <w:t>，</w:t>
      </w:r>
      <w:r>
        <w:rPr>
          <w:rFonts w:hint="eastAsia" w:ascii="宋体" w:hAnsi="宋体" w:eastAsia="宋体" w:cs="宋体"/>
          <w:i w:val="0"/>
          <w:iCs w:val="0"/>
          <w:color w:val="auto"/>
          <w:spacing w:val="0"/>
          <w:position w:val="0"/>
          <w:sz w:val="24"/>
          <w:highlight w:val="none"/>
        </w:rPr>
        <w:t>否则</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。中标人就采购项目和分包项目向采购人负责，分包供应商就分包项目承担责任。</w:t>
      </w:r>
    </w:p>
    <w:p w14:paraId="641817D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“政采贷”融资指引：详见《投标人须知资料表》。</w:t>
      </w:r>
    </w:p>
    <w:bookmarkEnd w:id="678"/>
    <w:bookmarkEnd w:id="679"/>
    <w:bookmarkEnd w:id="680"/>
    <w:p w14:paraId="53A3157D">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询问与质疑</w:t>
      </w:r>
    </w:p>
    <w:p w14:paraId="5B903F7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询问</w:t>
      </w:r>
    </w:p>
    <w:p w14:paraId="2018487D">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bookmarkStart w:id="715" w:name="_Hlk179293370"/>
      <w:r>
        <w:rPr>
          <w:rFonts w:hint="eastAsia" w:ascii="宋体" w:hAnsi="宋体" w:eastAsia="宋体" w:cs="宋体"/>
          <w:i w:val="0"/>
          <w:iCs w:val="0"/>
          <w:color w:val="auto"/>
          <w:spacing w:val="0"/>
          <w:position w:val="0"/>
          <w:sz w:val="24"/>
          <w:highlight w:val="none"/>
        </w:rPr>
        <w:t>投标人对政府采购活动事项有疑问的，可依法向采购人或采购代理机构提出询问，提出形式见《投标人须知资料表》。</w:t>
      </w:r>
      <w:bookmarkEnd w:id="715"/>
    </w:p>
    <w:p w14:paraId="02026A4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采购人或采购代理机构对供应商依法提出的询问，在3个工作日内作出答复，但答复的内容不得涉及商业秘密。</w:t>
      </w:r>
    </w:p>
    <w:p w14:paraId="550F30D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质疑</w:t>
      </w:r>
    </w:p>
    <w:p w14:paraId="767BB3B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107380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BD4C96B">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139816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投标人应在法定质疑期内一次性提出针对同一采购程序环节的质疑，法定质疑期内针对同一采购程序环节再次提出的质疑，采购人、采购代理机构有权不予答复。</w:t>
      </w:r>
    </w:p>
    <w:p w14:paraId="2140085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接收询问和质疑的联系部门、联系电话和通讯地址见《投标人须知资料表》。</w:t>
      </w:r>
    </w:p>
    <w:p w14:paraId="78329F0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代理费</w:t>
      </w:r>
    </w:p>
    <w:p w14:paraId="29EB26A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收费对象、收费标准及缴纳时间见《投标人须知资料表》。由中标人支付的，中标人须一次性向采购代理机构缴纳代理费，投标报价应包含代理费用。</w:t>
      </w:r>
    </w:p>
    <w:p w14:paraId="400D4591">
      <w:pPr>
        <w:pageBreakBefore w:val="0"/>
        <w:tabs>
          <w:tab w:val="left" w:pos="360"/>
          <w:tab w:val="left" w:pos="1080"/>
        </w:tabs>
        <w:wordWrap/>
        <w:topLinePunct w:val="0"/>
        <w:bidi w:val="0"/>
        <w:snapToGrid w:val="0"/>
        <w:spacing w:line="360" w:lineRule="auto"/>
        <w:ind w:left="360"/>
        <w:rPr>
          <w:rFonts w:hint="eastAsia" w:ascii="宋体" w:hAnsi="宋体" w:eastAsia="宋体" w:cs="宋体"/>
          <w:i w:val="0"/>
          <w:iCs w:val="0"/>
          <w:color w:val="auto"/>
          <w:spacing w:val="0"/>
          <w:position w:val="0"/>
          <w:sz w:val="24"/>
          <w:highlight w:val="none"/>
        </w:rPr>
      </w:pPr>
    </w:p>
    <w:p w14:paraId="22A5A4D5">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716" w:name="_Toc226965827"/>
      <w:bookmarkStart w:id="717" w:name="_Toc305158822"/>
      <w:bookmarkStart w:id="718" w:name="_Toc353873934"/>
      <w:bookmarkStart w:id="719" w:name="_Toc265228392"/>
      <w:bookmarkStart w:id="720" w:name="_Toc127151554"/>
      <w:bookmarkStart w:id="721" w:name="_Toc142311056"/>
      <w:bookmarkStart w:id="722" w:name="_Toc150480792"/>
      <w:bookmarkStart w:id="723" w:name="_Toc226337250"/>
      <w:bookmarkStart w:id="724" w:name="_Toc150774759"/>
      <w:bookmarkStart w:id="725" w:name="_Toc305158896"/>
      <w:bookmarkStart w:id="726" w:name="_Toc353873664"/>
      <w:bookmarkStart w:id="727" w:name="_Toc264969244"/>
      <w:bookmarkStart w:id="728" w:name="_Toc353825544"/>
      <w:r>
        <w:rPr>
          <w:rFonts w:hint="eastAsia" w:ascii="宋体" w:hAnsi="宋体" w:eastAsia="宋体" w:cs="宋体"/>
          <w:i w:val="0"/>
          <w:iCs w:val="0"/>
          <w:color w:val="auto"/>
          <w:spacing w:val="0"/>
          <w:position w:val="0"/>
          <w:sz w:val="24"/>
          <w:highlight w:val="none"/>
        </w:rPr>
        <w:br w:type="page"/>
      </w:r>
      <w:bookmarkStart w:id="729" w:name="_Toc1361"/>
      <w:r>
        <w:rPr>
          <w:rFonts w:hint="eastAsia" w:ascii="宋体" w:hAnsi="宋体" w:eastAsia="宋体" w:cs="宋体"/>
          <w:b/>
          <w:i w:val="0"/>
          <w:iCs w:val="0"/>
          <w:color w:val="auto"/>
          <w:spacing w:val="0"/>
          <w:position w:val="0"/>
          <w:sz w:val="36"/>
          <w:szCs w:val="36"/>
          <w:highlight w:val="none"/>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rFonts w:hint="eastAsia" w:ascii="宋体" w:hAnsi="宋体" w:eastAsia="宋体" w:cs="宋体"/>
          <w:b/>
          <w:i w:val="0"/>
          <w:iCs w:val="0"/>
          <w:color w:val="auto"/>
          <w:spacing w:val="0"/>
          <w:position w:val="0"/>
          <w:sz w:val="36"/>
          <w:szCs w:val="36"/>
          <w:highlight w:val="none"/>
        </w:rPr>
        <w:t>资格审查</w:t>
      </w:r>
      <w:bookmarkEnd w:id="729"/>
      <w:bookmarkStart w:id="730" w:name="_Toc487900382"/>
    </w:p>
    <w:p w14:paraId="21B59059">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sz w:val="24"/>
          <w:highlight w:val="none"/>
        </w:rPr>
      </w:pPr>
      <w:bookmarkStart w:id="731" w:name="_Toc99301422"/>
      <w:r>
        <w:rPr>
          <w:rFonts w:hint="eastAsia" w:ascii="宋体" w:hAnsi="宋体" w:eastAsia="宋体" w:cs="宋体"/>
          <w:b/>
          <w:i w:val="0"/>
          <w:iCs w:val="0"/>
          <w:color w:val="auto"/>
          <w:spacing w:val="0"/>
          <w:position w:val="0"/>
          <w:sz w:val="24"/>
          <w:highlight w:val="none"/>
        </w:rPr>
        <w:t>一、资格审查程序</w:t>
      </w:r>
      <w:bookmarkEnd w:id="731"/>
    </w:p>
    <w:p w14:paraId="630124E2">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开标结束后，采购人或采购代理机构将根据《资格审查要求》中的规定，对投标人进行资格审查，并形成资格审查结果。</w:t>
      </w:r>
    </w:p>
    <w:p w14:paraId="68AA4EDD">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《资格审查要求》中对格式有要求的，除招标文件另有规定外，均为“实质性格式”文件。</w:t>
      </w:r>
    </w:p>
    <w:p w14:paraId="2137DA32">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投标人《资格证明文件》有任何一项不符合《资格审查要求》的，资格审查不合格，其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9F03A53">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资格审查合格的投标人不足3家的，不进行评标。</w:t>
      </w:r>
    </w:p>
    <w:p w14:paraId="106470BC">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1DC55A1A">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sz w:val="24"/>
          <w:highlight w:val="none"/>
        </w:rPr>
      </w:pPr>
      <w:bookmarkStart w:id="732" w:name="_Hlk143693557"/>
      <w:r>
        <w:rPr>
          <w:rFonts w:hint="eastAsia" w:ascii="宋体" w:hAnsi="宋体" w:eastAsia="宋体" w:cs="宋体"/>
          <w:b/>
          <w:i w:val="0"/>
          <w:iCs w:val="0"/>
          <w:color w:val="auto"/>
          <w:spacing w:val="0"/>
          <w:position w:val="0"/>
          <w:sz w:val="24"/>
          <w:highlight w:val="none"/>
        </w:rPr>
        <w:t>二、资格审查要求</w:t>
      </w:r>
      <w:bookmarkEnd w:id="732"/>
    </w:p>
    <w:tbl>
      <w:tblPr>
        <w:tblStyle w:val="4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3"/>
        <w:gridCol w:w="1933"/>
        <w:gridCol w:w="4708"/>
        <w:gridCol w:w="1599"/>
      </w:tblGrid>
      <w:tr w14:paraId="6D051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454" w:type="pct"/>
            <w:vAlign w:val="center"/>
          </w:tcPr>
          <w:p w14:paraId="604D4FC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bookmarkStart w:id="733" w:name="_Hlt487972895"/>
            <w:bookmarkEnd w:id="733"/>
            <w:bookmarkStart w:id="734" w:name="_Hlk143693460"/>
            <w:r>
              <w:rPr>
                <w:rFonts w:hint="eastAsia" w:ascii="宋体" w:hAnsi="宋体" w:eastAsia="宋体" w:cs="宋体"/>
                <w:b/>
                <w:i w:val="0"/>
                <w:iCs w:val="0"/>
                <w:color w:val="auto"/>
                <w:spacing w:val="0"/>
                <w:position w:val="0"/>
                <w:sz w:val="24"/>
                <w:highlight w:val="none"/>
              </w:rPr>
              <w:t>序号</w:t>
            </w:r>
          </w:p>
        </w:tc>
        <w:tc>
          <w:tcPr>
            <w:tcW w:w="1066" w:type="pct"/>
            <w:vAlign w:val="center"/>
          </w:tcPr>
          <w:p w14:paraId="01A8E549">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审查因素</w:t>
            </w:r>
          </w:p>
        </w:tc>
        <w:tc>
          <w:tcPr>
            <w:tcW w:w="2596" w:type="pct"/>
            <w:vAlign w:val="center"/>
          </w:tcPr>
          <w:p w14:paraId="2CAD32B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审查内容</w:t>
            </w:r>
          </w:p>
        </w:tc>
        <w:tc>
          <w:tcPr>
            <w:tcW w:w="882" w:type="pct"/>
            <w:vAlign w:val="center"/>
          </w:tcPr>
          <w:p w14:paraId="7F94E8BD">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格式要求</w:t>
            </w:r>
          </w:p>
        </w:tc>
      </w:tr>
      <w:tr w14:paraId="0D043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C425BEF">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w:t>
            </w:r>
          </w:p>
        </w:tc>
        <w:tc>
          <w:tcPr>
            <w:tcW w:w="1066" w:type="pct"/>
            <w:vAlign w:val="center"/>
          </w:tcPr>
          <w:p w14:paraId="5ED1388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满足《中华人民共和国政府采购法》第二十二条规定</w:t>
            </w:r>
          </w:p>
        </w:tc>
        <w:tc>
          <w:tcPr>
            <w:tcW w:w="2596" w:type="pct"/>
            <w:vAlign w:val="center"/>
          </w:tcPr>
          <w:p w14:paraId="27491AB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具体规定见第一章《投标邀请》</w:t>
            </w:r>
          </w:p>
        </w:tc>
        <w:tc>
          <w:tcPr>
            <w:tcW w:w="882" w:type="pct"/>
            <w:vAlign w:val="center"/>
          </w:tcPr>
          <w:p w14:paraId="46EFC6D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6D300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6DF7548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1-1</w:t>
            </w:r>
          </w:p>
        </w:tc>
        <w:tc>
          <w:tcPr>
            <w:tcW w:w="1066" w:type="pct"/>
            <w:vAlign w:val="center"/>
          </w:tcPr>
          <w:p w14:paraId="67519D7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营业执照等证明文件</w:t>
            </w:r>
          </w:p>
        </w:tc>
        <w:tc>
          <w:tcPr>
            <w:tcW w:w="2596" w:type="pct"/>
            <w:vAlign w:val="center"/>
          </w:tcPr>
          <w:p w14:paraId="5C75A50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投标人为企业（包括合伙企业）的，应提供有效的“营业执照”；</w:t>
            </w:r>
          </w:p>
          <w:p w14:paraId="13EDF16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投标人为事业单位的，应提供有效的“事业单位法人证书”；</w:t>
            </w:r>
          </w:p>
          <w:p w14:paraId="13C46EC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投标人是非企业机构的，应提供有效的“执业许可证”、“登记证书”等证明文件；</w:t>
            </w:r>
          </w:p>
          <w:p w14:paraId="4709DEB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投标人是个体工商户的，应提供有效的“个体工商户营业执照”；</w:t>
            </w:r>
          </w:p>
          <w:p w14:paraId="2511CF1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投标人是自然人的，应提供有效的自然人身份证明。</w:t>
            </w:r>
          </w:p>
          <w:p w14:paraId="1576E1C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882" w:type="pct"/>
            <w:vAlign w:val="center"/>
          </w:tcPr>
          <w:p w14:paraId="111B634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439C8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DCED53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1-2</w:t>
            </w:r>
          </w:p>
        </w:tc>
        <w:tc>
          <w:tcPr>
            <w:tcW w:w="1066" w:type="pct"/>
            <w:vAlign w:val="center"/>
          </w:tcPr>
          <w:p w14:paraId="1C25A98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投标人资格声明书</w:t>
            </w:r>
          </w:p>
        </w:tc>
        <w:tc>
          <w:tcPr>
            <w:tcW w:w="2596" w:type="pct"/>
            <w:vAlign w:val="center"/>
          </w:tcPr>
          <w:p w14:paraId="7822674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提供了符合招标文件要求的《投标人资格声明书》。</w:t>
            </w:r>
          </w:p>
        </w:tc>
        <w:tc>
          <w:tcPr>
            <w:tcW w:w="882" w:type="pct"/>
            <w:vAlign w:val="center"/>
          </w:tcPr>
          <w:p w14:paraId="7E3AFA0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2320A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1A9F8B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1-3</w:t>
            </w:r>
          </w:p>
        </w:tc>
        <w:tc>
          <w:tcPr>
            <w:tcW w:w="1066" w:type="pct"/>
            <w:vAlign w:val="center"/>
          </w:tcPr>
          <w:p w14:paraId="0C502F9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投标人信用记录</w:t>
            </w:r>
          </w:p>
        </w:tc>
        <w:tc>
          <w:tcPr>
            <w:tcW w:w="2596" w:type="pct"/>
            <w:vAlign w:val="center"/>
          </w:tcPr>
          <w:p w14:paraId="4A02B13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查询渠道：信用中国网站和中国政府采购网（</w:t>
            </w:r>
            <w:r>
              <w:rPr>
                <w:rFonts w:hint="eastAsia" w:ascii="宋体" w:hAnsi="宋体" w:eastAsia="宋体" w:cs="宋体"/>
                <w:i w:val="0"/>
                <w:iCs w:val="0"/>
                <w:color w:val="auto"/>
                <w:spacing w:val="0"/>
                <w:position w:val="0"/>
                <w:highlight w:val="none"/>
              </w:rPr>
              <w:t>www.creditchina.gov.cn</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highlight w:val="none"/>
              </w:rPr>
              <w:t>www.ccgp.gov.cn</w:t>
            </w:r>
            <w:r>
              <w:rPr>
                <w:rFonts w:hint="eastAsia" w:ascii="宋体" w:hAnsi="宋体" w:eastAsia="宋体" w:cs="宋体"/>
                <w:i w:val="0"/>
                <w:iCs w:val="0"/>
                <w:color w:val="auto"/>
                <w:spacing w:val="0"/>
                <w:position w:val="0"/>
                <w:sz w:val="24"/>
                <w:highlight w:val="none"/>
              </w:rPr>
              <w:t>）；</w:t>
            </w:r>
          </w:p>
          <w:p w14:paraId="0B275D39">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截止时点：投标截止时间以后、资格审查阶段采购人或采购代理机构的实际查询时间；</w:t>
            </w:r>
          </w:p>
          <w:p w14:paraId="537B4CC0">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信用信息查询记录和证据留存具体方式：查询结果网页打印页作为查询记录和证据，与其他采购文件一并保存；</w:t>
            </w:r>
          </w:p>
          <w:p w14:paraId="73CE80F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。联合体形式投标的，联合体成员存在不良信用记录，视同联合体存在不良信用记录。</w:t>
            </w:r>
          </w:p>
        </w:tc>
        <w:tc>
          <w:tcPr>
            <w:tcW w:w="882" w:type="pct"/>
            <w:vAlign w:val="center"/>
          </w:tcPr>
          <w:p w14:paraId="1ABD49D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无须投标人提供，由采购人或采购代理机构查询。</w:t>
            </w:r>
          </w:p>
        </w:tc>
      </w:tr>
      <w:tr w14:paraId="42737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1BC89CE">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1-4</w:t>
            </w:r>
          </w:p>
        </w:tc>
        <w:tc>
          <w:tcPr>
            <w:tcW w:w="1066" w:type="pct"/>
            <w:vAlign w:val="center"/>
          </w:tcPr>
          <w:p w14:paraId="12C1F11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法律、行政法规规定的其他条件</w:t>
            </w:r>
          </w:p>
        </w:tc>
        <w:tc>
          <w:tcPr>
            <w:tcW w:w="2596" w:type="pct"/>
            <w:vAlign w:val="center"/>
          </w:tcPr>
          <w:p w14:paraId="76271E6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法律、行政法规规定的其他条件</w:t>
            </w:r>
          </w:p>
        </w:tc>
        <w:tc>
          <w:tcPr>
            <w:tcW w:w="882" w:type="pct"/>
            <w:vAlign w:val="center"/>
          </w:tcPr>
          <w:p w14:paraId="68B1555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w:t>
            </w:r>
          </w:p>
        </w:tc>
      </w:tr>
      <w:tr w14:paraId="4366E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559DD4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w:t>
            </w:r>
          </w:p>
        </w:tc>
        <w:tc>
          <w:tcPr>
            <w:tcW w:w="1066" w:type="pct"/>
            <w:vAlign w:val="center"/>
          </w:tcPr>
          <w:p w14:paraId="6284C3D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落实政府采购政策需满足的资格要求</w:t>
            </w:r>
          </w:p>
        </w:tc>
        <w:tc>
          <w:tcPr>
            <w:tcW w:w="2596" w:type="pct"/>
            <w:vAlign w:val="center"/>
          </w:tcPr>
          <w:p w14:paraId="7018206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具体要求见第一章《投标邀请》</w:t>
            </w:r>
          </w:p>
        </w:tc>
        <w:tc>
          <w:tcPr>
            <w:tcW w:w="882" w:type="pct"/>
            <w:vAlign w:val="center"/>
          </w:tcPr>
          <w:p w14:paraId="49EFB1C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AFC1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78E7A2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w:t>
            </w:r>
          </w:p>
        </w:tc>
        <w:tc>
          <w:tcPr>
            <w:tcW w:w="1066" w:type="pct"/>
            <w:vAlign w:val="center"/>
          </w:tcPr>
          <w:p w14:paraId="359F02E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中小企业政策证明文件</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6" w:type="pct"/>
            <w:vAlign w:val="center"/>
          </w:tcPr>
          <w:p w14:paraId="3C7CC15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具体要求见第一章《投标邀请》</w:t>
            </w:r>
          </w:p>
        </w:tc>
        <w:tc>
          <w:tcPr>
            <w:tcW w:w="882" w:type="pct"/>
            <w:vAlign w:val="center"/>
          </w:tcPr>
          <w:p w14:paraId="01379D5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44EE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136FB2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2-1-1</w:t>
            </w:r>
          </w:p>
        </w:tc>
        <w:tc>
          <w:tcPr>
            <w:tcW w:w="1066" w:type="pct"/>
            <w:vAlign w:val="center"/>
          </w:tcPr>
          <w:p w14:paraId="763F03C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中小企业证明文件</w:t>
            </w:r>
          </w:p>
        </w:tc>
        <w:tc>
          <w:tcPr>
            <w:tcW w:w="2596" w:type="pct"/>
            <w:vAlign w:val="center"/>
          </w:tcPr>
          <w:p w14:paraId="18DA149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当本项目（包）涉及预留份额专门面向中小企业采购，此时建议在《资格证明文件》中提供。</w:t>
            </w:r>
          </w:p>
          <w:p w14:paraId="4A08556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1、投标人单独投标的，应提供《中小企业声明函》或《残疾人福利性单位声明函》或由省级以上监狱管理局、戒毒管理局（含新疆生产建设兵团）出具的属于监狱企业的证明文件。</w:t>
            </w:r>
          </w:p>
          <w:p w14:paraId="4129E1C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D97203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09134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E8EAB99">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2-1-2</w:t>
            </w:r>
          </w:p>
        </w:tc>
        <w:tc>
          <w:tcPr>
            <w:tcW w:w="1066" w:type="pct"/>
            <w:vAlign w:val="center"/>
          </w:tcPr>
          <w:p w14:paraId="0668115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拟分包情况说明及分包意向协议</w:t>
            </w:r>
          </w:p>
        </w:tc>
        <w:tc>
          <w:tcPr>
            <w:tcW w:w="2596" w:type="pct"/>
            <w:vAlign w:val="center"/>
          </w:tcPr>
          <w:p w14:paraId="4803785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如本项目（包）要求通过分包措施预留部分采购份额面向中小企业采购、且投标人因落实政府采购政策拟进行分包的，必须提供；否则无须提供。</w:t>
            </w:r>
          </w:p>
          <w:p w14:paraId="4D6BFE1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351D2B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50677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47A267C">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2-2</w:t>
            </w:r>
          </w:p>
        </w:tc>
        <w:tc>
          <w:tcPr>
            <w:tcW w:w="1066" w:type="pct"/>
            <w:vAlign w:val="center"/>
          </w:tcPr>
          <w:p w14:paraId="3104861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其它落实政府采购政策的资格要求</w:t>
            </w:r>
          </w:p>
        </w:tc>
        <w:tc>
          <w:tcPr>
            <w:tcW w:w="2596" w:type="pct"/>
            <w:vAlign w:val="center"/>
          </w:tcPr>
          <w:p w14:paraId="3217BCD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tc>
        <w:tc>
          <w:tcPr>
            <w:tcW w:w="882" w:type="pct"/>
            <w:vAlign w:val="center"/>
          </w:tcPr>
          <w:p w14:paraId="6048B14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369E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DE0AD6A">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w:t>
            </w:r>
          </w:p>
        </w:tc>
        <w:tc>
          <w:tcPr>
            <w:tcW w:w="1066" w:type="pct"/>
            <w:vAlign w:val="center"/>
          </w:tcPr>
          <w:p w14:paraId="2E07444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本项目的特定资格要求</w:t>
            </w:r>
          </w:p>
        </w:tc>
        <w:tc>
          <w:tcPr>
            <w:tcW w:w="2596" w:type="pct"/>
            <w:vAlign w:val="center"/>
          </w:tcPr>
          <w:p w14:paraId="060AC5A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tc>
        <w:tc>
          <w:tcPr>
            <w:tcW w:w="882" w:type="pct"/>
            <w:vAlign w:val="center"/>
          </w:tcPr>
          <w:p w14:paraId="16931D9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34BA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B5A9051">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3-1</w:t>
            </w:r>
          </w:p>
        </w:tc>
        <w:tc>
          <w:tcPr>
            <w:tcW w:w="1066" w:type="pct"/>
            <w:vAlign w:val="center"/>
          </w:tcPr>
          <w:p w14:paraId="3BB7EFF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本项目对于联合体的要求</w:t>
            </w:r>
          </w:p>
        </w:tc>
        <w:tc>
          <w:tcPr>
            <w:tcW w:w="2596" w:type="pct"/>
            <w:vAlign w:val="center"/>
          </w:tcPr>
          <w:p w14:paraId="54F4E2A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AE126F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2、联合体各成员单位均须提供本表中序号1-1、1-2的证明文件。联合体各成员单位均应满足本表3-2项规定。</w:t>
            </w:r>
          </w:p>
          <w:p w14:paraId="5BFDFD5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3、本表序号3-3项规定的其他特定资格要求中的每一小项要求，联合体各方中至少应当有一方符合本表中其他资格要求并提供证明文件。</w:t>
            </w:r>
          </w:p>
          <w:p w14:paraId="53CBB35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4、联合体中有同类资质的供应商按照联合体分工承担相同工作的，应当按照资质等级较低的供应商确定资质等级。</w:t>
            </w:r>
          </w:p>
          <w:p w14:paraId="79DE63E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5、以联合体形式参加政府采购活动的，联合体各方不得再单独参加或者与其他供应商另外组成联合体参加同一合同项下的政府采购活动。</w:t>
            </w:r>
          </w:p>
          <w:p w14:paraId="77FBC54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6、若联合体中任一成员单位中途退出，则该联合体的</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62646EA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7、本项目不接受联合体投标时，投标人不得为联合体。</w:t>
            </w:r>
          </w:p>
        </w:tc>
        <w:tc>
          <w:tcPr>
            <w:tcW w:w="882" w:type="pct"/>
            <w:vAlign w:val="center"/>
          </w:tcPr>
          <w:p w14:paraId="2539E70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提供《联合协议》原件的电子件</w:t>
            </w:r>
          </w:p>
          <w:p w14:paraId="2F419B5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41846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9A5DBCA">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3-2</w:t>
            </w:r>
          </w:p>
        </w:tc>
        <w:tc>
          <w:tcPr>
            <w:tcW w:w="1066" w:type="pct"/>
            <w:vAlign w:val="center"/>
          </w:tcPr>
          <w:p w14:paraId="18AF160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rPr>
              <w:t>政府购买服务承接主体的要求</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6" w:type="pct"/>
            <w:vAlign w:val="center"/>
          </w:tcPr>
          <w:p w14:paraId="4B2367D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如本项目属于政府购买服务，投标人不属于公益一类事业单位、使用事业编制且由财政拨款保障的群团组织。</w:t>
            </w:r>
          </w:p>
        </w:tc>
        <w:tc>
          <w:tcPr>
            <w:tcW w:w="882" w:type="pct"/>
            <w:vAlign w:val="center"/>
          </w:tcPr>
          <w:p w14:paraId="3F8CB22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格式见《投标文件格式》“1-2 投标人资格声明书”</w:t>
            </w:r>
          </w:p>
        </w:tc>
      </w:tr>
      <w:tr w14:paraId="559BF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jc w:val="center"/>
        </w:trPr>
        <w:tc>
          <w:tcPr>
            <w:tcW w:w="454" w:type="pct"/>
            <w:vAlign w:val="center"/>
          </w:tcPr>
          <w:p w14:paraId="13E9278E">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3-3</w:t>
            </w:r>
          </w:p>
        </w:tc>
        <w:tc>
          <w:tcPr>
            <w:tcW w:w="1066" w:type="pct"/>
            <w:vAlign w:val="center"/>
          </w:tcPr>
          <w:p w14:paraId="71A4DEE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其他特定资格要求</w:t>
            </w:r>
          </w:p>
        </w:tc>
        <w:tc>
          <w:tcPr>
            <w:tcW w:w="2596" w:type="pct"/>
            <w:vAlign w:val="center"/>
          </w:tcPr>
          <w:p w14:paraId="07F961A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p w14:paraId="1AC37C5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注：如联合体中有同类资质的供应商按照联合体分工承担相同工作的，均应当提供资质证书电子件或电子证照。</w:t>
            </w:r>
          </w:p>
        </w:tc>
        <w:tc>
          <w:tcPr>
            <w:tcW w:w="882" w:type="pct"/>
            <w:vAlign w:val="center"/>
          </w:tcPr>
          <w:p w14:paraId="37514C3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163EF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F99846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w:t>
            </w:r>
          </w:p>
        </w:tc>
        <w:tc>
          <w:tcPr>
            <w:tcW w:w="1066" w:type="pct"/>
            <w:vAlign w:val="center"/>
          </w:tcPr>
          <w:p w14:paraId="0518599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6" w:type="pct"/>
            <w:vAlign w:val="center"/>
          </w:tcPr>
          <w:p w14:paraId="3BF870D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按照招标文件的规定提交投标保证金。</w:t>
            </w:r>
          </w:p>
        </w:tc>
        <w:tc>
          <w:tcPr>
            <w:tcW w:w="882" w:type="pct"/>
            <w:vAlign w:val="center"/>
          </w:tcPr>
          <w:p w14:paraId="103FDDD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D19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9927DA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w:t>
            </w:r>
          </w:p>
        </w:tc>
        <w:tc>
          <w:tcPr>
            <w:tcW w:w="1066" w:type="pct"/>
            <w:vAlign w:val="center"/>
          </w:tcPr>
          <w:p w14:paraId="0D1388A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获取招标文件</w:t>
            </w:r>
          </w:p>
        </w:tc>
        <w:tc>
          <w:tcPr>
            <w:tcW w:w="2596" w:type="pct"/>
            <w:vAlign w:val="center"/>
          </w:tcPr>
          <w:p w14:paraId="35673FD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在规定期限内通过北京市政府采购电子交易平台获取所参与包的招标文件。</w:t>
            </w:r>
          </w:p>
          <w:p w14:paraId="094E05A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注：如本项目接受联合体，且供应商为联合体时，联合体中任一成员获取文件即视为满足要求。</w:t>
            </w:r>
          </w:p>
        </w:tc>
        <w:tc>
          <w:tcPr>
            <w:tcW w:w="882" w:type="pct"/>
            <w:vAlign w:val="center"/>
          </w:tcPr>
          <w:p w14:paraId="4392077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6B452C9E">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bookmarkStart w:id="735" w:name="_Hlt487900425"/>
      <w:bookmarkEnd w:id="735"/>
      <w:bookmarkStart w:id="736" w:name="_Hlt522424701"/>
      <w:bookmarkEnd w:id="736"/>
      <w:bookmarkStart w:id="737" w:name="_Toc127161490"/>
      <w:bookmarkStart w:id="738" w:name="_Toc127151779"/>
      <w:bookmarkStart w:id="739" w:name="_Toc353825550"/>
      <w:bookmarkStart w:id="740" w:name="_Toc226965858"/>
      <w:bookmarkStart w:id="741" w:name="_Toc353873940"/>
      <w:r>
        <w:rPr>
          <w:rFonts w:hint="eastAsia" w:ascii="宋体" w:hAnsi="宋体" w:eastAsia="宋体" w:cs="宋体"/>
          <w:i w:val="0"/>
          <w:iCs w:val="0"/>
          <w:color w:val="auto"/>
          <w:spacing w:val="0"/>
          <w:position w:val="0"/>
          <w:sz w:val="24"/>
          <w:highlight w:val="none"/>
        </w:rPr>
        <w:br w:type="page"/>
      </w:r>
    </w:p>
    <w:p w14:paraId="17948F49">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742" w:name="_Toc5695"/>
      <w:r>
        <w:rPr>
          <w:rFonts w:hint="eastAsia" w:ascii="宋体" w:hAnsi="宋体" w:eastAsia="宋体" w:cs="宋体"/>
          <w:b/>
          <w:i w:val="0"/>
          <w:iCs w:val="0"/>
          <w:color w:val="auto"/>
          <w:spacing w:val="0"/>
          <w:position w:val="0"/>
          <w:sz w:val="36"/>
          <w:szCs w:val="36"/>
          <w:highlight w:val="none"/>
        </w:rPr>
        <w:t xml:space="preserve">第四章   </w:t>
      </w:r>
      <w:bookmarkEnd w:id="737"/>
      <w:bookmarkEnd w:id="738"/>
      <w:bookmarkEnd w:id="739"/>
      <w:bookmarkEnd w:id="740"/>
      <w:bookmarkEnd w:id="741"/>
      <w:bookmarkStart w:id="743" w:name="_Hlt164229061"/>
      <w:bookmarkEnd w:id="743"/>
      <w:r>
        <w:rPr>
          <w:rFonts w:hint="eastAsia" w:ascii="宋体" w:hAnsi="宋体" w:eastAsia="宋体" w:cs="宋体"/>
          <w:b/>
          <w:i w:val="0"/>
          <w:iCs w:val="0"/>
          <w:color w:val="auto"/>
          <w:spacing w:val="0"/>
          <w:position w:val="0"/>
          <w:sz w:val="36"/>
          <w:szCs w:val="36"/>
          <w:highlight w:val="none"/>
        </w:rPr>
        <w:t>评标程序、评标方法和评标标准</w:t>
      </w:r>
      <w:bookmarkEnd w:id="742"/>
    </w:p>
    <w:p w14:paraId="3AC5F1B2">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highlight w:val="none"/>
        </w:rPr>
      </w:pPr>
      <w:r>
        <w:rPr>
          <w:rFonts w:hint="eastAsia" w:ascii="宋体" w:hAnsi="宋体" w:eastAsia="宋体" w:cs="宋体"/>
          <w:b/>
          <w:i w:val="0"/>
          <w:iCs w:val="0"/>
          <w:color w:val="auto"/>
          <w:spacing w:val="0"/>
          <w:position w:val="0"/>
          <w:sz w:val="24"/>
          <w:highlight w:val="none"/>
        </w:rPr>
        <w:t>一、评标程序、评标方法</w:t>
      </w:r>
    </w:p>
    <w:p w14:paraId="726C5FFF">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bookmarkStart w:id="744" w:name="_Toc150509292"/>
      <w:bookmarkStart w:id="745" w:name="_Toc127151541"/>
      <w:bookmarkStart w:id="746" w:name="_Toc226337237"/>
      <w:bookmarkStart w:id="747" w:name="_Toc164351635"/>
      <w:bookmarkStart w:id="748" w:name="_Toc151193855"/>
      <w:bookmarkStart w:id="749" w:name="_Toc305158809"/>
      <w:bookmarkStart w:id="750" w:name="_Toc142311043"/>
      <w:bookmarkStart w:id="751" w:name="_Toc226965814"/>
      <w:bookmarkStart w:id="752" w:name="_Toc226309785"/>
      <w:bookmarkStart w:id="753" w:name="_Toc305158883"/>
      <w:bookmarkStart w:id="754" w:name="_Toc151193929"/>
      <w:bookmarkStart w:id="755" w:name="_Toc164229236"/>
      <w:bookmarkStart w:id="756" w:name="_Toc151193639"/>
      <w:bookmarkStart w:id="757" w:name="_Toc150774641"/>
      <w:bookmarkStart w:id="758" w:name="_Toc226965731"/>
      <w:bookmarkStart w:id="759" w:name="_Toc151193711"/>
      <w:bookmarkStart w:id="760" w:name="_Toc150480779"/>
      <w:bookmarkStart w:id="761" w:name="_Toc151193783"/>
      <w:bookmarkStart w:id="762" w:name="_Toc151190168"/>
      <w:bookmarkStart w:id="763" w:name="_Toc150774746"/>
      <w:bookmarkStart w:id="764" w:name="_Toc127151742"/>
      <w:bookmarkStart w:id="765" w:name="_Toc195842906"/>
      <w:bookmarkStart w:id="766" w:name="_Toc164229382"/>
      <w:bookmarkStart w:id="767" w:name="_Toc264969231"/>
      <w:bookmarkStart w:id="768" w:name="_Toc127161455"/>
      <w:bookmarkStart w:id="769" w:name="_Toc265228379"/>
      <w:bookmarkStart w:id="770" w:name="_Toc149720834"/>
      <w:bookmarkStart w:id="771" w:name="_Toc164608810"/>
      <w:bookmarkStart w:id="772" w:name="_Toc164608655"/>
      <w:bookmarkStart w:id="773" w:name="_Toc353873941"/>
      <w:bookmarkStart w:id="774" w:name="_Toc353825551"/>
      <w:bookmarkStart w:id="775" w:name="_Toc353873935"/>
      <w:bookmarkStart w:id="776" w:name="_Toc150480793"/>
      <w:bookmarkStart w:id="777" w:name="_Toc265228393"/>
      <w:bookmarkStart w:id="778" w:name="_Toc353825545"/>
      <w:bookmarkStart w:id="779" w:name="_Toc195842920"/>
      <w:bookmarkStart w:id="780" w:name="_Toc226337251"/>
      <w:bookmarkStart w:id="781" w:name="_Toc305158823"/>
      <w:bookmarkStart w:id="782" w:name="_Toc226965828"/>
      <w:bookmarkStart w:id="783" w:name="_Toc127151555"/>
      <w:bookmarkStart w:id="784" w:name="_Toc142311057"/>
      <w:bookmarkStart w:id="785" w:name="_Toc150774760"/>
      <w:bookmarkStart w:id="786" w:name="_Toc305158897"/>
      <w:bookmarkStart w:id="787" w:name="_Toc353873665"/>
      <w:bookmarkStart w:id="788" w:name="_Toc264969245"/>
      <w:r>
        <w:rPr>
          <w:rFonts w:hint="eastAsia" w:ascii="宋体" w:hAnsi="宋体" w:eastAsia="宋体" w:cs="宋体"/>
          <w:i w:val="0"/>
          <w:iCs w:val="0"/>
          <w:color w:val="auto"/>
          <w:spacing w:val="0"/>
          <w:position w:val="0"/>
          <w:sz w:val="24"/>
          <w:highlight w:val="none"/>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9EF234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评标委员会对资格审查合格的投标人的投标文件进行符合性审查，以确定其是否满足招标文件的实质性要求。</w:t>
      </w:r>
      <w:bookmarkStart w:id="789" w:name="_Toc520356167"/>
    </w:p>
    <w:p w14:paraId="1B19C123">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rFonts w:hint="eastAsia" w:ascii="宋体" w:hAnsi="宋体" w:eastAsia="宋体" w:cs="宋体"/>
          <w:i w:val="0"/>
          <w:iCs w:val="0"/>
          <w:color w:val="auto"/>
          <w:spacing w:val="0"/>
          <w:position w:val="0"/>
          <w:sz w:val="24"/>
          <w:highlight w:val="none"/>
        </w:rPr>
        <w:t>要求的，</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25E32A54">
      <w:pPr>
        <w:pageBreakBefore w:val="0"/>
        <w:tabs>
          <w:tab w:val="left" w:pos="900"/>
          <w:tab w:val="left" w:pos="1080"/>
          <w:tab w:val="left" w:pos="1589"/>
        </w:tabs>
        <w:wordWrap/>
        <w:topLinePunct w:val="0"/>
        <w:bidi w:val="0"/>
        <w:snapToGrid w:val="0"/>
        <w:spacing w:line="360" w:lineRule="auto"/>
        <w:ind w:leftChars="-170" w:hanging="357" w:hangingChars="148"/>
        <w:jc w:val="center"/>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符合性审查要求</w:t>
      </w:r>
    </w:p>
    <w:tbl>
      <w:tblPr>
        <w:tblStyle w:val="4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1"/>
        <w:gridCol w:w="6503"/>
      </w:tblGrid>
      <w:tr w14:paraId="78D9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412" w:type="pct"/>
            <w:shd w:val="clear" w:color="auto" w:fill="auto"/>
            <w:vAlign w:val="center"/>
          </w:tcPr>
          <w:p w14:paraId="5F67E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序号</w:t>
            </w:r>
          </w:p>
        </w:tc>
        <w:tc>
          <w:tcPr>
            <w:tcW w:w="999" w:type="pct"/>
            <w:shd w:val="clear" w:color="auto" w:fill="auto"/>
            <w:vAlign w:val="center"/>
          </w:tcPr>
          <w:p w14:paraId="79C22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审查因素</w:t>
            </w:r>
          </w:p>
        </w:tc>
        <w:tc>
          <w:tcPr>
            <w:tcW w:w="3587" w:type="pct"/>
            <w:shd w:val="clear" w:color="auto" w:fill="auto"/>
            <w:vAlign w:val="center"/>
          </w:tcPr>
          <w:p w14:paraId="3BF79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审查内容</w:t>
            </w:r>
          </w:p>
        </w:tc>
      </w:tr>
      <w:tr w14:paraId="5B05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1CAA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w:t>
            </w:r>
          </w:p>
        </w:tc>
        <w:tc>
          <w:tcPr>
            <w:tcW w:w="999" w:type="pct"/>
            <w:shd w:val="clear" w:color="auto" w:fill="auto"/>
            <w:vAlign w:val="center"/>
          </w:tcPr>
          <w:p w14:paraId="0C9C365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授权委托书</w:t>
            </w:r>
          </w:p>
        </w:tc>
        <w:tc>
          <w:tcPr>
            <w:tcW w:w="3587" w:type="pct"/>
            <w:shd w:val="clear" w:color="auto" w:fill="auto"/>
            <w:vAlign w:val="center"/>
          </w:tcPr>
          <w:p w14:paraId="4F827EA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按招标文件要求提供授权委托书；</w:t>
            </w:r>
          </w:p>
        </w:tc>
      </w:tr>
      <w:tr w14:paraId="6FC7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4EAA8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2</w:t>
            </w:r>
          </w:p>
        </w:tc>
        <w:tc>
          <w:tcPr>
            <w:tcW w:w="999" w:type="pct"/>
            <w:shd w:val="clear" w:color="auto" w:fill="auto"/>
            <w:vAlign w:val="center"/>
          </w:tcPr>
          <w:p w14:paraId="473E0BB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投标完整性</w:t>
            </w:r>
          </w:p>
        </w:tc>
        <w:tc>
          <w:tcPr>
            <w:tcW w:w="3587" w:type="pct"/>
            <w:shd w:val="clear" w:color="auto" w:fill="auto"/>
            <w:vAlign w:val="center"/>
          </w:tcPr>
          <w:p w14:paraId="7F1FC96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未将一个采购包中的内容拆分投标；</w:t>
            </w:r>
          </w:p>
        </w:tc>
      </w:tr>
      <w:tr w14:paraId="4026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2BDB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3</w:t>
            </w:r>
          </w:p>
        </w:tc>
        <w:tc>
          <w:tcPr>
            <w:tcW w:w="999" w:type="pct"/>
            <w:shd w:val="clear" w:color="auto" w:fill="auto"/>
            <w:vAlign w:val="center"/>
          </w:tcPr>
          <w:p w14:paraId="07464C3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投标报价</w:t>
            </w:r>
          </w:p>
        </w:tc>
        <w:tc>
          <w:tcPr>
            <w:tcW w:w="3587" w:type="pct"/>
            <w:shd w:val="clear" w:color="auto" w:fill="auto"/>
            <w:vAlign w:val="center"/>
          </w:tcPr>
          <w:p w14:paraId="406C1B7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投标报价未</w:t>
            </w:r>
            <w:r>
              <w:rPr>
                <w:rFonts w:hint="eastAsia" w:ascii="宋体" w:hAnsi="宋体" w:eastAsia="宋体" w:cs="宋体"/>
                <w:i w:val="0"/>
                <w:iCs w:val="0"/>
                <w:color w:val="auto"/>
                <w:spacing w:val="0"/>
                <w:position w:val="0"/>
                <w:sz w:val="24"/>
                <w:highlight w:val="none"/>
              </w:rPr>
              <w:t>超过招标文件中规定的项目/采购包预算金额或者项目/采购包最高限价</w:t>
            </w:r>
            <w:r>
              <w:rPr>
                <w:rFonts w:hint="eastAsia" w:ascii="宋体" w:hAnsi="宋体" w:cs="宋体"/>
                <w:i w:val="0"/>
                <w:iCs w:val="0"/>
                <w:color w:val="auto"/>
                <w:spacing w:val="0"/>
                <w:position w:val="0"/>
                <w:sz w:val="24"/>
                <w:highlight w:val="none"/>
                <w:lang w:val="en-US" w:eastAsia="zh-CN"/>
              </w:rPr>
              <w:t>/单项最高限价</w:t>
            </w:r>
            <w:r>
              <w:rPr>
                <w:rFonts w:hint="eastAsia" w:ascii="宋体" w:hAnsi="宋体" w:eastAsia="宋体" w:cs="宋体"/>
                <w:i w:val="0"/>
                <w:iCs w:val="0"/>
                <w:color w:val="auto"/>
                <w:spacing w:val="0"/>
                <w:kern w:val="0"/>
                <w:position w:val="0"/>
                <w:sz w:val="24"/>
                <w:highlight w:val="none"/>
              </w:rPr>
              <w:t>；</w:t>
            </w:r>
          </w:p>
        </w:tc>
      </w:tr>
      <w:tr w14:paraId="45C8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5C7AC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4</w:t>
            </w:r>
          </w:p>
        </w:tc>
        <w:tc>
          <w:tcPr>
            <w:tcW w:w="999" w:type="pct"/>
            <w:shd w:val="clear" w:color="auto" w:fill="auto"/>
            <w:vAlign w:val="center"/>
          </w:tcPr>
          <w:p w14:paraId="27F4D0B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报价唯一性</w:t>
            </w:r>
          </w:p>
        </w:tc>
        <w:tc>
          <w:tcPr>
            <w:tcW w:w="3587" w:type="pct"/>
            <w:shd w:val="clear" w:color="auto" w:fill="auto"/>
            <w:vAlign w:val="center"/>
          </w:tcPr>
          <w:p w14:paraId="726F8E6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投标文件未</w:t>
            </w:r>
            <w:r>
              <w:rPr>
                <w:rFonts w:hint="eastAsia" w:ascii="宋体" w:hAnsi="宋体" w:eastAsia="宋体" w:cs="宋体"/>
                <w:i w:val="0"/>
                <w:iCs w:val="0"/>
                <w:color w:val="auto"/>
                <w:spacing w:val="0"/>
                <w:position w:val="0"/>
                <w:sz w:val="24"/>
                <w:highlight w:val="none"/>
              </w:rPr>
              <w:t>出现可选择性或可调整的报价（招标文件另有规定的除外）</w:t>
            </w:r>
            <w:r>
              <w:rPr>
                <w:rFonts w:hint="eastAsia" w:ascii="宋体" w:hAnsi="宋体" w:eastAsia="宋体" w:cs="宋体"/>
                <w:i w:val="0"/>
                <w:iCs w:val="0"/>
                <w:color w:val="auto"/>
                <w:spacing w:val="0"/>
                <w:kern w:val="0"/>
                <w:position w:val="0"/>
                <w:sz w:val="24"/>
                <w:highlight w:val="none"/>
              </w:rPr>
              <w:t>；</w:t>
            </w:r>
          </w:p>
        </w:tc>
      </w:tr>
      <w:tr w14:paraId="5423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8322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5</w:t>
            </w:r>
          </w:p>
        </w:tc>
        <w:tc>
          <w:tcPr>
            <w:tcW w:w="999" w:type="pct"/>
            <w:shd w:val="clear" w:color="auto" w:fill="auto"/>
            <w:vAlign w:val="center"/>
          </w:tcPr>
          <w:p w14:paraId="2E58DD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投标有效期</w:t>
            </w:r>
          </w:p>
        </w:tc>
        <w:tc>
          <w:tcPr>
            <w:tcW w:w="3587" w:type="pct"/>
            <w:shd w:val="clear" w:color="auto" w:fill="auto"/>
            <w:vAlign w:val="center"/>
          </w:tcPr>
          <w:p w14:paraId="226E5C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投标文件中承诺的投标有效期满足招标文件中载明的投标有效期的；</w:t>
            </w:r>
          </w:p>
        </w:tc>
      </w:tr>
      <w:tr w14:paraId="7ACC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4B01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6</w:t>
            </w:r>
          </w:p>
        </w:tc>
        <w:tc>
          <w:tcPr>
            <w:tcW w:w="999" w:type="pct"/>
            <w:shd w:val="clear" w:color="auto" w:fill="auto"/>
            <w:vAlign w:val="center"/>
          </w:tcPr>
          <w:p w14:paraId="4BE13C5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实质性格式</w:t>
            </w:r>
          </w:p>
        </w:tc>
        <w:tc>
          <w:tcPr>
            <w:tcW w:w="3587" w:type="pct"/>
            <w:shd w:val="clear" w:color="auto" w:fill="auto"/>
            <w:vAlign w:val="center"/>
          </w:tcPr>
          <w:p w14:paraId="1F4EBAA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标记为“实质性格式”的文件均按招标文件要求提供且签署、盖章的；</w:t>
            </w:r>
          </w:p>
        </w:tc>
      </w:tr>
      <w:tr w14:paraId="03CA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B7FF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7</w:t>
            </w:r>
          </w:p>
        </w:tc>
        <w:tc>
          <w:tcPr>
            <w:tcW w:w="999" w:type="pct"/>
            <w:shd w:val="clear" w:color="auto" w:fill="auto"/>
            <w:vAlign w:val="center"/>
          </w:tcPr>
          <w:p w14:paraId="3FEFCA6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★号条款响应</w:t>
            </w:r>
          </w:p>
        </w:tc>
        <w:tc>
          <w:tcPr>
            <w:tcW w:w="3587" w:type="pct"/>
            <w:shd w:val="clear" w:color="auto" w:fill="auto"/>
            <w:vAlign w:val="center"/>
          </w:tcPr>
          <w:p w14:paraId="0608687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投标文件满足招标文件</w:t>
            </w:r>
            <w:r>
              <w:rPr>
                <w:rFonts w:hint="eastAsia" w:ascii="宋体" w:hAnsi="宋体" w:eastAsia="宋体" w:cs="宋体"/>
                <w:i w:val="0"/>
                <w:iCs w:val="0"/>
                <w:color w:val="auto"/>
                <w:spacing w:val="0"/>
                <w:position w:val="0"/>
                <w:sz w:val="24"/>
                <w:highlight w:val="none"/>
              </w:rPr>
              <w:t>第五章《采购需求》</w:t>
            </w:r>
            <w:r>
              <w:rPr>
                <w:rFonts w:hint="eastAsia" w:ascii="宋体" w:hAnsi="宋体" w:eastAsia="宋体" w:cs="宋体"/>
                <w:i w:val="0"/>
                <w:iCs w:val="0"/>
                <w:color w:val="auto"/>
                <w:spacing w:val="0"/>
                <w:kern w:val="0"/>
                <w:position w:val="0"/>
                <w:sz w:val="24"/>
                <w:highlight w:val="none"/>
              </w:rPr>
              <w:t>中★号条款要求的；</w:t>
            </w:r>
          </w:p>
        </w:tc>
      </w:tr>
      <w:tr w14:paraId="757C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71C8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8</w:t>
            </w:r>
          </w:p>
        </w:tc>
        <w:tc>
          <w:tcPr>
            <w:tcW w:w="999" w:type="pct"/>
            <w:shd w:val="clear" w:color="auto" w:fill="auto"/>
            <w:vAlign w:val="center"/>
          </w:tcPr>
          <w:p w14:paraId="69B62E9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拟分包情况说明（如有）</w:t>
            </w:r>
          </w:p>
        </w:tc>
        <w:tc>
          <w:tcPr>
            <w:tcW w:w="3587" w:type="pct"/>
            <w:shd w:val="clear" w:color="auto" w:fill="auto"/>
            <w:vAlign w:val="center"/>
          </w:tcPr>
          <w:p w14:paraId="7CB3505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如本项目（包）非因“落实政府采购政策”亦允许分包，且供应商拟进行分包时，必须提供；否则无须提供；</w:t>
            </w:r>
          </w:p>
        </w:tc>
      </w:tr>
      <w:tr w14:paraId="5B7A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5BDD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9</w:t>
            </w:r>
          </w:p>
        </w:tc>
        <w:tc>
          <w:tcPr>
            <w:tcW w:w="999" w:type="pct"/>
            <w:shd w:val="clear" w:color="auto" w:fill="auto"/>
            <w:vAlign w:val="center"/>
          </w:tcPr>
          <w:p w14:paraId="5F97B28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分包其他要求（如有）</w:t>
            </w:r>
          </w:p>
        </w:tc>
        <w:tc>
          <w:tcPr>
            <w:tcW w:w="3587" w:type="pct"/>
            <w:shd w:val="clear" w:color="auto" w:fill="auto"/>
            <w:vAlign w:val="center"/>
          </w:tcPr>
          <w:p w14:paraId="1B88BA4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分包履行的内容、金额或者比例未超出《投标人须知资料表》中的规定；</w:t>
            </w:r>
          </w:p>
          <w:p w14:paraId="2F0B110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分包承担主体具备《投标人须知资料表》载明的资质条件且提供了资质证书电子件（如有）；</w:t>
            </w:r>
          </w:p>
        </w:tc>
      </w:tr>
      <w:tr w14:paraId="4C96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3A85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10</w:t>
            </w:r>
          </w:p>
        </w:tc>
        <w:tc>
          <w:tcPr>
            <w:tcW w:w="999" w:type="pct"/>
            <w:shd w:val="clear" w:color="auto" w:fill="auto"/>
            <w:vAlign w:val="center"/>
          </w:tcPr>
          <w:p w14:paraId="7C3C321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报价的修正（如有）</w:t>
            </w:r>
          </w:p>
        </w:tc>
        <w:tc>
          <w:tcPr>
            <w:tcW w:w="3587" w:type="pct"/>
            <w:shd w:val="clear" w:color="auto" w:fill="auto"/>
            <w:vAlign w:val="center"/>
          </w:tcPr>
          <w:p w14:paraId="59419B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不涉及报价修正，或投标文件报价出现前后不一致时，投标人对修正后的报价予以确认；（如有）</w:t>
            </w:r>
          </w:p>
        </w:tc>
      </w:tr>
      <w:tr w14:paraId="5AC9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395E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11</w:t>
            </w:r>
          </w:p>
        </w:tc>
        <w:tc>
          <w:tcPr>
            <w:tcW w:w="999" w:type="pct"/>
            <w:shd w:val="clear" w:color="auto" w:fill="auto"/>
            <w:vAlign w:val="center"/>
          </w:tcPr>
          <w:p w14:paraId="0A46EC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进口产品</w:t>
            </w:r>
          </w:p>
          <w:p w14:paraId="4FDE3FB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（如有）</w:t>
            </w:r>
          </w:p>
        </w:tc>
        <w:tc>
          <w:tcPr>
            <w:tcW w:w="3587" w:type="pct"/>
            <w:shd w:val="clear" w:color="auto" w:fill="auto"/>
            <w:vAlign w:val="center"/>
          </w:tcPr>
          <w:p w14:paraId="404E009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招标文件不接受进口产品投标的内容时，投标人所投产品不含进口产品；</w:t>
            </w:r>
          </w:p>
        </w:tc>
      </w:tr>
      <w:tr w14:paraId="2CD3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784E8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12</w:t>
            </w:r>
          </w:p>
        </w:tc>
        <w:tc>
          <w:tcPr>
            <w:tcW w:w="999" w:type="pct"/>
            <w:shd w:val="clear" w:color="auto" w:fill="auto"/>
            <w:vAlign w:val="center"/>
          </w:tcPr>
          <w:p w14:paraId="617D66C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国家有关部门对投标人的投标产品有强制性规定或要求的</w:t>
            </w:r>
          </w:p>
        </w:tc>
        <w:tc>
          <w:tcPr>
            <w:tcW w:w="3587" w:type="pct"/>
            <w:shd w:val="clear" w:color="auto" w:fill="auto"/>
            <w:vAlign w:val="center"/>
          </w:tcPr>
          <w:p w14:paraId="74263CA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国家有关部门对投标人的投标产品有强制性规定或要求的（如相应技术、安全、节能和环保等），投标人的投标产品应符合相应规定或要求，并提供证明文件电子件：</w:t>
            </w:r>
          </w:p>
          <w:p w14:paraId="6D4A569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93301C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2）</w:t>
            </w:r>
            <w:r>
              <w:rPr>
                <w:rFonts w:hint="eastAsia" w:ascii="宋体" w:hAnsi="宋体" w:eastAsia="宋体" w:cs="宋体"/>
                <w:i w:val="0"/>
                <w:iCs w:val="0"/>
                <w:color w:val="auto"/>
                <w:spacing w:val="0"/>
                <w:position w:val="0"/>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i w:val="0"/>
                <w:iCs w:val="0"/>
                <w:color w:val="auto"/>
                <w:spacing w:val="0"/>
                <w:kern w:val="0"/>
                <w:position w:val="0"/>
                <w:sz w:val="24"/>
                <w:highlight w:val="none"/>
              </w:rPr>
              <w:t>公安部颁发的计算机信息系统安全专用产品销售许可证</w:t>
            </w:r>
            <w:r>
              <w:rPr>
                <w:rFonts w:hint="eastAsia" w:ascii="宋体" w:hAnsi="宋体" w:eastAsia="宋体" w:cs="宋体"/>
                <w:i w:val="0"/>
                <w:iCs w:val="0"/>
                <w:color w:val="auto"/>
                <w:spacing w:val="0"/>
                <w:position w:val="0"/>
                <w:sz w:val="24"/>
                <w:highlight w:val="none"/>
              </w:rPr>
              <w:t>，且在有效期内，亦视为符合要求）</w:t>
            </w:r>
          </w:p>
          <w:p w14:paraId="072CDA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3）项目中涉及涂料、胶黏剂、油墨、清洗剂等挥发性有机物产品，且属于强制性标准的，供应商应执行符合本市和国家的VOCs 含量限制标准。</w:t>
            </w:r>
          </w:p>
        </w:tc>
      </w:tr>
      <w:tr w14:paraId="08BA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6E4EA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13</w:t>
            </w:r>
          </w:p>
        </w:tc>
        <w:tc>
          <w:tcPr>
            <w:tcW w:w="999" w:type="pct"/>
            <w:shd w:val="clear" w:color="auto" w:fill="auto"/>
            <w:vAlign w:val="center"/>
          </w:tcPr>
          <w:p w14:paraId="32EFED0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公平竞争</w:t>
            </w:r>
          </w:p>
        </w:tc>
        <w:tc>
          <w:tcPr>
            <w:tcW w:w="3587" w:type="pct"/>
            <w:shd w:val="clear" w:color="auto" w:fill="auto"/>
            <w:vAlign w:val="center"/>
          </w:tcPr>
          <w:p w14:paraId="4AC0B70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投标人遵循公平竞争的原则，不存在恶意串通，妨碍其他投标人的竞争行为，不存在损害采购人或者其他投标人的合法权益情形的；</w:t>
            </w:r>
          </w:p>
        </w:tc>
      </w:tr>
      <w:tr w14:paraId="5A5F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07B4A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14</w:t>
            </w:r>
          </w:p>
        </w:tc>
        <w:tc>
          <w:tcPr>
            <w:tcW w:w="999" w:type="pct"/>
            <w:shd w:val="clear" w:color="auto" w:fill="auto"/>
            <w:vAlign w:val="center"/>
          </w:tcPr>
          <w:p w14:paraId="765E153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串通投标</w:t>
            </w:r>
          </w:p>
        </w:tc>
        <w:tc>
          <w:tcPr>
            <w:tcW w:w="3587" w:type="pct"/>
            <w:shd w:val="clear" w:color="auto" w:fill="auto"/>
            <w:vAlign w:val="center"/>
          </w:tcPr>
          <w:p w14:paraId="33457C6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51B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B788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lang w:eastAsia="zh-CN"/>
              </w:rPr>
            </w:pPr>
            <w:r>
              <w:rPr>
                <w:rFonts w:hint="eastAsia" w:ascii="宋体" w:hAnsi="宋体" w:eastAsia="宋体" w:cs="宋体"/>
                <w:i w:val="0"/>
                <w:iCs w:val="0"/>
                <w:color w:val="auto"/>
                <w:spacing w:val="0"/>
                <w:kern w:val="0"/>
                <w:position w:val="0"/>
                <w:sz w:val="24"/>
                <w:highlight w:val="none"/>
              </w:rPr>
              <w:t>1</w:t>
            </w:r>
            <w:r>
              <w:rPr>
                <w:rFonts w:hint="eastAsia" w:ascii="宋体" w:hAnsi="宋体" w:eastAsia="宋体" w:cs="宋体"/>
                <w:i w:val="0"/>
                <w:iCs w:val="0"/>
                <w:color w:val="auto"/>
                <w:spacing w:val="0"/>
                <w:kern w:val="0"/>
                <w:position w:val="0"/>
                <w:sz w:val="24"/>
                <w:highlight w:val="none"/>
                <w:lang w:val="en-US" w:eastAsia="zh-CN"/>
              </w:rPr>
              <w:t>5</w:t>
            </w:r>
          </w:p>
        </w:tc>
        <w:tc>
          <w:tcPr>
            <w:tcW w:w="999" w:type="pct"/>
            <w:shd w:val="clear" w:color="auto" w:fill="auto"/>
            <w:vAlign w:val="center"/>
          </w:tcPr>
          <w:p w14:paraId="735AE65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附加条件</w:t>
            </w:r>
          </w:p>
        </w:tc>
        <w:tc>
          <w:tcPr>
            <w:tcW w:w="3587" w:type="pct"/>
            <w:shd w:val="clear" w:color="auto" w:fill="auto"/>
            <w:vAlign w:val="center"/>
          </w:tcPr>
          <w:p w14:paraId="3EF2A24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投标文件未含有采购人不能接受的附加条件的；</w:t>
            </w:r>
          </w:p>
        </w:tc>
      </w:tr>
      <w:tr w14:paraId="7BA8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2AF1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lang w:eastAsia="zh-CN"/>
              </w:rPr>
            </w:pPr>
            <w:r>
              <w:rPr>
                <w:rFonts w:hint="eastAsia" w:ascii="宋体" w:hAnsi="宋体" w:eastAsia="宋体" w:cs="宋体"/>
                <w:i w:val="0"/>
                <w:iCs w:val="0"/>
                <w:color w:val="auto"/>
                <w:spacing w:val="0"/>
                <w:kern w:val="0"/>
                <w:position w:val="0"/>
                <w:sz w:val="24"/>
                <w:highlight w:val="none"/>
              </w:rPr>
              <w:t>1</w:t>
            </w:r>
            <w:r>
              <w:rPr>
                <w:rFonts w:hint="eastAsia" w:ascii="宋体" w:hAnsi="宋体" w:eastAsia="宋体" w:cs="宋体"/>
                <w:i w:val="0"/>
                <w:iCs w:val="0"/>
                <w:color w:val="auto"/>
                <w:spacing w:val="0"/>
                <w:kern w:val="0"/>
                <w:position w:val="0"/>
                <w:sz w:val="24"/>
                <w:highlight w:val="none"/>
                <w:lang w:val="en-US" w:eastAsia="zh-CN"/>
              </w:rPr>
              <w:t>6</w:t>
            </w:r>
          </w:p>
        </w:tc>
        <w:tc>
          <w:tcPr>
            <w:tcW w:w="999" w:type="pct"/>
            <w:shd w:val="clear" w:color="auto" w:fill="auto"/>
            <w:vAlign w:val="center"/>
          </w:tcPr>
          <w:p w14:paraId="0F7731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其他无效情形</w:t>
            </w:r>
          </w:p>
        </w:tc>
        <w:tc>
          <w:tcPr>
            <w:tcW w:w="3587" w:type="pct"/>
            <w:shd w:val="clear" w:color="auto" w:fill="auto"/>
            <w:vAlign w:val="center"/>
          </w:tcPr>
          <w:p w14:paraId="58831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不存在未按招标文件提交投标文件；</w:t>
            </w:r>
          </w:p>
          <w:p w14:paraId="121597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投标人、投标文件不存在不符合法律、法规和招标文件规定的其他无效情形。</w:t>
            </w:r>
          </w:p>
        </w:tc>
      </w:tr>
    </w:tbl>
    <w:p w14:paraId="56D8326C">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p>
    <w:p w14:paraId="6593E779">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投标文件有关事项的澄清或者说明</w:t>
      </w:r>
    </w:p>
    <w:p w14:paraId="366AAAB0">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rFonts w:hint="eastAsia" w:ascii="宋体" w:hAnsi="宋体" w:eastAsia="宋体" w:cs="宋体"/>
          <w:i w:val="0"/>
          <w:iCs w:val="0"/>
          <w:color w:val="auto"/>
          <w:spacing w:val="0"/>
          <w:position w:val="0"/>
          <w:sz w:val="24"/>
          <w:szCs w:val="20"/>
          <w:highlight w:val="none"/>
        </w:rPr>
        <w:t>若投标人为事业单位或其他组织或分支机构，可为单位负责人</w:t>
      </w:r>
      <w:bookmarkEnd w:id="790"/>
      <w:r>
        <w:rPr>
          <w:rFonts w:hint="eastAsia" w:ascii="宋体" w:hAnsi="宋体" w:eastAsia="宋体" w:cs="宋体"/>
          <w:i w:val="0"/>
          <w:iCs w:val="0"/>
          <w:color w:val="auto"/>
          <w:spacing w:val="0"/>
          <w:position w:val="0"/>
          <w:sz w:val="24"/>
          <w:highlight w:val="none"/>
        </w:rPr>
        <w:t>）或其授权的代表签字。投标人的澄清、说明或者补正不得超出投标文件的范围或者改变投标文件的实质性内容。澄清文件将作为投标文件内容的一部分。</w:t>
      </w:r>
    </w:p>
    <w:p w14:paraId="7C756EB9">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b/>
          <w:bCs/>
          <w:i w:val="0"/>
          <w:iCs w:val="0"/>
          <w:color w:val="auto"/>
          <w:spacing w:val="0"/>
          <w:position w:val="0"/>
          <w:sz w:val="24"/>
          <w:highlight w:val="none"/>
        </w:rPr>
      </w:pPr>
      <w:bookmarkStart w:id="791" w:name="_Hlk220085436"/>
      <w:r>
        <w:rPr>
          <w:rFonts w:hint="eastAsia" w:ascii="宋体" w:hAnsi="宋体" w:eastAsia="宋体" w:cs="宋体"/>
          <w:b/>
          <w:bCs/>
          <w:i w:val="0"/>
          <w:iCs w:val="0"/>
          <w:color w:val="auto"/>
          <w:spacing w:val="0"/>
          <w:position w:val="0"/>
          <w:sz w:val="24"/>
          <w:highlight w:val="none"/>
        </w:rPr>
        <w:t>异常低价处理</w:t>
      </w:r>
    </w:p>
    <w:p w14:paraId="6A47224E">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 xml:space="preserve"> 政府采购评审中出现下列情形之一的，评审委员会应当启动异常低价投标（响应）审查程序：</w:t>
      </w:r>
    </w:p>
    <w:p w14:paraId="0DD2EB42">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（1）投标（响应）报价低于全部通过符合性审查供应商投标（响应）报价平均值</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%的，即投标（响应）报价&lt;全部通过符合性审查供应商投标（响应）报价平均值×</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w:t>
      </w:r>
    </w:p>
    <w:p w14:paraId="3F4B6A9A">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（2）投标（响应）报价低于通过符合性审查的次低报价供应商投标（响应）报价</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%的，即投标（响应）报价&lt;通过符合性审查的次低报价供应商投标（响应）报价×</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w:t>
      </w:r>
    </w:p>
    <w:p w14:paraId="3BC2428B">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（3）投标（响应）报价低于采购项目最高限价</w:t>
      </w:r>
      <w:r>
        <w:rPr>
          <w:rFonts w:hint="eastAsia" w:ascii="宋体" w:hAnsi="宋体" w:eastAsia="宋体" w:cs="宋体"/>
          <w:b/>
          <w:bCs/>
          <w:i w:val="0"/>
          <w:iCs w:val="0"/>
          <w:color w:val="auto"/>
          <w:spacing w:val="0"/>
          <w:position w:val="0"/>
          <w:sz w:val="24"/>
          <w:highlight w:val="none"/>
          <w:u w:val="single"/>
          <w:lang w:val="en-US" w:eastAsia="zh-CN"/>
        </w:rPr>
        <w:t xml:space="preserve"> 45 </w:t>
      </w:r>
      <w:r>
        <w:rPr>
          <w:rFonts w:hint="eastAsia" w:ascii="宋体" w:hAnsi="宋体" w:eastAsia="宋体" w:cs="宋体"/>
          <w:b/>
          <w:bCs/>
          <w:i w:val="0"/>
          <w:iCs w:val="0"/>
          <w:color w:val="auto"/>
          <w:spacing w:val="0"/>
          <w:position w:val="0"/>
          <w:sz w:val="24"/>
          <w:highlight w:val="none"/>
        </w:rPr>
        <w:t>%的，即投标（响应）报价&lt;采购项目最高限价×</w:t>
      </w:r>
      <w:r>
        <w:rPr>
          <w:rFonts w:hint="eastAsia" w:ascii="宋体" w:hAnsi="宋体" w:eastAsia="宋体" w:cs="宋体"/>
          <w:b/>
          <w:bCs/>
          <w:i w:val="0"/>
          <w:iCs w:val="0"/>
          <w:color w:val="auto"/>
          <w:spacing w:val="0"/>
          <w:position w:val="0"/>
          <w:sz w:val="24"/>
          <w:highlight w:val="none"/>
          <w:u w:val="single"/>
          <w:lang w:val="en-US" w:eastAsia="zh-CN"/>
        </w:rPr>
        <w:t xml:space="preserve"> 45 </w:t>
      </w:r>
      <w:r>
        <w:rPr>
          <w:rFonts w:hint="eastAsia" w:ascii="宋体" w:hAnsi="宋体" w:eastAsia="宋体" w:cs="宋体"/>
          <w:b/>
          <w:bCs/>
          <w:i w:val="0"/>
          <w:iCs w:val="0"/>
          <w:color w:val="auto"/>
          <w:spacing w:val="0"/>
          <w:position w:val="0"/>
          <w:sz w:val="24"/>
          <w:highlight w:val="none"/>
        </w:rPr>
        <w:t>%；未设定最高限价的采购项目，以采购项目预算金额作为最高限价；</w:t>
      </w:r>
    </w:p>
    <w:p w14:paraId="321EA9A3">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（4）评审委员会基于专业判断，认为供应商报价过低，有可能影响产品质量或者不能诚信履约的其他情形。</w:t>
      </w:r>
    </w:p>
    <w:p w14:paraId="27A024D9">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b/>
          <w:bCs/>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w:t>
      </w:r>
      <w:r>
        <w:rPr>
          <w:rFonts w:hint="eastAsia" w:ascii="宋体" w:hAnsi="宋体" w:eastAsia="宋体" w:cs="宋体"/>
          <w:b/>
          <w:bCs/>
          <w:i w:val="0"/>
          <w:iCs w:val="0"/>
          <w:color w:val="auto"/>
          <w:spacing w:val="0"/>
          <w:position w:val="0"/>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46B3C3">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i w:val="0"/>
          <w:iCs w:val="0"/>
          <w:color w:val="auto"/>
          <w:spacing w:val="0"/>
          <w:position w:val="0"/>
          <w:sz w:val="24"/>
          <w:highlight w:val="none"/>
        </w:rPr>
        <w:t>无效投标（响应）</w:t>
      </w:r>
      <w:r>
        <w:rPr>
          <w:rFonts w:hint="eastAsia" w:ascii="宋体" w:hAnsi="宋体" w:eastAsia="宋体" w:cs="宋体"/>
          <w:i w:val="0"/>
          <w:iCs w:val="0"/>
          <w:color w:val="auto"/>
          <w:spacing w:val="0"/>
          <w:position w:val="0"/>
          <w:sz w:val="24"/>
          <w:highlight w:val="none"/>
        </w:rPr>
        <w:t>处理。</w:t>
      </w:r>
    </w:p>
    <w:p w14:paraId="492B3D4F">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i w:val="0"/>
          <w:iCs w:val="0"/>
          <w:color w:val="auto"/>
          <w:spacing w:val="0"/>
          <w:position w:val="0"/>
          <w:sz w:val="24"/>
          <w:highlight w:val="none"/>
        </w:rPr>
      </w:pPr>
      <w:bookmarkStart w:id="792" w:name="_Hlk190337965"/>
      <w:r>
        <w:rPr>
          <w:rFonts w:hint="eastAsia" w:ascii="宋体" w:hAnsi="宋体" w:eastAsia="宋体" w:cs="宋体"/>
          <w:i w:val="0"/>
          <w:iCs w:val="0"/>
          <w:color w:val="auto"/>
          <w:spacing w:val="0"/>
          <w:position w:val="0"/>
          <w:sz w:val="24"/>
          <w:highlight w:val="none"/>
        </w:rPr>
        <w:t xml:space="preserve"> 上述投标（响应）报价指按照本章2.4修正后的报价</w:t>
      </w:r>
      <w:bookmarkEnd w:id="792"/>
      <w:r>
        <w:rPr>
          <w:rFonts w:hint="eastAsia" w:ascii="宋体" w:hAnsi="宋体" w:eastAsia="宋体" w:cs="宋体"/>
          <w:i w:val="0"/>
          <w:iCs w:val="0"/>
          <w:color w:val="auto"/>
          <w:spacing w:val="0"/>
          <w:position w:val="0"/>
          <w:sz w:val="24"/>
          <w:highlight w:val="none"/>
        </w:rPr>
        <w:t>。</w:t>
      </w:r>
    </w:p>
    <w:bookmarkEnd w:id="791"/>
    <w:p w14:paraId="6D3DD73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FC13DA5">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投标文件报价出现前后不一致的，按照下列规定修正：</w:t>
      </w:r>
    </w:p>
    <w:p w14:paraId="6FAAB444">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招标文件对于报价修正是否另有规定：</w:t>
      </w:r>
    </w:p>
    <w:p w14:paraId="5C050808">
      <w:pPr>
        <w:pageBreakBefore w:val="0"/>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rPr>
        <w:t>有，具体规定为：______________</w:t>
      </w:r>
    </w:p>
    <w:p w14:paraId="2BAA33A4">
      <w:pPr>
        <w:pageBreakBefore w:val="0"/>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无，按下述2.4.2-2.4.7项规定修正。</w:t>
      </w:r>
    </w:p>
    <w:p w14:paraId="6D44C75E">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单独递交的开标一览表（报价表）与投标文件中开标一览表（报价表）内容不一致的，以单独递交的开标一览表（报价表）为准；</w:t>
      </w:r>
    </w:p>
    <w:p w14:paraId="619C7EB8">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投标文件中开标一览表（报价表）内容与投标文件中相应内容不一致的，以开标一览表（报价表）为准；</w:t>
      </w:r>
    </w:p>
    <w:p w14:paraId="778A8A24">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大写金额和小写金额不一致的，以大写金额为准；</w:t>
      </w:r>
    </w:p>
    <w:p w14:paraId="67B8EF43">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单价金额小数点或者百分比有明显错位的，以开标一览表的总价为准，并修改单价；</w:t>
      </w:r>
    </w:p>
    <w:p w14:paraId="537C508A">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总价金额与按单价汇总金额不一致的，以单价金额计算结果为准。</w:t>
      </w:r>
    </w:p>
    <w:p w14:paraId="6CAF4854">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同时出现两种以上不一致的，按照前款规定的顺序修正。</w:t>
      </w:r>
    </w:p>
    <w:p w14:paraId="1D933622">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修正后的报价经投标人书面确认后产生约束力，投标人不确认的，其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FFA371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支持中小企业政府采购政策的价格调整：只有符合第二章《投标人须知》5.3条规定情形的，可以享受中小企业扶持政策，用扣除后的价格参加评审；否则，评标时价格不予扣除。</w:t>
      </w:r>
    </w:p>
    <w:p w14:paraId="2CEA90B5">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color w:val="auto"/>
          <w:spacing w:val="0"/>
          <w:position w:val="0"/>
          <w:sz w:val="24"/>
          <w:highlight w:val="none"/>
          <w:u w:val="single"/>
          <w:lang w:val="en-US" w:eastAsia="zh-CN"/>
        </w:rPr>
        <w:t xml:space="preserve"> 10 </w:t>
      </w:r>
      <w:r>
        <w:rPr>
          <w:rFonts w:hint="eastAsia" w:ascii="宋体" w:hAnsi="宋体" w:eastAsia="宋体" w:cs="宋体"/>
          <w:i w:val="0"/>
          <w:iCs w:val="0"/>
          <w:color w:val="auto"/>
          <w:spacing w:val="0"/>
          <w:position w:val="0"/>
          <w:sz w:val="24"/>
          <w:highlight w:val="none"/>
        </w:rPr>
        <w:t>%的扣除，用扣除后的价格参加评审。</w:t>
      </w:r>
    </w:p>
    <w:p w14:paraId="5F80C4F8">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i w:val="0"/>
          <w:iCs w:val="0"/>
          <w:color w:val="auto"/>
          <w:spacing w:val="0"/>
          <w:position w:val="0"/>
          <w:sz w:val="24"/>
          <w:highlight w:val="none"/>
          <w:u w:val="single"/>
          <w:lang w:val="en-US" w:eastAsia="zh-CN"/>
        </w:rPr>
        <w:t xml:space="preserve"> 4 </w:t>
      </w:r>
      <w:r>
        <w:rPr>
          <w:rFonts w:hint="eastAsia" w:ascii="宋体" w:hAnsi="宋体" w:eastAsia="宋体" w:cs="宋体"/>
          <w:i w:val="0"/>
          <w:iCs w:val="0"/>
          <w:color w:val="auto"/>
          <w:spacing w:val="0"/>
          <w:position w:val="0"/>
          <w:sz w:val="24"/>
          <w:highlight w:val="none"/>
        </w:rPr>
        <w:t>%的扣除，用扣除后的价格参加评审。</w:t>
      </w:r>
    </w:p>
    <w:p w14:paraId="43847652">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组成联合体或者接受分包的小微企业与联合体内其他企业、分包企业之间存在直接控股、管理关系的，不享受价格扣除优惠政策。</w:t>
      </w:r>
    </w:p>
    <w:p w14:paraId="399C4F63">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价格扣除比例对小型企业和微型企业同等对待，不作区分。</w:t>
      </w:r>
    </w:p>
    <w:p w14:paraId="2BB582FB">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中小企业参加政府采购活动，应当按照招标文件给定的格式出具《中小企业声明函》，否则不得享受相关中小企业扶持政策。</w:t>
      </w:r>
    </w:p>
    <w:p w14:paraId="204ABFEE">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监狱企业提供了由省级以上监狱管理局、戒毒管理局（含新疆生产建设兵团）出具的属于监狱企业的证明文件的，视同小微企业。</w:t>
      </w:r>
    </w:p>
    <w:p w14:paraId="335C191C">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残疾人福利性单位按招标文件要求提供了《残疾人福利性单位声明函》的，视同小微企业。</w:t>
      </w:r>
    </w:p>
    <w:p w14:paraId="2F6A180A">
      <w:pPr>
        <w:pageBreakBefore w:val="0"/>
        <w:numPr>
          <w:ilvl w:val="2"/>
          <w:numId w:val="11"/>
        </w:numPr>
        <w:tabs>
          <w:tab w:val="left" w:pos="1080"/>
          <w:tab w:val="left" w:pos="1589"/>
          <w:tab w:val="left" w:pos="2014"/>
          <w:tab w:val="clear" w:pos="1980"/>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若投标人同时属于小型或微型企业、监狱企业、残疾人福利性单位中的两种及以上，将不重复享受小微企业价格扣减的优惠政策。</w:t>
      </w:r>
    </w:p>
    <w:p w14:paraId="3502BC4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支持本国产品政府采购的价格调整：只有符合第二章《投标人须知》5.2条规定情形的，可以享受本国产品支持政策，用扣除后的价格参加评审；否则，评标时价格不予扣除。</w:t>
      </w:r>
    </w:p>
    <w:p w14:paraId="4586AB84">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本项目既有本国产品又有非本国产品参与竞争的，依法对本国产品给予价格评审优惠，对本国产品的报价给予20%的价格扣除，用扣除后的价格参与评审。</w:t>
      </w:r>
    </w:p>
    <w:p w14:paraId="0C76B4D2">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F64331A">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488A63EA">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投标文件的比较和评价</w:t>
      </w:r>
      <w:bookmarkEnd w:id="773"/>
      <w:bookmarkEnd w:id="774"/>
    </w:p>
    <w:p w14:paraId="6EAE10D7">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6256B45D">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评标方法和评标标准</w:t>
      </w:r>
    </w:p>
    <w:p w14:paraId="2640E930">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本项目采用的评标方法为：</w:t>
      </w:r>
    </w:p>
    <w:p w14:paraId="2D89C4F4">
      <w:pPr>
        <w:pageBreakBefore w:val="0"/>
        <w:tabs>
          <w:tab w:val="left" w:pos="900"/>
          <w:tab w:val="left" w:pos="1589"/>
          <w:tab w:val="left" w:pos="1701"/>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69204E5">
      <w:pPr>
        <w:pageBreakBefore w:val="0"/>
        <w:tabs>
          <w:tab w:val="left" w:pos="900"/>
          <w:tab w:val="left" w:pos="1589"/>
          <w:tab w:val="left" w:pos="1701"/>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最低评标价法，指投标文件满足招标文件全部实质性要求，且投标报价最低的投标人为中标候选人的评标方法。</w:t>
      </w:r>
    </w:p>
    <w:p w14:paraId="1269924D">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6BAD1743">
      <w:pPr>
        <w:pageBreakBefore w:val="0"/>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随机抽取</w:t>
      </w:r>
    </w:p>
    <w:p w14:paraId="3B11A16F">
      <w:pPr>
        <w:pageBreakBefore w:val="0"/>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其他方式，具体要求：_____</w:t>
      </w:r>
    </w:p>
    <w:p w14:paraId="571B2C5B">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非政府强制采购的节能产品或环境标志产品，依据品目清单和认证证书实施政府优先采购。优先采购的具体规定（如涉及）_____。</w:t>
      </w:r>
    </w:p>
    <w:p w14:paraId="5C537B3F">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确定</w:t>
      </w:r>
      <w:bookmarkStart w:id="793" w:name="_Toc305158814"/>
      <w:bookmarkStart w:id="794" w:name="_Toc164229387"/>
      <w:bookmarkStart w:id="795" w:name="_Toc164608660"/>
      <w:bookmarkStart w:id="796" w:name="_Toc151193716"/>
      <w:bookmarkStart w:id="797" w:name="_Toc150774751"/>
      <w:bookmarkStart w:id="798" w:name="_Toc164351640"/>
      <w:bookmarkStart w:id="799" w:name="_Toc150480784"/>
      <w:bookmarkStart w:id="800" w:name="_Toc520356170"/>
      <w:bookmarkStart w:id="801" w:name="_Toc195842911"/>
      <w:bookmarkStart w:id="802" w:name="_Ref467307010"/>
      <w:bookmarkStart w:id="803" w:name="_Toc150509297"/>
      <w:bookmarkStart w:id="804" w:name="_Toc265228384"/>
      <w:bookmarkStart w:id="805" w:name="_Toc127151747"/>
      <w:bookmarkStart w:id="806" w:name="_Toc226337242"/>
      <w:bookmarkStart w:id="807" w:name="_Toc164229241"/>
      <w:bookmarkStart w:id="808" w:name="_Toc150774646"/>
      <w:bookmarkStart w:id="809" w:name="_Toc127151546"/>
      <w:bookmarkStart w:id="810" w:name="_Toc151193644"/>
      <w:bookmarkStart w:id="811" w:name="_Toc151193860"/>
      <w:bookmarkStart w:id="812" w:name="_Toc164608815"/>
      <w:bookmarkStart w:id="813" w:name="_Toc226965819"/>
      <w:bookmarkStart w:id="814" w:name="_Toc226309790"/>
      <w:bookmarkStart w:id="815" w:name="_Toc151193934"/>
      <w:bookmarkStart w:id="816" w:name="_Toc226965736"/>
      <w:bookmarkStart w:id="817" w:name="_Toc127161460"/>
      <w:bookmarkStart w:id="818" w:name="_Toc264969236"/>
      <w:bookmarkStart w:id="819" w:name="_Toc142311048"/>
      <w:bookmarkStart w:id="820" w:name="_Toc151193788"/>
      <w:bookmarkStart w:id="821" w:name="_Toc151190173"/>
      <w:bookmarkStart w:id="822" w:name="_Toc305158888"/>
      <w:bookmarkStart w:id="823" w:name="_Toc149720839"/>
      <w:r>
        <w:rPr>
          <w:rFonts w:hint="eastAsia" w:ascii="宋体" w:hAnsi="宋体" w:eastAsia="宋体" w:cs="宋体"/>
          <w:i w:val="0"/>
          <w:iCs w:val="0"/>
          <w:color w:val="auto"/>
          <w:spacing w:val="0"/>
          <w:position w:val="0"/>
          <w:sz w:val="24"/>
          <w:highlight w:val="none"/>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29C22B2F">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45AB395">
      <w:pPr>
        <w:pStyle w:val="24"/>
        <w:pageBreakBefore w:val="0"/>
        <w:tabs>
          <w:tab w:val="left" w:pos="900"/>
          <w:tab w:val="left" w:pos="2127"/>
        </w:tabs>
        <w:wordWrap/>
        <w:topLinePunct w:val="0"/>
        <w:bidi w:val="0"/>
        <w:adjustRightInd w:val="0"/>
        <w:snapToGrid w:val="0"/>
        <w:spacing w:line="360" w:lineRule="auto"/>
        <w:ind w:left="993" w:firstLine="136" w:firstLineChars="57"/>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随机抽取</w:t>
      </w:r>
    </w:p>
    <w:p w14:paraId="6B84019C">
      <w:pPr>
        <w:pStyle w:val="24"/>
        <w:pageBreakBefore w:val="0"/>
        <w:tabs>
          <w:tab w:val="left" w:pos="900"/>
          <w:tab w:val="left" w:pos="2127"/>
        </w:tabs>
        <w:wordWrap/>
        <w:topLinePunct w:val="0"/>
        <w:bidi w:val="0"/>
        <w:adjustRightInd w:val="0"/>
        <w:snapToGrid w:val="0"/>
        <w:spacing w:line="360" w:lineRule="auto"/>
        <w:ind w:left="993" w:firstLine="136" w:firstLineChars="57"/>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其他方式，具体要求：</w:t>
      </w:r>
      <w:r>
        <w:rPr>
          <w:rFonts w:hint="default" w:ascii="Times New Roman" w:hAnsi="Times New Roman"/>
          <w:color w:val="auto"/>
          <w:sz w:val="24"/>
          <w:szCs w:val="24"/>
          <w:highlight w:val="none"/>
          <w:u w:val="single"/>
        </w:rPr>
        <w:t>评审得分相同的则投标报价最低优先，如报价相同则按照评审因素的量化指标评审得分最高优先。如报价相同且量化指标评审得分也相同的，由评标委员会现场采取随机抽取方式确定。其他同品牌投标人不作为中标候选人</w:t>
      </w:r>
    </w:p>
    <w:p w14:paraId="7CA2AFC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B9D4A7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97CEEF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评标委员会要对评分汇总情况进行复核，特别是对排名第一的、报价最低的、投标或响应文件被认定为无效的情形进行重点复核。</w:t>
      </w:r>
    </w:p>
    <w:p w14:paraId="5CD9DBF1">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color w:val="auto"/>
          <w:spacing w:val="0"/>
          <w:position w:val="0"/>
          <w:sz w:val="24"/>
          <w:highlight w:val="none"/>
          <w:u w:val="single"/>
          <w:lang w:val="en-US" w:eastAsia="zh-CN"/>
        </w:rPr>
        <w:t xml:space="preserve">  3  </w:t>
      </w:r>
      <w:r>
        <w:rPr>
          <w:rFonts w:hint="eastAsia" w:ascii="宋体" w:hAnsi="宋体" w:eastAsia="宋体" w:cs="宋体"/>
          <w:i w:val="0"/>
          <w:iCs w:val="0"/>
          <w:color w:val="auto"/>
          <w:spacing w:val="0"/>
          <w:position w:val="0"/>
          <w:sz w:val="24"/>
          <w:highlight w:val="none"/>
        </w:rPr>
        <w:t>名中标候选人。</w:t>
      </w:r>
    </w:p>
    <w:p w14:paraId="35A2076D">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报告违法行为</w:t>
      </w:r>
    </w:p>
    <w:p w14:paraId="5CEE259B">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评标委员会在评标过程中发现投标人有行贿、提供虚假材料或者串通等违法行为时，应当及时向财政部门报告。</w:t>
      </w:r>
    </w:p>
    <w:p w14:paraId="6D61686F">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br w:type="page"/>
      </w:r>
    </w:p>
    <w:p w14:paraId="1DA8C67A">
      <w:pPr>
        <w:pageBreakBefore w:val="0"/>
        <w:numPr>
          <w:ilvl w:val="0"/>
          <w:numId w:val="12"/>
        </w:numPr>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评标标准</w:t>
      </w:r>
    </w:p>
    <w:p w14:paraId="6BD553C9">
      <w:pPr>
        <w:pageBreakBefore w:val="0"/>
        <w:numPr>
          <w:ilvl w:val="0"/>
          <w:numId w:val="0"/>
        </w:numPr>
        <w:tabs>
          <w:tab w:val="left" w:pos="360"/>
          <w:tab w:val="left" w:pos="900"/>
        </w:tabs>
        <w:wordWrap/>
        <w:topLinePunct w:val="0"/>
        <w:bidi w:val="0"/>
        <w:snapToGrid w:val="0"/>
        <w:spacing w:line="360" w:lineRule="auto"/>
        <w:jc w:val="both"/>
        <w:outlineLvl w:val="1"/>
        <w:rPr>
          <w:rFonts w:hint="default" w:ascii="宋体" w:hAnsi="宋体" w:eastAsia="宋体" w:cs="宋体"/>
          <w:b/>
          <w:i w:val="0"/>
          <w:iCs w:val="0"/>
          <w:color w:val="auto"/>
          <w:spacing w:val="0"/>
          <w:position w:val="0"/>
          <w:sz w:val="24"/>
          <w:highlight w:val="none"/>
          <w:lang w:val="en-US" w:eastAsia="zh-CN"/>
        </w:rPr>
      </w:pPr>
      <w:r>
        <w:rPr>
          <w:rFonts w:hint="eastAsia" w:ascii="宋体" w:hAnsi="宋体" w:cs="宋体"/>
          <w:b/>
          <w:i w:val="0"/>
          <w:iCs w:val="0"/>
          <w:color w:val="auto"/>
          <w:spacing w:val="0"/>
          <w:position w:val="0"/>
          <w:sz w:val="24"/>
          <w:highlight w:val="none"/>
          <w:lang w:val="en-US" w:eastAsia="zh-CN"/>
        </w:rPr>
        <w:t>01包评审标准</w:t>
      </w:r>
    </w:p>
    <w:tbl>
      <w:tblPr>
        <w:tblStyle w:val="44"/>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703"/>
        <w:gridCol w:w="753"/>
        <w:gridCol w:w="5124"/>
        <w:gridCol w:w="1912"/>
      </w:tblGrid>
      <w:tr w14:paraId="4D23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blHeader/>
          <w:jc w:val="center"/>
        </w:trPr>
        <w:tc>
          <w:tcPr>
            <w:tcW w:w="253" w:type="pct"/>
            <w:vAlign w:val="center"/>
          </w:tcPr>
          <w:p w14:paraId="761A884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序号</w:t>
            </w:r>
          </w:p>
        </w:tc>
        <w:tc>
          <w:tcPr>
            <w:tcW w:w="392" w:type="pct"/>
            <w:vAlign w:val="center"/>
          </w:tcPr>
          <w:p w14:paraId="03337211">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评分因素</w:t>
            </w:r>
          </w:p>
        </w:tc>
        <w:tc>
          <w:tcPr>
            <w:tcW w:w="421" w:type="pct"/>
            <w:vAlign w:val="center"/>
          </w:tcPr>
          <w:p w14:paraId="555710F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分值</w:t>
            </w:r>
          </w:p>
        </w:tc>
        <w:tc>
          <w:tcPr>
            <w:tcW w:w="2863" w:type="pct"/>
            <w:vAlign w:val="center"/>
          </w:tcPr>
          <w:p w14:paraId="774D5A7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评分标准</w:t>
            </w:r>
          </w:p>
        </w:tc>
        <w:tc>
          <w:tcPr>
            <w:tcW w:w="1067" w:type="pct"/>
            <w:vAlign w:val="center"/>
          </w:tcPr>
          <w:p w14:paraId="2FC9DE3A">
            <w:pPr>
              <w:pStyle w:val="247"/>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说明</w:t>
            </w:r>
          </w:p>
        </w:tc>
      </w:tr>
      <w:tr w14:paraId="2721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53" w:type="pct"/>
            <w:shd w:val="clear" w:color="auto" w:fill="auto"/>
            <w:vAlign w:val="center"/>
          </w:tcPr>
          <w:p w14:paraId="34BABD4F">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1</w:t>
            </w:r>
          </w:p>
        </w:tc>
        <w:tc>
          <w:tcPr>
            <w:tcW w:w="392" w:type="pct"/>
            <w:shd w:val="clear" w:color="auto" w:fill="auto"/>
            <w:vAlign w:val="center"/>
          </w:tcPr>
          <w:p w14:paraId="01251FD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投标报价</w:t>
            </w:r>
          </w:p>
          <w:p w14:paraId="56D8BE2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30分</w:t>
            </w:r>
          </w:p>
        </w:tc>
        <w:tc>
          <w:tcPr>
            <w:tcW w:w="421" w:type="pct"/>
            <w:shd w:val="clear" w:color="auto" w:fill="auto"/>
            <w:vAlign w:val="center"/>
          </w:tcPr>
          <w:p w14:paraId="5BD821C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价格分</w:t>
            </w:r>
          </w:p>
          <w:p w14:paraId="2A56FDFB">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cs="宋体"/>
                <w:i w:val="0"/>
                <w:iCs w:val="0"/>
                <w:color w:val="auto"/>
                <w:spacing w:val="0"/>
                <w:kern w:val="2"/>
                <w:position w:val="0"/>
                <w:sz w:val="21"/>
                <w:szCs w:val="21"/>
                <w:highlight w:val="none"/>
                <w:lang w:val="en-US" w:eastAsia="zh-CN" w:bidi="ar-SA"/>
              </w:rPr>
              <w:t>3</w:t>
            </w:r>
            <w:r>
              <w:rPr>
                <w:rFonts w:hint="eastAsia" w:ascii="宋体" w:hAnsi="宋体" w:eastAsia="宋体" w:cs="宋体"/>
                <w:i w:val="0"/>
                <w:iCs w:val="0"/>
                <w:color w:val="auto"/>
                <w:spacing w:val="0"/>
                <w:kern w:val="2"/>
                <w:position w:val="0"/>
                <w:sz w:val="21"/>
                <w:szCs w:val="21"/>
                <w:highlight w:val="none"/>
                <w:lang w:val="en-US" w:eastAsia="zh-CN" w:bidi="ar-SA"/>
              </w:rPr>
              <w:t>0分</w:t>
            </w:r>
          </w:p>
        </w:tc>
        <w:tc>
          <w:tcPr>
            <w:tcW w:w="2863" w:type="pct"/>
            <w:shd w:val="clear" w:color="auto" w:fill="auto"/>
            <w:vAlign w:val="center"/>
          </w:tcPr>
          <w:p w14:paraId="576C9F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满足招标文件要求且投标价格最低的投标报价为评标基准价，其价格分为满分。其他投标人的价格分统一按照下列公式计算：</w:t>
            </w:r>
          </w:p>
          <w:p w14:paraId="2980C6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投标报价得分＝（评标基准价/投标报价）×分值。</w:t>
            </w:r>
          </w:p>
        </w:tc>
        <w:tc>
          <w:tcPr>
            <w:tcW w:w="1067" w:type="pct"/>
            <w:shd w:val="clear" w:color="auto" w:fill="auto"/>
            <w:vAlign w:val="center"/>
          </w:tcPr>
          <w:p w14:paraId="0FE9839F">
            <w:pPr>
              <w:keepNext w:val="0"/>
              <w:keepLines w:val="0"/>
              <w:pageBreakBefore w:val="0"/>
              <w:widowControl w:val="0"/>
              <w:kinsoku/>
              <w:wordWrap/>
              <w:overflowPunct/>
              <w:topLinePunct w:val="0"/>
              <w:autoSpaceDE/>
              <w:autoSpaceDN/>
              <w:bidi w:val="0"/>
              <w:adjustRightInd/>
              <w:snapToGrid/>
              <w:spacing w:line="360" w:lineRule="auto"/>
              <w:ind w:left="-38" w:leftChars="0"/>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此处投标报价指经过报价修正，及因落实政府采购政策进行价格调整后的报价，详见第四章《评标程序、评标方法和评标标准》2.4、2.5及2.6。</w:t>
            </w:r>
          </w:p>
        </w:tc>
      </w:tr>
      <w:tr w14:paraId="4B53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restart"/>
            <w:vAlign w:val="center"/>
          </w:tcPr>
          <w:p w14:paraId="3AA1D4D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w:t>
            </w:r>
          </w:p>
        </w:tc>
        <w:tc>
          <w:tcPr>
            <w:tcW w:w="392" w:type="pct"/>
            <w:vMerge w:val="restart"/>
            <w:vAlign w:val="center"/>
          </w:tcPr>
          <w:p w14:paraId="3DA30DE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商务部分</w:t>
            </w:r>
          </w:p>
          <w:p w14:paraId="41D25F8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7分</w:t>
            </w:r>
          </w:p>
        </w:tc>
        <w:tc>
          <w:tcPr>
            <w:tcW w:w="421" w:type="pct"/>
            <w:vAlign w:val="center"/>
          </w:tcPr>
          <w:p w14:paraId="78A6AEE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企业业绩</w:t>
            </w:r>
          </w:p>
          <w:p w14:paraId="0FB857B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tc>
        <w:tc>
          <w:tcPr>
            <w:tcW w:w="2863" w:type="pct"/>
            <w:vAlign w:val="center"/>
          </w:tcPr>
          <w:p w14:paraId="17A8BF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投标人自202</w:t>
            </w:r>
            <w:r>
              <w:rPr>
                <w:rFonts w:hint="eastAsia" w:ascii="宋体" w:hAnsi="宋体" w:eastAsia="宋体" w:cs="宋体"/>
                <w:i w:val="0"/>
                <w:iCs w:val="0"/>
                <w:color w:val="auto"/>
                <w:spacing w:val="0"/>
                <w:position w:val="0"/>
                <w:sz w:val="21"/>
                <w:szCs w:val="21"/>
                <w:highlight w:val="none"/>
                <w:lang w:val="en-US" w:eastAsia="zh-CN"/>
              </w:rPr>
              <w:t>3</w:t>
            </w:r>
            <w:r>
              <w:rPr>
                <w:rFonts w:hint="eastAsia" w:ascii="宋体" w:hAnsi="宋体" w:eastAsia="宋体" w:cs="宋体"/>
                <w:i w:val="0"/>
                <w:iCs w:val="0"/>
                <w:color w:val="auto"/>
                <w:spacing w:val="0"/>
                <w:position w:val="0"/>
                <w:sz w:val="21"/>
                <w:szCs w:val="21"/>
                <w:highlight w:val="none"/>
              </w:rPr>
              <w:t>年</w:t>
            </w:r>
            <w:r>
              <w:rPr>
                <w:rFonts w:hint="eastAsia" w:ascii="宋体" w:hAnsi="宋体" w:eastAsia="宋体" w:cs="宋体"/>
                <w:i w:val="0"/>
                <w:iCs w:val="0"/>
                <w:color w:val="auto"/>
                <w:spacing w:val="0"/>
                <w:position w:val="0"/>
                <w:sz w:val="21"/>
                <w:szCs w:val="21"/>
                <w:highlight w:val="none"/>
                <w:lang w:val="en-US" w:eastAsia="zh-CN"/>
              </w:rPr>
              <w:t>01</w:t>
            </w:r>
            <w:r>
              <w:rPr>
                <w:rFonts w:hint="eastAsia" w:ascii="宋体" w:hAnsi="宋体" w:eastAsia="宋体" w:cs="宋体"/>
                <w:i w:val="0"/>
                <w:iCs w:val="0"/>
                <w:color w:val="auto"/>
                <w:spacing w:val="0"/>
                <w:position w:val="0"/>
                <w:sz w:val="21"/>
                <w:szCs w:val="21"/>
                <w:highlight w:val="none"/>
              </w:rPr>
              <w:t>月至今承担类似的业绩，每提供1个业绩得2分，最多得</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rPr>
              <w:t>分。</w:t>
            </w:r>
          </w:p>
        </w:tc>
        <w:tc>
          <w:tcPr>
            <w:tcW w:w="1067" w:type="pct"/>
            <w:vAlign w:val="center"/>
          </w:tcPr>
          <w:p w14:paraId="528E0928">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b w:val="0"/>
                <w:bCs w:val="0"/>
                <w:i w:val="0"/>
                <w:iCs w:val="0"/>
                <w:color w:val="auto"/>
                <w:spacing w:val="0"/>
                <w:position w:val="0"/>
                <w:sz w:val="21"/>
                <w:szCs w:val="21"/>
                <w:highlight w:val="none"/>
              </w:rPr>
              <w:t>相关证明材料至少须包括首页、含有合同签订日期的页面、含有项目名称的页面、含有项目内容的页面以及签章页，复印件并加盖公章，否则不得分</w:t>
            </w:r>
            <w:r>
              <w:rPr>
                <w:rFonts w:hint="eastAsia" w:ascii="宋体" w:hAnsi="宋体" w:eastAsia="宋体" w:cs="宋体"/>
                <w:b w:val="0"/>
                <w:bCs w:val="0"/>
                <w:i w:val="0"/>
                <w:iCs w:val="0"/>
                <w:color w:val="auto"/>
                <w:spacing w:val="0"/>
                <w:position w:val="0"/>
                <w:sz w:val="21"/>
                <w:szCs w:val="21"/>
                <w:highlight w:val="none"/>
                <w:lang w:eastAsia="zh-CN"/>
              </w:rPr>
              <w:t>。</w:t>
            </w:r>
          </w:p>
        </w:tc>
      </w:tr>
      <w:tr w14:paraId="1C60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253" w:type="pct"/>
            <w:vMerge w:val="continue"/>
            <w:vAlign w:val="center"/>
          </w:tcPr>
          <w:p w14:paraId="2561B2D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040D5556">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421" w:type="pct"/>
            <w:vAlign w:val="center"/>
          </w:tcPr>
          <w:p w14:paraId="738CDACC">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节能产品、环境标志产品</w:t>
            </w:r>
          </w:p>
          <w:p w14:paraId="06692949">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1分</w:t>
            </w:r>
          </w:p>
        </w:tc>
        <w:tc>
          <w:tcPr>
            <w:tcW w:w="2863" w:type="pct"/>
            <w:vAlign w:val="center"/>
          </w:tcPr>
          <w:p w14:paraId="73495062">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1.强制节能产品除外，所投产品属于财政部发展改革委联合发布的《节能产品政府采购品目清单》中的产品得0.5分，未提供不得分。</w:t>
            </w:r>
            <w:r>
              <w:rPr>
                <w:rFonts w:hint="eastAsia" w:ascii="宋体" w:hAnsi="宋体" w:eastAsia="宋体" w:cs="宋体"/>
                <w:b/>
                <w:bCs/>
                <w:i w:val="0"/>
                <w:iCs w:val="0"/>
                <w:color w:val="auto"/>
                <w:spacing w:val="0"/>
                <w:position w:val="0"/>
                <w:sz w:val="21"/>
                <w:szCs w:val="21"/>
                <w:highlight w:val="none"/>
              </w:rPr>
              <w:t>（提供依据市场监管总局发布的《参与实施政府采购节能产品认证机构名录》确定的认证机构出具的、处于有效期之内的节能产品认证证书复印件，加盖投标人公章）</w:t>
            </w:r>
          </w:p>
          <w:p w14:paraId="6C496B2E">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2.所投产品属于财政部、生态环境部联合发布的《环境标志产品政府采购品目清单》中的产品得0.5分，未提供不得分。</w:t>
            </w:r>
            <w:r>
              <w:rPr>
                <w:rFonts w:hint="eastAsia" w:ascii="宋体" w:hAnsi="宋体" w:eastAsia="宋体" w:cs="宋体"/>
                <w:b/>
                <w:bCs/>
                <w:i w:val="0"/>
                <w:iCs w:val="0"/>
                <w:color w:val="auto"/>
                <w:spacing w:val="0"/>
                <w:position w:val="0"/>
                <w:sz w:val="21"/>
                <w:szCs w:val="21"/>
                <w:highlight w:val="none"/>
              </w:rPr>
              <w:t>（提供依据市场监管总局发布的《参与实施政府采购环境标志产品认证机构名录》确定的认证机构出具的、处于有效期之内的环境标志产品认证证书复印件，加盖投标人公章。）</w:t>
            </w:r>
          </w:p>
        </w:tc>
        <w:tc>
          <w:tcPr>
            <w:tcW w:w="1067" w:type="pct"/>
            <w:vAlign w:val="center"/>
          </w:tcPr>
          <w:p w14:paraId="0689E1F3">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val="0"/>
                <w:bCs w:val="0"/>
                <w:i w:val="0"/>
                <w:iCs w:val="0"/>
                <w:color w:val="auto"/>
                <w:spacing w:val="0"/>
                <w:position w:val="0"/>
                <w:sz w:val="21"/>
                <w:szCs w:val="21"/>
                <w:highlight w:val="none"/>
              </w:rPr>
            </w:pPr>
          </w:p>
        </w:tc>
      </w:tr>
      <w:tr w14:paraId="11E1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253" w:type="pct"/>
            <w:vMerge w:val="restart"/>
            <w:vAlign w:val="center"/>
          </w:tcPr>
          <w:p w14:paraId="1617FA1A">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w:t>
            </w:r>
          </w:p>
        </w:tc>
        <w:tc>
          <w:tcPr>
            <w:tcW w:w="392" w:type="pct"/>
            <w:vMerge w:val="restart"/>
            <w:vAlign w:val="center"/>
          </w:tcPr>
          <w:p w14:paraId="5C3F20F5">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技术部分</w:t>
            </w:r>
          </w:p>
          <w:p w14:paraId="560FF7C0">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63分</w:t>
            </w:r>
          </w:p>
        </w:tc>
        <w:tc>
          <w:tcPr>
            <w:tcW w:w="421" w:type="pct"/>
            <w:vAlign w:val="center"/>
          </w:tcPr>
          <w:p w14:paraId="13B14DF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技术规格要求的响应程度（31分）</w:t>
            </w:r>
          </w:p>
        </w:tc>
        <w:tc>
          <w:tcPr>
            <w:tcW w:w="2863" w:type="pct"/>
            <w:vAlign w:val="center"/>
          </w:tcPr>
          <w:p w14:paraId="353F3E5B">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rPr>
            </w:pPr>
            <w:r>
              <w:rPr>
                <w:rFonts w:hint="eastAsia" w:ascii="宋体" w:hAnsi="宋体" w:eastAsia="宋体" w:cs="宋体"/>
                <w:b/>
                <w:bCs/>
                <w:i w:val="0"/>
                <w:iCs w:val="0"/>
                <w:color w:val="auto"/>
                <w:spacing w:val="0"/>
                <w:position w:val="0"/>
                <w:sz w:val="21"/>
                <w:szCs w:val="21"/>
                <w:highlight w:val="none"/>
              </w:rPr>
              <w:t>根据投标文件针对招标文件第五章采购需求采购标的需满足的性能、材料、结构、外观、质量、安全、技术规格、物理特性等要求的响应程度进行评价，技术指标全部满足招标文件的要求得</w:t>
            </w:r>
            <w:r>
              <w:rPr>
                <w:rFonts w:hint="eastAsia" w:ascii="宋体" w:hAnsi="宋体" w:cs="宋体"/>
                <w:b/>
                <w:bCs/>
                <w:i w:val="0"/>
                <w:iCs w:val="0"/>
                <w:color w:val="auto"/>
                <w:spacing w:val="0"/>
                <w:position w:val="0"/>
                <w:sz w:val="21"/>
                <w:szCs w:val="21"/>
                <w:highlight w:val="none"/>
                <w:lang w:val="en-US" w:eastAsia="zh-CN"/>
              </w:rPr>
              <w:t>31</w:t>
            </w:r>
            <w:r>
              <w:rPr>
                <w:rFonts w:hint="eastAsia" w:ascii="宋体" w:hAnsi="宋体" w:eastAsia="宋体" w:cs="宋体"/>
                <w:b/>
                <w:bCs/>
                <w:i w:val="0"/>
                <w:iCs w:val="0"/>
                <w:color w:val="auto"/>
                <w:spacing w:val="0"/>
                <w:position w:val="0"/>
                <w:sz w:val="21"/>
                <w:szCs w:val="21"/>
                <w:highlight w:val="none"/>
              </w:rPr>
              <w:t>分；</w:t>
            </w:r>
          </w:p>
          <w:p w14:paraId="7C6FCF38">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 xml:space="preserve">“▲”条款共 </w:t>
            </w:r>
            <w:r>
              <w:rPr>
                <w:rFonts w:hint="eastAsia" w:ascii="宋体" w:hAnsi="宋体" w:cs="宋体"/>
                <w:i w:val="0"/>
                <w:iCs w:val="0"/>
                <w:color w:val="auto"/>
                <w:spacing w:val="0"/>
                <w:position w:val="0"/>
                <w:sz w:val="21"/>
                <w:szCs w:val="21"/>
                <w:highlight w:val="none"/>
                <w:lang w:val="en-US" w:eastAsia="zh-CN"/>
              </w:rPr>
              <w:t>27</w:t>
            </w:r>
            <w:r>
              <w:rPr>
                <w:rFonts w:hint="eastAsia" w:ascii="宋体" w:hAnsi="宋体" w:eastAsia="宋体" w:cs="宋体"/>
                <w:i w:val="0"/>
                <w:iCs w:val="0"/>
                <w:color w:val="auto"/>
                <w:spacing w:val="0"/>
                <w:position w:val="0"/>
                <w:sz w:val="21"/>
                <w:szCs w:val="21"/>
                <w:highlight w:val="none"/>
              </w:rPr>
              <w:t xml:space="preserve"> 项，有 1 项“▲”条款不满足的，扣</w:t>
            </w:r>
            <w:r>
              <w:rPr>
                <w:rFonts w:hint="eastAsia" w:ascii="宋体" w:hAnsi="宋体" w:cs="宋体"/>
                <w:i w:val="0"/>
                <w:iCs w:val="0"/>
                <w:color w:val="auto"/>
                <w:spacing w:val="0"/>
                <w:position w:val="0"/>
                <w:sz w:val="21"/>
                <w:szCs w:val="21"/>
                <w:highlight w:val="none"/>
                <w:lang w:val="en-US" w:eastAsia="zh-CN"/>
              </w:rPr>
              <w:t>0.5</w:t>
            </w:r>
            <w:r>
              <w:rPr>
                <w:rFonts w:hint="eastAsia" w:ascii="宋体" w:hAnsi="宋体" w:eastAsia="宋体" w:cs="宋体"/>
                <w:i w:val="0"/>
                <w:iCs w:val="0"/>
                <w:color w:val="auto"/>
                <w:spacing w:val="0"/>
                <w:position w:val="0"/>
                <w:sz w:val="21"/>
                <w:szCs w:val="21"/>
                <w:highlight w:val="none"/>
              </w:rPr>
              <w:t>分</w:t>
            </w:r>
            <w:r>
              <w:rPr>
                <w:rFonts w:hint="eastAsia" w:ascii="宋体" w:hAnsi="宋体" w:cs="宋体"/>
                <w:i w:val="0"/>
                <w:iCs w:val="0"/>
                <w:color w:val="auto"/>
                <w:spacing w:val="0"/>
                <w:position w:val="0"/>
                <w:sz w:val="21"/>
                <w:szCs w:val="21"/>
                <w:highlight w:val="none"/>
                <w:lang w:eastAsia="zh-CN"/>
              </w:rPr>
              <w:t>，</w:t>
            </w:r>
            <w:r>
              <w:rPr>
                <w:rFonts w:hint="eastAsia" w:ascii="宋体" w:hAnsi="宋体" w:cs="宋体"/>
                <w:i w:val="0"/>
                <w:iCs w:val="0"/>
                <w:color w:val="auto"/>
                <w:spacing w:val="0"/>
                <w:position w:val="0"/>
                <w:sz w:val="21"/>
                <w:szCs w:val="21"/>
                <w:highlight w:val="none"/>
                <w:lang w:val="en-US" w:eastAsia="zh-CN"/>
              </w:rPr>
              <w:t>本项最高得13.5分，最低得0分</w:t>
            </w:r>
            <w:r>
              <w:rPr>
                <w:rFonts w:hint="eastAsia" w:ascii="宋体" w:hAnsi="宋体" w:eastAsia="宋体" w:cs="宋体"/>
                <w:i w:val="0"/>
                <w:iCs w:val="0"/>
                <w:color w:val="auto"/>
                <w:spacing w:val="0"/>
                <w:position w:val="0"/>
                <w:sz w:val="21"/>
                <w:szCs w:val="21"/>
                <w:highlight w:val="none"/>
              </w:rPr>
              <w:t>；</w:t>
            </w:r>
          </w:p>
          <w:p w14:paraId="5400BA8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一般条款（未标注“▲”）共</w:t>
            </w:r>
            <w:r>
              <w:rPr>
                <w:rFonts w:hint="eastAsia" w:ascii="宋体" w:hAnsi="宋体" w:cs="宋体"/>
                <w:i w:val="0"/>
                <w:iCs w:val="0"/>
                <w:color w:val="auto"/>
                <w:spacing w:val="0"/>
                <w:position w:val="0"/>
                <w:sz w:val="21"/>
                <w:szCs w:val="21"/>
                <w:highlight w:val="none"/>
                <w:lang w:val="en-US" w:eastAsia="zh-CN"/>
              </w:rPr>
              <w:t>70</w:t>
            </w:r>
            <w:r>
              <w:rPr>
                <w:rFonts w:hint="eastAsia" w:ascii="宋体" w:hAnsi="宋体" w:eastAsia="宋体" w:cs="宋体"/>
                <w:i w:val="0"/>
                <w:iCs w:val="0"/>
                <w:color w:val="auto"/>
                <w:spacing w:val="0"/>
                <w:position w:val="0"/>
                <w:sz w:val="21"/>
                <w:szCs w:val="21"/>
                <w:highlight w:val="none"/>
              </w:rPr>
              <w:t xml:space="preserve"> 项，有1 项一般条款不满足的，扣 </w:t>
            </w:r>
            <w:r>
              <w:rPr>
                <w:rFonts w:hint="eastAsia" w:ascii="宋体" w:hAnsi="宋体" w:cs="宋体"/>
                <w:i w:val="0"/>
                <w:iCs w:val="0"/>
                <w:color w:val="auto"/>
                <w:spacing w:val="0"/>
                <w:position w:val="0"/>
                <w:sz w:val="21"/>
                <w:szCs w:val="21"/>
                <w:highlight w:val="none"/>
                <w:lang w:val="en-US" w:eastAsia="zh-CN"/>
              </w:rPr>
              <w:t>0.25</w:t>
            </w:r>
            <w:r>
              <w:rPr>
                <w:rFonts w:hint="eastAsia" w:ascii="宋体" w:hAnsi="宋体" w:eastAsia="宋体" w:cs="宋体"/>
                <w:i w:val="0"/>
                <w:iCs w:val="0"/>
                <w:color w:val="auto"/>
                <w:spacing w:val="0"/>
                <w:position w:val="0"/>
                <w:sz w:val="21"/>
                <w:szCs w:val="21"/>
                <w:highlight w:val="none"/>
              </w:rPr>
              <w:t>分，</w:t>
            </w:r>
            <w:r>
              <w:rPr>
                <w:rFonts w:hint="eastAsia" w:ascii="宋体" w:hAnsi="宋体" w:cs="宋体"/>
                <w:i w:val="0"/>
                <w:iCs w:val="0"/>
                <w:color w:val="auto"/>
                <w:spacing w:val="0"/>
                <w:position w:val="0"/>
                <w:sz w:val="21"/>
                <w:szCs w:val="21"/>
                <w:highlight w:val="none"/>
                <w:lang w:val="en-US" w:eastAsia="zh-CN"/>
              </w:rPr>
              <w:t>本项最高得17.5分，最低得0分</w:t>
            </w:r>
            <w:r>
              <w:rPr>
                <w:rFonts w:hint="eastAsia" w:ascii="宋体" w:hAnsi="宋体" w:eastAsia="宋体" w:cs="宋体"/>
                <w:i w:val="0"/>
                <w:iCs w:val="0"/>
                <w:color w:val="auto"/>
                <w:spacing w:val="0"/>
                <w:position w:val="0"/>
                <w:sz w:val="21"/>
                <w:szCs w:val="21"/>
                <w:highlight w:val="none"/>
              </w:rPr>
              <w:t>；</w:t>
            </w:r>
          </w:p>
          <w:p w14:paraId="1C3EDC53">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b/>
                <w:bCs/>
                <w:i w:val="0"/>
                <w:iCs w:val="0"/>
                <w:color w:val="auto"/>
                <w:spacing w:val="0"/>
                <w:position w:val="0"/>
                <w:sz w:val="21"/>
                <w:szCs w:val="21"/>
                <w:highlight w:val="none"/>
              </w:rPr>
              <w:t>注：</w:t>
            </w:r>
            <w:r>
              <w:rPr>
                <w:rFonts w:hint="eastAsia" w:ascii="宋体" w:hAnsi="宋体" w:eastAsia="宋体" w:cs="宋体"/>
                <w:i w:val="0"/>
                <w:iCs w:val="0"/>
                <w:color w:val="auto"/>
                <w:spacing w:val="0"/>
                <w:position w:val="0"/>
                <w:sz w:val="21"/>
                <w:szCs w:val="21"/>
                <w:highlight w:val="none"/>
              </w:rPr>
              <w:t>1、投标人须针对第五章采购需求中</w:t>
            </w:r>
            <w:r>
              <w:rPr>
                <w:rFonts w:hint="eastAsia" w:ascii="宋体" w:hAnsi="宋体" w:cs="宋体"/>
                <w:i w:val="0"/>
                <w:iCs w:val="0"/>
                <w:color w:val="auto"/>
                <w:spacing w:val="0"/>
                <w:position w:val="0"/>
                <w:sz w:val="21"/>
                <w:szCs w:val="21"/>
                <w:highlight w:val="none"/>
                <w:lang w:eastAsia="zh-CN"/>
              </w:rPr>
              <w:t>七、设备清单及具体参数</w:t>
            </w:r>
            <w:r>
              <w:rPr>
                <w:rFonts w:hint="eastAsia" w:ascii="宋体" w:hAnsi="宋体" w:cs="宋体"/>
                <w:i w:val="0"/>
                <w:iCs w:val="0"/>
                <w:color w:val="auto"/>
                <w:spacing w:val="0"/>
                <w:position w:val="0"/>
                <w:sz w:val="21"/>
                <w:szCs w:val="21"/>
                <w:highlight w:val="none"/>
                <w:lang w:val="en-US" w:eastAsia="zh-CN"/>
              </w:rPr>
              <w:t>01包</w:t>
            </w:r>
            <w:r>
              <w:rPr>
                <w:rFonts w:hint="eastAsia" w:ascii="宋体" w:hAnsi="宋体" w:eastAsia="宋体" w:cs="宋体"/>
                <w:i w:val="0"/>
                <w:iCs w:val="0"/>
                <w:color w:val="auto"/>
                <w:spacing w:val="0"/>
                <w:position w:val="0"/>
                <w:sz w:val="21"/>
                <w:szCs w:val="21"/>
                <w:highlight w:val="none"/>
              </w:rPr>
              <w:t>采购标的需满足的性能、材料、结构、外观、质量、安全、技术规格、物理特性等要求中的技术参数条款在采购需求偏离表中按要求逐条响应，并按“第五章采购需求中4、采购标的的技术要求的相关要求提供相关证明材料。</w:t>
            </w:r>
          </w:p>
          <w:p w14:paraId="4A9C786D">
            <w:pPr>
              <w:keepNext w:val="0"/>
              <w:keepLines w:val="0"/>
              <w:pageBreakBefore w:val="0"/>
              <w:widowControl w:val="0"/>
              <w:numPr>
                <w:ilvl w:val="0"/>
                <w:numId w:val="13"/>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以标注序号“1”“2”……为一条，如有多级序号，以最小级别序号为一条。</w:t>
            </w:r>
          </w:p>
          <w:p w14:paraId="15C8E250">
            <w:pPr>
              <w:keepNext w:val="0"/>
              <w:keepLines w:val="0"/>
              <w:pageBreakBefore w:val="0"/>
              <w:widowControl w:val="0"/>
              <w:numPr>
                <w:ilvl w:val="0"/>
                <w:numId w:val="13"/>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得分四舍五入后保留小数点后两位小数；</w:t>
            </w:r>
          </w:p>
          <w:p w14:paraId="691776BA">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4、“★”条款作为实质性要求，不纳入评分。</w:t>
            </w:r>
          </w:p>
        </w:tc>
        <w:tc>
          <w:tcPr>
            <w:tcW w:w="1067" w:type="pct"/>
            <w:vAlign w:val="center"/>
          </w:tcPr>
          <w:p w14:paraId="64435516">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b w:val="0"/>
                <w:bCs w:val="0"/>
                <w:i w:val="0"/>
                <w:iCs w:val="0"/>
                <w:color w:val="auto"/>
                <w:spacing w:val="0"/>
                <w:position w:val="0"/>
                <w:sz w:val="21"/>
                <w:szCs w:val="21"/>
                <w:highlight w:val="none"/>
                <w:lang w:val="en-US" w:eastAsia="zh-CN"/>
              </w:rPr>
            </w:pPr>
          </w:p>
        </w:tc>
      </w:tr>
      <w:tr w14:paraId="6F3C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53" w:type="pct"/>
            <w:vMerge w:val="continue"/>
            <w:vAlign w:val="center"/>
          </w:tcPr>
          <w:p w14:paraId="7425FD8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072A881F">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default" w:ascii="宋体" w:hAnsi="宋体" w:eastAsia="宋体" w:cs="宋体"/>
                <w:i w:val="0"/>
                <w:iCs w:val="0"/>
                <w:color w:val="auto"/>
                <w:spacing w:val="0"/>
                <w:position w:val="0"/>
                <w:sz w:val="21"/>
                <w:szCs w:val="21"/>
                <w:highlight w:val="none"/>
                <w:lang w:val="en-US" w:eastAsia="zh-CN"/>
              </w:rPr>
            </w:pPr>
          </w:p>
        </w:tc>
        <w:tc>
          <w:tcPr>
            <w:tcW w:w="421" w:type="pct"/>
            <w:vAlign w:val="center"/>
          </w:tcPr>
          <w:p w14:paraId="7E4B7A8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供货</w:t>
            </w:r>
            <w:r>
              <w:rPr>
                <w:rFonts w:hint="eastAsia" w:ascii="宋体" w:hAnsi="宋体" w:cs="宋体"/>
                <w:i w:val="0"/>
                <w:iCs w:val="0"/>
                <w:color w:val="auto"/>
                <w:spacing w:val="0"/>
                <w:position w:val="0"/>
                <w:sz w:val="21"/>
                <w:szCs w:val="21"/>
                <w:highlight w:val="none"/>
                <w:lang w:val="en-US" w:eastAsia="zh-CN"/>
              </w:rPr>
              <w:t>措施</w:t>
            </w:r>
            <w:r>
              <w:rPr>
                <w:rFonts w:hint="eastAsia" w:ascii="宋体" w:hAnsi="宋体" w:eastAsia="宋体" w:cs="宋体"/>
                <w:i w:val="0"/>
                <w:iCs w:val="0"/>
                <w:color w:val="auto"/>
                <w:spacing w:val="0"/>
                <w:position w:val="0"/>
                <w:sz w:val="21"/>
                <w:szCs w:val="21"/>
                <w:highlight w:val="none"/>
                <w:lang w:val="en-US" w:eastAsia="zh-CN"/>
              </w:rPr>
              <w:t>及配送方案</w:t>
            </w:r>
            <w:r>
              <w:rPr>
                <w:rFonts w:hint="eastAsia" w:ascii="宋体" w:hAnsi="宋体" w:cs="宋体"/>
                <w:i w:val="0"/>
                <w:iCs w:val="0"/>
                <w:color w:val="auto"/>
                <w:spacing w:val="0"/>
                <w:position w:val="0"/>
                <w:sz w:val="21"/>
                <w:szCs w:val="21"/>
                <w:highlight w:val="none"/>
                <w:lang w:val="en-US" w:eastAsia="zh-CN"/>
              </w:rPr>
              <w:t>（4）</w:t>
            </w:r>
          </w:p>
        </w:tc>
        <w:tc>
          <w:tcPr>
            <w:tcW w:w="2863" w:type="pct"/>
            <w:vAlign w:val="center"/>
          </w:tcPr>
          <w:p w14:paraId="229042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对供应商的供货措施及配送方案(至少包括送货车辆及人员、送货时间</w:t>
            </w:r>
            <w:r>
              <w:rPr>
                <w:rFonts w:hint="eastAsia" w:ascii="宋体" w:hAnsi="宋体" w:cs="宋体"/>
                <w:b/>
                <w:bCs/>
                <w:i w:val="0"/>
                <w:iCs w:val="0"/>
                <w:color w:val="auto"/>
                <w:spacing w:val="0"/>
                <w:position w:val="0"/>
                <w:sz w:val="21"/>
                <w:szCs w:val="21"/>
                <w:highlight w:val="none"/>
                <w:lang w:val="en-US" w:eastAsia="zh-CN"/>
              </w:rPr>
              <w:t>及</w:t>
            </w:r>
            <w:r>
              <w:rPr>
                <w:rFonts w:hint="eastAsia" w:ascii="宋体" w:hAnsi="宋体" w:eastAsia="宋体" w:cs="宋体"/>
                <w:b/>
                <w:bCs/>
                <w:i w:val="0"/>
                <w:iCs w:val="0"/>
                <w:color w:val="auto"/>
                <w:spacing w:val="0"/>
                <w:position w:val="0"/>
                <w:sz w:val="21"/>
                <w:szCs w:val="21"/>
                <w:highlight w:val="none"/>
                <w:lang w:val="en-US" w:eastAsia="zh-CN"/>
              </w:rPr>
              <w:t>货物交接)进行综合评价:</w:t>
            </w:r>
          </w:p>
          <w:p w14:paraId="5B9376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充分结合项目特征，提出具有针对性的具体配送方案。</w:t>
            </w:r>
          </w:p>
          <w:p w14:paraId="1626C6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送货时间客观合理，能够完全保障项目供货要求，货物交接环节科学严谨；针对供货过程中各潜在风险点有可行的操作建议和解决方案，完全符合且能够保障本项目供货及配送。</w:t>
            </w:r>
          </w:p>
          <w:p w14:paraId="6D0FF5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计划供货及配送方案中每包含一项内容且内容阐述详细、</w:t>
            </w:r>
            <w:r>
              <w:rPr>
                <w:rFonts w:hint="eastAsia" w:ascii="宋体" w:hAnsi="宋体" w:cs="宋体"/>
                <w:i w:val="0"/>
                <w:iCs w:val="0"/>
                <w:color w:val="auto"/>
                <w:spacing w:val="0"/>
                <w:position w:val="0"/>
                <w:sz w:val="21"/>
                <w:szCs w:val="21"/>
                <w:highlight w:val="none"/>
                <w:lang w:val="en-US" w:eastAsia="zh-CN"/>
              </w:rPr>
              <w:t>供货措施合理，完全匹配采购需求</w:t>
            </w:r>
            <w:r>
              <w:rPr>
                <w:rFonts w:hint="eastAsia" w:ascii="宋体" w:hAnsi="宋体" w:eastAsia="宋体" w:cs="宋体"/>
                <w:i w:val="0"/>
                <w:iCs w:val="0"/>
                <w:color w:val="auto"/>
                <w:spacing w:val="0"/>
                <w:position w:val="0"/>
                <w:sz w:val="21"/>
                <w:szCs w:val="21"/>
                <w:highlight w:val="none"/>
                <w:lang w:val="en-US" w:eastAsia="zh-CN"/>
              </w:rPr>
              <w:t>，得</w:t>
            </w:r>
            <w:r>
              <w:rPr>
                <w:rFonts w:hint="eastAsia" w:ascii="宋体" w:hAnsi="宋体" w:cs="宋体"/>
                <w:i w:val="0"/>
                <w:iCs w:val="0"/>
                <w:color w:val="auto"/>
                <w:spacing w:val="0"/>
                <w:position w:val="0"/>
                <w:sz w:val="21"/>
                <w:szCs w:val="21"/>
                <w:highlight w:val="none"/>
                <w:lang w:val="en-US" w:eastAsia="zh-CN"/>
              </w:rPr>
              <w:t>2</w:t>
            </w:r>
            <w:r>
              <w:rPr>
                <w:rFonts w:hint="eastAsia" w:ascii="宋体" w:hAnsi="宋体" w:eastAsia="宋体" w:cs="宋体"/>
                <w:i w:val="0"/>
                <w:iCs w:val="0"/>
                <w:color w:val="auto"/>
                <w:spacing w:val="0"/>
                <w:position w:val="0"/>
                <w:sz w:val="21"/>
                <w:szCs w:val="21"/>
                <w:highlight w:val="none"/>
                <w:lang w:val="en-US" w:eastAsia="zh-CN"/>
              </w:rPr>
              <w:t>分；</w:t>
            </w:r>
          </w:p>
          <w:p w14:paraId="5A7C3F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计划供货及配送方案中每包含一项内容、内容阐述简略</w:t>
            </w:r>
            <w:r>
              <w:rPr>
                <w:rFonts w:hint="eastAsia" w:ascii="宋体" w:hAnsi="宋体" w:cs="宋体"/>
                <w:i w:val="0"/>
                <w:iCs w:val="0"/>
                <w:color w:val="auto"/>
                <w:spacing w:val="0"/>
                <w:position w:val="0"/>
                <w:sz w:val="21"/>
                <w:szCs w:val="21"/>
                <w:highlight w:val="none"/>
                <w:lang w:val="en-US" w:eastAsia="zh-CN"/>
              </w:rPr>
              <w:t>且通用性表述，无具体的实施措施</w:t>
            </w:r>
            <w:r>
              <w:rPr>
                <w:rFonts w:hint="eastAsia" w:ascii="宋体" w:hAnsi="宋体" w:eastAsia="宋体" w:cs="宋体"/>
                <w:i w:val="0"/>
                <w:iCs w:val="0"/>
                <w:color w:val="auto"/>
                <w:spacing w:val="0"/>
                <w:position w:val="0"/>
                <w:sz w:val="21"/>
                <w:szCs w:val="21"/>
                <w:highlight w:val="none"/>
                <w:lang w:val="en-US" w:eastAsia="zh-CN"/>
              </w:rPr>
              <w:t>，得</w:t>
            </w:r>
            <w:r>
              <w:rPr>
                <w:rFonts w:hint="eastAsia" w:ascii="宋体" w:hAnsi="宋体" w:cs="宋体"/>
                <w:i w:val="0"/>
                <w:iCs w:val="0"/>
                <w:color w:val="auto"/>
                <w:spacing w:val="0"/>
                <w:position w:val="0"/>
                <w:sz w:val="21"/>
                <w:szCs w:val="21"/>
                <w:highlight w:val="none"/>
                <w:lang w:val="en-US" w:eastAsia="zh-CN"/>
              </w:rPr>
              <w:t>1</w:t>
            </w:r>
            <w:r>
              <w:rPr>
                <w:rFonts w:hint="eastAsia" w:ascii="宋体" w:hAnsi="宋体" w:eastAsia="宋体" w:cs="宋体"/>
                <w:i w:val="0"/>
                <w:iCs w:val="0"/>
                <w:color w:val="auto"/>
                <w:spacing w:val="0"/>
                <w:position w:val="0"/>
                <w:sz w:val="21"/>
                <w:szCs w:val="21"/>
                <w:highlight w:val="none"/>
                <w:lang w:val="en-US" w:eastAsia="zh-CN"/>
              </w:rPr>
              <w:t>分；</w:t>
            </w:r>
          </w:p>
          <w:p w14:paraId="0E856F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没有提供供货措施及配送方案的，得0分。</w:t>
            </w:r>
          </w:p>
        </w:tc>
        <w:tc>
          <w:tcPr>
            <w:tcW w:w="1067" w:type="pct"/>
            <w:vAlign w:val="center"/>
          </w:tcPr>
          <w:p w14:paraId="4D9FED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79A8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continue"/>
            <w:vAlign w:val="center"/>
          </w:tcPr>
          <w:p w14:paraId="798328C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31D129CF">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1" w:type="pct"/>
            <w:vAlign w:val="center"/>
          </w:tcPr>
          <w:p w14:paraId="28A6D4C4">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售后服务方案</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tc>
        <w:tc>
          <w:tcPr>
            <w:tcW w:w="2863" w:type="pct"/>
            <w:vAlign w:val="center"/>
          </w:tcPr>
          <w:p w14:paraId="29CF954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b/>
                <w:bCs/>
                <w:i w:val="0"/>
                <w:iCs w:val="0"/>
                <w:color w:val="auto"/>
                <w:spacing w:val="0"/>
                <w:position w:val="0"/>
                <w:sz w:val="21"/>
                <w:szCs w:val="21"/>
                <w:highlight w:val="none"/>
                <w:lang w:val="en-US" w:eastAsia="zh-CN"/>
              </w:rPr>
            </w:pPr>
            <w:r>
              <w:rPr>
                <w:rFonts w:hint="eastAsia" w:ascii="宋体" w:hAnsi="宋体" w:cs="宋体"/>
                <w:b/>
                <w:bCs/>
                <w:i w:val="0"/>
                <w:iCs w:val="0"/>
                <w:color w:val="auto"/>
                <w:spacing w:val="0"/>
                <w:position w:val="0"/>
                <w:sz w:val="21"/>
                <w:szCs w:val="21"/>
                <w:highlight w:val="none"/>
                <w:lang w:val="en-US" w:eastAsia="zh-CN"/>
              </w:rPr>
              <w:t>售后服务方案的针对性、完整性及可行性(包括响应时间、仓储能力、服务负责人、质保期内及质保期后的服务要求等情况)：</w:t>
            </w:r>
          </w:p>
          <w:p w14:paraId="3180B3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能够结合使用特征，提出全面详细的售后方案，针对性强，可行性高；响应时间客观且及时，仓储能力强，负责人明确且具备丰富类似工作经验，完全符合且能够保障本项目售后；质保期内及质保期后保障设备长期稳定运行要求。</w:t>
            </w:r>
          </w:p>
          <w:p w14:paraId="2812458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售后服务方案每包含一项规定内容且内容阐述详细，得1.5分；</w:t>
            </w:r>
          </w:p>
          <w:p w14:paraId="78F52C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售后服务方案每包含一项规定内容、内容阐述简略且为通用性表述的，得0.7分；</w:t>
            </w:r>
          </w:p>
          <w:p w14:paraId="4EFCF21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未提供售后服务方案的，得0分。</w:t>
            </w:r>
          </w:p>
        </w:tc>
        <w:tc>
          <w:tcPr>
            <w:tcW w:w="1067" w:type="pct"/>
            <w:vAlign w:val="center"/>
          </w:tcPr>
          <w:p w14:paraId="16C7F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37E7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continue"/>
            <w:vAlign w:val="center"/>
          </w:tcPr>
          <w:p w14:paraId="428E751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70C76627">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1" w:type="pct"/>
            <w:vAlign w:val="center"/>
          </w:tcPr>
          <w:p w14:paraId="25EC05C5">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培训方案</w:t>
            </w:r>
            <w:r>
              <w:rPr>
                <w:rFonts w:hint="eastAsia" w:ascii="宋体" w:hAnsi="宋体" w:cs="宋体"/>
                <w:i w:val="0"/>
                <w:iCs w:val="0"/>
                <w:color w:val="auto"/>
                <w:spacing w:val="0"/>
                <w:position w:val="0"/>
                <w:sz w:val="21"/>
                <w:szCs w:val="21"/>
                <w:highlight w:val="none"/>
                <w:lang w:val="en-US" w:eastAsia="zh-CN"/>
              </w:rPr>
              <w:t>12</w:t>
            </w:r>
            <w:r>
              <w:rPr>
                <w:rFonts w:hint="eastAsia" w:ascii="宋体" w:hAnsi="宋体" w:eastAsia="宋体" w:cs="宋体"/>
                <w:i w:val="0"/>
                <w:iCs w:val="0"/>
                <w:color w:val="auto"/>
                <w:spacing w:val="0"/>
                <w:position w:val="0"/>
                <w:sz w:val="21"/>
                <w:szCs w:val="21"/>
                <w:highlight w:val="none"/>
                <w:lang w:val="en-US" w:eastAsia="zh-CN"/>
              </w:rPr>
              <w:t>分</w:t>
            </w:r>
          </w:p>
        </w:tc>
        <w:tc>
          <w:tcPr>
            <w:tcW w:w="2863" w:type="pct"/>
            <w:vAlign w:val="center"/>
          </w:tcPr>
          <w:p w14:paraId="7AC46B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根据投标人所提供的培训方案，对：1.内容准确性与科学性；2. 培训课程</w:t>
            </w:r>
            <w:r>
              <w:rPr>
                <w:rStyle w:val="48"/>
                <w:rFonts w:ascii="Segoe UI" w:hAnsi="Segoe UI" w:eastAsia="Segoe UI" w:cs="Segoe UI"/>
                <w:b/>
                <w:bCs/>
                <w:i w:val="0"/>
                <w:iCs w:val="0"/>
                <w:caps w:val="0"/>
                <w:color w:val="333333"/>
                <w:spacing w:val="0"/>
                <w:sz w:val="21"/>
                <w:szCs w:val="21"/>
                <w:highlight w:val="none"/>
                <w:shd w:val="clear" w:fill="FFFFFF"/>
                <w:vertAlign w:val="baseline"/>
              </w:rPr>
              <w:t>逻辑性与条理性</w:t>
            </w:r>
            <w:r>
              <w:rPr>
                <w:rFonts w:hint="eastAsia" w:ascii="宋体" w:hAnsi="宋体" w:eastAsia="宋体" w:cs="宋体"/>
                <w:b/>
                <w:bCs/>
                <w:i w:val="0"/>
                <w:iCs w:val="0"/>
                <w:color w:val="auto"/>
                <w:spacing w:val="0"/>
                <w:position w:val="0"/>
                <w:sz w:val="21"/>
                <w:szCs w:val="21"/>
                <w:highlight w:val="none"/>
                <w:lang w:val="en-US" w:eastAsia="zh-CN"/>
              </w:rPr>
              <w:t>；3.培训实施方式与周期计划；4. 培训</w:t>
            </w:r>
            <w:r>
              <w:rPr>
                <w:rFonts w:hint="eastAsia" w:ascii="宋体" w:hAnsi="宋体" w:cs="宋体"/>
                <w:b/>
                <w:bCs/>
                <w:i w:val="0"/>
                <w:iCs w:val="0"/>
                <w:color w:val="auto"/>
                <w:spacing w:val="0"/>
                <w:position w:val="0"/>
                <w:sz w:val="21"/>
                <w:szCs w:val="21"/>
                <w:highlight w:val="none"/>
                <w:lang w:val="en-US" w:eastAsia="zh-CN"/>
              </w:rPr>
              <w:t>团队</w:t>
            </w:r>
            <w:r>
              <w:rPr>
                <w:rFonts w:hint="eastAsia" w:ascii="宋体" w:hAnsi="宋体" w:eastAsia="宋体" w:cs="宋体"/>
                <w:b/>
                <w:bCs/>
                <w:i w:val="0"/>
                <w:iCs w:val="0"/>
                <w:color w:val="auto"/>
                <w:spacing w:val="0"/>
                <w:position w:val="0"/>
                <w:sz w:val="21"/>
                <w:szCs w:val="21"/>
                <w:highlight w:val="none"/>
                <w:lang w:val="en-US" w:eastAsia="zh-CN"/>
              </w:rPr>
              <w:t>与保障配置，</w:t>
            </w:r>
            <w:r>
              <w:rPr>
                <w:rFonts w:hint="eastAsia" w:ascii="宋体" w:hAnsi="宋体" w:cs="宋体"/>
                <w:b/>
                <w:bCs/>
                <w:i w:val="0"/>
                <w:iCs w:val="0"/>
                <w:color w:val="auto"/>
                <w:spacing w:val="0"/>
                <w:position w:val="0"/>
                <w:sz w:val="21"/>
                <w:szCs w:val="21"/>
                <w:highlight w:val="none"/>
                <w:lang w:val="en-US" w:eastAsia="zh-CN"/>
              </w:rPr>
              <w:t>5.确保培训材料与实际工作紧密结合，提高培训实用价值和应用效果；6培训方式多元化，</w:t>
            </w:r>
            <w:r>
              <w:rPr>
                <w:rFonts w:hint="eastAsia" w:ascii="宋体" w:hAnsi="宋体" w:eastAsia="宋体" w:cs="宋体"/>
                <w:b/>
                <w:bCs/>
                <w:i w:val="0"/>
                <w:iCs w:val="0"/>
                <w:color w:val="auto"/>
                <w:spacing w:val="0"/>
                <w:position w:val="0"/>
                <w:sz w:val="21"/>
                <w:szCs w:val="21"/>
                <w:highlight w:val="none"/>
                <w:lang w:val="en-US" w:eastAsia="zh-CN"/>
              </w:rPr>
              <w:t>进行评审：</w:t>
            </w:r>
          </w:p>
          <w:p w14:paraId="46AB46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以上</w:t>
            </w:r>
            <w:r>
              <w:rPr>
                <w:rFonts w:hint="eastAsia" w:ascii="宋体" w:hAnsi="宋体" w:eastAsia="宋体" w:cs="宋体"/>
                <w:i w:val="0"/>
                <w:iCs w:val="0"/>
                <w:color w:val="auto"/>
                <w:spacing w:val="0"/>
                <w:position w:val="0"/>
                <w:sz w:val="21"/>
                <w:szCs w:val="21"/>
                <w:highlight w:val="none"/>
                <w:lang w:val="en-US" w:eastAsia="zh-CN"/>
              </w:rPr>
              <w:t>方案每包含一项规定内容且内容阐述详细，得2分；</w:t>
            </w:r>
          </w:p>
          <w:p w14:paraId="3AB715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以上</w:t>
            </w:r>
            <w:r>
              <w:rPr>
                <w:rFonts w:hint="eastAsia" w:ascii="宋体" w:hAnsi="宋体" w:eastAsia="宋体" w:cs="宋体"/>
                <w:i w:val="0"/>
                <w:iCs w:val="0"/>
                <w:color w:val="auto"/>
                <w:spacing w:val="0"/>
                <w:position w:val="0"/>
                <w:sz w:val="21"/>
                <w:szCs w:val="21"/>
                <w:highlight w:val="none"/>
                <w:lang w:val="en-US" w:eastAsia="zh-CN"/>
              </w:rPr>
              <w:t>方案每包含一项规定内容、内容阐述简略且为通用性表述的，得1分；</w:t>
            </w:r>
          </w:p>
          <w:p w14:paraId="295C66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未提供的，得0分。</w:t>
            </w:r>
          </w:p>
        </w:tc>
        <w:tc>
          <w:tcPr>
            <w:tcW w:w="1067" w:type="pct"/>
            <w:vAlign w:val="center"/>
          </w:tcPr>
          <w:p w14:paraId="2C271C8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auto"/>
                <w:spacing w:val="0"/>
                <w:position w:val="0"/>
                <w:sz w:val="21"/>
                <w:szCs w:val="21"/>
                <w:highlight w:val="none"/>
                <w:lang w:val="en-US" w:eastAsia="zh-CN"/>
              </w:rPr>
            </w:pPr>
          </w:p>
        </w:tc>
      </w:tr>
      <w:tr w14:paraId="316E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6" w:hRule="atLeast"/>
          <w:jc w:val="center"/>
        </w:trPr>
        <w:tc>
          <w:tcPr>
            <w:tcW w:w="253" w:type="pct"/>
            <w:vMerge w:val="continue"/>
            <w:vAlign w:val="center"/>
          </w:tcPr>
          <w:p w14:paraId="61A8093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4DFED53E">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1" w:type="pct"/>
            <w:vAlign w:val="center"/>
          </w:tcPr>
          <w:p w14:paraId="70162F2A">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人员配置</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tc>
        <w:tc>
          <w:tcPr>
            <w:tcW w:w="2863" w:type="pct"/>
            <w:vAlign w:val="center"/>
          </w:tcPr>
          <w:p w14:paraId="37C682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根据本项目实施要求提供人员配置方案，从项目团队人员的数量、经验以及工作岗位职责分配等进行综合评审：</w:t>
            </w:r>
          </w:p>
          <w:p w14:paraId="6192EF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1.项目负责人配置（</w:t>
            </w:r>
            <w:r>
              <w:rPr>
                <w:rFonts w:hint="eastAsia" w:ascii="宋体" w:hAnsi="宋体" w:cs="宋体"/>
                <w:i w:val="0"/>
                <w:iCs w:val="0"/>
                <w:color w:val="auto"/>
                <w:spacing w:val="0"/>
                <w:position w:val="0"/>
                <w:sz w:val="21"/>
                <w:szCs w:val="21"/>
                <w:highlight w:val="none"/>
                <w:lang w:val="en-US" w:eastAsia="zh-CN"/>
              </w:rPr>
              <w:t>2</w:t>
            </w:r>
            <w:r>
              <w:rPr>
                <w:rFonts w:hint="eastAsia" w:ascii="宋体" w:hAnsi="宋体" w:eastAsia="宋体" w:cs="宋体"/>
                <w:i w:val="0"/>
                <w:iCs w:val="0"/>
                <w:color w:val="auto"/>
                <w:spacing w:val="0"/>
                <w:position w:val="0"/>
                <w:sz w:val="21"/>
                <w:szCs w:val="21"/>
                <w:highlight w:val="none"/>
                <w:lang w:val="en-US" w:eastAsia="zh-CN"/>
              </w:rPr>
              <w:t xml:space="preserve"> 分）</w:t>
            </w:r>
          </w:p>
          <w:p w14:paraId="00A245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明确配备专职项目负责人，列明任职年限、同类项目从业经验、岗位职责，方案贴合本项目实施需求得</w:t>
            </w:r>
            <w:r>
              <w:rPr>
                <w:rFonts w:hint="eastAsia" w:ascii="宋体" w:hAnsi="宋体" w:cs="宋体"/>
                <w:i w:val="0"/>
                <w:iCs w:val="0"/>
                <w:color w:val="auto"/>
                <w:spacing w:val="0"/>
                <w:position w:val="0"/>
                <w:sz w:val="21"/>
                <w:szCs w:val="21"/>
                <w:highlight w:val="none"/>
                <w:lang w:val="en-US" w:eastAsia="zh-CN"/>
              </w:rPr>
              <w:t>2</w:t>
            </w:r>
            <w:r>
              <w:rPr>
                <w:rFonts w:hint="eastAsia" w:ascii="宋体" w:hAnsi="宋体" w:eastAsia="宋体" w:cs="宋体"/>
                <w:i w:val="0"/>
                <w:iCs w:val="0"/>
                <w:color w:val="auto"/>
                <w:spacing w:val="0"/>
                <w:position w:val="0"/>
                <w:sz w:val="21"/>
                <w:szCs w:val="21"/>
                <w:highlight w:val="none"/>
                <w:lang w:val="en-US" w:eastAsia="zh-CN"/>
              </w:rPr>
              <w:t xml:space="preserve"> 分；仅简单提及、无资历及岗位职责说明得 0 分。</w:t>
            </w:r>
          </w:p>
          <w:p w14:paraId="35563C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2.专业技术人员配置（1 分）</w:t>
            </w:r>
          </w:p>
          <w:p w14:paraId="0EDCCD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根据项目业务类型匹配对应专业技术人员，标注人员专业资质、岗位分工，得 1 分；无专业细分、无人员数量及分工规划得 0 分。</w:t>
            </w:r>
          </w:p>
          <w:p w14:paraId="6C58E7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3.人员岗位职责划分（1 分）</w:t>
            </w:r>
          </w:p>
          <w:p w14:paraId="0602A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清晰划分负责人、技术、运维等各岗位工作内容、权责边界，岗位无重叠、无管理空白，形成完整工作体系得 1 分；岗位职责模糊笼统、未分岗界定得 0 分。</w:t>
            </w:r>
          </w:p>
          <w:p w14:paraId="212DC5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4.人员在岗与替换保障机制（1 分）</w:t>
            </w:r>
          </w:p>
          <w:p w14:paraId="57DC53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提供考勤管理、临时离岗顶岗、核心人员离职替补预案，保障项目不间断实施得 1 分；无在岗管理、无人员替换兜底措施得 0 分。</w:t>
            </w:r>
          </w:p>
          <w:p w14:paraId="27A4EE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5.人员培训考核管理措施（1 分）</w:t>
            </w:r>
          </w:p>
          <w:p w14:paraId="4F5C94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包含上岗岗前培训、项目过程常态化培训、工作绩效考核、奖惩管理完整制度，保障人员服务质量得 1 分；无培训、考核相关管理方案得 0 分。</w:t>
            </w:r>
          </w:p>
        </w:tc>
        <w:tc>
          <w:tcPr>
            <w:tcW w:w="1067" w:type="pct"/>
            <w:vAlign w:val="center"/>
          </w:tcPr>
          <w:p w14:paraId="180673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3E74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253" w:type="pct"/>
            <w:vMerge w:val="continue"/>
            <w:vAlign w:val="center"/>
          </w:tcPr>
          <w:p w14:paraId="4CF14459">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2" w:type="pct"/>
            <w:vMerge w:val="continue"/>
            <w:vAlign w:val="center"/>
          </w:tcPr>
          <w:p w14:paraId="6F98E86C">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1" w:type="pct"/>
            <w:vAlign w:val="center"/>
          </w:tcPr>
          <w:p w14:paraId="07E96BD5">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w:t>
            </w:r>
            <w:r>
              <w:rPr>
                <w:rFonts w:hint="eastAsia" w:ascii="宋体" w:hAnsi="宋体" w:eastAsia="宋体" w:cs="宋体"/>
                <w:i w:val="0"/>
                <w:iCs w:val="0"/>
                <w:color w:val="auto"/>
                <w:spacing w:val="0"/>
                <w:position w:val="0"/>
                <w:sz w:val="21"/>
                <w:szCs w:val="21"/>
                <w:highlight w:val="none"/>
                <w:lang w:val="en-US" w:eastAsia="zh-CN"/>
              </w:rPr>
              <w:br w:type="textWrapping"/>
            </w:r>
            <w:r>
              <w:rPr>
                <w:rFonts w:hint="eastAsia" w:ascii="宋体" w:hAnsi="宋体" w:cs="宋体"/>
                <w:i w:val="0"/>
                <w:iCs w:val="0"/>
                <w:color w:val="auto"/>
                <w:spacing w:val="0"/>
                <w:position w:val="0"/>
                <w:sz w:val="21"/>
                <w:szCs w:val="21"/>
                <w:highlight w:val="none"/>
                <w:lang w:val="en-US" w:eastAsia="zh-CN"/>
              </w:rPr>
              <w:t>（4）</w:t>
            </w:r>
          </w:p>
        </w:tc>
        <w:tc>
          <w:tcPr>
            <w:tcW w:w="2863" w:type="pct"/>
            <w:vAlign w:val="center"/>
          </w:tcPr>
          <w:p w14:paraId="25E5D5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项目进度计划，即从合同签订之日起至完成全部交付（包含从生产计划、供货运输计划等方面）进行阐述:</w:t>
            </w:r>
          </w:p>
          <w:p w14:paraId="29F585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进度计划包含规定全部内容，且计划合理、量化可控，完全针对本项目需求，各阶段时间节点清晰；各阶段进度保障措施全面得当、各阶段人员分工安排科学，完全符合且能够保障本项目进度计划。</w:t>
            </w:r>
          </w:p>
          <w:p w14:paraId="775050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项目进度计划每包含一项规定内容且内容阐述详细，得</w:t>
            </w:r>
            <w:r>
              <w:rPr>
                <w:rFonts w:hint="eastAsia" w:ascii="宋体" w:hAnsi="宋体" w:cs="宋体"/>
                <w:i w:val="0"/>
                <w:iCs w:val="0"/>
                <w:color w:val="auto"/>
                <w:spacing w:val="0"/>
                <w:position w:val="0"/>
                <w:sz w:val="21"/>
                <w:szCs w:val="21"/>
                <w:highlight w:val="none"/>
                <w:lang w:val="en-US" w:eastAsia="zh-CN"/>
              </w:rPr>
              <w:t>2</w:t>
            </w:r>
            <w:r>
              <w:rPr>
                <w:rFonts w:hint="eastAsia" w:ascii="宋体" w:hAnsi="宋体" w:eastAsia="宋体" w:cs="宋体"/>
                <w:i w:val="0"/>
                <w:iCs w:val="0"/>
                <w:color w:val="auto"/>
                <w:spacing w:val="0"/>
                <w:position w:val="0"/>
                <w:sz w:val="21"/>
                <w:szCs w:val="21"/>
                <w:highlight w:val="none"/>
                <w:lang w:val="en-US" w:eastAsia="zh-CN"/>
              </w:rPr>
              <w:t>分；</w:t>
            </w:r>
          </w:p>
          <w:p w14:paraId="4E1F13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项目进度计划每包含一项规定内容、内容阐述简略且为通用性表述的，得</w:t>
            </w:r>
            <w:r>
              <w:rPr>
                <w:rFonts w:hint="eastAsia" w:ascii="宋体" w:hAnsi="宋体" w:cs="宋体"/>
                <w:i w:val="0"/>
                <w:iCs w:val="0"/>
                <w:color w:val="auto"/>
                <w:spacing w:val="0"/>
                <w:position w:val="0"/>
                <w:sz w:val="21"/>
                <w:szCs w:val="21"/>
                <w:highlight w:val="none"/>
                <w:lang w:val="en-US" w:eastAsia="zh-CN"/>
              </w:rPr>
              <w:t>1</w:t>
            </w:r>
            <w:r>
              <w:rPr>
                <w:rFonts w:hint="eastAsia" w:ascii="宋体" w:hAnsi="宋体" w:eastAsia="宋体" w:cs="宋体"/>
                <w:i w:val="0"/>
                <w:iCs w:val="0"/>
                <w:color w:val="auto"/>
                <w:spacing w:val="0"/>
                <w:position w:val="0"/>
                <w:sz w:val="21"/>
                <w:szCs w:val="21"/>
                <w:highlight w:val="none"/>
                <w:lang w:val="en-US" w:eastAsia="zh-CN"/>
              </w:rPr>
              <w:t>分；</w:t>
            </w:r>
          </w:p>
          <w:p w14:paraId="04F2CF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未提供项目进度计划的，得0分。</w:t>
            </w:r>
          </w:p>
        </w:tc>
        <w:tc>
          <w:tcPr>
            <w:tcW w:w="1067" w:type="pct"/>
            <w:vAlign w:val="center"/>
          </w:tcPr>
          <w:p w14:paraId="0F97E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5086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46" w:type="pct"/>
            <w:gridSpan w:val="2"/>
            <w:vAlign w:val="center"/>
          </w:tcPr>
          <w:p w14:paraId="6A5DCF7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合计</w:t>
            </w:r>
          </w:p>
        </w:tc>
        <w:tc>
          <w:tcPr>
            <w:tcW w:w="421" w:type="pct"/>
            <w:vAlign w:val="center"/>
          </w:tcPr>
          <w:p w14:paraId="7C167F1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100</w:t>
            </w:r>
          </w:p>
        </w:tc>
        <w:tc>
          <w:tcPr>
            <w:tcW w:w="3931" w:type="pct"/>
            <w:gridSpan w:val="2"/>
            <w:vAlign w:val="center"/>
          </w:tcPr>
          <w:p w14:paraId="4ACE87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bl>
    <w:p w14:paraId="32ACAF7D">
      <w:pPr>
        <w:pageBreakBefore w:val="0"/>
        <w:tabs>
          <w:tab w:val="left" w:pos="360"/>
          <w:tab w:val="left" w:pos="1080"/>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p>
    <w:p w14:paraId="79A07A45">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36"/>
          <w:szCs w:val="36"/>
          <w:highlight w:val="none"/>
        </w:rPr>
      </w:pPr>
    </w:p>
    <w:p w14:paraId="13C5EF70">
      <w:pP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br w:type="page"/>
      </w:r>
    </w:p>
    <w:p w14:paraId="663C2E58">
      <w:pPr>
        <w:pageBreakBefore w:val="0"/>
        <w:numPr>
          <w:ilvl w:val="0"/>
          <w:numId w:val="0"/>
        </w:numPr>
        <w:tabs>
          <w:tab w:val="left" w:pos="360"/>
          <w:tab w:val="left" w:pos="900"/>
        </w:tabs>
        <w:wordWrap/>
        <w:topLinePunct w:val="0"/>
        <w:bidi w:val="0"/>
        <w:snapToGrid w:val="0"/>
        <w:spacing w:line="360" w:lineRule="auto"/>
        <w:jc w:val="both"/>
        <w:outlineLvl w:val="1"/>
        <w:rPr>
          <w:rFonts w:hint="eastAsia" w:ascii="宋体" w:hAnsi="宋体" w:cs="宋体"/>
          <w:b/>
          <w:i w:val="0"/>
          <w:iCs w:val="0"/>
          <w:color w:val="auto"/>
          <w:spacing w:val="0"/>
          <w:position w:val="0"/>
          <w:sz w:val="36"/>
          <w:szCs w:val="36"/>
          <w:highlight w:val="none"/>
          <w:lang w:val="en-US" w:eastAsia="zh-CN"/>
        </w:rPr>
      </w:pPr>
      <w:r>
        <w:rPr>
          <w:rFonts w:hint="eastAsia" w:ascii="宋体" w:hAnsi="宋体" w:cs="宋体"/>
          <w:b/>
          <w:i w:val="0"/>
          <w:iCs w:val="0"/>
          <w:color w:val="auto"/>
          <w:spacing w:val="0"/>
          <w:position w:val="0"/>
          <w:sz w:val="24"/>
          <w:highlight w:val="none"/>
          <w:lang w:val="en-US" w:eastAsia="zh-CN"/>
        </w:rPr>
        <w:t>02包评审标准</w:t>
      </w:r>
    </w:p>
    <w:tbl>
      <w:tblPr>
        <w:tblStyle w:val="44"/>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705"/>
        <w:gridCol w:w="757"/>
        <w:gridCol w:w="5274"/>
        <w:gridCol w:w="1778"/>
      </w:tblGrid>
      <w:tr w14:paraId="53F9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blHeader/>
          <w:jc w:val="center"/>
        </w:trPr>
        <w:tc>
          <w:tcPr>
            <w:tcW w:w="253" w:type="pct"/>
            <w:vAlign w:val="center"/>
          </w:tcPr>
          <w:p w14:paraId="46EEC9F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序号</w:t>
            </w:r>
          </w:p>
        </w:tc>
        <w:tc>
          <w:tcPr>
            <w:tcW w:w="393" w:type="pct"/>
            <w:vAlign w:val="center"/>
          </w:tcPr>
          <w:p w14:paraId="31616E7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评分因素</w:t>
            </w:r>
          </w:p>
        </w:tc>
        <w:tc>
          <w:tcPr>
            <w:tcW w:w="422" w:type="pct"/>
            <w:vAlign w:val="center"/>
          </w:tcPr>
          <w:p w14:paraId="5115A596">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分值</w:t>
            </w:r>
          </w:p>
        </w:tc>
        <w:tc>
          <w:tcPr>
            <w:tcW w:w="2939" w:type="pct"/>
            <w:vAlign w:val="center"/>
          </w:tcPr>
          <w:p w14:paraId="0F5B9B3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评分标准</w:t>
            </w:r>
          </w:p>
        </w:tc>
        <w:tc>
          <w:tcPr>
            <w:tcW w:w="991" w:type="pct"/>
            <w:vAlign w:val="center"/>
          </w:tcPr>
          <w:p w14:paraId="39A80453">
            <w:pPr>
              <w:pStyle w:val="247"/>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说明</w:t>
            </w:r>
          </w:p>
        </w:tc>
      </w:tr>
      <w:tr w14:paraId="3B30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53" w:type="pct"/>
            <w:shd w:val="clear" w:color="auto" w:fill="auto"/>
            <w:vAlign w:val="center"/>
          </w:tcPr>
          <w:p w14:paraId="44309217">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1</w:t>
            </w:r>
          </w:p>
        </w:tc>
        <w:tc>
          <w:tcPr>
            <w:tcW w:w="393" w:type="pct"/>
            <w:shd w:val="clear" w:color="auto" w:fill="auto"/>
            <w:vAlign w:val="center"/>
          </w:tcPr>
          <w:p w14:paraId="132FFD5A">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投标报价</w:t>
            </w:r>
          </w:p>
          <w:p w14:paraId="452A3E62">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30分</w:t>
            </w:r>
          </w:p>
        </w:tc>
        <w:tc>
          <w:tcPr>
            <w:tcW w:w="422" w:type="pct"/>
            <w:shd w:val="clear" w:color="auto" w:fill="auto"/>
            <w:vAlign w:val="center"/>
          </w:tcPr>
          <w:p w14:paraId="75F790E2">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价格分</w:t>
            </w:r>
          </w:p>
          <w:p w14:paraId="2CF70C26">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cs="宋体"/>
                <w:i w:val="0"/>
                <w:iCs w:val="0"/>
                <w:color w:val="auto"/>
                <w:spacing w:val="0"/>
                <w:kern w:val="2"/>
                <w:position w:val="0"/>
                <w:sz w:val="21"/>
                <w:szCs w:val="21"/>
                <w:highlight w:val="none"/>
                <w:lang w:val="en-US" w:eastAsia="zh-CN" w:bidi="ar-SA"/>
              </w:rPr>
              <w:t>3</w:t>
            </w:r>
            <w:r>
              <w:rPr>
                <w:rFonts w:hint="eastAsia" w:ascii="宋体" w:hAnsi="宋体" w:eastAsia="宋体" w:cs="宋体"/>
                <w:i w:val="0"/>
                <w:iCs w:val="0"/>
                <w:color w:val="auto"/>
                <w:spacing w:val="0"/>
                <w:kern w:val="2"/>
                <w:position w:val="0"/>
                <w:sz w:val="21"/>
                <w:szCs w:val="21"/>
                <w:highlight w:val="none"/>
                <w:lang w:val="en-US" w:eastAsia="zh-CN" w:bidi="ar-SA"/>
              </w:rPr>
              <w:t>0分</w:t>
            </w:r>
          </w:p>
        </w:tc>
        <w:tc>
          <w:tcPr>
            <w:tcW w:w="2939" w:type="pct"/>
            <w:shd w:val="clear" w:color="auto" w:fill="auto"/>
            <w:vAlign w:val="center"/>
          </w:tcPr>
          <w:p w14:paraId="5D0CFF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满足招标文件要求且投标价格最低的投标报价为评标基准价，其价格分为满分。其他投标人的价格分统一按照下列公式计算：</w:t>
            </w:r>
          </w:p>
          <w:p w14:paraId="688293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投标报价得分＝（评标基准价/投标报价）×分值。</w:t>
            </w:r>
          </w:p>
        </w:tc>
        <w:tc>
          <w:tcPr>
            <w:tcW w:w="991" w:type="pct"/>
            <w:shd w:val="clear" w:color="auto" w:fill="auto"/>
            <w:vAlign w:val="center"/>
          </w:tcPr>
          <w:p w14:paraId="36A3AF91">
            <w:pPr>
              <w:keepNext w:val="0"/>
              <w:keepLines w:val="0"/>
              <w:pageBreakBefore w:val="0"/>
              <w:widowControl w:val="0"/>
              <w:kinsoku/>
              <w:wordWrap/>
              <w:overflowPunct/>
              <w:topLinePunct w:val="0"/>
              <w:autoSpaceDE/>
              <w:autoSpaceDN/>
              <w:bidi w:val="0"/>
              <w:adjustRightInd/>
              <w:snapToGrid/>
              <w:spacing w:line="360" w:lineRule="auto"/>
              <w:ind w:left="-38" w:leftChars="0"/>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此处投标报价指经过报价修正，及因落实政府采购政策进行价格调整后的报价，详见第四章《评标程序、评标方法和评标标准》2.4、2.5及2.6。</w:t>
            </w:r>
          </w:p>
        </w:tc>
      </w:tr>
      <w:tr w14:paraId="1EC8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restart"/>
            <w:vAlign w:val="center"/>
          </w:tcPr>
          <w:p w14:paraId="4547590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w:t>
            </w:r>
          </w:p>
        </w:tc>
        <w:tc>
          <w:tcPr>
            <w:tcW w:w="393" w:type="pct"/>
            <w:vMerge w:val="restart"/>
            <w:vAlign w:val="center"/>
          </w:tcPr>
          <w:p w14:paraId="3DD4A6F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商务部分</w:t>
            </w:r>
          </w:p>
          <w:p w14:paraId="20DFCCA1">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7分</w:t>
            </w:r>
          </w:p>
        </w:tc>
        <w:tc>
          <w:tcPr>
            <w:tcW w:w="422" w:type="pct"/>
            <w:vAlign w:val="center"/>
          </w:tcPr>
          <w:p w14:paraId="470AFAD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企业业绩</w:t>
            </w:r>
          </w:p>
          <w:p w14:paraId="303D6E4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tc>
        <w:tc>
          <w:tcPr>
            <w:tcW w:w="2939" w:type="pct"/>
            <w:vAlign w:val="center"/>
          </w:tcPr>
          <w:p w14:paraId="1B7D95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投标人自202</w:t>
            </w:r>
            <w:r>
              <w:rPr>
                <w:rFonts w:hint="eastAsia" w:ascii="宋体" w:hAnsi="宋体" w:eastAsia="宋体" w:cs="宋体"/>
                <w:i w:val="0"/>
                <w:iCs w:val="0"/>
                <w:color w:val="auto"/>
                <w:spacing w:val="0"/>
                <w:position w:val="0"/>
                <w:sz w:val="21"/>
                <w:szCs w:val="21"/>
                <w:highlight w:val="none"/>
                <w:lang w:val="en-US" w:eastAsia="zh-CN"/>
              </w:rPr>
              <w:t>3</w:t>
            </w:r>
            <w:r>
              <w:rPr>
                <w:rFonts w:hint="eastAsia" w:ascii="宋体" w:hAnsi="宋体" w:eastAsia="宋体" w:cs="宋体"/>
                <w:i w:val="0"/>
                <w:iCs w:val="0"/>
                <w:color w:val="auto"/>
                <w:spacing w:val="0"/>
                <w:position w:val="0"/>
                <w:sz w:val="21"/>
                <w:szCs w:val="21"/>
                <w:highlight w:val="none"/>
              </w:rPr>
              <w:t>年</w:t>
            </w:r>
            <w:r>
              <w:rPr>
                <w:rFonts w:hint="eastAsia" w:ascii="宋体" w:hAnsi="宋体" w:eastAsia="宋体" w:cs="宋体"/>
                <w:i w:val="0"/>
                <w:iCs w:val="0"/>
                <w:color w:val="auto"/>
                <w:spacing w:val="0"/>
                <w:position w:val="0"/>
                <w:sz w:val="21"/>
                <w:szCs w:val="21"/>
                <w:highlight w:val="none"/>
                <w:lang w:val="en-US" w:eastAsia="zh-CN"/>
              </w:rPr>
              <w:t>01</w:t>
            </w:r>
            <w:r>
              <w:rPr>
                <w:rFonts w:hint="eastAsia" w:ascii="宋体" w:hAnsi="宋体" w:eastAsia="宋体" w:cs="宋体"/>
                <w:i w:val="0"/>
                <w:iCs w:val="0"/>
                <w:color w:val="auto"/>
                <w:spacing w:val="0"/>
                <w:position w:val="0"/>
                <w:sz w:val="21"/>
                <w:szCs w:val="21"/>
                <w:highlight w:val="none"/>
              </w:rPr>
              <w:t>月至今承担类似的业绩，每提供1个业绩得2分，最多得</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rPr>
              <w:t>分。</w:t>
            </w:r>
          </w:p>
        </w:tc>
        <w:tc>
          <w:tcPr>
            <w:tcW w:w="991" w:type="pct"/>
            <w:vAlign w:val="center"/>
          </w:tcPr>
          <w:p w14:paraId="4FC633F4">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b w:val="0"/>
                <w:bCs w:val="0"/>
                <w:i w:val="0"/>
                <w:iCs w:val="0"/>
                <w:color w:val="auto"/>
                <w:spacing w:val="0"/>
                <w:position w:val="0"/>
                <w:sz w:val="21"/>
                <w:szCs w:val="21"/>
                <w:highlight w:val="none"/>
              </w:rPr>
              <w:t>相关证明材料至少须包括首页、含有合同签订日期的页面、含有项目名称的页面、含有项目内容的页面以及签章页，复印件并加盖公章，否则不得分</w:t>
            </w:r>
            <w:r>
              <w:rPr>
                <w:rFonts w:hint="eastAsia" w:ascii="宋体" w:hAnsi="宋体" w:eastAsia="宋体" w:cs="宋体"/>
                <w:b w:val="0"/>
                <w:bCs w:val="0"/>
                <w:i w:val="0"/>
                <w:iCs w:val="0"/>
                <w:color w:val="auto"/>
                <w:spacing w:val="0"/>
                <w:position w:val="0"/>
                <w:sz w:val="21"/>
                <w:szCs w:val="21"/>
                <w:highlight w:val="none"/>
                <w:lang w:eastAsia="zh-CN"/>
              </w:rPr>
              <w:t>。</w:t>
            </w:r>
          </w:p>
        </w:tc>
      </w:tr>
      <w:tr w14:paraId="69CE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253" w:type="pct"/>
            <w:vMerge w:val="continue"/>
            <w:vAlign w:val="center"/>
          </w:tcPr>
          <w:p w14:paraId="368D4251">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6996ADDB">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422" w:type="pct"/>
            <w:vAlign w:val="center"/>
          </w:tcPr>
          <w:p w14:paraId="09885DBF">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节能产品、环境标志产品</w:t>
            </w:r>
          </w:p>
          <w:p w14:paraId="5B9F10EA">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1分</w:t>
            </w:r>
          </w:p>
        </w:tc>
        <w:tc>
          <w:tcPr>
            <w:tcW w:w="2939" w:type="pct"/>
            <w:vAlign w:val="center"/>
          </w:tcPr>
          <w:p w14:paraId="72AC3030">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1.强制节能产品除外，所投产品属于财政部发展改革委联合发布的《节能产品政府采购品目清单》中的产品得0.5分，未提供不得分。</w:t>
            </w:r>
            <w:r>
              <w:rPr>
                <w:rFonts w:hint="eastAsia" w:ascii="宋体" w:hAnsi="宋体" w:eastAsia="宋体" w:cs="宋体"/>
                <w:b/>
                <w:bCs/>
                <w:i w:val="0"/>
                <w:iCs w:val="0"/>
                <w:color w:val="auto"/>
                <w:spacing w:val="0"/>
                <w:position w:val="0"/>
                <w:sz w:val="21"/>
                <w:szCs w:val="21"/>
                <w:highlight w:val="none"/>
              </w:rPr>
              <w:t>（提供依据市场监管总局发布的《参与实施政府采购节能产品认证机构名录》确定的认证机构出具的、处于有效期之内的节能产品认证证书复印件，加盖投标人公章）</w:t>
            </w:r>
          </w:p>
          <w:p w14:paraId="414C3B77">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2.所投产品属于财政部、生态环境部联合发布的《环境标志产品政府采购品目清单》中的产品得0.5分，未提供不得分。</w:t>
            </w:r>
            <w:r>
              <w:rPr>
                <w:rFonts w:hint="eastAsia" w:ascii="宋体" w:hAnsi="宋体" w:eastAsia="宋体" w:cs="宋体"/>
                <w:b/>
                <w:bCs/>
                <w:i w:val="0"/>
                <w:iCs w:val="0"/>
                <w:color w:val="auto"/>
                <w:spacing w:val="0"/>
                <w:position w:val="0"/>
                <w:sz w:val="21"/>
                <w:szCs w:val="21"/>
                <w:highlight w:val="none"/>
              </w:rPr>
              <w:t>（提供依据市场监管总局发布的《参与实施政府采购环境标志产品认证机构名录》确定的认证机构出具的、处于有效期之内的环境标志产品认证证书复印件，加盖投标人公章。）</w:t>
            </w:r>
          </w:p>
        </w:tc>
        <w:tc>
          <w:tcPr>
            <w:tcW w:w="991" w:type="pct"/>
            <w:vAlign w:val="center"/>
          </w:tcPr>
          <w:p w14:paraId="6E3328B4">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val="0"/>
                <w:bCs w:val="0"/>
                <w:i w:val="0"/>
                <w:iCs w:val="0"/>
                <w:color w:val="auto"/>
                <w:spacing w:val="0"/>
                <w:position w:val="0"/>
                <w:sz w:val="21"/>
                <w:szCs w:val="21"/>
                <w:highlight w:val="none"/>
              </w:rPr>
            </w:pPr>
          </w:p>
        </w:tc>
      </w:tr>
      <w:tr w14:paraId="5F5A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253" w:type="pct"/>
            <w:vMerge w:val="restart"/>
            <w:vAlign w:val="center"/>
          </w:tcPr>
          <w:p w14:paraId="636DE30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w:t>
            </w:r>
          </w:p>
        </w:tc>
        <w:tc>
          <w:tcPr>
            <w:tcW w:w="393" w:type="pct"/>
            <w:vMerge w:val="restart"/>
            <w:vAlign w:val="center"/>
          </w:tcPr>
          <w:p w14:paraId="5111A734">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技术部分</w:t>
            </w:r>
          </w:p>
          <w:p w14:paraId="1CF198BB">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63分</w:t>
            </w:r>
          </w:p>
        </w:tc>
        <w:tc>
          <w:tcPr>
            <w:tcW w:w="422" w:type="pct"/>
            <w:vAlign w:val="center"/>
          </w:tcPr>
          <w:p w14:paraId="4A79392A">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技术规格要求的响应程度（30分）</w:t>
            </w:r>
          </w:p>
        </w:tc>
        <w:tc>
          <w:tcPr>
            <w:tcW w:w="2939" w:type="pct"/>
            <w:vAlign w:val="center"/>
          </w:tcPr>
          <w:p w14:paraId="2A4ED5C6">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rPr>
            </w:pPr>
            <w:r>
              <w:rPr>
                <w:rFonts w:hint="eastAsia" w:ascii="宋体" w:hAnsi="宋体" w:eastAsia="宋体" w:cs="宋体"/>
                <w:b/>
                <w:bCs/>
                <w:i w:val="0"/>
                <w:iCs w:val="0"/>
                <w:color w:val="auto"/>
                <w:spacing w:val="0"/>
                <w:position w:val="0"/>
                <w:sz w:val="21"/>
                <w:szCs w:val="21"/>
                <w:highlight w:val="none"/>
              </w:rPr>
              <w:t>根据投标文件针对招标文件第五章采购需求采购标的需满足的性能、材料、结构、外观、质量、安全、技术规格、物理特性等要求的响应程度进行评价，技术指标全部满足招标文件的要求得</w:t>
            </w:r>
            <w:r>
              <w:rPr>
                <w:rFonts w:hint="eastAsia" w:ascii="宋体" w:hAnsi="宋体" w:cs="宋体"/>
                <w:b/>
                <w:bCs/>
                <w:i w:val="0"/>
                <w:iCs w:val="0"/>
                <w:color w:val="auto"/>
                <w:spacing w:val="0"/>
                <w:position w:val="0"/>
                <w:sz w:val="21"/>
                <w:szCs w:val="21"/>
                <w:highlight w:val="none"/>
                <w:lang w:val="en-US" w:eastAsia="zh-CN"/>
              </w:rPr>
              <w:t>30</w:t>
            </w:r>
            <w:r>
              <w:rPr>
                <w:rFonts w:hint="eastAsia" w:ascii="宋体" w:hAnsi="宋体" w:eastAsia="宋体" w:cs="宋体"/>
                <w:b/>
                <w:bCs/>
                <w:i w:val="0"/>
                <w:iCs w:val="0"/>
                <w:color w:val="auto"/>
                <w:spacing w:val="0"/>
                <w:position w:val="0"/>
                <w:sz w:val="21"/>
                <w:szCs w:val="21"/>
                <w:highlight w:val="none"/>
              </w:rPr>
              <w:t>分；</w:t>
            </w:r>
          </w:p>
          <w:p w14:paraId="51C1A3DB">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 xml:space="preserve">“▲”条款共 </w:t>
            </w:r>
            <w:r>
              <w:rPr>
                <w:rFonts w:hint="eastAsia" w:ascii="宋体" w:hAnsi="宋体" w:cs="宋体"/>
                <w:i w:val="0"/>
                <w:iCs w:val="0"/>
                <w:color w:val="auto"/>
                <w:spacing w:val="0"/>
                <w:position w:val="0"/>
                <w:sz w:val="21"/>
                <w:szCs w:val="21"/>
                <w:highlight w:val="none"/>
                <w:lang w:val="en-US" w:eastAsia="zh-CN"/>
              </w:rPr>
              <w:t>12</w:t>
            </w:r>
            <w:r>
              <w:rPr>
                <w:rFonts w:hint="eastAsia" w:ascii="宋体" w:hAnsi="宋体" w:eastAsia="宋体" w:cs="宋体"/>
                <w:i w:val="0"/>
                <w:iCs w:val="0"/>
                <w:color w:val="auto"/>
                <w:spacing w:val="0"/>
                <w:position w:val="0"/>
                <w:sz w:val="21"/>
                <w:szCs w:val="21"/>
                <w:highlight w:val="none"/>
              </w:rPr>
              <w:t xml:space="preserve"> 项，有 1 项“▲”条款不满足的，扣</w:t>
            </w:r>
            <w:r>
              <w:rPr>
                <w:rFonts w:hint="eastAsia" w:ascii="宋体" w:hAnsi="宋体" w:cs="宋体"/>
                <w:i w:val="0"/>
                <w:iCs w:val="0"/>
                <w:color w:val="auto"/>
                <w:spacing w:val="0"/>
                <w:position w:val="0"/>
                <w:sz w:val="21"/>
                <w:szCs w:val="21"/>
                <w:highlight w:val="none"/>
                <w:lang w:val="en-US" w:eastAsia="zh-CN"/>
              </w:rPr>
              <w:t>1</w:t>
            </w:r>
            <w:r>
              <w:rPr>
                <w:rFonts w:hint="eastAsia" w:ascii="宋体" w:hAnsi="宋体" w:eastAsia="宋体" w:cs="宋体"/>
                <w:i w:val="0"/>
                <w:iCs w:val="0"/>
                <w:color w:val="auto"/>
                <w:spacing w:val="0"/>
                <w:position w:val="0"/>
                <w:sz w:val="21"/>
                <w:szCs w:val="21"/>
                <w:highlight w:val="none"/>
              </w:rPr>
              <w:t>分</w:t>
            </w:r>
            <w:r>
              <w:rPr>
                <w:rFonts w:hint="eastAsia" w:ascii="宋体" w:hAnsi="宋体" w:cs="宋体"/>
                <w:i w:val="0"/>
                <w:iCs w:val="0"/>
                <w:color w:val="auto"/>
                <w:spacing w:val="0"/>
                <w:position w:val="0"/>
                <w:sz w:val="21"/>
                <w:szCs w:val="21"/>
                <w:highlight w:val="none"/>
                <w:lang w:eastAsia="zh-CN"/>
              </w:rPr>
              <w:t>，</w:t>
            </w:r>
            <w:r>
              <w:rPr>
                <w:rFonts w:hint="eastAsia" w:ascii="宋体" w:hAnsi="宋体" w:cs="宋体"/>
                <w:i w:val="0"/>
                <w:iCs w:val="0"/>
                <w:color w:val="auto"/>
                <w:spacing w:val="0"/>
                <w:position w:val="0"/>
                <w:sz w:val="21"/>
                <w:szCs w:val="21"/>
                <w:highlight w:val="none"/>
                <w:lang w:val="en-US" w:eastAsia="zh-CN"/>
              </w:rPr>
              <w:t>本项最高得12分，最低得0分</w:t>
            </w:r>
            <w:r>
              <w:rPr>
                <w:rFonts w:hint="eastAsia" w:ascii="宋体" w:hAnsi="宋体" w:eastAsia="宋体" w:cs="宋体"/>
                <w:i w:val="0"/>
                <w:iCs w:val="0"/>
                <w:color w:val="auto"/>
                <w:spacing w:val="0"/>
                <w:position w:val="0"/>
                <w:sz w:val="21"/>
                <w:szCs w:val="21"/>
                <w:highlight w:val="none"/>
              </w:rPr>
              <w:t>；</w:t>
            </w:r>
          </w:p>
          <w:p w14:paraId="327A9B39">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一般条款（未标注“▲”）共</w:t>
            </w:r>
            <w:r>
              <w:rPr>
                <w:rFonts w:hint="eastAsia" w:ascii="宋体" w:hAnsi="宋体" w:cs="宋体"/>
                <w:i w:val="0"/>
                <w:iCs w:val="0"/>
                <w:color w:val="auto"/>
                <w:spacing w:val="0"/>
                <w:position w:val="0"/>
                <w:sz w:val="21"/>
                <w:szCs w:val="21"/>
                <w:highlight w:val="none"/>
                <w:lang w:val="en-US" w:eastAsia="zh-CN"/>
              </w:rPr>
              <w:t>45</w:t>
            </w:r>
            <w:r>
              <w:rPr>
                <w:rFonts w:hint="eastAsia" w:ascii="宋体" w:hAnsi="宋体" w:eastAsia="宋体" w:cs="宋体"/>
                <w:i w:val="0"/>
                <w:iCs w:val="0"/>
                <w:color w:val="auto"/>
                <w:spacing w:val="0"/>
                <w:position w:val="0"/>
                <w:sz w:val="21"/>
                <w:szCs w:val="21"/>
                <w:highlight w:val="none"/>
              </w:rPr>
              <w:t xml:space="preserve">项，有1 项一般条款不满足的，扣 </w:t>
            </w:r>
            <w:r>
              <w:rPr>
                <w:rFonts w:hint="eastAsia" w:ascii="宋体" w:hAnsi="宋体" w:cs="宋体"/>
                <w:i w:val="0"/>
                <w:iCs w:val="0"/>
                <w:color w:val="auto"/>
                <w:spacing w:val="0"/>
                <w:position w:val="0"/>
                <w:sz w:val="21"/>
                <w:szCs w:val="21"/>
                <w:highlight w:val="none"/>
                <w:lang w:val="en-US" w:eastAsia="zh-CN"/>
              </w:rPr>
              <w:t>0.4</w:t>
            </w:r>
            <w:r>
              <w:rPr>
                <w:rFonts w:hint="eastAsia" w:ascii="宋体" w:hAnsi="宋体" w:eastAsia="宋体" w:cs="宋体"/>
                <w:i w:val="0"/>
                <w:iCs w:val="0"/>
                <w:color w:val="auto"/>
                <w:spacing w:val="0"/>
                <w:position w:val="0"/>
                <w:sz w:val="21"/>
                <w:szCs w:val="21"/>
                <w:highlight w:val="none"/>
              </w:rPr>
              <w:t>分，</w:t>
            </w:r>
            <w:r>
              <w:rPr>
                <w:rFonts w:hint="eastAsia" w:ascii="宋体" w:hAnsi="宋体" w:cs="宋体"/>
                <w:i w:val="0"/>
                <w:iCs w:val="0"/>
                <w:color w:val="auto"/>
                <w:spacing w:val="0"/>
                <w:position w:val="0"/>
                <w:sz w:val="21"/>
                <w:szCs w:val="21"/>
                <w:highlight w:val="none"/>
                <w:lang w:val="en-US" w:eastAsia="zh-CN"/>
              </w:rPr>
              <w:t>本项最高得18分，最低得0分</w:t>
            </w:r>
            <w:r>
              <w:rPr>
                <w:rFonts w:hint="eastAsia" w:ascii="宋体" w:hAnsi="宋体" w:eastAsia="宋体" w:cs="宋体"/>
                <w:i w:val="0"/>
                <w:iCs w:val="0"/>
                <w:color w:val="auto"/>
                <w:spacing w:val="0"/>
                <w:position w:val="0"/>
                <w:sz w:val="21"/>
                <w:szCs w:val="21"/>
                <w:highlight w:val="none"/>
              </w:rPr>
              <w:t>。</w:t>
            </w:r>
          </w:p>
          <w:p w14:paraId="019A3E96">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b/>
                <w:bCs/>
                <w:i w:val="0"/>
                <w:iCs w:val="0"/>
                <w:color w:val="auto"/>
                <w:spacing w:val="0"/>
                <w:position w:val="0"/>
                <w:sz w:val="21"/>
                <w:szCs w:val="21"/>
                <w:highlight w:val="none"/>
              </w:rPr>
              <w:t>注：</w:t>
            </w:r>
            <w:r>
              <w:rPr>
                <w:rFonts w:hint="eastAsia" w:ascii="宋体" w:hAnsi="宋体" w:eastAsia="宋体" w:cs="宋体"/>
                <w:i w:val="0"/>
                <w:iCs w:val="0"/>
                <w:color w:val="auto"/>
                <w:spacing w:val="0"/>
                <w:position w:val="0"/>
                <w:sz w:val="21"/>
                <w:szCs w:val="21"/>
                <w:highlight w:val="none"/>
              </w:rPr>
              <w:t>1、投标人须针对第五章采购需求中</w:t>
            </w:r>
            <w:r>
              <w:rPr>
                <w:rFonts w:hint="eastAsia" w:ascii="宋体" w:hAnsi="宋体" w:cs="宋体"/>
                <w:i w:val="0"/>
                <w:iCs w:val="0"/>
                <w:color w:val="auto"/>
                <w:spacing w:val="0"/>
                <w:position w:val="0"/>
                <w:sz w:val="21"/>
                <w:szCs w:val="21"/>
                <w:highlight w:val="none"/>
                <w:lang w:eastAsia="zh-CN"/>
              </w:rPr>
              <w:t>七、设备清单及具体参数</w:t>
            </w:r>
            <w:r>
              <w:rPr>
                <w:rFonts w:hint="eastAsia" w:ascii="宋体" w:hAnsi="宋体" w:cs="宋体"/>
                <w:i w:val="0"/>
                <w:iCs w:val="0"/>
                <w:color w:val="auto"/>
                <w:spacing w:val="0"/>
                <w:position w:val="0"/>
                <w:sz w:val="21"/>
                <w:szCs w:val="21"/>
                <w:highlight w:val="none"/>
                <w:lang w:val="en-US" w:eastAsia="zh-CN"/>
              </w:rPr>
              <w:t>02包</w:t>
            </w:r>
            <w:r>
              <w:rPr>
                <w:rFonts w:hint="eastAsia" w:ascii="宋体" w:hAnsi="宋体" w:eastAsia="宋体" w:cs="宋体"/>
                <w:i w:val="0"/>
                <w:iCs w:val="0"/>
                <w:color w:val="auto"/>
                <w:spacing w:val="0"/>
                <w:position w:val="0"/>
                <w:sz w:val="21"/>
                <w:szCs w:val="21"/>
                <w:highlight w:val="none"/>
              </w:rPr>
              <w:t>采购标的需满足的性能、材料、结构、外观、质量、安全、技术规格、物理特性等要求中的技术参数条款在采购需求偏离表中按要求逐条响应，并按“第五章采购需求中4、采购标的的技术要求的相关要求提供相关证明材料。</w:t>
            </w:r>
          </w:p>
          <w:p w14:paraId="39A4DB59">
            <w:pPr>
              <w:keepNext w:val="0"/>
              <w:keepLines w:val="0"/>
              <w:pageBreakBefore w:val="0"/>
              <w:widowControl w:val="0"/>
              <w:numPr>
                <w:ilvl w:val="0"/>
                <w:numId w:val="13"/>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以标注序号“1”“2”……为一条，如有多级序号，以最小级别序号为一条。</w:t>
            </w:r>
          </w:p>
          <w:p w14:paraId="5D4B533C">
            <w:pPr>
              <w:keepNext w:val="0"/>
              <w:keepLines w:val="0"/>
              <w:pageBreakBefore w:val="0"/>
              <w:widowControl w:val="0"/>
              <w:numPr>
                <w:ilvl w:val="0"/>
                <w:numId w:val="13"/>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得分四舍五入后保留小数点后两位小数；</w:t>
            </w:r>
          </w:p>
          <w:p w14:paraId="063F28C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4、“★”条款作为实质性要求，不纳入评分。</w:t>
            </w:r>
          </w:p>
        </w:tc>
        <w:tc>
          <w:tcPr>
            <w:tcW w:w="991" w:type="pct"/>
            <w:vAlign w:val="center"/>
          </w:tcPr>
          <w:p w14:paraId="5D9CF974">
            <w:pPr>
              <w:pStyle w:val="247"/>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b w:val="0"/>
                <w:bCs w:val="0"/>
                <w:i w:val="0"/>
                <w:iCs w:val="0"/>
                <w:color w:val="auto"/>
                <w:spacing w:val="0"/>
                <w:position w:val="0"/>
                <w:sz w:val="21"/>
                <w:szCs w:val="21"/>
                <w:highlight w:val="none"/>
                <w:lang w:val="en-US" w:eastAsia="zh-CN"/>
              </w:rPr>
            </w:pPr>
          </w:p>
        </w:tc>
      </w:tr>
      <w:tr w14:paraId="69E3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53" w:type="pct"/>
            <w:vMerge w:val="continue"/>
            <w:vAlign w:val="center"/>
          </w:tcPr>
          <w:p w14:paraId="72268DB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2ADB686F">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default" w:ascii="宋体" w:hAnsi="宋体" w:eastAsia="宋体" w:cs="宋体"/>
                <w:i w:val="0"/>
                <w:iCs w:val="0"/>
                <w:color w:val="auto"/>
                <w:spacing w:val="0"/>
                <w:position w:val="0"/>
                <w:sz w:val="21"/>
                <w:szCs w:val="21"/>
                <w:highlight w:val="none"/>
                <w:lang w:val="en-US" w:eastAsia="zh-CN"/>
              </w:rPr>
            </w:pPr>
          </w:p>
        </w:tc>
        <w:tc>
          <w:tcPr>
            <w:tcW w:w="422" w:type="pct"/>
            <w:vAlign w:val="center"/>
          </w:tcPr>
          <w:p w14:paraId="2CA52021">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供货</w:t>
            </w:r>
            <w:r>
              <w:rPr>
                <w:rFonts w:hint="eastAsia" w:ascii="宋体" w:hAnsi="宋体" w:cs="宋体"/>
                <w:i w:val="0"/>
                <w:iCs w:val="0"/>
                <w:color w:val="auto"/>
                <w:spacing w:val="0"/>
                <w:position w:val="0"/>
                <w:sz w:val="21"/>
                <w:szCs w:val="21"/>
                <w:highlight w:val="none"/>
                <w:lang w:val="en-US" w:eastAsia="zh-CN"/>
              </w:rPr>
              <w:t>措施</w:t>
            </w:r>
            <w:r>
              <w:rPr>
                <w:rFonts w:hint="eastAsia" w:ascii="宋体" w:hAnsi="宋体" w:eastAsia="宋体" w:cs="宋体"/>
                <w:i w:val="0"/>
                <w:iCs w:val="0"/>
                <w:color w:val="auto"/>
                <w:spacing w:val="0"/>
                <w:position w:val="0"/>
                <w:sz w:val="21"/>
                <w:szCs w:val="21"/>
                <w:highlight w:val="none"/>
                <w:lang w:val="en-US" w:eastAsia="zh-CN"/>
              </w:rPr>
              <w:t>及配送方案</w:t>
            </w:r>
            <w:r>
              <w:rPr>
                <w:rFonts w:hint="eastAsia" w:ascii="宋体" w:hAnsi="宋体" w:cs="宋体"/>
                <w:i w:val="0"/>
                <w:iCs w:val="0"/>
                <w:color w:val="auto"/>
                <w:spacing w:val="0"/>
                <w:position w:val="0"/>
                <w:sz w:val="21"/>
                <w:szCs w:val="21"/>
                <w:highlight w:val="none"/>
                <w:lang w:val="en-US" w:eastAsia="zh-CN"/>
              </w:rPr>
              <w:t>（4）</w:t>
            </w:r>
          </w:p>
        </w:tc>
        <w:tc>
          <w:tcPr>
            <w:tcW w:w="2939" w:type="pct"/>
            <w:vAlign w:val="center"/>
          </w:tcPr>
          <w:p w14:paraId="67BD14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对供应商的供货措施及配送方案(至少包括送货车辆及人员、送货时间</w:t>
            </w:r>
            <w:r>
              <w:rPr>
                <w:rFonts w:hint="eastAsia" w:ascii="宋体" w:hAnsi="宋体" w:cs="宋体"/>
                <w:b/>
                <w:bCs/>
                <w:i w:val="0"/>
                <w:iCs w:val="0"/>
                <w:color w:val="auto"/>
                <w:spacing w:val="0"/>
                <w:position w:val="0"/>
                <w:sz w:val="21"/>
                <w:szCs w:val="21"/>
                <w:highlight w:val="none"/>
                <w:lang w:val="en-US" w:eastAsia="zh-CN"/>
              </w:rPr>
              <w:t>及</w:t>
            </w:r>
            <w:r>
              <w:rPr>
                <w:rFonts w:hint="eastAsia" w:ascii="宋体" w:hAnsi="宋体" w:eastAsia="宋体" w:cs="宋体"/>
                <w:b/>
                <w:bCs/>
                <w:i w:val="0"/>
                <w:iCs w:val="0"/>
                <w:color w:val="auto"/>
                <w:spacing w:val="0"/>
                <w:position w:val="0"/>
                <w:sz w:val="21"/>
                <w:szCs w:val="21"/>
                <w:highlight w:val="none"/>
                <w:lang w:val="en-US" w:eastAsia="zh-CN"/>
              </w:rPr>
              <w:t>货物交接)进行综合评价:</w:t>
            </w:r>
          </w:p>
          <w:p w14:paraId="492381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充分结合项目特征，提出具有针对性的具体配送方案。</w:t>
            </w:r>
          </w:p>
          <w:p w14:paraId="276141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送货时间客观合理，能够完全保障项目供货要求，货物交接环节科学严谨；针对供货过程中各潜在风险点有可行的操作建议和解决方案，完全符合且能够保障本项目供货及配送。</w:t>
            </w:r>
          </w:p>
          <w:p w14:paraId="06EB6D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计划供货及配送方案中每包含一项内容且内容阐述详细、</w:t>
            </w:r>
            <w:r>
              <w:rPr>
                <w:rFonts w:hint="eastAsia" w:ascii="宋体" w:hAnsi="宋体" w:cs="宋体"/>
                <w:i w:val="0"/>
                <w:iCs w:val="0"/>
                <w:color w:val="auto"/>
                <w:spacing w:val="0"/>
                <w:position w:val="0"/>
                <w:sz w:val="21"/>
                <w:szCs w:val="21"/>
                <w:highlight w:val="none"/>
                <w:lang w:val="en-US" w:eastAsia="zh-CN"/>
              </w:rPr>
              <w:t>供货措施合理，完全匹配采购需求</w:t>
            </w:r>
            <w:r>
              <w:rPr>
                <w:rFonts w:hint="eastAsia" w:ascii="宋体" w:hAnsi="宋体" w:eastAsia="宋体" w:cs="宋体"/>
                <w:i w:val="0"/>
                <w:iCs w:val="0"/>
                <w:color w:val="auto"/>
                <w:spacing w:val="0"/>
                <w:position w:val="0"/>
                <w:sz w:val="21"/>
                <w:szCs w:val="21"/>
                <w:highlight w:val="none"/>
                <w:lang w:val="en-US" w:eastAsia="zh-CN"/>
              </w:rPr>
              <w:t>，得</w:t>
            </w:r>
            <w:r>
              <w:rPr>
                <w:rFonts w:hint="eastAsia" w:ascii="宋体" w:hAnsi="宋体" w:cs="宋体"/>
                <w:i w:val="0"/>
                <w:iCs w:val="0"/>
                <w:color w:val="auto"/>
                <w:spacing w:val="0"/>
                <w:position w:val="0"/>
                <w:sz w:val="21"/>
                <w:szCs w:val="21"/>
                <w:highlight w:val="none"/>
                <w:lang w:val="en-US" w:eastAsia="zh-CN"/>
              </w:rPr>
              <w:t>2</w:t>
            </w:r>
            <w:r>
              <w:rPr>
                <w:rFonts w:hint="eastAsia" w:ascii="宋体" w:hAnsi="宋体" w:eastAsia="宋体" w:cs="宋体"/>
                <w:i w:val="0"/>
                <w:iCs w:val="0"/>
                <w:color w:val="auto"/>
                <w:spacing w:val="0"/>
                <w:position w:val="0"/>
                <w:sz w:val="21"/>
                <w:szCs w:val="21"/>
                <w:highlight w:val="none"/>
                <w:lang w:val="en-US" w:eastAsia="zh-CN"/>
              </w:rPr>
              <w:t>分；</w:t>
            </w:r>
          </w:p>
          <w:p w14:paraId="72512F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计划供货及配送方案中每包含一项内容、内容阐述简略</w:t>
            </w:r>
            <w:r>
              <w:rPr>
                <w:rFonts w:hint="eastAsia" w:ascii="宋体" w:hAnsi="宋体" w:cs="宋体"/>
                <w:i w:val="0"/>
                <w:iCs w:val="0"/>
                <w:color w:val="auto"/>
                <w:spacing w:val="0"/>
                <w:position w:val="0"/>
                <w:sz w:val="21"/>
                <w:szCs w:val="21"/>
                <w:highlight w:val="none"/>
                <w:lang w:val="en-US" w:eastAsia="zh-CN"/>
              </w:rPr>
              <w:t>且通用性表述，无具体的实施措施</w:t>
            </w:r>
            <w:r>
              <w:rPr>
                <w:rFonts w:hint="eastAsia" w:ascii="宋体" w:hAnsi="宋体" w:eastAsia="宋体" w:cs="宋体"/>
                <w:i w:val="0"/>
                <w:iCs w:val="0"/>
                <w:color w:val="auto"/>
                <w:spacing w:val="0"/>
                <w:position w:val="0"/>
                <w:sz w:val="21"/>
                <w:szCs w:val="21"/>
                <w:highlight w:val="none"/>
                <w:lang w:val="en-US" w:eastAsia="zh-CN"/>
              </w:rPr>
              <w:t>，得</w:t>
            </w:r>
            <w:r>
              <w:rPr>
                <w:rFonts w:hint="eastAsia" w:ascii="宋体" w:hAnsi="宋体" w:cs="宋体"/>
                <w:i w:val="0"/>
                <w:iCs w:val="0"/>
                <w:color w:val="auto"/>
                <w:spacing w:val="0"/>
                <w:position w:val="0"/>
                <w:sz w:val="21"/>
                <w:szCs w:val="21"/>
                <w:highlight w:val="none"/>
                <w:lang w:val="en-US" w:eastAsia="zh-CN"/>
              </w:rPr>
              <w:t>1</w:t>
            </w:r>
            <w:r>
              <w:rPr>
                <w:rFonts w:hint="eastAsia" w:ascii="宋体" w:hAnsi="宋体" w:eastAsia="宋体" w:cs="宋体"/>
                <w:i w:val="0"/>
                <w:iCs w:val="0"/>
                <w:color w:val="auto"/>
                <w:spacing w:val="0"/>
                <w:position w:val="0"/>
                <w:sz w:val="21"/>
                <w:szCs w:val="21"/>
                <w:highlight w:val="none"/>
                <w:lang w:val="en-US" w:eastAsia="zh-CN"/>
              </w:rPr>
              <w:t>分；</w:t>
            </w:r>
          </w:p>
          <w:p w14:paraId="046316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没有提供供货措施及配送方案的，得0分。</w:t>
            </w:r>
          </w:p>
        </w:tc>
        <w:tc>
          <w:tcPr>
            <w:tcW w:w="991" w:type="pct"/>
            <w:vAlign w:val="center"/>
          </w:tcPr>
          <w:p w14:paraId="016DCD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6CAA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continue"/>
            <w:vAlign w:val="center"/>
          </w:tcPr>
          <w:p w14:paraId="6C94919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1E31E912">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2" w:type="pct"/>
            <w:vAlign w:val="center"/>
          </w:tcPr>
          <w:p w14:paraId="16BA2AF4">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售后服务方案</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tc>
        <w:tc>
          <w:tcPr>
            <w:tcW w:w="2939" w:type="pct"/>
            <w:vAlign w:val="center"/>
          </w:tcPr>
          <w:p w14:paraId="5B41B86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b/>
                <w:bCs/>
                <w:i w:val="0"/>
                <w:iCs w:val="0"/>
                <w:color w:val="auto"/>
                <w:spacing w:val="0"/>
                <w:position w:val="0"/>
                <w:sz w:val="21"/>
                <w:szCs w:val="21"/>
                <w:highlight w:val="none"/>
                <w:lang w:val="en-US" w:eastAsia="zh-CN"/>
              </w:rPr>
            </w:pPr>
            <w:r>
              <w:rPr>
                <w:rFonts w:hint="eastAsia" w:ascii="宋体" w:hAnsi="宋体" w:cs="宋体"/>
                <w:b/>
                <w:bCs/>
                <w:i w:val="0"/>
                <w:iCs w:val="0"/>
                <w:color w:val="auto"/>
                <w:spacing w:val="0"/>
                <w:position w:val="0"/>
                <w:sz w:val="21"/>
                <w:szCs w:val="21"/>
                <w:highlight w:val="none"/>
                <w:lang w:val="en-US" w:eastAsia="zh-CN"/>
              </w:rPr>
              <w:t>售后服务方案的针对性、完整性及可行性(包括响应时间、仓储能力、服务负责人、质保期内及质保期后的服务要求等情况)：</w:t>
            </w:r>
          </w:p>
          <w:p w14:paraId="0FBD5CC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能够结合使用特征，提出全面详细的售后方案，针对性强，可行性高；响应时间客观且及时，仓储能力强，负责人明确且具备丰富类似工作经验，完全符合且能够保障本项目售后；质保期内及质保期后保障设备长期稳定运行要求。</w:t>
            </w:r>
          </w:p>
          <w:p w14:paraId="4B7BCD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售后服务方案每包含一项规定内容且内容阐述详细，得1.5分；</w:t>
            </w:r>
          </w:p>
          <w:p w14:paraId="32B42B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售后服务方案每包含一项规定内容、内容阐述简略且为通用性表述的，得0.7分；</w:t>
            </w:r>
          </w:p>
          <w:p w14:paraId="105B80A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未提供售后服务方案的，得0分。</w:t>
            </w:r>
          </w:p>
        </w:tc>
        <w:tc>
          <w:tcPr>
            <w:tcW w:w="991" w:type="pct"/>
            <w:vAlign w:val="center"/>
          </w:tcPr>
          <w:p w14:paraId="33EC52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71F1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53" w:type="pct"/>
            <w:vMerge w:val="continue"/>
            <w:vAlign w:val="center"/>
          </w:tcPr>
          <w:p w14:paraId="26B932D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7F5584D3">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2" w:type="pct"/>
            <w:vAlign w:val="center"/>
          </w:tcPr>
          <w:p w14:paraId="7415049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培训方案</w:t>
            </w:r>
            <w:r>
              <w:rPr>
                <w:rFonts w:hint="eastAsia" w:ascii="宋体" w:hAnsi="宋体" w:cs="宋体"/>
                <w:i w:val="0"/>
                <w:iCs w:val="0"/>
                <w:color w:val="auto"/>
                <w:spacing w:val="0"/>
                <w:position w:val="0"/>
                <w:sz w:val="21"/>
                <w:szCs w:val="21"/>
                <w:highlight w:val="none"/>
                <w:lang w:val="en-US" w:eastAsia="zh-CN"/>
              </w:rPr>
              <w:t>12</w:t>
            </w:r>
            <w:r>
              <w:rPr>
                <w:rFonts w:hint="eastAsia" w:ascii="宋体" w:hAnsi="宋体" w:eastAsia="宋体" w:cs="宋体"/>
                <w:i w:val="0"/>
                <w:iCs w:val="0"/>
                <w:color w:val="auto"/>
                <w:spacing w:val="0"/>
                <w:position w:val="0"/>
                <w:sz w:val="21"/>
                <w:szCs w:val="21"/>
                <w:highlight w:val="none"/>
                <w:lang w:val="en-US" w:eastAsia="zh-CN"/>
              </w:rPr>
              <w:t>分</w:t>
            </w:r>
          </w:p>
        </w:tc>
        <w:tc>
          <w:tcPr>
            <w:tcW w:w="2939" w:type="pct"/>
            <w:vAlign w:val="center"/>
          </w:tcPr>
          <w:p w14:paraId="41551E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根据投标人所提供的培训方案，对：1.内容准确性与科学性；2. 培训课程</w:t>
            </w:r>
            <w:r>
              <w:rPr>
                <w:rStyle w:val="48"/>
                <w:rFonts w:ascii="Segoe UI" w:hAnsi="Segoe UI" w:eastAsia="Segoe UI" w:cs="Segoe UI"/>
                <w:b/>
                <w:bCs/>
                <w:i w:val="0"/>
                <w:iCs w:val="0"/>
                <w:caps w:val="0"/>
                <w:color w:val="333333"/>
                <w:spacing w:val="0"/>
                <w:sz w:val="21"/>
                <w:szCs w:val="21"/>
                <w:highlight w:val="none"/>
                <w:shd w:val="clear" w:fill="FFFFFF"/>
                <w:vertAlign w:val="baseline"/>
              </w:rPr>
              <w:t>逻辑性与条理性</w:t>
            </w:r>
            <w:r>
              <w:rPr>
                <w:rFonts w:hint="eastAsia" w:ascii="宋体" w:hAnsi="宋体" w:eastAsia="宋体" w:cs="宋体"/>
                <w:b/>
                <w:bCs/>
                <w:i w:val="0"/>
                <w:iCs w:val="0"/>
                <w:color w:val="auto"/>
                <w:spacing w:val="0"/>
                <w:position w:val="0"/>
                <w:sz w:val="21"/>
                <w:szCs w:val="21"/>
                <w:highlight w:val="none"/>
                <w:lang w:val="en-US" w:eastAsia="zh-CN"/>
              </w:rPr>
              <w:t>；3.培训实施方式与周期计划；4. 培训</w:t>
            </w:r>
            <w:r>
              <w:rPr>
                <w:rFonts w:hint="eastAsia" w:ascii="宋体" w:hAnsi="宋体" w:cs="宋体"/>
                <w:b/>
                <w:bCs/>
                <w:i w:val="0"/>
                <w:iCs w:val="0"/>
                <w:color w:val="auto"/>
                <w:spacing w:val="0"/>
                <w:position w:val="0"/>
                <w:sz w:val="21"/>
                <w:szCs w:val="21"/>
                <w:highlight w:val="none"/>
                <w:lang w:val="en-US" w:eastAsia="zh-CN"/>
              </w:rPr>
              <w:t>团队</w:t>
            </w:r>
            <w:r>
              <w:rPr>
                <w:rFonts w:hint="eastAsia" w:ascii="宋体" w:hAnsi="宋体" w:eastAsia="宋体" w:cs="宋体"/>
                <w:b/>
                <w:bCs/>
                <w:i w:val="0"/>
                <w:iCs w:val="0"/>
                <w:color w:val="auto"/>
                <w:spacing w:val="0"/>
                <w:position w:val="0"/>
                <w:sz w:val="21"/>
                <w:szCs w:val="21"/>
                <w:highlight w:val="none"/>
                <w:lang w:val="en-US" w:eastAsia="zh-CN"/>
              </w:rPr>
              <w:t>与保障配置，</w:t>
            </w:r>
            <w:r>
              <w:rPr>
                <w:rFonts w:hint="eastAsia" w:ascii="宋体" w:hAnsi="宋体" w:cs="宋体"/>
                <w:b/>
                <w:bCs/>
                <w:i w:val="0"/>
                <w:iCs w:val="0"/>
                <w:color w:val="auto"/>
                <w:spacing w:val="0"/>
                <w:position w:val="0"/>
                <w:sz w:val="21"/>
                <w:szCs w:val="21"/>
                <w:highlight w:val="none"/>
                <w:lang w:val="en-US" w:eastAsia="zh-CN"/>
              </w:rPr>
              <w:t>5.确保培训材料与实际工作紧密结合，提高培训实用价值和应用效果；6培训方式多元化，</w:t>
            </w:r>
            <w:r>
              <w:rPr>
                <w:rFonts w:hint="eastAsia" w:ascii="宋体" w:hAnsi="宋体" w:eastAsia="宋体" w:cs="宋体"/>
                <w:b/>
                <w:bCs/>
                <w:i w:val="0"/>
                <w:iCs w:val="0"/>
                <w:color w:val="auto"/>
                <w:spacing w:val="0"/>
                <w:position w:val="0"/>
                <w:sz w:val="21"/>
                <w:szCs w:val="21"/>
                <w:highlight w:val="none"/>
                <w:lang w:val="en-US" w:eastAsia="zh-CN"/>
              </w:rPr>
              <w:t>进行评审：</w:t>
            </w:r>
          </w:p>
          <w:p w14:paraId="00C62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以上</w:t>
            </w:r>
            <w:r>
              <w:rPr>
                <w:rFonts w:hint="eastAsia" w:ascii="宋体" w:hAnsi="宋体" w:eastAsia="宋体" w:cs="宋体"/>
                <w:i w:val="0"/>
                <w:iCs w:val="0"/>
                <w:color w:val="auto"/>
                <w:spacing w:val="0"/>
                <w:position w:val="0"/>
                <w:sz w:val="21"/>
                <w:szCs w:val="21"/>
                <w:highlight w:val="none"/>
                <w:lang w:val="en-US" w:eastAsia="zh-CN"/>
              </w:rPr>
              <w:t>方案每包含一项规定内容且内容阐述详细，得2分；</w:t>
            </w:r>
          </w:p>
          <w:p w14:paraId="3A6E8F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以上</w:t>
            </w:r>
            <w:r>
              <w:rPr>
                <w:rFonts w:hint="eastAsia" w:ascii="宋体" w:hAnsi="宋体" w:eastAsia="宋体" w:cs="宋体"/>
                <w:i w:val="0"/>
                <w:iCs w:val="0"/>
                <w:color w:val="auto"/>
                <w:spacing w:val="0"/>
                <w:position w:val="0"/>
                <w:sz w:val="21"/>
                <w:szCs w:val="21"/>
                <w:highlight w:val="none"/>
                <w:lang w:val="en-US" w:eastAsia="zh-CN"/>
              </w:rPr>
              <w:t>方案每包含一项规定内容、内容阐述简略且为通用性表述的，得1分；</w:t>
            </w:r>
          </w:p>
          <w:p w14:paraId="76D975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未提供的，得0分。</w:t>
            </w:r>
          </w:p>
        </w:tc>
        <w:tc>
          <w:tcPr>
            <w:tcW w:w="991" w:type="pct"/>
            <w:vAlign w:val="center"/>
          </w:tcPr>
          <w:p w14:paraId="668748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auto"/>
                <w:spacing w:val="0"/>
                <w:position w:val="0"/>
                <w:sz w:val="21"/>
                <w:szCs w:val="21"/>
                <w:highlight w:val="none"/>
                <w:lang w:val="en-US" w:eastAsia="zh-CN"/>
              </w:rPr>
            </w:pPr>
          </w:p>
        </w:tc>
      </w:tr>
      <w:tr w14:paraId="7DEF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6" w:hRule="atLeast"/>
          <w:jc w:val="center"/>
        </w:trPr>
        <w:tc>
          <w:tcPr>
            <w:tcW w:w="253" w:type="pct"/>
            <w:vMerge w:val="continue"/>
            <w:vAlign w:val="center"/>
          </w:tcPr>
          <w:p w14:paraId="1A43B6B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2C2B0EBD">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2" w:type="pct"/>
            <w:vAlign w:val="center"/>
          </w:tcPr>
          <w:p w14:paraId="3E8394FE">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人员配置5分</w:t>
            </w:r>
          </w:p>
        </w:tc>
        <w:tc>
          <w:tcPr>
            <w:tcW w:w="2939" w:type="pct"/>
            <w:vAlign w:val="center"/>
          </w:tcPr>
          <w:p w14:paraId="1BE117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根据本项目实施要求提供人员配置方案，从项目团队人员的数量、经验以及工作岗位职责分配等进行综合评审：</w:t>
            </w:r>
          </w:p>
          <w:p w14:paraId="4F6C7B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1.项目负责人配置（1 分）</w:t>
            </w:r>
          </w:p>
          <w:p w14:paraId="011723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明确配备专职项目负责人，列明任职年限、同类项目从业经验、岗位职责，方案贴合本项目实施需求得 1 分；仅简单提及、无资历及岗位职责说明得 0 分。</w:t>
            </w:r>
          </w:p>
          <w:p w14:paraId="5E4462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2.专业技术人员配置（1 分）</w:t>
            </w:r>
          </w:p>
          <w:p w14:paraId="711235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根据项目业务类型匹配对应专业技术人员，标注人员专业资质、岗位分工，得 1 分；无专业细分、无人员数量及分工规划得 0 分。</w:t>
            </w:r>
          </w:p>
          <w:p w14:paraId="406521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3.人员岗位职责划分（1 分）</w:t>
            </w:r>
          </w:p>
          <w:p w14:paraId="70F5D4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清晰划分负责人、技术、运维等各岗位工作内容、权责边界，岗位无重叠、无管理空白，形成完整工作体系得 1 分；岗位职责模糊笼统、未分岗界定得 0 分。</w:t>
            </w:r>
          </w:p>
          <w:p w14:paraId="5132B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4.人员在岗与替换保障机制（1 分）</w:t>
            </w:r>
          </w:p>
          <w:p w14:paraId="1DB47D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提供考勤管理、临时离岗顶岗、核心人员离职替补预案，保障项目不间断实施得 1 分；无在岗管理、无人员替换兜底措施得 0 分。</w:t>
            </w:r>
          </w:p>
          <w:p w14:paraId="0F9B21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5.人员培训考核管理措施（1 分）</w:t>
            </w:r>
          </w:p>
          <w:p w14:paraId="470F0E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包含上岗岗前培训、项目过程常态化培训、工作绩效考核、奖惩管理完整制度，保障人员服务质量得 1 分；无培训、考核相关管理方案得 0 分。</w:t>
            </w:r>
          </w:p>
        </w:tc>
        <w:tc>
          <w:tcPr>
            <w:tcW w:w="991" w:type="pct"/>
            <w:vAlign w:val="center"/>
          </w:tcPr>
          <w:p w14:paraId="3EC0E6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2780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253" w:type="pct"/>
            <w:vMerge w:val="continue"/>
            <w:vAlign w:val="center"/>
          </w:tcPr>
          <w:p w14:paraId="25DD931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3" w:type="pct"/>
            <w:vMerge w:val="continue"/>
            <w:vAlign w:val="center"/>
          </w:tcPr>
          <w:p w14:paraId="1B7777A1">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422" w:type="pct"/>
            <w:vAlign w:val="center"/>
          </w:tcPr>
          <w:p w14:paraId="76B4E263">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w:t>
            </w:r>
            <w:r>
              <w:rPr>
                <w:rFonts w:hint="eastAsia" w:ascii="宋体" w:hAnsi="宋体" w:eastAsia="宋体" w:cs="宋体"/>
                <w:i w:val="0"/>
                <w:iCs w:val="0"/>
                <w:color w:val="auto"/>
                <w:spacing w:val="0"/>
                <w:position w:val="0"/>
                <w:sz w:val="21"/>
                <w:szCs w:val="21"/>
                <w:highlight w:val="none"/>
                <w:lang w:val="en-US" w:eastAsia="zh-CN"/>
              </w:rPr>
              <w:br w:type="textWrapping"/>
            </w:r>
            <w:r>
              <w:rPr>
                <w:rFonts w:hint="eastAsia" w:ascii="宋体" w:hAnsi="宋体" w:cs="宋体"/>
                <w:i w:val="0"/>
                <w:iCs w:val="0"/>
                <w:color w:val="auto"/>
                <w:spacing w:val="0"/>
                <w:position w:val="0"/>
                <w:sz w:val="21"/>
                <w:szCs w:val="21"/>
                <w:highlight w:val="none"/>
                <w:lang w:val="en-US" w:eastAsia="zh-CN"/>
              </w:rPr>
              <w:t>（6）</w:t>
            </w:r>
          </w:p>
        </w:tc>
        <w:tc>
          <w:tcPr>
            <w:tcW w:w="2939" w:type="pct"/>
            <w:vAlign w:val="center"/>
          </w:tcPr>
          <w:p w14:paraId="1410C3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i w:val="0"/>
                <w:iCs w:val="0"/>
                <w:color w:val="auto"/>
                <w:spacing w:val="0"/>
                <w:position w:val="0"/>
                <w:sz w:val="21"/>
                <w:szCs w:val="21"/>
                <w:highlight w:val="none"/>
                <w:lang w:val="en-US" w:eastAsia="zh-CN"/>
              </w:rPr>
            </w:pPr>
            <w:r>
              <w:rPr>
                <w:rFonts w:hint="eastAsia" w:ascii="宋体" w:hAnsi="宋体" w:eastAsia="宋体" w:cs="宋体"/>
                <w:b/>
                <w:bCs/>
                <w:i w:val="0"/>
                <w:iCs w:val="0"/>
                <w:color w:val="auto"/>
                <w:spacing w:val="0"/>
                <w:position w:val="0"/>
                <w:sz w:val="21"/>
                <w:szCs w:val="21"/>
                <w:highlight w:val="none"/>
                <w:lang w:val="en-US" w:eastAsia="zh-CN"/>
              </w:rPr>
              <w:t>项目进度计划，即从合同签订之日起至完成全部交付（包含从生产计划、供货运输计划等方面）进行阐述:</w:t>
            </w:r>
          </w:p>
          <w:p w14:paraId="441C22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进度计划包含规定全部内容，且计划合理、量化可控，完全针对本项目需求，各阶段时间节点清晰；各阶段进度保障措施全面得当、各阶段人员分工安排科学，完全符合且能够保障本项目进度计划。</w:t>
            </w:r>
          </w:p>
          <w:p w14:paraId="368621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项目进度计划每包含一项规定内容且内容阐述详细，得</w:t>
            </w:r>
            <w:r>
              <w:rPr>
                <w:rFonts w:hint="eastAsia" w:ascii="宋体" w:hAnsi="宋体" w:cs="宋体"/>
                <w:i w:val="0"/>
                <w:iCs w:val="0"/>
                <w:color w:val="auto"/>
                <w:spacing w:val="0"/>
                <w:position w:val="0"/>
                <w:sz w:val="21"/>
                <w:szCs w:val="21"/>
                <w:highlight w:val="none"/>
                <w:lang w:val="en-US" w:eastAsia="zh-CN"/>
              </w:rPr>
              <w:t>3</w:t>
            </w:r>
            <w:r>
              <w:rPr>
                <w:rFonts w:hint="eastAsia" w:ascii="宋体" w:hAnsi="宋体" w:eastAsia="宋体" w:cs="宋体"/>
                <w:i w:val="0"/>
                <w:iCs w:val="0"/>
                <w:color w:val="auto"/>
                <w:spacing w:val="0"/>
                <w:position w:val="0"/>
                <w:sz w:val="21"/>
                <w:szCs w:val="21"/>
                <w:highlight w:val="none"/>
                <w:lang w:val="en-US" w:eastAsia="zh-CN"/>
              </w:rPr>
              <w:t>分；</w:t>
            </w:r>
          </w:p>
          <w:p w14:paraId="45AF0C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项目进度计划每包含一项规定内容、内容阐述简略且为通用性表述的，得</w:t>
            </w:r>
            <w:r>
              <w:rPr>
                <w:rFonts w:hint="eastAsia" w:ascii="宋体" w:hAnsi="宋体" w:cs="宋体"/>
                <w:i w:val="0"/>
                <w:iCs w:val="0"/>
                <w:color w:val="auto"/>
                <w:spacing w:val="0"/>
                <w:position w:val="0"/>
                <w:sz w:val="21"/>
                <w:szCs w:val="21"/>
                <w:highlight w:val="none"/>
                <w:lang w:val="en-US" w:eastAsia="zh-CN"/>
              </w:rPr>
              <w:t>1.5</w:t>
            </w:r>
            <w:r>
              <w:rPr>
                <w:rFonts w:hint="eastAsia" w:ascii="宋体" w:hAnsi="宋体" w:eastAsia="宋体" w:cs="宋体"/>
                <w:i w:val="0"/>
                <w:iCs w:val="0"/>
                <w:color w:val="auto"/>
                <w:spacing w:val="0"/>
                <w:position w:val="0"/>
                <w:sz w:val="21"/>
                <w:szCs w:val="21"/>
                <w:highlight w:val="none"/>
                <w:lang w:val="en-US" w:eastAsia="zh-CN"/>
              </w:rPr>
              <w:t>分；</w:t>
            </w:r>
          </w:p>
          <w:p w14:paraId="0C27FD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未提供项目进度计划的，得0分。</w:t>
            </w:r>
          </w:p>
        </w:tc>
        <w:tc>
          <w:tcPr>
            <w:tcW w:w="991" w:type="pct"/>
            <w:vAlign w:val="center"/>
          </w:tcPr>
          <w:p w14:paraId="2375C7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51D8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46" w:type="pct"/>
            <w:gridSpan w:val="2"/>
            <w:vAlign w:val="center"/>
          </w:tcPr>
          <w:p w14:paraId="431946B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合计</w:t>
            </w:r>
          </w:p>
        </w:tc>
        <w:tc>
          <w:tcPr>
            <w:tcW w:w="422" w:type="pct"/>
            <w:vAlign w:val="center"/>
          </w:tcPr>
          <w:p w14:paraId="387ECD4C">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100</w:t>
            </w:r>
          </w:p>
        </w:tc>
        <w:tc>
          <w:tcPr>
            <w:tcW w:w="3930" w:type="pct"/>
            <w:gridSpan w:val="2"/>
            <w:vAlign w:val="center"/>
          </w:tcPr>
          <w:p w14:paraId="319BDF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bl>
    <w:p w14:paraId="30E86031">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br w:type="page"/>
      </w:r>
      <w:bookmarkStart w:id="824" w:name="_Toc4598"/>
      <w:r>
        <w:rPr>
          <w:rFonts w:hint="eastAsia" w:ascii="宋体" w:hAnsi="宋体" w:eastAsia="宋体" w:cs="宋体"/>
          <w:b/>
          <w:i w:val="0"/>
          <w:iCs w:val="0"/>
          <w:color w:val="auto"/>
          <w:spacing w:val="0"/>
          <w:position w:val="0"/>
          <w:sz w:val="36"/>
          <w:szCs w:val="36"/>
          <w:highlight w:val="none"/>
        </w:rPr>
        <w:t>第五章   采购需求</w:t>
      </w:r>
      <w:bookmarkEnd w:id="824"/>
    </w:p>
    <w:p w14:paraId="30E9FC1A">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2E6AB333">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bookmarkStart w:id="825" w:name="_Hlk167284587"/>
      <w:r>
        <w:rPr>
          <w:rFonts w:hint="eastAsia" w:ascii="宋体" w:hAnsi="宋体" w:eastAsia="宋体" w:cs="宋体"/>
          <w:i w:val="0"/>
          <w:iCs w:val="0"/>
          <w:color w:val="auto"/>
          <w:spacing w:val="0"/>
          <w:position w:val="0"/>
          <w:sz w:val="24"/>
          <w:highlight w:val="none"/>
        </w:rPr>
        <w:t>1. 当采购项目涉及政务信息系统时，采购需求应当符合《政务信息系统政府采购管理暂行办法》（财库〔2017〕210号）的相关要求。</w:t>
      </w:r>
    </w:p>
    <w:p w14:paraId="3E4BD812">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bookmarkStart w:id="826" w:name="_Hlk168431603"/>
      <w:r>
        <w:rPr>
          <w:rFonts w:hint="eastAsia" w:ascii="宋体" w:hAnsi="宋体" w:eastAsia="宋体" w:cs="宋体"/>
          <w:i w:val="0"/>
          <w:iCs w:val="0"/>
          <w:color w:val="auto"/>
          <w:spacing w:val="0"/>
          <w:position w:val="0"/>
          <w:sz w:val="24"/>
          <w:highlight w:val="none"/>
        </w:rPr>
        <w:t>2. 采购人及采购代理机构应关注财政部门会同有关部门制定发布的需求标准，结合具体应用场景，根据对应《需求标准》确定采购需求。</w:t>
      </w:r>
    </w:p>
    <w:p w14:paraId="15BA6E17">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已发布的需求标准如下：</w:t>
      </w:r>
    </w:p>
    <w:p w14:paraId="7AFC3D3A">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《关于印发〈商品包装政府采购需求标准（试行）〉、〈快递包装政府采购需求标准（试行）〉的通知》（财办库﹝2020﹞123号））</w:t>
      </w:r>
    </w:p>
    <w:p w14:paraId="3EC0306E">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《绿色数据中心政府采购需求标准（试行）》（财库〔2023〕7号）</w:t>
      </w:r>
    </w:p>
    <w:p w14:paraId="6F159B07">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《台式计算机政府采购需求标准（2023年版）》（财库〔2023〕29号）</w:t>
      </w:r>
    </w:p>
    <w:p w14:paraId="022DE515">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《便携式计算机政府采购需求标准（2023年版）》（财库〔2023〕30号）</w:t>
      </w:r>
    </w:p>
    <w:p w14:paraId="48060541">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《一体式计算机政府采购需求标准（2023年版）》（财库〔2023〕31号）</w:t>
      </w:r>
    </w:p>
    <w:p w14:paraId="7AF40380">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《工作站政府采购需求标准（2023年版）》（财库〔2023〕32号）</w:t>
      </w:r>
    </w:p>
    <w:p w14:paraId="62D16B27">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《通用服务器政府采购需求标准（2023年版）》（财库〔2023〕33号）</w:t>
      </w:r>
    </w:p>
    <w:p w14:paraId="0AD5D620">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《操作系统政府采购需求标准（2023年版）》（财库〔2023〕34号）</w:t>
      </w:r>
    </w:p>
    <w:p w14:paraId="32894153">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《数据库政府采购需求标准（2023年版）》（财库〔2023〕35号）</w:t>
      </w:r>
    </w:p>
    <w:p w14:paraId="3A56D0D9">
      <w:pPr>
        <w:pStyle w:val="250"/>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《物业管理服务政府采购需求标准（办公场所类）（试行）》（财办库〔2024〕113号）</w:t>
      </w:r>
    </w:p>
    <w:p w14:paraId="270D638E">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如有更新或增加，以财政部门发布为准。</w:t>
      </w:r>
    </w:p>
    <w:bookmarkEnd w:id="825"/>
    <w:bookmarkEnd w:id="826"/>
    <w:p w14:paraId="6DF9574F">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72B66BE3">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采购标的</w:t>
      </w:r>
    </w:p>
    <w:p w14:paraId="61726EC1">
      <w:pPr>
        <w:pageBreakBefore w:val="0"/>
        <w:numPr>
          <w:ilvl w:val="0"/>
          <w:numId w:val="15"/>
        </w:numPr>
        <w:wordWrap/>
        <w:topLinePunct w:val="0"/>
        <w:bidi w:val="0"/>
        <w:spacing w:line="360" w:lineRule="auto"/>
        <w:contextualSpacing/>
        <w:rPr>
          <w:rFonts w:hint="eastAsia" w:ascii="宋体" w:hAnsi="宋体" w:eastAsia="宋体" w:cs="宋体"/>
          <w:bCs/>
          <w:i w:val="0"/>
          <w:iCs w:val="0"/>
          <w:color w:val="auto"/>
          <w:spacing w:val="0"/>
          <w:position w:val="0"/>
          <w:sz w:val="24"/>
          <w:highlight w:val="none"/>
        </w:rPr>
      </w:pPr>
      <w:r>
        <w:rPr>
          <w:rFonts w:hint="eastAsia" w:ascii="宋体" w:hAnsi="宋体" w:eastAsia="宋体" w:cs="宋体"/>
          <w:bCs/>
          <w:i w:val="0"/>
          <w:iCs w:val="0"/>
          <w:color w:val="auto"/>
          <w:spacing w:val="0"/>
          <w:position w:val="0"/>
          <w:sz w:val="24"/>
          <w:highlight w:val="none"/>
        </w:rPr>
        <w:t>采购标的</w:t>
      </w:r>
    </w:p>
    <w:tbl>
      <w:tblPr>
        <w:tblStyle w:val="44"/>
        <w:tblW w:w="50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3341"/>
        <w:gridCol w:w="1611"/>
        <w:gridCol w:w="1221"/>
        <w:gridCol w:w="1499"/>
        <w:gridCol w:w="789"/>
      </w:tblGrid>
      <w:tr w14:paraId="7F52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right"/>
        </w:trPr>
        <w:tc>
          <w:tcPr>
            <w:tcW w:w="421" w:type="pct"/>
            <w:vAlign w:val="center"/>
          </w:tcPr>
          <w:p w14:paraId="5849D9F6">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包号</w:t>
            </w:r>
          </w:p>
        </w:tc>
        <w:tc>
          <w:tcPr>
            <w:tcW w:w="1808" w:type="pct"/>
            <w:vAlign w:val="center"/>
          </w:tcPr>
          <w:p w14:paraId="284DD9AD">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lang w:eastAsia="zh-CN"/>
              </w:rPr>
            </w:pPr>
            <w:r>
              <w:rPr>
                <w:rFonts w:hint="eastAsia" w:ascii="宋体" w:hAnsi="宋体" w:cs="宋体"/>
                <w:bCs/>
                <w:i w:val="0"/>
                <w:iCs w:val="0"/>
                <w:color w:val="auto"/>
                <w:spacing w:val="0"/>
                <w:position w:val="0"/>
                <w:sz w:val="21"/>
                <w:szCs w:val="21"/>
                <w:highlight w:val="none"/>
                <w:lang w:eastAsia="zh-CN"/>
              </w:rPr>
              <w:t>标的名称</w:t>
            </w:r>
          </w:p>
        </w:tc>
        <w:tc>
          <w:tcPr>
            <w:tcW w:w="871" w:type="pct"/>
            <w:vAlign w:val="center"/>
          </w:tcPr>
          <w:p w14:paraId="3A189F54">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lang w:eastAsia="zh-CN"/>
              </w:rPr>
            </w:pPr>
            <w:r>
              <w:rPr>
                <w:rFonts w:hint="eastAsia" w:ascii="宋体" w:hAnsi="宋体" w:eastAsia="宋体" w:cs="宋体"/>
                <w:bCs/>
                <w:i w:val="0"/>
                <w:iCs w:val="0"/>
                <w:color w:val="auto"/>
                <w:spacing w:val="0"/>
                <w:position w:val="0"/>
                <w:sz w:val="21"/>
                <w:szCs w:val="21"/>
                <w:highlight w:val="none"/>
              </w:rPr>
              <w:t>采购包预算金额（万元）</w:t>
            </w:r>
          </w:p>
        </w:tc>
        <w:tc>
          <w:tcPr>
            <w:tcW w:w="660" w:type="pct"/>
            <w:vAlign w:val="center"/>
          </w:tcPr>
          <w:p w14:paraId="52188415">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数量</w:t>
            </w:r>
          </w:p>
          <w:p w14:paraId="3C9BA792">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lang w:val="en-US" w:eastAsia="zh-CN"/>
              </w:rPr>
            </w:pPr>
            <w:r>
              <w:rPr>
                <w:rFonts w:hint="eastAsia" w:ascii="宋体" w:hAnsi="宋体" w:eastAsia="宋体" w:cs="宋体"/>
                <w:bCs/>
                <w:i w:val="0"/>
                <w:iCs w:val="0"/>
                <w:color w:val="auto"/>
                <w:spacing w:val="0"/>
                <w:position w:val="0"/>
                <w:sz w:val="21"/>
                <w:szCs w:val="21"/>
                <w:highlight w:val="none"/>
                <w:lang w:eastAsia="zh-CN"/>
              </w:rPr>
              <w:t>（</w:t>
            </w:r>
            <w:r>
              <w:rPr>
                <w:rFonts w:hint="eastAsia" w:ascii="宋体" w:hAnsi="宋体" w:eastAsia="宋体" w:cs="宋体"/>
                <w:bCs/>
                <w:i w:val="0"/>
                <w:iCs w:val="0"/>
                <w:color w:val="auto"/>
                <w:spacing w:val="0"/>
                <w:position w:val="0"/>
                <w:sz w:val="21"/>
                <w:szCs w:val="21"/>
                <w:highlight w:val="none"/>
                <w:lang w:val="en-US" w:eastAsia="zh-CN"/>
              </w:rPr>
              <w:t>单位）</w:t>
            </w:r>
          </w:p>
        </w:tc>
        <w:tc>
          <w:tcPr>
            <w:tcW w:w="811" w:type="pct"/>
            <w:vAlign w:val="center"/>
          </w:tcPr>
          <w:p w14:paraId="04858A8B">
            <w:pPr>
              <w:pageBreakBefore w:val="0"/>
              <w:wordWrap/>
              <w:topLinePunct w:val="0"/>
              <w:bidi w:val="0"/>
              <w:spacing w:line="360" w:lineRule="auto"/>
              <w:jc w:val="center"/>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简要技术需求或服务要求</w:t>
            </w:r>
          </w:p>
        </w:tc>
        <w:tc>
          <w:tcPr>
            <w:tcW w:w="427" w:type="pct"/>
            <w:vAlign w:val="center"/>
          </w:tcPr>
          <w:p w14:paraId="122FA18B">
            <w:pPr>
              <w:pageBreakBefore w:val="0"/>
              <w:wordWrap/>
              <w:topLinePunct w:val="0"/>
              <w:bidi w:val="0"/>
              <w:spacing w:line="360" w:lineRule="auto"/>
              <w:jc w:val="center"/>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备注</w:t>
            </w:r>
          </w:p>
        </w:tc>
      </w:tr>
      <w:tr w14:paraId="3093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restart"/>
            <w:vAlign w:val="center"/>
          </w:tcPr>
          <w:p w14:paraId="236134BA">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r>
              <w:rPr>
                <w:rFonts w:hint="eastAsia" w:ascii="宋体" w:hAnsi="宋体" w:eastAsia="宋体" w:cs="宋体"/>
                <w:bCs/>
                <w:i w:val="0"/>
                <w:iCs w:val="0"/>
                <w:color w:val="auto"/>
                <w:spacing w:val="0"/>
                <w:position w:val="0"/>
                <w:sz w:val="21"/>
                <w:szCs w:val="21"/>
                <w:highlight w:val="none"/>
              </w:rPr>
              <w:t>01</w:t>
            </w:r>
          </w:p>
        </w:tc>
        <w:tc>
          <w:tcPr>
            <w:tcW w:w="1808" w:type="pct"/>
            <w:vAlign w:val="center"/>
          </w:tcPr>
          <w:p w14:paraId="57F1EA3F">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防爆强光手电</w:t>
            </w:r>
          </w:p>
        </w:tc>
        <w:tc>
          <w:tcPr>
            <w:tcW w:w="871" w:type="pct"/>
            <w:vMerge w:val="restart"/>
            <w:vAlign w:val="center"/>
          </w:tcPr>
          <w:p w14:paraId="52F11A9C">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240.3588</w:t>
            </w:r>
          </w:p>
        </w:tc>
        <w:tc>
          <w:tcPr>
            <w:tcW w:w="660" w:type="pct"/>
            <w:vAlign w:val="center"/>
          </w:tcPr>
          <w:p w14:paraId="75567E9F">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10台</w:t>
            </w:r>
          </w:p>
        </w:tc>
        <w:tc>
          <w:tcPr>
            <w:tcW w:w="811" w:type="pct"/>
            <w:vMerge w:val="restart"/>
            <w:vAlign w:val="center"/>
          </w:tcPr>
          <w:p w14:paraId="6E40980E">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27" w:type="pct"/>
            <w:vMerge w:val="restart"/>
            <w:vAlign w:val="center"/>
          </w:tcPr>
          <w:p w14:paraId="0D81E7DE">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4F59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continue"/>
            <w:vAlign w:val="center"/>
          </w:tcPr>
          <w:p w14:paraId="4D8C39CD">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1CAE437F">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手提式防爆手电</w:t>
            </w:r>
          </w:p>
        </w:tc>
        <w:tc>
          <w:tcPr>
            <w:tcW w:w="871" w:type="pct"/>
            <w:vMerge w:val="continue"/>
            <w:vAlign w:val="center"/>
          </w:tcPr>
          <w:p w14:paraId="7BE495F4">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7BD5CF7B">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5台</w:t>
            </w:r>
          </w:p>
        </w:tc>
        <w:tc>
          <w:tcPr>
            <w:tcW w:w="811" w:type="pct"/>
            <w:vMerge w:val="continue"/>
            <w:vAlign w:val="center"/>
          </w:tcPr>
          <w:p w14:paraId="6ABABF83">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105E4642">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5F0C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continue"/>
            <w:vAlign w:val="center"/>
          </w:tcPr>
          <w:p w14:paraId="5FF249AE">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5EB99100">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重型防化服</w:t>
            </w:r>
          </w:p>
        </w:tc>
        <w:tc>
          <w:tcPr>
            <w:tcW w:w="871" w:type="pct"/>
            <w:vMerge w:val="continue"/>
            <w:vAlign w:val="center"/>
          </w:tcPr>
          <w:p w14:paraId="43E7061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73ADF8B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10套</w:t>
            </w:r>
          </w:p>
        </w:tc>
        <w:tc>
          <w:tcPr>
            <w:tcW w:w="811" w:type="pct"/>
            <w:vMerge w:val="continue"/>
            <w:vAlign w:val="center"/>
          </w:tcPr>
          <w:p w14:paraId="05F11485">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53D171E1">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0893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right"/>
        </w:trPr>
        <w:tc>
          <w:tcPr>
            <w:tcW w:w="421" w:type="pct"/>
            <w:vMerge w:val="continue"/>
            <w:vAlign w:val="center"/>
          </w:tcPr>
          <w:p w14:paraId="7A55DCEA">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2C161B9D">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滤毒盒（6 类规格）</w:t>
            </w:r>
          </w:p>
        </w:tc>
        <w:tc>
          <w:tcPr>
            <w:tcW w:w="871" w:type="pct"/>
            <w:vMerge w:val="continue"/>
            <w:vAlign w:val="center"/>
          </w:tcPr>
          <w:p w14:paraId="38AD8AA1">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3444E14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1箱</w:t>
            </w:r>
          </w:p>
        </w:tc>
        <w:tc>
          <w:tcPr>
            <w:tcW w:w="811" w:type="pct"/>
            <w:vMerge w:val="continue"/>
            <w:vAlign w:val="center"/>
          </w:tcPr>
          <w:p w14:paraId="2AA4A4C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661F2682">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5927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continue"/>
            <w:vAlign w:val="center"/>
          </w:tcPr>
          <w:p w14:paraId="7860A2CF">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11C7495C">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一次性防护服</w:t>
            </w:r>
          </w:p>
        </w:tc>
        <w:tc>
          <w:tcPr>
            <w:tcW w:w="871" w:type="pct"/>
            <w:vMerge w:val="continue"/>
            <w:vAlign w:val="center"/>
          </w:tcPr>
          <w:p w14:paraId="302EA138">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11BE343F">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100套</w:t>
            </w:r>
          </w:p>
        </w:tc>
        <w:tc>
          <w:tcPr>
            <w:tcW w:w="811" w:type="pct"/>
            <w:vMerge w:val="continue"/>
            <w:vAlign w:val="center"/>
          </w:tcPr>
          <w:p w14:paraId="254F4250">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4D4DE55D">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4BB7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right"/>
        </w:trPr>
        <w:tc>
          <w:tcPr>
            <w:tcW w:w="421" w:type="pct"/>
            <w:vMerge w:val="continue"/>
            <w:vAlign w:val="center"/>
          </w:tcPr>
          <w:p w14:paraId="27A1A30E">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6102971F">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无人船改造 - 组合导航系统</w:t>
            </w:r>
          </w:p>
        </w:tc>
        <w:tc>
          <w:tcPr>
            <w:tcW w:w="871" w:type="pct"/>
            <w:vMerge w:val="continue"/>
            <w:vAlign w:val="center"/>
          </w:tcPr>
          <w:p w14:paraId="1C02DC4F">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43B4EAF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1套</w:t>
            </w:r>
          </w:p>
        </w:tc>
        <w:tc>
          <w:tcPr>
            <w:tcW w:w="811" w:type="pct"/>
            <w:vMerge w:val="continue"/>
            <w:vAlign w:val="center"/>
          </w:tcPr>
          <w:p w14:paraId="61CD95A3">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441DF449">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042A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right"/>
        </w:trPr>
        <w:tc>
          <w:tcPr>
            <w:tcW w:w="421" w:type="pct"/>
            <w:vMerge w:val="continue"/>
            <w:vAlign w:val="center"/>
          </w:tcPr>
          <w:p w14:paraId="7E4A5B9D">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599E52E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无人船改造 - 采样器</w:t>
            </w:r>
          </w:p>
        </w:tc>
        <w:tc>
          <w:tcPr>
            <w:tcW w:w="871" w:type="pct"/>
            <w:vMerge w:val="continue"/>
            <w:vAlign w:val="center"/>
          </w:tcPr>
          <w:p w14:paraId="674FFEBD">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6C62E1FD">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1套</w:t>
            </w:r>
          </w:p>
        </w:tc>
        <w:tc>
          <w:tcPr>
            <w:tcW w:w="811" w:type="pct"/>
            <w:vMerge w:val="continue"/>
            <w:vAlign w:val="center"/>
          </w:tcPr>
          <w:p w14:paraId="54DC5A4C">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2A235669">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5662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continue"/>
            <w:vAlign w:val="center"/>
          </w:tcPr>
          <w:p w14:paraId="59BD1FF3">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376A8C9C">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手持核素识别仪</w:t>
            </w:r>
          </w:p>
        </w:tc>
        <w:tc>
          <w:tcPr>
            <w:tcW w:w="871" w:type="pct"/>
            <w:vMerge w:val="continue"/>
            <w:vAlign w:val="center"/>
          </w:tcPr>
          <w:p w14:paraId="426CE752">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3201903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811" w:type="pct"/>
            <w:vMerge w:val="continue"/>
            <w:vAlign w:val="center"/>
          </w:tcPr>
          <w:p w14:paraId="5D50360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79E26B78">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5C32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right"/>
        </w:trPr>
        <w:tc>
          <w:tcPr>
            <w:tcW w:w="421" w:type="pct"/>
            <w:vMerge w:val="continue"/>
            <w:vAlign w:val="center"/>
          </w:tcPr>
          <w:p w14:paraId="480B6546">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6F50711E">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环境气体综合分析仪</w:t>
            </w:r>
          </w:p>
        </w:tc>
        <w:tc>
          <w:tcPr>
            <w:tcW w:w="871" w:type="pct"/>
            <w:vMerge w:val="continue"/>
            <w:vAlign w:val="center"/>
          </w:tcPr>
          <w:p w14:paraId="27F701D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380150A0">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811" w:type="pct"/>
            <w:vMerge w:val="continue"/>
            <w:vAlign w:val="center"/>
          </w:tcPr>
          <w:p w14:paraId="466D33DE">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4CF64A3B">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1B01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right"/>
        </w:trPr>
        <w:tc>
          <w:tcPr>
            <w:tcW w:w="421" w:type="pct"/>
            <w:vMerge w:val="continue"/>
            <w:vAlign w:val="center"/>
          </w:tcPr>
          <w:p w14:paraId="20F8E337">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0FE4BD2C">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便携式傅里叶红外气体分析仪</w:t>
            </w:r>
          </w:p>
        </w:tc>
        <w:tc>
          <w:tcPr>
            <w:tcW w:w="871" w:type="pct"/>
            <w:vMerge w:val="continue"/>
            <w:vAlign w:val="center"/>
          </w:tcPr>
          <w:p w14:paraId="154E65F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456A2495">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1台</w:t>
            </w:r>
          </w:p>
        </w:tc>
        <w:tc>
          <w:tcPr>
            <w:tcW w:w="811" w:type="pct"/>
            <w:vMerge w:val="continue"/>
            <w:vAlign w:val="center"/>
          </w:tcPr>
          <w:p w14:paraId="6BDAE852">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16DB753B">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5898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right"/>
        </w:trPr>
        <w:tc>
          <w:tcPr>
            <w:tcW w:w="421" w:type="pct"/>
            <w:vMerge w:val="continue"/>
            <w:vAlign w:val="center"/>
          </w:tcPr>
          <w:p w14:paraId="5BD6FF6D">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7D1E66B1">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铅衣</w:t>
            </w:r>
          </w:p>
        </w:tc>
        <w:tc>
          <w:tcPr>
            <w:tcW w:w="871" w:type="pct"/>
            <w:vMerge w:val="continue"/>
            <w:vAlign w:val="center"/>
          </w:tcPr>
          <w:p w14:paraId="16CC09A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44C68717">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2套</w:t>
            </w:r>
          </w:p>
        </w:tc>
        <w:tc>
          <w:tcPr>
            <w:tcW w:w="811" w:type="pct"/>
            <w:vMerge w:val="continue"/>
            <w:vAlign w:val="center"/>
          </w:tcPr>
          <w:p w14:paraId="3AF5CEEE">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1ED12780">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4539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right"/>
        </w:trPr>
        <w:tc>
          <w:tcPr>
            <w:tcW w:w="421" w:type="pct"/>
            <w:vMerge w:val="continue"/>
            <w:vAlign w:val="center"/>
          </w:tcPr>
          <w:p w14:paraId="08904935">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5DE02E9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放射源操作长柄</w:t>
            </w:r>
          </w:p>
        </w:tc>
        <w:tc>
          <w:tcPr>
            <w:tcW w:w="871" w:type="pct"/>
            <w:vMerge w:val="continue"/>
            <w:vAlign w:val="center"/>
          </w:tcPr>
          <w:p w14:paraId="0718AFC4">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57F143B7">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1个</w:t>
            </w:r>
          </w:p>
        </w:tc>
        <w:tc>
          <w:tcPr>
            <w:tcW w:w="811" w:type="pct"/>
            <w:vMerge w:val="continue"/>
            <w:vAlign w:val="center"/>
          </w:tcPr>
          <w:p w14:paraId="05B5D063">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1F5391BC">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03C2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right"/>
        </w:trPr>
        <w:tc>
          <w:tcPr>
            <w:tcW w:w="421" w:type="pct"/>
            <w:vMerge w:val="continue"/>
            <w:vAlign w:val="center"/>
          </w:tcPr>
          <w:p w14:paraId="3B37DE5C">
            <w:pPr>
              <w:pageBreakBefore w:val="0"/>
              <w:wordWrap/>
              <w:topLinePunct w:val="0"/>
              <w:bidi w:val="0"/>
              <w:spacing w:line="360" w:lineRule="auto"/>
              <w:jc w:val="center"/>
              <w:rPr>
                <w:rFonts w:hint="eastAsia" w:ascii="宋体" w:hAnsi="宋体" w:eastAsia="宋体" w:cs="宋体"/>
                <w:bCs/>
                <w:i w:val="0"/>
                <w:iCs w:val="0"/>
                <w:color w:val="auto"/>
                <w:spacing w:val="0"/>
                <w:position w:val="0"/>
                <w:sz w:val="21"/>
                <w:szCs w:val="21"/>
                <w:highlight w:val="none"/>
              </w:rPr>
            </w:pPr>
          </w:p>
        </w:tc>
        <w:tc>
          <w:tcPr>
            <w:tcW w:w="1808" w:type="pct"/>
            <w:vAlign w:val="center"/>
          </w:tcPr>
          <w:p w14:paraId="23424E02">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移动大电源</w:t>
            </w:r>
          </w:p>
        </w:tc>
        <w:tc>
          <w:tcPr>
            <w:tcW w:w="871" w:type="pct"/>
            <w:vMerge w:val="continue"/>
            <w:vAlign w:val="center"/>
          </w:tcPr>
          <w:p w14:paraId="38B99077">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36A476C8">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27台</w:t>
            </w:r>
          </w:p>
        </w:tc>
        <w:tc>
          <w:tcPr>
            <w:tcW w:w="811" w:type="pct"/>
            <w:vMerge w:val="continue"/>
            <w:vAlign w:val="center"/>
          </w:tcPr>
          <w:p w14:paraId="7F4A9DCC">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427" w:type="pct"/>
            <w:vMerge w:val="continue"/>
            <w:vAlign w:val="center"/>
          </w:tcPr>
          <w:p w14:paraId="46F961A0">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2ED8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right"/>
        </w:trPr>
        <w:tc>
          <w:tcPr>
            <w:tcW w:w="421" w:type="pct"/>
            <w:vMerge w:val="restart"/>
            <w:vAlign w:val="center"/>
          </w:tcPr>
          <w:p w14:paraId="1E5CD762">
            <w:pPr>
              <w:pageBreakBefore w:val="0"/>
              <w:wordWrap/>
              <w:topLinePunct w:val="0"/>
              <w:bidi w:val="0"/>
              <w:spacing w:line="360" w:lineRule="auto"/>
              <w:jc w:val="center"/>
              <w:rPr>
                <w:rFonts w:hint="default" w:ascii="宋体" w:hAnsi="宋体" w:eastAsia="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02</w:t>
            </w:r>
          </w:p>
        </w:tc>
        <w:tc>
          <w:tcPr>
            <w:tcW w:w="1808" w:type="pct"/>
            <w:vAlign w:val="center"/>
          </w:tcPr>
          <w:p w14:paraId="1F2972FC">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移动源执法监测设备（OBD 诊断仪）</w:t>
            </w:r>
          </w:p>
        </w:tc>
        <w:tc>
          <w:tcPr>
            <w:tcW w:w="871" w:type="pct"/>
            <w:vMerge w:val="restart"/>
            <w:vAlign w:val="center"/>
          </w:tcPr>
          <w:p w14:paraId="4AFF307E">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190.24</w:t>
            </w:r>
          </w:p>
        </w:tc>
        <w:tc>
          <w:tcPr>
            <w:tcW w:w="660" w:type="pct"/>
            <w:vAlign w:val="center"/>
          </w:tcPr>
          <w:p w14:paraId="600CAB42">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23台</w:t>
            </w:r>
          </w:p>
        </w:tc>
        <w:tc>
          <w:tcPr>
            <w:tcW w:w="811" w:type="pct"/>
            <w:vMerge w:val="restart"/>
            <w:vAlign w:val="center"/>
          </w:tcPr>
          <w:p w14:paraId="4AABB836">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详见采购需求</w:t>
            </w:r>
          </w:p>
        </w:tc>
        <w:tc>
          <w:tcPr>
            <w:tcW w:w="427" w:type="pct"/>
            <w:vMerge w:val="restart"/>
            <w:vAlign w:val="center"/>
          </w:tcPr>
          <w:p w14:paraId="243A8386">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r>
              <w:rPr>
                <w:rFonts w:hint="eastAsia" w:ascii="宋体" w:hAnsi="宋体" w:cs="宋体"/>
                <w:i w:val="0"/>
                <w:iCs w:val="0"/>
                <w:color w:val="auto"/>
                <w:spacing w:val="0"/>
                <w:kern w:val="0"/>
                <w:position w:val="0"/>
                <w:sz w:val="21"/>
                <w:szCs w:val="21"/>
                <w:highlight w:val="none"/>
                <w:lang w:eastAsia="zh-CN"/>
              </w:rPr>
              <w:t>本项目不接受进口产品</w:t>
            </w:r>
          </w:p>
        </w:tc>
      </w:tr>
      <w:tr w14:paraId="2D69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right"/>
        </w:trPr>
        <w:tc>
          <w:tcPr>
            <w:tcW w:w="421" w:type="pct"/>
            <w:vMerge w:val="continue"/>
            <w:vAlign w:val="center"/>
          </w:tcPr>
          <w:p w14:paraId="094C6594">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1808" w:type="pct"/>
            <w:vAlign w:val="center"/>
          </w:tcPr>
          <w:p w14:paraId="2320CA4B">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 (不透光烟度计)</w:t>
            </w:r>
          </w:p>
        </w:tc>
        <w:tc>
          <w:tcPr>
            <w:tcW w:w="871" w:type="pct"/>
            <w:vMerge w:val="continue"/>
            <w:vAlign w:val="center"/>
          </w:tcPr>
          <w:p w14:paraId="24026925">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3414D737">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23台</w:t>
            </w:r>
          </w:p>
        </w:tc>
        <w:tc>
          <w:tcPr>
            <w:tcW w:w="811" w:type="pct"/>
            <w:vMerge w:val="continue"/>
            <w:vAlign w:val="center"/>
          </w:tcPr>
          <w:p w14:paraId="4B933F1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7" w:type="pct"/>
            <w:vMerge w:val="continue"/>
            <w:vAlign w:val="center"/>
          </w:tcPr>
          <w:p w14:paraId="773BFE04">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r w14:paraId="7ABD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right"/>
        </w:trPr>
        <w:tc>
          <w:tcPr>
            <w:tcW w:w="421" w:type="pct"/>
            <w:vMerge w:val="continue"/>
            <w:vAlign w:val="center"/>
          </w:tcPr>
          <w:p w14:paraId="3A039AC8">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1808" w:type="pct"/>
            <w:vAlign w:val="center"/>
          </w:tcPr>
          <w:p w14:paraId="0F2C7881">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default" w:ascii="宋体" w:hAnsi="宋体" w:cs="宋体"/>
                <w:bCs/>
                <w:i w:val="0"/>
                <w:iCs w:val="0"/>
                <w:color w:val="auto"/>
                <w:spacing w:val="0"/>
                <w:position w:val="0"/>
                <w:sz w:val="21"/>
                <w:szCs w:val="21"/>
                <w:highlight w:val="none"/>
                <w:lang w:val="en-US" w:eastAsia="zh-CN"/>
              </w:rPr>
              <w:t>移动源执法监测设备（重型汽车氮氧化物快速检测仪）</w:t>
            </w:r>
          </w:p>
        </w:tc>
        <w:tc>
          <w:tcPr>
            <w:tcW w:w="871" w:type="pct"/>
            <w:vMerge w:val="continue"/>
            <w:vAlign w:val="center"/>
          </w:tcPr>
          <w:p w14:paraId="585EC699">
            <w:pPr>
              <w:pageBreakBefore w:val="0"/>
              <w:wordWrap/>
              <w:topLinePunct w:val="0"/>
              <w:bidi w:val="0"/>
              <w:spacing w:line="360" w:lineRule="auto"/>
              <w:jc w:val="center"/>
              <w:rPr>
                <w:rFonts w:hint="eastAsia" w:ascii="宋体" w:hAnsi="宋体" w:cs="宋体"/>
                <w:bCs/>
                <w:i w:val="0"/>
                <w:iCs w:val="0"/>
                <w:color w:val="auto"/>
                <w:spacing w:val="0"/>
                <w:position w:val="0"/>
                <w:sz w:val="21"/>
                <w:szCs w:val="21"/>
                <w:highlight w:val="none"/>
                <w:lang w:val="en-US" w:eastAsia="zh-CN"/>
              </w:rPr>
            </w:pPr>
          </w:p>
        </w:tc>
        <w:tc>
          <w:tcPr>
            <w:tcW w:w="660" w:type="pct"/>
            <w:vAlign w:val="center"/>
          </w:tcPr>
          <w:p w14:paraId="084DD1A8">
            <w:pPr>
              <w:pageBreakBefore w:val="0"/>
              <w:wordWrap/>
              <w:topLinePunct w:val="0"/>
              <w:bidi w:val="0"/>
              <w:spacing w:line="360" w:lineRule="auto"/>
              <w:jc w:val="center"/>
              <w:rPr>
                <w:rFonts w:hint="default" w:ascii="宋体" w:hAnsi="宋体" w:cs="宋体"/>
                <w:bCs/>
                <w:i w:val="0"/>
                <w:iCs w:val="0"/>
                <w:color w:val="auto"/>
                <w:spacing w:val="0"/>
                <w:position w:val="0"/>
                <w:sz w:val="21"/>
                <w:szCs w:val="21"/>
                <w:highlight w:val="none"/>
                <w:lang w:val="en-US" w:eastAsia="zh-CN"/>
              </w:rPr>
            </w:pPr>
            <w:r>
              <w:rPr>
                <w:rFonts w:hint="eastAsia" w:ascii="宋体" w:hAnsi="宋体" w:cs="宋体"/>
                <w:bCs/>
                <w:i w:val="0"/>
                <w:iCs w:val="0"/>
                <w:color w:val="auto"/>
                <w:spacing w:val="0"/>
                <w:position w:val="0"/>
                <w:sz w:val="21"/>
                <w:szCs w:val="21"/>
                <w:highlight w:val="none"/>
                <w:lang w:val="en-US" w:eastAsia="zh-CN"/>
              </w:rPr>
              <w:t>2台</w:t>
            </w:r>
          </w:p>
        </w:tc>
        <w:tc>
          <w:tcPr>
            <w:tcW w:w="811" w:type="pct"/>
            <w:vMerge w:val="continue"/>
            <w:vAlign w:val="center"/>
          </w:tcPr>
          <w:p w14:paraId="39BCEE7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7" w:type="pct"/>
            <w:vMerge w:val="continue"/>
            <w:vAlign w:val="center"/>
          </w:tcPr>
          <w:p w14:paraId="0A117B6A">
            <w:pPr>
              <w:pageBreakBefore w:val="0"/>
              <w:wordWrap/>
              <w:topLinePunct w:val="0"/>
              <w:bidi w:val="0"/>
              <w:spacing w:line="360" w:lineRule="auto"/>
              <w:jc w:val="center"/>
              <w:rPr>
                <w:rFonts w:hint="eastAsia" w:ascii="宋体" w:hAnsi="宋体" w:eastAsia="宋体" w:cs="宋体"/>
                <w:i w:val="0"/>
                <w:iCs w:val="0"/>
                <w:color w:val="auto"/>
                <w:spacing w:val="0"/>
                <w:kern w:val="0"/>
                <w:position w:val="0"/>
                <w:sz w:val="21"/>
                <w:szCs w:val="21"/>
                <w:highlight w:val="none"/>
              </w:rPr>
            </w:pPr>
          </w:p>
        </w:tc>
      </w:tr>
    </w:tbl>
    <w:p w14:paraId="06F7AFF9">
      <w:pPr>
        <w:pageBreakBefore w:val="0"/>
        <w:numPr>
          <w:ilvl w:val="0"/>
          <w:numId w:val="0"/>
        </w:numPr>
        <w:wordWrap/>
        <w:topLinePunct w:val="0"/>
        <w:bidi w:val="0"/>
        <w:spacing w:line="360" w:lineRule="auto"/>
        <w:contextualSpacing/>
        <w:rPr>
          <w:rFonts w:hint="eastAsia" w:ascii="宋体" w:hAnsi="宋体" w:eastAsia="宋体" w:cs="宋体"/>
          <w:bCs/>
          <w:i w:val="0"/>
          <w:iCs w:val="0"/>
          <w:color w:val="auto"/>
          <w:spacing w:val="0"/>
          <w:position w:val="0"/>
          <w:sz w:val="24"/>
          <w:highlight w:val="none"/>
        </w:rPr>
      </w:pPr>
    </w:p>
    <w:p w14:paraId="7673E473">
      <w:pPr>
        <w:keepNext w:val="0"/>
        <w:keepLines w:val="0"/>
        <w:pageBreakBefore w:val="0"/>
        <w:widowControl w:val="0"/>
        <w:kinsoku/>
        <w:wordWrap/>
        <w:overflowPunct/>
        <w:topLinePunct w:val="0"/>
        <w:autoSpaceDE/>
        <w:autoSpaceDN/>
        <w:bidi w:val="0"/>
        <w:adjustRightInd/>
        <w:snapToGrid/>
        <w:spacing w:before="382" w:beforeLines="100" w:line="360" w:lineRule="auto"/>
        <w:contextualSpacing/>
        <w:textAlignment w:val="auto"/>
        <w:rPr>
          <w:rFonts w:hint="eastAsia" w:ascii="宋体" w:hAnsi="宋体" w:eastAsia="宋体" w:cs="宋体"/>
          <w:bCs/>
          <w:i w:val="0"/>
          <w:iCs w:val="0"/>
          <w:color w:val="auto"/>
          <w:spacing w:val="0"/>
          <w:position w:val="0"/>
          <w:sz w:val="24"/>
          <w:highlight w:val="none"/>
        </w:rPr>
      </w:pPr>
      <w:r>
        <w:rPr>
          <w:rFonts w:hint="eastAsia" w:ascii="宋体" w:hAnsi="宋体" w:eastAsia="宋体" w:cs="宋体"/>
          <w:bCs/>
          <w:i w:val="0"/>
          <w:iCs w:val="0"/>
          <w:color w:val="auto"/>
          <w:spacing w:val="0"/>
          <w:position w:val="0"/>
          <w:sz w:val="24"/>
          <w:highlight w:val="none"/>
        </w:rPr>
        <w:t>2. 项目背景/项目概述（如有）</w:t>
      </w:r>
    </w:p>
    <w:p w14:paraId="0AFD9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i w:val="0"/>
          <w:iCs w:val="0"/>
          <w:color w:val="auto"/>
          <w:spacing w:val="0"/>
          <w:position w:val="0"/>
          <w:sz w:val="24"/>
          <w:szCs w:val="24"/>
          <w:highlight w:val="none"/>
          <w:lang w:eastAsia="zh-CN"/>
        </w:rPr>
      </w:pPr>
      <w:bookmarkStart w:id="827" w:name="OLE_LINK1"/>
      <w:r>
        <w:rPr>
          <w:rFonts w:hint="eastAsia" w:ascii="宋体" w:hAnsi="宋体" w:cs="宋体"/>
          <w:bCs/>
          <w:i w:val="0"/>
          <w:iCs w:val="0"/>
          <w:color w:val="auto"/>
          <w:spacing w:val="0"/>
          <w:position w:val="0"/>
          <w:sz w:val="24"/>
          <w:szCs w:val="24"/>
          <w:highlight w:val="none"/>
          <w:lang w:eastAsia="zh-CN"/>
        </w:rPr>
        <w:t>依据生态环境部《生态环境保护综合行政执法装备标准化建设指导标准（2024年版）》（环办执法〔2024〕27号）等相关政策要求，根据通州区作为北京城市副中心的发展定位及2026年空气质量核心管控目标（PM2.5年均浓度≤29微克/立方米、优良天数比率达78%），结合区域氮氧化物“十五五”减排时序要求，移动源污染治理已成为大气污染防治核心方向。本项目拟通过采购移动源执法监测及现场保障装备，全面对标2024版标准化要求，完善装备配置体系、提升执法效能；具体预期目标：推动执法标准化规范化高效化，筑牢区域空气质量改善硬件支撑。</w:t>
      </w:r>
    </w:p>
    <w:bookmarkEnd w:id="827"/>
    <w:p w14:paraId="6D0D5DE9">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商务要求</w:t>
      </w:r>
    </w:p>
    <w:p w14:paraId="2DF77673">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 交付（实施）的时间（期限）和地点（范围）</w:t>
      </w:r>
    </w:p>
    <w:p w14:paraId="60CAC999">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lang w:val="en-US" w:eastAsia="zh-CN"/>
        </w:rPr>
        <w:t>合同履行期限：</w:t>
      </w:r>
      <w:r>
        <w:rPr>
          <w:rFonts w:hint="eastAsia" w:ascii="宋体" w:hAnsi="宋体" w:cs="宋体"/>
          <w:i w:val="0"/>
          <w:iCs w:val="0"/>
          <w:color w:val="auto"/>
          <w:spacing w:val="0"/>
          <w:position w:val="0"/>
          <w:sz w:val="24"/>
          <w:highlight w:val="none"/>
          <w:lang w:val="en-US" w:eastAsia="zh-CN"/>
        </w:rPr>
        <w:t>自合同签订之日起90个工作日内完成设备的供货、运输、安装调试及验收。</w:t>
      </w:r>
    </w:p>
    <w:p w14:paraId="3A83CD4A">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highlight w:val="none"/>
          <w:lang w:val="en-US" w:eastAsia="zh-CN"/>
        </w:rPr>
      </w:pPr>
      <w:r>
        <w:rPr>
          <w:rFonts w:hint="eastAsia" w:ascii="宋体" w:hAnsi="宋体" w:eastAsia="宋体" w:cs="宋体"/>
          <w:i w:val="0"/>
          <w:iCs w:val="0"/>
          <w:color w:val="auto"/>
          <w:spacing w:val="0"/>
          <w:position w:val="0"/>
          <w:sz w:val="24"/>
          <w:highlight w:val="none"/>
          <w:lang w:val="en-US" w:eastAsia="zh-CN"/>
        </w:rPr>
        <w:t>地点：北京市通州区</w:t>
      </w:r>
      <w:r>
        <w:rPr>
          <w:rFonts w:hint="eastAsia" w:ascii="宋体" w:hAnsi="宋体" w:cs="宋体"/>
          <w:i w:val="0"/>
          <w:iCs w:val="0"/>
          <w:color w:val="auto"/>
          <w:spacing w:val="0"/>
          <w:position w:val="0"/>
          <w:sz w:val="24"/>
          <w:highlight w:val="none"/>
          <w:lang w:val="en-US" w:eastAsia="zh-CN"/>
        </w:rPr>
        <w:t>（采购人指定地点）</w:t>
      </w:r>
    </w:p>
    <w:p w14:paraId="5C5EA69E">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 付款条件（进度和方式）</w:t>
      </w:r>
    </w:p>
    <w:p w14:paraId="4A05C728">
      <w:pPr>
        <w:pageBreakBefore w:val="0"/>
        <w:wordWrap/>
        <w:topLinePunct w:val="0"/>
        <w:bidi w:val="0"/>
        <w:spacing w:line="360" w:lineRule="auto"/>
        <w:ind w:firstLine="480" w:firstLineChars="200"/>
        <w:contextualSpacing/>
        <w:rPr>
          <w:rFonts w:hint="eastAsia" w:ascii="宋体" w:hAnsi="宋体" w:eastAsia="宋体" w:cs="宋体"/>
          <w:b/>
          <w:i w:val="0"/>
          <w:iCs w:val="0"/>
          <w:color w:val="auto"/>
          <w:spacing w:val="0"/>
          <w:position w:val="0"/>
          <w:sz w:val="24"/>
          <w:highlight w:val="none"/>
        </w:rPr>
      </w:pPr>
      <w:r>
        <w:rPr>
          <w:rFonts w:hint="eastAsia" w:ascii="宋体" w:hAnsi="宋体" w:eastAsia="宋体" w:cs="宋体"/>
          <w:bCs/>
          <w:i w:val="0"/>
          <w:iCs w:val="0"/>
          <w:color w:val="auto"/>
          <w:spacing w:val="0"/>
          <w:position w:val="0"/>
          <w:sz w:val="24"/>
          <w:highlight w:val="none"/>
          <w:lang w:val="en-US" w:eastAsia="zh-CN"/>
        </w:rPr>
        <w:t>详见合同条款</w:t>
      </w:r>
    </w:p>
    <w:p w14:paraId="5981D54F">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政策依据</w:t>
      </w:r>
    </w:p>
    <w:p w14:paraId="01231046">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本项目实施严格遵循国家、北京市及通州区相关政策法规、标准规范及发展部署要求，核心依据如下：</w:t>
      </w:r>
    </w:p>
    <w:p w14:paraId="6B53F54A">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生态环境部《生态环境保护综合行政执法装备标准化建设指导标准（2024年版）》（环办执法〔2024〕27号），为移动源执法监测装备的配置数量、技术参数、标准化建设提供核心规范；该文件明确指出，地方各级生态环境部门应高度重视执法装备配备工作，将落实指导标准作为强化生态环境执法装备现代化建设的重要举措，在三至五年内完成执法装备全面配备。</w:t>
      </w:r>
    </w:p>
    <w:p w14:paraId="1B41871C">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技术要求</w:t>
      </w:r>
    </w:p>
    <w:p w14:paraId="444FC048">
      <w:pPr>
        <w:pageBreakBefore w:val="0"/>
        <w:wordWrap/>
        <w:topLinePunct w:val="0"/>
        <w:bidi w:val="0"/>
        <w:spacing w:line="360" w:lineRule="auto"/>
        <w:ind w:firstLine="480" w:firstLineChars="200"/>
        <w:contextualSpacing/>
        <w:rPr>
          <w:rFonts w:hint="eastAsia" w:ascii="宋体" w:hAnsi="宋体" w:eastAsia="宋体" w:cs="宋体"/>
          <w:b/>
          <w:i w:val="0"/>
          <w:iCs w:val="0"/>
          <w:color w:val="auto"/>
          <w:spacing w:val="0"/>
          <w:position w:val="0"/>
          <w:sz w:val="24"/>
          <w:szCs w:val="24"/>
          <w:highlight w:val="none"/>
          <w:lang w:eastAsia="zh-CN"/>
        </w:rPr>
      </w:pPr>
      <w:r>
        <w:rPr>
          <w:rFonts w:hint="eastAsia" w:ascii="宋体" w:hAnsi="宋体" w:eastAsia="宋体" w:cs="宋体"/>
          <w:i w:val="0"/>
          <w:iCs w:val="0"/>
          <w:color w:val="auto"/>
          <w:spacing w:val="0"/>
          <w:position w:val="0"/>
          <w:sz w:val="24"/>
          <w:highlight w:val="none"/>
        </w:rPr>
        <w:t>本项目核心为移动源执法监测装备及现场保障装备采购，配套开展招标采购、调试校准、验收培训等相关服务，确保采购设备合规达标并顺利投入使用</w:t>
      </w:r>
      <w:r>
        <w:rPr>
          <w:rFonts w:hint="eastAsia" w:ascii="宋体" w:hAnsi="宋体" w:eastAsia="宋体" w:cs="宋体"/>
          <w:i w:val="0"/>
          <w:iCs w:val="0"/>
          <w:color w:val="auto"/>
          <w:spacing w:val="0"/>
          <w:position w:val="0"/>
          <w:sz w:val="24"/>
          <w:highlight w:val="none"/>
          <w:lang w:eastAsia="zh-CN"/>
        </w:rPr>
        <w:t>。</w:t>
      </w:r>
    </w:p>
    <w:p w14:paraId="07CC1F28">
      <w:pPr>
        <w:pageBreakBefore w:val="0"/>
        <w:wordWrap/>
        <w:topLinePunct w:val="0"/>
        <w:bidi w:val="0"/>
        <w:spacing w:line="360" w:lineRule="auto"/>
        <w:contextualSpacing/>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lang w:val="en-US" w:eastAsia="zh-CN"/>
        </w:rPr>
        <w:t>1</w:t>
      </w:r>
      <w:r>
        <w:rPr>
          <w:rFonts w:hint="eastAsia" w:ascii="宋体" w:hAnsi="宋体" w:cs="宋体"/>
          <w:b/>
          <w:bCs/>
          <w:i w:val="0"/>
          <w:iCs w:val="0"/>
          <w:color w:val="auto"/>
          <w:spacing w:val="0"/>
          <w:position w:val="0"/>
          <w:sz w:val="24"/>
          <w:highlight w:val="none"/>
          <w:lang w:val="en-US" w:eastAsia="zh-CN"/>
        </w:rPr>
        <w:t>、01包</w:t>
      </w:r>
      <w:r>
        <w:rPr>
          <w:rFonts w:hint="eastAsia" w:ascii="宋体" w:hAnsi="宋体" w:cs="宋体"/>
          <w:b/>
          <w:bCs/>
          <w:i w:val="0"/>
          <w:iCs w:val="0"/>
          <w:color w:val="auto"/>
          <w:spacing w:val="0"/>
          <w:position w:val="0"/>
          <w:sz w:val="24"/>
          <w:highlight w:val="none"/>
          <w:lang w:eastAsia="zh-CN"/>
        </w:rPr>
        <w:t>设备数量及参数要求</w:t>
      </w:r>
      <w:r>
        <w:rPr>
          <w:rFonts w:hint="eastAsia" w:ascii="宋体" w:hAnsi="宋体" w:eastAsia="宋体" w:cs="宋体"/>
          <w:b/>
          <w:bCs/>
          <w:i w:val="0"/>
          <w:iCs w:val="0"/>
          <w:color w:val="auto"/>
          <w:spacing w:val="0"/>
          <w:position w:val="0"/>
          <w:sz w:val="24"/>
          <w:highlight w:val="none"/>
        </w:rPr>
        <w:t>：</w:t>
      </w:r>
    </w:p>
    <w:p w14:paraId="4C14CC10">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1、单人基本装备</w:t>
      </w:r>
    </w:p>
    <w:p w14:paraId="355DF4F4">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本类装备为执法人员在危险环境作业的基础防护与基础工具，适配石油化工、加油站等易燃易爆、化工污染类执法场景，包含5款单品：</w:t>
      </w:r>
    </w:p>
    <w:p w14:paraId="5D375D0B">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1）防爆强光手电：数量10个，采用LED光源，具备IP6</w:t>
      </w:r>
      <w:r>
        <w:rPr>
          <w:rFonts w:hint="eastAsia" w:ascii="宋体" w:hAnsi="宋体" w:cs="宋体"/>
          <w:i w:val="0"/>
          <w:iCs w:val="0"/>
          <w:color w:val="auto"/>
          <w:spacing w:val="0"/>
          <w:position w:val="0"/>
          <w:sz w:val="24"/>
          <w:highlight w:val="none"/>
          <w:lang w:val="en-US" w:eastAsia="zh-CN"/>
        </w:rPr>
        <w:t>7以上（含）</w:t>
      </w:r>
      <w:r>
        <w:rPr>
          <w:rFonts w:hint="eastAsia" w:ascii="宋体" w:hAnsi="宋体" w:eastAsia="宋体" w:cs="宋体"/>
          <w:i w:val="0"/>
          <w:iCs w:val="0"/>
          <w:color w:val="auto"/>
          <w:spacing w:val="0"/>
          <w:position w:val="0"/>
          <w:sz w:val="24"/>
          <w:highlight w:val="none"/>
        </w:rPr>
        <w:t>防水等级与6档聚焦功能，专为石油化工、粉尘等易燃易爆环境设计，适配危险环境下的照明需求。</w:t>
      </w:r>
    </w:p>
    <w:p w14:paraId="79B362D1">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2）手提式防爆手电：数量5个，搭载LED光源，达到IP68防水标准，配备实时电量显示功能，适用于加油站、化工厂、煤电厂等易燃易爆环境的便携照明。</w:t>
      </w:r>
    </w:p>
    <w:p w14:paraId="658391EB">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3）重型防化服：数量10套，具备抗强化学品渗透、阻燃特性，经5支3L/min喷头冲刷15分钟无渗漏，经纬向拉伸强度＞450N，可应对高浓度化学品污染的执法场景。</w:t>
      </w:r>
    </w:p>
    <w:p w14:paraId="55C58497">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4）滤毒盒（6类规格）：数量1套，可防护硫化氢、氯气、有机气体、酸性气体等多种有毒气体，可直接适配防毒面具使用。</w:t>
      </w:r>
    </w:p>
    <w:p w14:paraId="528E9C92">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一次性防护服：数量100套，采用外部双层面料设计，提升面料强度，有效防止撕裂和刺穿；可阻绝99%直径0.5-1.0um的悬浮颗粒；帽口、脚踝和袖口均为全松紧设计，兼顾穿戴舒适性与防护密封性；通过EN1149-5抗静电标准，可根据执法需求选择性加配相关功能。</w:t>
      </w:r>
    </w:p>
    <w:p w14:paraId="3CB173C7">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2、现场取证装备</w:t>
      </w:r>
    </w:p>
    <w:p w14:paraId="1544DD49">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本类为执法核心取证监测装备，水域水样采集、核素识别、气体与颗粒物分析等，适配多场景精准取证需求，包含</w:t>
      </w:r>
      <w:r>
        <w:rPr>
          <w:rFonts w:hint="eastAsia" w:ascii="宋体" w:hAnsi="宋体" w:cs="宋体"/>
          <w:i w:val="0"/>
          <w:iCs w:val="0"/>
          <w:color w:val="auto"/>
          <w:spacing w:val="0"/>
          <w:position w:val="0"/>
          <w:sz w:val="24"/>
          <w:highlight w:val="none"/>
          <w:lang w:val="en-US" w:eastAsia="zh-CN"/>
        </w:rPr>
        <w:t>5</w:t>
      </w:r>
      <w:r>
        <w:rPr>
          <w:rFonts w:hint="eastAsia" w:ascii="宋体" w:hAnsi="宋体" w:eastAsia="宋体" w:cs="宋体"/>
          <w:i w:val="0"/>
          <w:iCs w:val="0"/>
          <w:color w:val="auto"/>
          <w:spacing w:val="0"/>
          <w:position w:val="0"/>
          <w:sz w:val="24"/>
          <w:highlight w:val="none"/>
        </w:rPr>
        <w:t>款单品：</w:t>
      </w:r>
    </w:p>
    <w:p w14:paraId="5095786A">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1）无人船改造-组合导航系统：数量1套，搭载北斗卫星定位，可实现复杂水域自主航行，支持自主规划路径、智能避障，为水域环境执法的无人船作业提供导航支撑。</w:t>
      </w:r>
    </w:p>
    <w:p w14:paraId="741EA4EE">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cs="宋体"/>
          <w:i w:val="0"/>
          <w:iCs w:val="0"/>
          <w:color w:val="auto"/>
          <w:spacing w:val="0"/>
          <w:position w:val="0"/>
          <w:sz w:val="24"/>
          <w:highlight w:val="none"/>
          <w:lang w:val="en-US" w:eastAsia="zh-CN"/>
        </w:rPr>
        <w:t>2</w:t>
      </w:r>
      <w:r>
        <w:rPr>
          <w:rFonts w:hint="eastAsia" w:ascii="宋体" w:hAnsi="宋体" w:eastAsia="宋体" w:cs="宋体"/>
          <w:i w:val="0"/>
          <w:iCs w:val="0"/>
          <w:color w:val="auto"/>
          <w:spacing w:val="0"/>
          <w:position w:val="0"/>
          <w:sz w:val="24"/>
          <w:highlight w:val="none"/>
        </w:rPr>
        <w:t>）无人船改造-采样器：数量1套，配备7通道，可单次采集多个水样，单瓶取水</w:t>
      </w:r>
      <w:r>
        <w:rPr>
          <w:rFonts w:hint="eastAsia" w:ascii="宋体" w:hAnsi="宋体" w:cs="宋体"/>
          <w:i w:val="0"/>
          <w:iCs w:val="0"/>
          <w:color w:val="auto"/>
          <w:spacing w:val="0"/>
          <w:position w:val="0"/>
          <w:sz w:val="24"/>
          <w:highlight w:val="none"/>
          <w:lang w:eastAsia="zh-CN"/>
        </w:rPr>
        <w:t>时间小于</w:t>
      </w:r>
      <w:r>
        <w:rPr>
          <w:rFonts w:hint="eastAsia" w:ascii="宋体" w:hAnsi="宋体" w:cs="宋体"/>
          <w:i w:val="0"/>
          <w:iCs w:val="0"/>
          <w:color w:val="auto"/>
          <w:spacing w:val="0"/>
          <w:position w:val="0"/>
          <w:sz w:val="24"/>
          <w:highlight w:val="none"/>
          <w:lang w:val="en-US" w:eastAsia="zh-CN"/>
        </w:rPr>
        <w:t>20秒</w:t>
      </w:r>
      <w:r>
        <w:rPr>
          <w:rFonts w:hint="eastAsia" w:ascii="宋体" w:hAnsi="宋体" w:eastAsia="宋体" w:cs="宋体"/>
          <w:i w:val="0"/>
          <w:iCs w:val="0"/>
          <w:color w:val="auto"/>
          <w:spacing w:val="0"/>
          <w:position w:val="0"/>
          <w:sz w:val="24"/>
          <w:highlight w:val="none"/>
        </w:rPr>
        <w:t>，水样数据可实时上传云端，实现水域水样的高效、智能化采集。</w:t>
      </w:r>
    </w:p>
    <w:p w14:paraId="7A252FF7">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cs="宋体"/>
          <w:i w:val="0"/>
          <w:iCs w:val="0"/>
          <w:color w:val="auto"/>
          <w:spacing w:val="0"/>
          <w:position w:val="0"/>
          <w:sz w:val="24"/>
          <w:highlight w:val="none"/>
          <w:lang w:val="en-US" w:eastAsia="zh-CN"/>
        </w:rPr>
        <w:t>3</w:t>
      </w:r>
      <w:r>
        <w:rPr>
          <w:rFonts w:hint="eastAsia" w:ascii="宋体" w:hAnsi="宋体" w:eastAsia="宋体" w:cs="宋体"/>
          <w:i w:val="0"/>
          <w:iCs w:val="0"/>
          <w:color w:val="auto"/>
          <w:spacing w:val="0"/>
          <w:position w:val="0"/>
          <w:sz w:val="24"/>
          <w:highlight w:val="none"/>
        </w:rPr>
        <w:t>）手持核素识别仪：数量1台，配备4.3英寸高清触屏，内置医用/工业核素库，搭载2英寸LaBr3晶体探测器，可连续工作8小时，适配核辐射场景的现场核素识别。</w:t>
      </w:r>
    </w:p>
    <w:p w14:paraId="10B4A33C">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cs="宋体"/>
          <w:i w:val="0"/>
          <w:iCs w:val="0"/>
          <w:color w:val="auto"/>
          <w:spacing w:val="0"/>
          <w:position w:val="0"/>
          <w:sz w:val="24"/>
          <w:highlight w:val="none"/>
          <w:lang w:val="en-US" w:eastAsia="zh-CN"/>
        </w:rPr>
        <w:t>4</w:t>
      </w:r>
      <w:r>
        <w:rPr>
          <w:rFonts w:hint="eastAsia" w:ascii="宋体" w:hAnsi="宋体" w:eastAsia="宋体" w:cs="宋体"/>
          <w:i w:val="0"/>
          <w:iCs w:val="0"/>
          <w:color w:val="auto"/>
          <w:spacing w:val="0"/>
          <w:position w:val="0"/>
          <w:sz w:val="24"/>
          <w:highlight w:val="none"/>
        </w:rPr>
        <w:t>）便携式傅里叶红外气体分析仪：数量1台，符合HJ919-2017等标准，可检测SO2、NOx、NH3等多种气体，抗震性强且样气室耐腐蚀，适配现场有毒有害气体精准检测。</w:t>
      </w:r>
    </w:p>
    <w:p w14:paraId="1090AACE">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cs="宋体"/>
          <w:i w:val="0"/>
          <w:iCs w:val="0"/>
          <w:color w:val="auto"/>
          <w:spacing w:val="0"/>
          <w:position w:val="0"/>
          <w:sz w:val="24"/>
          <w:highlight w:val="none"/>
          <w:lang w:val="en-US" w:eastAsia="zh-CN"/>
        </w:rPr>
        <w:t>5</w:t>
      </w:r>
      <w:r>
        <w:rPr>
          <w:rFonts w:hint="eastAsia" w:ascii="宋体" w:hAnsi="宋体" w:eastAsia="宋体" w:cs="宋体"/>
          <w:i w:val="0"/>
          <w:iCs w:val="0"/>
          <w:color w:val="auto"/>
          <w:spacing w:val="0"/>
          <w:position w:val="0"/>
          <w:sz w:val="24"/>
          <w:highlight w:val="none"/>
        </w:rPr>
        <w:t>）环境气体综合分析仪：数量1台，可检测20余种气体，支持无人机走航监测，还可检测PM1、PM2.5、PM10、TSP等颗粒物，内置电子标签实现智能化管理，适配多类型气体与颗粒物的综合监测。</w:t>
      </w:r>
    </w:p>
    <w:p w14:paraId="75CCB6AF">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3、防护装备</w:t>
      </w:r>
    </w:p>
    <w:p w14:paraId="4C7A2918">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本类为核辐射执法场景专属防护装备，避免执法人员直接接触放射源，降低核辐射接触风险，包含2款单品：</w:t>
      </w:r>
    </w:p>
    <w:p w14:paraId="752CB2C5">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1）铅衣：数量2件，采用分级铅当量设计，前身铅当量0.5mmpb，后背及袖子铅当量0.25mmpb，为防水牛津布材质，尺寸可调节，适配核辐射场景的身体防护。</w:t>
      </w:r>
    </w:p>
    <w:p w14:paraId="6AA64A50">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2）放射源操作长柄：数量1个，专为核技术应用单位设计，可实现废放射源的夹取、转移、封盖等操作，避免执法人员与放射源直接接触，提升核辐射执法的安全性。</w:t>
      </w:r>
    </w:p>
    <w:p w14:paraId="0E9C267B">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4、执法保障装备</w:t>
      </w:r>
    </w:p>
    <w:p w14:paraId="2CD277AC">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本类为户外执法的电力保障装备，为各类大型执法设备、便携监测设备提供稳定供电，保障执法作业持续开展，包含1款单品：</w:t>
      </w:r>
    </w:p>
    <w:p w14:paraId="10178172">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1）移动大电源：数量27台，容量≥3000Wh、功率≥3000W，续航≥8小时，防护等级≥IP54，支持多接口同时充电，可满足户外执法中多款便携设备的同时供电需求。</w:t>
      </w:r>
    </w:p>
    <w:p w14:paraId="25598A4B">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lang w:val="en-US" w:eastAsia="zh-CN"/>
        </w:rPr>
        <w:t>2</w:t>
      </w:r>
      <w:r>
        <w:rPr>
          <w:rFonts w:hint="eastAsia" w:ascii="宋体" w:hAnsi="宋体" w:cs="宋体"/>
          <w:b/>
          <w:bCs/>
          <w:i w:val="0"/>
          <w:iCs w:val="0"/>
          <w:color w:val="auto"/>
          <w:spacing w:val="0"/>
          <w:position w:val="0"/>
          <w:sz w:val="24"/>
          <w:highlight w:val="none"/>
          <w:lang w:val="en-US" w:eastAsia="zh-CN"/>
        </w:rPr>
        <w:t>、02包</w:t>
      </w:r>
      <w:r>
        <w:rPr>
          <w:rFonts w:hint="eastAsia" w:ascii="宋体" w:hAnsi="宋体" w:cs="宋体"/>
          <w:b/>
          <w:bCs/>
          <w:i w:val="0"/>
          <w:iCs w:val="0"/>
          <w:color w:val="auto"/>
          <w:spacing w:val="0"/>
          <w:position w:val="0"/>
          <w:sz w:val="24"/>
          <w:highlight w:val="none"/>
          <w:lang w:eastAsia="zh-CN"/>
        </w:rPr>
        <w:t>设备数量及参数要求</w:t>
      </w:r>
      <w:r>
        <w:rPr>
          <w:rFonts w:hint="eastAsia" w:ascii="宋体" w:hAnsi="宋体" w:eastAsia="宋体" w:cs="宋体"/>
          <w:i w:val="0"/>
          <w:iCs w:val="0"/>
          <w:color w:val="auto"/>
          <w:spacing w:val="0"/>
          <w:position w:val="0"/>
          <w:sz w:val="24"/>
          <w:highlight w:val="none"/>
        </w:rPr>
        <w:t xml:space="preserve"> </w:t>
      </w:r>
    </w:p>
    <w:p w14:paraId="6BD25A23">
      <w:pPr>
        <w:pageBreakBefore w:val="0"/>
        <w:numPr>
          <w:ilvl w:val="0"/>
          <w:numId w:val="16"/>
        </w:numPr>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现场取证装备</w:t>
      </w:r>
    </w:p>
    <w:p w14:paraId="4DEBDE31">
      <w:pPr>
        <w:pageBreakBefore w:val="0"/>
        <w:numPr>
          <w:ilvl w:val="0"/>
          <w:numId w:val="0"/>
        </w:numPr>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本类为执法核心取证监测装备，功能覆盖移动源执法、、气体与颗粒物分析等</w:t>
      </w:r>
    </w:p>
    <w:p w14:paraId="106ED490">
      <w:pPr>
        <w:pageBreakBefore w:val="0"/>
        <w:numPr>
          <w:ilvl w:val="0"/>
          <w:numId w:val="17"/>
        </w:numPr>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移动源执法监测设备（OBD诊断仪）：数量23台，符合GB18285-2018等标准，支持多通信协议，可对接北京市生态环境综合执法管控平台，配备7寸以下便携屏，适配移动源现场执法监测。</w:t>
      </w:r>
    </w:p>
    <w:p w14:paraId="322F4C2A">
      <w:pPr>
        <w:pageBreakBefore w:val="0"/>
        <w:wordWrap/>
        <w:topLinePunct w:val="0"/>
        <w:bidi w:val="0"/>
        <w:spacing w:line="360" w:lineRule="auto"/>
        <w:ind w:left="420" w:leftChars="200" w:firstLine="0" w:firstLineChars="0"/>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val="en-US" w:eastAsia="zh-CN"/>
        </w:rPr>
        <w:t>2）</w:t>
      </w:r>
      <w:r>
        <w:rPr>
          <w:rFonts w:hint="eastAsia" w:ascii="宋体" w:hAnsi="宋体" w:eastAsia="宋体" w:cs="宋体"/>
          <w:i w:val="0"/>
          <w:iCs w:val="0"/>
          <w:color w:val="auto"/>
          <w:spacing w:val="0"/>
          <w:position w:val="0"/>
          <w:sz w:val="24"/>
          <w:highlight w:val="none"/>
        </w:rPr>
        <w:t>移动源执法监测设备(不透光烟度计)：数量23台，符合GB 3847-2018和GB 36886 -2018要求，示值范围：0~99.85%，分辨力：不大于0.1%，示值误差(绝对量)：不超过±2.0%，重复性(绝对量)：不大于1.0%。并可对接北京市生态环境综合执法管控平台。</w:t>
      </w:r>
    </w:p>
    <w:p w14:paraId="4251A131">
      <w:pPr>
        <w:pageBreakBefore w:val="0"/>
        <w:wordWrap/>
        <w:topLinePunct w:val="0"/>
        <w:bidi w:val="0"/>
        <w:spacing w:line="360" w:lineRule="auto"/>
        <w:ind w:left="420" w:leftChars="200" w:firstLine="0" w:firstLineChars="0"/>
        <w:contextualSpacing/>
        <w:rPr>
          <w:rFonts w:hint="default"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3） 移动源执法监测设备（重型汽车氮氧化物快速检测仪）：数量2台，符合DB11/1476-2017标准，搭载北斗定位，防护等级IP65，采样频率≥1Hz，可对接北京市生态环境综合执法管控平台，专为重型汽车氮氧化物现场快速检测设计。</w:t>
      </w:r>
    </w:p>
    <w:p w14:paraId="3B949343">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 xml:space="preserve">供应商售后及服务具体要求 </w:t>
      </w:r>
    </w:p>
    <w:p w14:paraId="2434398F">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为保障设备长期稳定运行、充分发挥执法效能，要求本项目设备供应商提供全方位、标准化、长效化的售后及技术服务，具体要求如下：</w:t>
      </w:r>
    </w:p>
    <w:p w14:paraId="141A2AED">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1、质保期限要求</w:t>
      </w:r>
    </w:p>
    <w:p w14:paraId="1FC802CD">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所供全部设备质保期不少于3年，自设备完成最终验收并交付使用之日起计算；质保期内提供免费的维修、更换、调试服务，因设备自身质量问题产生的所有费用均由供应商承担。</w:t>
      </w:r>
    </w:p>
    <w:p w14:paraId="4533F72A">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2、技术支持服务</w:t>
      </w:r>
    </w:p>
    <w:p w14:paraId="0D8263D4">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1）供应商需成立专属项目技术服务团队，配备至少2名具备3年以上相关设备维修、调试经验的专业技术人员，提供7×24小时技术咨询服务，通过电话、微信、视频等方式及时解答设备操作、使用过程中的问题，响应时间不超过30分钟。</w:t>
      </w:r>
    </w:p>
    <w:p w14:paraId="0D11AE32">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2）质保期内，至少每半年提供1次上门巡检服务，对设备进行全面的调试、校准、保养，形成巡检报告并提交至通州区生态环境局，及时发现并解决设备潜在故障。</w:t>
      </w:r>
    </w:p>
    <w:p w14:paraId="78727F69">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3）免费提供设备相关的技术资料，包括设备操作手册、维修手册、校准规范、数据传输接口手册等</w:t>
      </w:r>
      <w:r>
        <w:rPr>
          <w:rFonts w:hint="eastAsia" w:ascii="宋体" w:hAnsi="宋体" w:cs="宋体"/>
          <w:i w:val="0"/>
          <w:iCs w:val="0"/>
          <w:color w:val="auto"/>
          <w:spacing w:val="0"/>
          <w:position w:val="0"/>
          <w:sz w:val="24"/>
          <w:highlight w:val="none"/>
          <w:lang w:val="en-US" w:eastAsia="zh-CN"/>
        </w:rPr>
        <w:t>（如有）</w:t>
      </w:r>
      <w:r>
        <w:rPr>
          <w:rFonts w:hint="eastAsia" w:ascii="宋体" w:hAnsi="宋体" w:eastAsia="宋体" w:cs="宋体"/>
          <w:i w:val="0"/>
          <w:iCs w:val="0"/>
          <w:color w:val="auto"/>
          <w:spacing w:val="0"/>
          <w:position w:val="0"/>
          <w:sz w:val="24"/>
          <w:highlight w:val="none"/>
          <w:lang w:val="en-US" w:eastAsia="zh-CN"/>
        </w:rPr>
        <w:t>，纸质版及电子版各1套。</w:t>
      </w:r>
    </w:p>
    <w:p w14:paraId="47CF65E3">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3、故障维修响应要求</w:t>
      </w:r>
    </w:p>
    <w:p w14:paraId="71C81AE8">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1）设备出现故障后，供应商接到通知后，市区内2小时内到达现场开展维修；特殊情况下，最长现场响应时间不超过4小时。</w:t>
      </w:r>
    </w:p>
    <w:p w14:paraId="7D8FFB5A">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2）一般故障需在24小时内修复，重大故障需在48小时内修复；若48小时内无法修复，供应商需提供同等规格、性能的备用设备，确保执法工作不受影响。</w:t>
      </w:r>
    </w:p>
    <w:p w14:paraId="2B553FB2">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3）质保期内，因设备自身质量问题导致核心部件损坏的，供应商需免费更换全新的核心部件。</w:t>
      </w:r>
    </w:p>
    <w:p w14:paraId="0F3B33A0">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4、培训服务要求</w:t>
      </w:r>
    </w:p>
    <w:p w14:paraId="4B475260">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1）除项目实施阶段的集中操作培训外，质保期内，供应商需根据通州区生态环境局的需求，免费提供不少于2次的复训或新增执法人员培训服务，培训形式包括集中授课、现场实操指导等，确保所有执法人员均能熟练掌握设备操作、校准、简单故障排查等技能。</w:t>
      </w:r>
    </w:p>
    <w:p w14:paraId="2BAADCDB">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2）根据设备使用情况，免费提供设备升级培训，若设备进行软件升级、功能优化，及时对执法人员开展培训，确保设备新功能、新特性得到充分利用。</w:t>
      </w:r>
    </w:p>
    <w:p w14:paraId="50BC5912">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5、售后服务考核要求</w:t>
      </w:r>
    </w:p>
    <w:p w14:paraId="54F9B702">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供应商的售后服务质量纳入项目履约考核，通州区生态环境局根据供应商的服务响应速度、故障维修效率、巡检服务质量等进行综合评价，若供应商未按本要求提供售后服务，累计3次以上的，扣除相应的履约保证金，情节严重的，依法追究违约责任。</w:t>
      </w:r>
    </w:p>
    <w:p w14:paraId="4731D75F">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6、质保期后服务要求</w:t>
      </w:r>
    </w:p>
    <w:p w14:paraId="6752E676">
      <w:pPr>
        <w:pageBreakBefore w:val="0"/>
        <w:wordWrap/>
        <w:topLinePunct w:val="0"/>
        <w:bidi w:val="0"/>
        <w:spacing w:line="360" w:lineRule="auto"/>
        <w:ind w:firstLine="480" w:firstLineChars="20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lang w:val="en-US" w:eastAsia="zh-CN"/>
        </w:rPr>
        <w:t>质保期届满后，供应商仍需继续提供优质的有偿服务，明确合理的维修、保养、配件价格，并承诺价格不高于市场同期同类产品的均价；同时可根据需求提供年度维保服务套餐，包含上门巡检、调试、校准、维修等内容，保障设备长期稳定运行。</w:t>
      </w:r>
    </w:p>
    <w:p w14:paraId="17C9B0C1">
      <w:pPr>
        <w:pStyle w:val="74"/>
        <w:pageBreakBefore w:val="0"/>
        <w:numPr>
          <w:ilvl w:val="0"/>
          <w:numId w:val="14"/>
        </w:numPr>
        <w:wordWrap/>
        <w:topLinePunct w:val="0"/>
        <w:bidi w:val="0"/>
        <w:spacing w:line="360" w:lineRule="auto"/>
        <w:ind w:firstLineChars="0"/>
        <w:contextualSpacing/>
        <w:rPr>
          <w:rFonts w:hint="eastAsia" w:ascii="宋体" w:hAnsi="宋体" w:eastAsia="宋体" w:cs="宋体"/>
          <w:b/>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项目实施效果</w:t>
      </w:r>
    </w:p>
    <w:p w14:paraId="2E99187F">
      <w:pPr>
        <w:pageBreakBefore w:val="0"/>
        <w:numPr>
          <w:ilvl w:val="0"/>
          <w:numId w:val="0"/>
        </w:numPr>
        <w:wordWrap/>
        <w:topLinePunct w:val="0"/>
        <w:bidi w:val="0"/>
        <w:spacing w:line="360" w:lineRule="auto"/>
        <w:ind w:leftChars="0" w:firstLine="480" w:firstLineChars="200"/>
        <w:contextualSpacing/>
        <w:rPr>
          <w:rFonts w:hint="eastAsia" w:hAnsi="仿宋"/>
          <w:sz w:val="24"/>
          <w:szCs w:val="24"/>
          <w:highlight w:val="none"/>
          <w:lang w:val="en-US" w:eastAsia="zh-CN"/>
        </w:rPr>
      </w:pPr>
      <w:r>
        <w:rPr>
          <w:rFonts w:hint="eastAsia" w:hAnsi="仿宋"/>
          <w:sz w:val="24"/>
          <w:szCs w:val="24"/>
          <w:highlight w:val="none"/>
          <w:lang w:val="en-US" w:eastAsia="zh-CN"/>
        </w:rPr>
        <w:t>1、执法能力提升：通过标准化装备配置，执法人员现场检测效率提升，移动源违法查处响应时间进一步缩短，实现“快速检测、精准取证”，有效打击移动源违法排放行为。</w:t>
      </w:r>
    </w:p>
    <w:p w14:paraId="75523855">
      <w:pPr>
        <w:pageBreakBefore w:val="0"/>
        <w:numPr>
          <w:ilvl w:val="0"/>
          <w:numId w:val="0"/>
        </w:numPr>
        <w:wordWrap/>
        <w:topLinePunct w:val="0"/>
        <w:bidi w:val="0"/>
        <w:spacing w:line="360" w:lineRule="auto"/>
        <w:ind w:leftChars="0" w:firstLine="480" w:firstLineChars="200"/>
        <w:contextualSpacing/>
        <w:rPr>
          <w:rFonts w:hint="eastAsia" w:hAnsi="仿宋"/>
          <w:sz w:val="24"/>
          <w:szCs w:val="24"/>
          <w:highlight w:val="none"/>
          <w:lang w:val="en-US" w:eastAsia="zh-CN"/>
        </w:rPr>
      </w:pPr>
      <w:r>
        <w:rPr>
          <w:rFonts w:hint="eastAsia" w:hAnsi="仿宋"/>
          <w:sz w:val="24"/>
          <w:szCs w:val="24"/>
          <w:highlight w:val="none"/>
          <w:lang w:val="en-US" w:eastAsia="zh-CN"/>
        </w:rPr>
        <w:t>2、减排任务支撑：装备投入使用后，可强化对重型汽车、非道路移动机械等移动源的监管，助力通州区完成氮氧化物“十五五”减排时序目标，为PM₂.₅浓度达标提供硬件保障。</w:t>
      </w:r>
    </w:p>
    <w:p w14:paraId="4A6AFC57">
      <w:pPr>
        <w:pageBreakBefore w:val="0"/>
        <w:numPr>
          <w:ilvl w:val="0"/>
          <w:numId w:val="0"/>
        </w:numPr>
        <w:wordWrap/>
        <w:topLinePunct w:val="0"/>
        <w:bidi w:val="0"/>
        <w:spacing w:line="360" w:lineRule="auto"/>
        <w:ind w:leftChars="0" w:firstLine="480" w:firstLineChars="200"/>
        <w:contextualSpacing/>
        <w:rPr>
          <w:rFonts w:hint="eastAsia" w:hAnsi="仿宋"/>
          <w:sz w:val="24"/>
          <w:szCs w:val="24"/>
          <w:highlight w:val="none"/>
          <w:lang w:val="en-US" w:eastAsia="zh-CN"/>
        </w:rPr>
      </w:pPr>
      <w:r>
        <w:rPr>
          <w:rFonts w:hint="eastAsia" w:hAnsi="仿宋"/>
          <w:sz w:val="24"/>
          <w:szCs w:val="24"/>
          <w:highlight w:val="none"/>
          <w:lang w:val="en-US" w:eastAsia="zh-CN"/>
        </w:rPr>
        <w:t>3、标准化建设达标：全面落实《生态环境保护综合行政执法装备标准化建设指导标准（2024年版）》要求，推动通州区生态环境执法装备标准化、现代化水平提升。</w:t>
      </w:r>
    </w:p>
    <w:p w14:paraId="7C4C20A3">
      <w:pPr>
        <w:pageBreakBefore w:val="0"/>
        <w:numPr>
          <w:ilvl w:val="0"/>
          <w:numId w:val="0"/>
        </w:numPr>
        <w:wordWrap/>
        <w:topLinePunct w:val="0"/>
        <w:bidi w:val="0"/>
        <w:spacing w:line="360" w:lineRule="auto"/>
        <w:ind w:leftChars="0" w:firstLine="480" w:firstLineChars="200"/>
        <w:contextualSpacing/>
        <w:rPr>
          <w:rFonts w:hint="eastAsia" w:hAnsi="仿宋"/>
          <w:sz w:val="24"/>
          <w:szCs w:val="24"/>
          <w:highlight w:val="none"/>
          <w:lang w:val="en-US" w:eastAsia="zh-CN"/>
        </w:rPr>
      </w:pPr>
      <w:r>
        <w:rPr>
          <w:rFonts w:hint="eastAsia" w:hAnsi="仿宋"/>
          <w:sz w:val="24"/>
          <w:szCs w:val="24"/>
          <w:highlight w:val="none"/>
          <w:lang w:val="en-US" w:eastAsia="zh-CN"/>
        </w:rPr>
        <w:t>4、产出成果：形成《设备验收报告》《执法人员培训记录》《装备管理台账》。</w:t>
      </w:r>
    </w:p>
    <w:p w14:paraId="5FC6AE3A">
      <w:pPr>
        <w:pStyle w:val="74"/>
        <w:pageBreakBefore w:val="0"/>
        <w:numPr>
          <w:ilvl w:val="0"/>
          <w:numId w:val="14"/>
        </w:numPr>
        <w:wordWrap/>
        <w:topLinePunct w:val="0"/>
        <w:bidi w:val="0"/>
        <w:spacing w:line="360" w:lineRule="auto"/>
        <w:ind w:firstLineChars="0"/>
        <w:contextualSpacing/>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b/>
          <w:i w:val="0"/>
          <w:iCs w:val="0"/>
          <w:color w:val="auto"/>
          <w:spacing w:val="0"/>
          <w:position w:val="0"/>
          <w:sz w:val="24"/>
          <w:szCs w:val="24"/>
          <w:highlight w:val="none"/>
          <w:lang w:val="en-US" w:eastAsia="zh-CN"/>
        </w:rPr>
        <w:t>设备清单及具体参数</w:t>
      </w:r>
    </w:p>
    <w:tbl>
      <w:tblPr>
        <w:tblStyle w:val="44"/>
        <w:tblW w:w="4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874"/>
        <w:gridCol w:w="814"/>
        <w:gridCol w:w="502"/>
        <w:gridCol w:w="721"/>
        <w:gridCol w:w="5559"/>
      </w:tblGrid>
      <w:tr w14:paraId="1427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9040" w:type="dxa"/>
            <w:gridSpan w:val="6"/>
            <w:noWrap/>
            <w:vAlign w:val="center"/>
          </w:tcPr>
          <w:p w14:paraId="106FB5DB">
            <w:pPr>
              <w:widowControl/>
              <w:jc w:val="center"/>
              <w:rPr>
                <w:rFonts w:hint="default" w:ascii="仿宋" w:hAnsi="仿宋" w:eastAsia="仿宋" w:cs="宋体"/>
                <w:b/>
                <w:bCs/>
                <w:kern w:val="0"/>
                <w:szCs w:val="21"/>
                <w:highlight w:val="none"/>
                <w:lang w:val="en-US" w:eastAsia="zh-CN"/>
              </w:rPr>
            </w:pPr>
            <w:r>
              <w:rPr>
                <w:rFonts w:hint="eastAsia" w:ascii="仿宋" w:hAnsi="仿宋" w:eastAsia="仿宋" w:cs="宋体"/>
                <w:b/>
                <w:bCs/>
                <w:kern w:val="0"/>
                <w:szCs w:val="21"/>
                <w:highlight w:val="none"/>
                <w:lang w:val="en-US" w:eastAsia="zh-CN"/>
              </w:rPr>
              <w:t>01包</w:t>
            </w:r>
          </w:p>
        </w:tc>
      </w:tr>
      <w:tr w14:paraId="74DF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0" w:type="dxa"/>
            <w:noWrap/>
            <w:vAlign w:val="center"/>
          </w:tcPr>
          <w:p w14:paraId="45D64631">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序号</w:t>
            </w:r>
          </w:p>
        </w:tc>
        <w:tc>
          <w:tcPr>
            <w:tcW w:w="874" w:type="dxa"/>
            <w:noWrap w:val="0"/>
            <w:vAlign w:val="center"/>
          </w:tcPr>
          <w:p w14:paraId="6A0DD7A5">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具体类别</w:t>
            </w:r>
          </w:p>
        </w:tc>
        <w:tc>
          <w:tcPr>
            <w:tcW w:w="814" w:type="dxa"/>
            <w:noWrap w:val="0"/>
            <w:vAlign w:val="center"/>
          </w:tcPr>
          <w:p w14:paraId="790532B5">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设备名称</w:t>
            </w:r>
          </w:p>
        </w:tc>
        <w:tc>
          <w:tcPr>
            <w:tcW w:w="502" w:type="dxa"/>
            <w:noWrap w:val="0"/>
            <w:vAlign w:val="center"/>
          </w:tcPr>
          <w:p w14:paraId="71AC9309">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数量</w:t>
            </w:r>
          </w:p>
        </w:tc>
        <w:tc>
          <w:tcPr>
            <w:tcW w:w="721" w:type="dxa"/>
            <w:noWrap w:val="0"/>
            <w:vAlign w:val="center"/>
          </w:tcPr>
          <w:p w14:paraId="656CAE9E">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单位</w:t>
            </w:r>
          </w:p>
        </w:tc>
        <w:tc>
          <w:tcPr>
            <w:tcW w:w="5559" w:type="dxa"/>
            <w:noWrap w:val="0"/>
            <w:vAlign w:val="center"/>
          </w:tcPr>
          <w:p w14:paraId="012E15B1">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技术要求</w:t>
            </w:r>
          </w:p>
        </w:tc>
      </w:tr>
      <w:tr w14:paraId="69E7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570" w:type="dxa"/>
            <w:noWrap/>
            <w:vAlign w:val="center"/>
          </w:tcPr>
          <w:p w14:paraId="4BD85954">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874" w:type="dxa"/>
            <w:noWrap w:val="0"/>
            <w:vAlign w:val="center"/>
          </w:tcPr>
          <w:p w14:paraId="270B312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单人基本装备</w:t>
            </w:r>
          </w:p>
        </w:tc>
        <w:tc>
          <w:tcPr>
            <w:tcW w:w="814" w:type="dxa"/>
            <w:noWrap w:val="0"/>
            <w:vAlign w:val="center"/>
          </w:tcPr>
          <w:p w14:paraId="6317714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防爆强光手电</w:t>
            </w:r>
          </w:p>
        </w:tc>
        <w:tc>
          <w:tcPr>
            <w:tcW w:w="502" w:type="dxa"/>
            <w:noWrap w:val="0"/>
            <w:vAlign w:val="center"/>
          </w:tcPr>
          <w:p w14:paraId="0A357D9E">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10</w:t>
            </w:r>
          </w:p>
        </w:tc>
        <w:tc>
          <w:tcPr>
            <w:tcW w:w="721" w:type="dxa"/>
            <w:noWrap w:val="0"/>
            <w:vAlign w:val="center"/>
          </w:tcPr>
          <w:p w14:paraId="61390C89">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noWrap w:val="0"/>
            <w:vAlign w:val="center"/>
          </w:tcPr>
          <w:p w14:paraId="38A90EC1">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采用LED光源，具备</w:t>
            </w:r>
            <w:r>
              <w:rPr>
                <w:rFonts w:hint="eastAsia" w:ascii="仿宋" w:hAnsi="仿宋" w:eastAsia="仿宋" w:cs="宋体"/>
                <w:kern w:val="0"/>
                <w:sz w:val="21"/>
                <w:szCs w:val="21"/>
                <w:highlight w:val="none"/>
                <w14:ligatures w14:val="none"/>
              </w:rPr>
              <w:t>IP67以上（含）</w:t>
            </w:r>
            <w:r>
              <w:rPr>
                <w:rFonts w:ascii="仿宋" w:hAnsi="仿宋" w:eastAsia="仿宋" w:cs="宋体"/>
                <w:kern w:val="0"/>
                <w:sz w:val="21"/>
                <w:szCs w:val="21"/>
                <w:highlight w:val="none"/>
                <w14:ligatures w14:val="none"/>
              </w:rPr>
              <w:t>防水等级与6档光功能，连续工作时间≥8h，工作光≥19h</w:t>
            </w:r>
            <w:r>
              <w:rPr>
                <w:rFonts w:hint="eastAsia" w:ascii="仿宋" w:hAnsi="仿宋" w:eastAsia="仿宋" w:cs="宋体"/>
                <w:kern w:val="0"/>
                <w:sz w:val="21"/>
                <w:szCs w:val="21"/>
                <w:highlight w:val="none"/>
                <w:lang w:eastAsia="zh-CN"/>
                <w14:ligatures w14:val="none"/>
              </w:rPr>
              <w:t>，</w:t>
            </w:r>
            <w:r>
              <w:rPr>
                <w:rFonts w:ascii="仿宋" w:hAnsi="仿宋" w:eastAsia="仿宋" w:cs="宋体"/>
                <w:kern w:val="0"/>
                <w:sz w:val="21"/>
                <w:szCs w:val="21"/>
                <w:highlight w:val="none"/>
                <w14:ligatures w14:val="none"/>
              </w:rPr>
              <w:t>专为石油化工、粉尘等易燃易爆环境设计，适配危险环境下的照明需求。</w:t>
            </w:r>
          </w:p>
        </w:tc>
      </w:tr>
      <w:tr w14:paraId="4783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70" w:type="dxa"/>
            <w:noWrap/>
            <w:vAlign w:val="center"/>
          </w:tcPr>
          <w:p w14:paraId="39CA20B8">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2</w:t>
            </w:r>
          </w:p>
        </w:tc>
        <w:tc>
          <w:tcPr>
            <w:tcW w:w="874" w:type="dxa"/>
            <w:noWrap w:val="0"/>
            <w:vAlign w:val="center"/>
          </w:tcPr>
          <w:p w14:paraId="4F03BB78">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单人基本装备</w:t>
            </w:r>
          </w:p>
        </w:tc>
        <w:tc>
          <w:tcPr>
            <w:tcW w:w="814" w:type="dxa"/>
            <w:noWrap w:val="0"/>
            <w:vAlign w:val="center"/>
          </w:tcPr>
          <w:p w14:paraId="29004BFE">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手提式防爆手电</w:t>
            </w:r>
          </w:p>
        </w:tc>
        <w:tc>
          <w:tcPr>
            <w:tcW w:w="502" w:type="dxa"/>
            <w:noWrap w:val="0"/>
            <w:vAlign w:val="center"/>
          </w:tcPr>
          <w:p w14:paraId="7F8DEC01">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5</w:t>
            </w:r>
          </w:p>
        </w:tc>
        <w:tc>
          <w:tcPr>
            <w:tcW w:w="721" w:type="dxa"/>
            <w:noWrap w:val="0"/>
            <w:vAlign w:val="center"/>
          </w:tcPr>
          <w:p w14:paraId="1AC2FFA0">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noWrap w:val="0"/>
            <w:vAlign w:val="center"/>
          </w:tcPr>
          <w:p w14:paraId="092F735F">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搭载LED光源，达到IP68防水标准，配备实时电量显示功能，适用于加油站、化工厂、煤电厂等易燃易爆环境的便携照明。</w:t>
            </w:r>
          </w:p>
        </w:tc>
      </w:tr>
      <w:tr w14:paraId="37E4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70" w:type="dxa"/>
            <w:noWrap/>
            <w:vAlign w:val="center"/>
          </w:tcPr>
          <w:p w14:paraId="38F0D694">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3</w:t>
            </w:r>
          </w:p>
        </w:tc>
        <w:tc>
          <w:tcPr>
            <w:tcW w:w="874" w:type="dxa"/>
            <w:noWrap w:val="0"/>
            <w:vAlign w:val="center"/>
          </w:tcPr>
          <w:p w14:paraId="70443CD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单人基本装备</w:t>
            </w:r>
          </w:p>
        </w:tc>
        <w:tc>
          <w:tcPr>
            <w:tcW w:w="814" w:type="dxa"/>
            <w:noWrap w:val="0"/>
            <w:vAlign w:val="center"/>
          </w:tcPr>
          <w:p w14:paraId="7090CEF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重型防化服</w:t>
            </w:r>
          </w:p>
        </w:tc>
        <w:tc>
          <w:tcPr>
            <w:tcW w:w="502" w:type="dxa"/>
            <w:noWrap w:val="0"/>
            <w:vAlign w:val="center"/>
          </w:tcPr>
          <w:p w14:paraId="0E24160A">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10</w:t>
            </w:r>
          </w:p>
        </w:tc>
        <w:tc>
          <w:tcPr>
            <w:tcW w:w="721" w:type="dxa"/>
            <w:noWrap w:val="0"/>
            <w:vAlign w:val="center"/>
          </w:tcPr>
          <w:p w14:paraId="25EFC498">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套</w:t>
            </w:r>
          </w:p>
        </w:tc>
        <w:tc>
          <w:tcPr>
            <w:tcW w:w="5559" w:type="dxa"/>
            <w:noWrap w:val="0"/>
            <w:vAlign w:val="center"/>
          </w:tcPr>
          <w:p w14:paraId="34F80A2B">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抗化学品渗透性在98%HSO、80%HNO、50%HCL、50%HF</w:t>
            </w:r>
            <w:r>
              <w:rPr>
                <w:rFonts w:hint="eastAsia" w:ascii="仿宋" w:hAnsi="仿宋" w:eastAsia="仿宋" w:cs="宋体"/>
                <w:kern w:val="0"/>
                <w:sz w:val="21"/>
                <w:szCs w:val="21"/>
                <w:highlight w:val="none"/>
                <w:lang w:eastAsia="zh-CN"/>
                <w14:ligatures w14:val="none"/>
              </w:rPr>
              <w:t>、</w:t>
            </w:r>
            <w:r>
              <w:rPr>
                <w:rFonts w:ascii="仿宋" w:hAnsi="仿宋" w:eastAsia="仿宋" w:cs="宋体"/>
                <w:kern w:val="0"/>
                <w:sz w:val="21"/>
                <w:szCs w:val="21"/>
                <w:highlight w:val="none"/>
                <w14:ligatures w14:val="none"/>
              </w:rPr>
              <w:t>6.1mol/LNaOH 等溶液中浸泡 24h 不渗透。</w:t>
            </w:r>
          </w:p>
          <w:p w14:paraId="2031C616">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阻燃性能:有焰燃烧时间&lt;3s,无焰燃烧时间≤10s,损毁长度&lt;10cm,无熔融、滴落现象。采用经阻燃布处理的锦丝绸布，双面涂覆双面涂覆 PVC、氯丁胶的防化服面料具有阻燃性，制成遇火只产生炭化，不溶滴，又能保持良好强度的胶布作为主材，经贴合-缝制-贴条工艺制成服装主体和手套，并配以阻燃、防化、抗刺穿靴构成成套服装。</w:t>
            </w:r>
          </w:p>
          <w:p w14:paraId="7D2CD2F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拉伸/耐撕裂强度:经纬向&gt;450N、耐撕裂强度:&gt;32N</w:t>
            </w:r>
          </w:p>
          <w:p w14:paraId="3F720FC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抗汽油性能:浸 120# 汽油浸泡 5min 无裂纹、不发粘。</w:t>
            </w:r>
          </w:p>
          <w:p w14:paraId="78066B03">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5.</w:t>
            </w:r>
            <w:r>
              <w:rPr>
                <w:rFonts w:ascii="仿宋" w:hAnsi="仿宋" w:eastAsia="仿宋" w:cs="宋体"/>
                <w:kern w:val="0"/>
                <w:sz w:val="21"/>
                <w:szCs w:val="21"/>
                <w:highlight w:val="none"/>
                <w14:ligatures w14:val="none"/>
              </w:rPr>
              <w:t>抗水渗漏性能:5 支 3L/min 喷头冲刷 15min不渗漏。</w:t>
            </w:r>
          </w:p>
        </w:tc>
      </w:tr>
      <w:tr w14:paraId="3E2F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570" w:type="dxa"/>
            <w:noWrap/>
            <w:vAlign w:val="center"/>
          </w:tcPr>
          <w:p w14:paraId="26F28F57">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4</w:t>
            </w:r>
          </w:p>
        </w:tc>
        <w:tc>
          <w:tcPr>
            <w:tcW w:w="874" w:type="dxa"/>
            <w:noWrap w:val="0"/>
            <w:vAlign w:val="center"/>
          </w:tcPr>
          <w:p w14:paraId="7051599F">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一次性防护服</w:t>
            </w:r>
          </w:p>
        </w:tc>
        <w:tc>
          <w:tcPr>
            <w:tcW w:w="814" w:type="dxa"/>
            <w:noWrap w:val="0"/>
            <w:vAlign w:val="center"/>
          </w:tcPr>
          <w:p w14:paraId="4FE86711">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一次性防护服</w:t>
            </w:r>
          </w:p>
        </w:tc>
        <w:tc>
          <w:tcPr>
            <w:tcW w:w="502" w:type="dxa"/>
            <w:noWrap w:val="0"/>
            <w:vAlign w:val="center"/>
          </w:tcPr>
          <w:p w14:paraId="0E566DD2">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100</w:t>
            </w:r>
          </w:p>
        </w:tc>
        <w:tc>
          <w:tcPr>
            <w:tcW w:w="721" w:type="dxa"/>
            <w:noWrap w:val="0"/>
            <w:vAlign w:val="center"/>
          </w:tcPr>
          <w:p w14:paraId="1079821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套</w:t>
            </w:r>
          </w:p>
        </w:tc>
        <w:tc>
          <w:tcPr>
            <w:tcW w:w="5559" w:type="dxa"/>
            <w:noWrap w:val="0"/>
            <w:vAlign w:val="center"/>
          </w:tcPr>
          <w:p w14:paraId="534710A6">
            <w:pPr>
              <w:widowControl/>
              <w:numPr>
                <w:ilvl w:val="0"/>
                <w:numId w:val="18"/>
              </w:numPr>
              <w:spacing w:after="0" w:line="240" w:lineRule="auto"/>
              <w:rPr>
                <w:rFonts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采用外部双层面料设计，提升面料强度，有效防止撕裂和刺穿；</w:t>
            </w:r>
          </w:p>
          <w:p w14:paraId="233E50F5">
            <w:pPr>
              <w:widowControl/>
              <w:numPr>
                <w:ilvl w:val="0"/>
                <w:numId w:val="18"/>
              </w:numPr>
              <w:spacing w:after="0" w:line="240" w:lineRule="auto"/>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可阻绝99%直径0.5-1.0um的悬浮颗粒；</w:t>
            </w:r>
          </w:p>
          <w:p w14:paraId="42E963A9">
            <w:pPr>
              <w:widowControl/>
              <w:numPr>
                <w:ilvl w:val="0"/>
                <w:numId w:val="18"/>
              </w:numPr>
              <w:spacing w:after="0" w:line="240" w:lineRule="auto"/>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帽口、脚踝和袖口均为全松紧设计，兼顾穿戴舒适性与防护密封性；</w:t>
            </w:r>
          </w:p>
        </w:tc>
      </w:tr>
      <w:tr w14:paraId="4A0B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ign w:val="center"/>
          </w:tcPr>
          <w:p w14:paraId="407D12C3">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5</w:t>
            </w:r>
          </w:p>
        </w:tc>
        <w:tc>
          <w:tcPr>
            <w:tcW w:w="874" w:type="dxa"/>
            <w:noWrap w:val="0"/>
            <w:vAlign w:val="center"/>
          </w:tcPr>
          <w:p w14:paraId="30B3069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单人基本装备</w:t>
            </w:r>
          </w:p>
        </w:tc>
        <w:tc>
          <w:tcPr>
            <w:tcW w:w="814" w:type="dxa"/>
            <w:noWrap w:val="0"/>
            <w:vAlign w:val="center"/>
          </w:tcPr>
          <w:p w14:paraId="76AB6ADE">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滤毒盒（6 类规格）</w:t>
            </w:r>
          </w:p>
        </w:tc>
        <w:tc>
          <w:tcPr>
            <w:tcW w:w="502" w:type="dxa"/>
            <w:noWrap w:val="0"/>
            <w:vAlign w:val="center"/>
          </w:tcPr>
          <w:p w14:paraId="40F5697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3B46CA15">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箱</w:t>
            </w:r>
          </w:p>
        </w:tc>
        <w:tc>
          <w:tcPr>
            <w:tcW w:w="5559" w:type="dxa"/>
            <w:noWrap w:val="0"/>
            <w:vAlign w:val="center"/>
          </w:tcPr>
          <w:p w14:paraId="33A718AF">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（120对） P-H2S-1，8号滤毒盒</w:t>
            </w:r>
          </w:p>
          <w:p w14:paraId="5772CE3F">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（120对） P-B-1，1号滤毒盒，无机气体，氯化氢，氯气等</w:t>
            </w:r>
          </w:p>
          <w:p w14:paraId="04DEAF4F">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（120对） D-A/B/E/K-1型，多功能滤毒盒，</w:t>
            </w:r>
          </w:p>
          <w:p w14:paraId="06C830AB">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（120对） 4号滤毒盒，氨气及氨的有机衍生物</w:t>
            </w:r>
          </w:p>
          <w:p w14:paraId="509B95FF">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5.</w:t>
            </w:r>
            <w:r>
              <w:rPr>
                <w:rFonts w:ascii="仿宋" w:hAnsi="仿宋" w:eastAsia="仿宋" w:cs="宋体"/>
                <w:kern w:val="0"/>
                <w:sz w:val="21"/>
                <w:szCs w:val="21"/>
                <w:highlight w:val="none"/>
                <w14:ligatures w14:val="none"/>
              </w:rPr>
              <w:t>（120对） 3号滤毒盒，有机气体</w:t>
            </w:r>
          </w:p>
          <w:p w14:paraId="0E3D0E26">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6.</w:t>
            </w:r>
            <w:r>
              <w:rPr>
                <w:rFonts w:ascii="仿宋" w:hAnsi="仿宋" w:eastAsia="仿宋" w:cs="宋体"/>
                <w:kern w:val="0"/>
                <w:sz w:val="21"/>
                <w:szCs w:val="21"/>
                <w:highlight w:val="none"/>
                <w14:ligatures w14:val="none"/>
              </w:rPr>
              <w:t>（120对） 7号滤毒盒，酸性气体</w:t>
            </w:r>
          </w:p>
        </w:tc>
      </w:tr>
      <w:tr w14:paraId="20A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jc w:val="center"/>
        </w:trPr>
        <w:tc>
          <w:tcPr>
            <w:tcW w:w="570" w:type="dxa"/>
            <w:noWrap/>
            <w:vAlign w:val="center"/>
          </w:tcPr>
          <w:p w14:paraId="5B6F92EB">
            <w:pPr>
              <w:widowControl/>
              <w:spacing w:after="0" w:line="240" w:lineRule="auto"/>
              <w:jc w:val="center"/>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6</w:t>
            </w:r>
          </w:p>
        </w:tc>
        <w:tc>
          <w:tcPr>
            <w:tcW w:w="874" w:type="dxa"/>
            <w:noWrap w:val="0"/>
            <w:vAlign w:val="center"/>
          </w:tcPr>
          <w:p w14:paraId="59BA6B78">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 xml:space="preserve">现场取证装备 </w:t>
            </w:r>
          </w:p>
        </w:tc>
        <w:tc>
          <w:tcPr>
            <w:tcW w:w="814" w:type="dxa"/>
            <w:noWrap w:val="0"/>
            <w:vAlign w:val="center"/>
          </w:tcPr>
          <w:p w14:paraId="22AB89C9">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无人船改造 - 组合导航系统</w:t>
            </w:r>
          </w:p>
        </w:tc>
        <w:tc>
          <w:tcPr>
            <w:tcW w:w="502" w:type="dxa"/>
            <w:noWrap w:val="0"/>
            <w:vAlign w:val="center"/>
          </w:tcPr>
          <w:p w14:paraId="71E2F06E">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2A8B7A0A">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套</w:t>
            </w:r>
          </w:p>
        </w:tc>
        <w:tc>
          <w:tcPr>
            <w:tcW w:w="5559" w:type="dxa"/>
            <w:noWrap w:val="0"/>
            <w:vAlign w:val="center"/>
          </w:tcPr>
          <w:p w14:paraId="2B833520">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130船可搭载组合导航设备，使无人船具备在复杂水域环境中自主航行和任务执行的能力。组合导航系统采用“北斗卫星RTK定位+惯性导航”的多源融合方案，由北斗定位模块、惯性导航模块（INS/IMU）和组合导航解算单元等共同组成。RTK定位系统可提供全天候、高精度、高可靠的位置、速度等信息，使无人船能够按照预设航线和任务要求自主规划航行路径，并实时调整航向和速度，精确到达目标位置，完成巡检等任务。</w:t>
            </w:r>
          </w:p>
          <w:p w14:paraId="49D6A0A3">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同时，组合导航系统还集成惯导模块。惯导模块可实时测量无人船的三轴角速度与加速度，将定位信息与惯导数据进行互补校正，提高定位精度和航向稳定性；在桥下、树下、沿岸遮挡、狭窄水道等卫星信号易受遮挡或减弱的区域，惯导模块可短时间内独立递推导航，持续输出位置、姿态和航向信息，避免因卫星信号丢失、跳变而导致偏航、失控或任务中断。当卫星信号恢复后，系统可快速重新捕获并修正惯导累积误差，实现无缝切换和连续导航。</w:t>
            </w:r>
          </w:p>
          <w:p w14:paraId="5FF3A00E">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通过RTK与惯导的组合导航，130船在复杂水域中具备更强的环境适应性、抗干扰能力和自主航行可靠性，尤其能够增强桥下、树下及卫星遮挡区域的通行能力，为无人船安全、稳定、精准执行任务提供有力保障。</w:t>
            </w:r>
          </w:p>
        </w:tc>
      </w:tr>
      <w:tr w14:paraId="78C1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70" w:type="dxa"/>
            <w:noWrap/>
            <w:vAlign w:val="center"/>
          </w:tcPr>
          <w:p w14:paraId="4FC3483A">
            <w:pPr>
              <w:widowControl/>
              <w:spacing w:after="0" w:line="240" w:lineRule="auto"/>
              <w:jc w:val="center"/>
              <w:rPr>
                <w:rFonts w:hint="eastAsia" w:ascii="仿宋" w:hAnsi="仿宋" w:eastAsia="仿宋" w:cs="宋体"/>
                <w:kern w:val="0"/>
                <w:szCs w:val="21"/>
                <w:highlight w:val="none"/>
                <w:lang w:eastAsia="zh-CN"/>
              </w:rPr>
            </w:pPr>
            <w:r>
              <w:rPr>
                <w:rFonts w:hint="eastAsia" w:ascii="仿宋" w:hAnsi="仿宋" w:eastAsia="仿宋" w:cs="宋体"/>
                <w:kern w:val="0"/>
                <w:sz w:val="21"/>
                <w:szCs w:val="21"/>
                <w:highlight w:val="none"/>
                <w:lang w:val="en-US" w:eastAsia="zh-CN"/>
                <w14:ligatures w14:val="none"/>
              </w:rPr>
              <w:t>7</w:t>
            </w:r>
          </w:p>
        </w:tc>
        <w:tc>
          <w:tcPr>
            <w:tcW w:w="874" w:type="dxa"/>
            <w:noWrap w:val="0"/>
            <w:vAlign w:val="center"/>
          </w:tcPr>
          <w:p w14:paraId="2E91ABA9">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 xml:space="preserve">现场取证装备 </w:t>
            </w:r>
          </w:p>
        </w:tc>
        <w:tc>
          <w:tcPr>
            <w:tcW w:w="814" w:type="dxa"/>
            <w:noWrap w:val="0"/>
            <w:vAlign w:val="center"/>
          </w:tcPr>
          <w:p w14:paraId="615B3197">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无人船改造 - 采样器</w:t>
            </w:r>
          </w:p>
        </w:tc>
        <w:tc>
          <w:tcPr>
            <w:tcW w:w="502" w:type="dxa"/>
            <w:noWrap w:val="0"/>
            <w:vAlign w:val="center"/>
          </w:tcPr>
          <w:p w14:paraId="66C7A9B8">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41A18C2D">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套</w:t>
            </w:r>
          </w:p>
        </w:tc>
        <w:tc>
          <w:tcPr>
            <w:tcW w:w="5559" w:type="dxa"/>
            <w:noWrap w:val="0"/>
            <w:vAlign w:val="center"/>
          </w:tcPr>
          <w:p w14:paraId="08C38F85">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130船可搭载7通道采样器，构建面向水质采样任务的自动化、多通道、可追溯采样系统。该采样器具备采样前自动冲洗功能，可在正式采集水样前对采样管路和通道进行冲洗，有效减少残留水样对目标样品的干扰，降低交叉污染风险，提高水样的代表性和后续检测数据的可靠性。</w:t>
            </w:r>
          </w:p>
          <w:p w14:paraId="1351B1EA">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7通道采样器支持单次作业连续采集多个水样，最大采样瓶数为7个，单瓶容量</w:t>
            </w:r>
            <w:r>
              <w:rPr>
                <w:rFonts w:hint="eastAsia" w:ascii="仿宋" w:hAnsi="仿宋" w:eastAsia="仿宋" w:cs="宋体"/>
                <w:kern w:val="0"/>
                <w:sz w:val="21"/>
                <w:szCs w:val="21"/>
                <w:highlight w:val="none"/>
                <w:lang w:eastAsia="zh-CN"/>
                <w14:ligatures w14:val="none"/>
              </w:rPr>
              <w:t>不小于</w:t>
            </w:r>
            <w:r>
              <w:rPr>
                <w:rFonts w:ascii="仿宋" w:hAnsi="仿宋" w:eastAsia="仿宋" w:cs="宋体"/>
                <w:kern w:val="0"/>
                <w:sz w:val="21"/>
                <w:szCs w:val="21"/>
                <w:highlight w:val="none"/>
                <w14:ligatures w14:val="none"/>
              </w:rPr>
              <w:t>500ml，单瓶取水时间</w:t>
            </w:r>
            <w:r>
              <w:rPr>
                <w:rFonts w:hint="eastAsia" w:ascii="仿宋" w:hAnsi="仿宋" w:eastAsia="仿宋" w:cs="宋体"/>
                <w:kern w:val="0"/>
                <w:sz w:val="21"/>
                <w:szCs w:val="21"/>
                <w:highlight w:val="none"/>
                <w14:ligatures w14:val="none"/>
              </w:rPr>
              <w:t>小于20秒</w:t>
            </w:r>
            <w:r>
              <w:rPr>
                <w:rFonts w:ascii="仿宋" w:hAnsi="仿宋" w:eastAsia="仿宋" w:cs="宋体"/>
                <w:kern w:val="0"/>
                <w:sz w:val="21"/>
                <w:szCs w:val="21"/>
                <w:highlight w:val="none"/>
                <w14:ligatures w14:val="none"/>
              </w:rPr>
              <w:t>。通过多瓶位设计，130船可在一次航行中完成多点位、多瓶位采样任务，减少往返次数，提高采样效率。</w:t>
            </w:r>
          </w:p>
          <w:p w14:paraId="225E13F5">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作业时，130船可按预设航线自主航行至目标点位，按任务计划自动触发采样。7采样器依次完成自动冲洗、取样等流程，并将采样操作位置、瓶号、采样时间等数据实时上传，便于现场监控、后续追溯、数据管理。采样位置可与无人船定位信息关联，实现“点位—瓶号—样品—数据”一一对应，提高采样过程的规范性和可追溯性。</w:t>
            </w:r>
          </w:p>
          <w:p w14:paraId="3CCF4819">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7通道采样器搭配无人船使用，具有自主性、灵活性、安全性、高效性、自动化和节约成本等优势：可自主到达人员难以进入或存在安全风险的水域；可按任务灵活设置采样点位和采样顺序；替代人工乘船采样，降低涉水作业风险；单次可采集最多7瓶水样，提升采样效率；自动冲洗、采样和记录减少人工干预；降低人力、船只和交通成本。适用于河湖、水库、城市河道、沟渠及其他水域的采样作业，也可用于常规水质监测、污染源排查和应急采样等场景。</w:t>
            </w:r>
          </w:p>
        </w:tc>
      </w:tr>
      <w:tr w14:paraId="7D98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4" w:hRule="atLeast"/>
          <w:jc w:val="center"/>
        </w:trPr>
        <w:tc>
          <w:tcPr>
            <w:tcW w:w="570" w:type="dxa"/>
            <w:noWrap/>
            <w:vAlign w:val="center"/>
          </w:tcPr>
          <w:p w14:paraId="72C509C0">
            <w:pPr>
              <w:widowControl/>
              <w:spacing w:after="0" w:line="240" w:lineRule="auto"/>
              <w:jc w:val="center"/>
              <w:rPr>
                <w:rFonts w:hint="eastAsia" w:ascii="仿宋" w:hAnsi="仿宋" w:eastAsia="仿宋" w:cs="宋体"/>
                <w:kern w:val="0"/>
                <w:szCs w:val="21"/>
                <w:highlight w:val="none"/>
                <w:lang w:eastAsia="zh-CN"/>
              </w:rPr>
            </w:pPr>
            <w:r>
              <w:rPr>
                <w:rFonts w:hint="eastAsia" w:ascii="仿宋" w:hAnsi="仿宋" w:eastAsia="仿宋" w:cs="宋体"/>
                <w:kern w:val="0"/>
                <w:sz w:val="21"/>
                <w:szCs w:val="21"/>
                <w:highlight w:val="none"/>
                <w:lang w:val="en-US" w:eastAsia="zh-CN"/>
                <w14:ligatures w14:val="none"/>
              </w:rPr>
              <w:t>8</w:t>
            </w:r>
          </w:p>
        </w:tc>
        <w:tc>
          <w:tcPr>
            <w:tcW w:w="874" w:type="dxa"/>
            <w:noWrap w:val="0"/>
            <w:vAlign w:val="center"/>
          </w:tcPr>
          <w:p w14:paraId="62E3BBD7">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现场取证装备</w:t>
            </w:r>
          </w:p>
        </w:tc>
        <w:tc>
          <w:tcPr>
            <w:tcW w:w="814" w:type="dxa"/>
            <w:noWrap w:val="0"/>
            <w:vAlign w:val="center"/>
          </w:tcPr>
          <w:p w14:paraId="428FC56B">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手持核素识别仪</w:t>
            </w:r>
          </w:p>
        </w:tc>
        <w:tc>
          <w:tcPr>
            <w:tcW w:w="502" w:type="dxa"/>
            <w:noWrap w:val="0"/>
            <w:vAlign w:val="center"/>
          </w:tcPr>
          <w:p w14:paraId="2132A027">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651F988B">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noWrap w:val="0"/>
            <w:vAlign w:val="center"/>
          </w:tcPr>
          <w:p w14:paraId="63CB654A">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1、手持式核素识别仪采用高灵敏度探测器，可对放射性物质进行剂量测量和核素识别，设备内置核素库，可对多种放射性核素进行分析识别；</w:t>
            </w:r>
          </w:p>
          <w:p w14:paraId="0C8BD48E">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2、内置核素库，包括工业、医用、天然和特殊核材料，可对核素种类和强度进行分类鉴别；</w:t>
            </w:r>
          </w:p>
          <w:p w14:paraId="0E8F479E">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3、支持核素有Am-241、Ba-133、Co-60、Cs-137、Eu-152、F-18、I-131、K-40、Ir-192、I-125等常见核素以及其它核素；</w:t>
            </w:r>
          </w:p>
          <w:p w14:paraId="4F5F302B">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4、核素库信息可自定义添加；</w:t>
            </w:r>
          </w:p>
          <w:p w14:paraId="0D55E909">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5、探测器具有剂量测量，寻源定位，核素识别和能谱分析功能；</w:t>
            </w:r>
          </w:p>
          <w:p w14:paraId="53753AB3">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6、采用特征峰匹配算法进行核素识别；</w:t>
            </w:r>
          </w:p>
          <w:p w14:paraId="08FED7F0">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w:t>
            </w:r>
            <w:r>
              <w:rPr>
                <w:rFonts w:ascii="仿宋" w:hAnsi="仿宋" w:eastAsia="仿宋" w:cs="宋体"/>
                <w:kern w:val="0"/>
                <w:sz w:val="21"/>
                <w:szCs w:val="21"/>
                <w:highlight w:val="none"/>
                <w14:ligatures w14:val="none"/>
              </w:rPr>
              <w:t>7、设备具备无源稳谱，自动稳谱，自动寻峰功能；</w:t>
            </w:r>
          </w:p>
          <w:p w14:paraId="119AD304">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lang w:val="en-US" w:eastAsia="zh-CN"/>
                <w14:ligatures w14:val="none"/>
              </w:rPr>
              <w:t>8</w:t>
            </w:r>
            <w:r>
              <w:rPr>
                <w:rFonts w:ascii="仿宋" w:hAnsi="仿宋" w:eastAsia="仿宋" w:cs="宋体"/>
                <w:kern w:val="0"/>
                <w:sz w:val="21"/>
                <w:szCs w:val="21"/>
                <w:highlight w:val="none"/>
                <w14:ligatures w14:val="none"/>
              </w:rPr>
              <w:t>、具有雷</w:t>
            </w:r>
            <w:r>
              <w:rPr>
                <w:rFonts w:hint="eastAsia" w:ascii="仿宋" w:hAnsi="仿宋" w:eastAsia="仿宋" w:cs="宋体"/>
                <w:kern w:val="0"/>
                <w:sz w:val="21"/>
                <w:szCs w:val="21"/>
                <w:highlight w:val="none"/>
                <w:lang w:eastAsia="zh-CN"/>
                <w14:ligatures w14:val="none"/>
              </w:rPr>
              <w:t>莫</w:t>
            </w:r>
            <w:r>
              <w:rPr>
                <w:rFonts w:ascii="仿宋" w:hAnsi="仿宋" w:eastAsia="仿宋" w:cs="宋体"/>
                <w:kern w:val="0"/>
                <w:sz w:val="21"/>
                <w:szCs w:val="21"/>
                <w:highlight w:val="none"/>
                <w14:ligatures w14:val="none"/>
              </w:rPr>
              <w:t>数据传输接口,可将测量数据和谱图通过数据线下载；</w:t>
            </w:r>
          </w:p>
          <w:p w14:paraId="4AB3C38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9</w:t>
            </w:r>
            <w:r>
              <w:rPr>
                <w:rFonts w:ascii="仿宋" w:hAnsi="仿宋" w:eastAsia="仿宋" w:cs="宋体"/>
                <w:kern w:val="0"/>
                <w:sz w:val="21"/>
                <w:szCs w:val="21"/>
                <w:highlight w:val="none"/>
                <w14:ligatures w14:val="none"/>
              </w:rPr>
              <w:t>、仪器配有PC软件，可在电脑中查看测量记录、能谱信息、配置仪器参数；</w:t>
            </w:r>
          </w:p>
          <w:p w14:paraId="18C48F50">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0</w:t>
            </w:r>
            <w:r>
              <w:rPr>
                <w:rFonts w:ascii="仿宋" w:hAnsi="仿宋" w:eastAsia="仿宋" w:cs="宋体"/>
                <w:kern w:val="0"/>
                <w:sz w:val="21"/>
                <w:szCs w:val="21"/>
                <w:highlight w:val="none"/>
                <w14:ligatures w14:val="none"/>
              </w:rPr>
              <w:t>、能谱存储：可存储</w:t>
            </w:r>
            <w:r>
              <w:rPr>
                <w:rFonts w:hint="eastAsia" w:ascii="仿宋" w:hAnsi="仿宋" w:eastAsia="仿宋" w:cs="宋体"/>
                <w:kern w:val="0"/>
                <w:sz w:val="21"/>
                <w:szCs w:val="21"/>
                <w:highlight w:val="none"/>
                <w:lang w:eastAsia="zh-CN"/>
                <w14:ligatures w14:val="none"/>
              </w:rPr>
              <w:t>不少于</w:t>
            </w:r>
            <w:r>
              <w:rPr>
                <w:rFonts w:ascii="仿宋" w:hAnsi="仿宋" w:eastAsia="仿宋" w:cs="宋体"/>
                <w:kern w:val="0"/>
                <w:sz w:val="21"/>
                <w:szCs w:val="21"/>
                <w:highlight w:val="none"/>
                <w14:ligatures w14:val="none"/>
              </w:rPr>
              <w:t>20000组能谱测量数据；</w:t>
            </w:r>
          </w:p>
          <w:p w14:paraId="03127062">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、采用主机与探测器一体化结构设计；</w:t>
            </w:r>
          </w:p>
          <w:p w14:paraId="0F3F2D1F">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w:t>
            </w:r>
            <w:r>
              <w:rPr>
                <w:rFonts w:hint="eastAsia" w:ascii="仿宋" w:hAnsi="仿宋" w:eastAsia="仿宋" w:cs="宋体"/>
                <w:kern w:val="0"/>
                <w:sz w:val="21"/>
                <w:szCs w:val="21"/>
                <w:highlight w:val="none"/>
                <w:lang w:eastAsia="zh-CN"/>
                <w14:ligatures w14:val="none"/>
              </w:rPr>
              <w:t>不小于</w:t>
            </w:r>
            <w:r>
              <w:rPr>
                <w:rFonts w:ascii="仿宋" w:hAnsi="仿宋" w:eastAsia="仿宋" w:cs="宋体"/>
                <w:kern w:val="0"/>
                <w:sz w:val="21"/>
                <w:szCs w:val="21"/>
                <w:highlight w:val="none"/>
                <w14:ligatures w14:val="none"/>
              </w:rPr>
              <w:t>4英寸彩色液晶显示触摸屏，外设功能按键；</w:t>
            </w:r>
          </w:p>
          <w:p w14:paraId="38DD038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、具有最大剂量率报警功能，报警阈值可调；</w:t>
            </w:r>
          </w:p>
          <w:p w14:paraId="37D79F98">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、内置蜂鸣器，具有声光报警功能和振动报警功能；</w:t>
            </w:r>
          </w:p>
          <w:p w14:paraId="68F51B4A">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5</w:t>
            </w:r>
            <w:r>
              <w:rPr>
                <w:rFonts w:ascii="仿宋" w:hAnsi="仿宋" w:eastAsia="仿宋" w:cs="宋体"/>
                <w:kern w:val="0"/>
                <w:sz w:val="21"/>
                <w:szCs w:val="21"/>
                <w:highlight w:val="none"/>
                <w14:ligatures w14:val="none"/>
              </w:rPr>
              <w:t>、在极端温度下，可以实现设备启动、阈值报警、基本操作、核素识别等操作，设备使用完全正常，提供第三方机构检测报告证明；</w:t>
            </w:r>
          </w:p>
          <w:p w14:paraId="3549A633">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6</w:t>
            </w:r>
            <w:r>
              <w:rPr>
                <w:rFonts w:ascii="仿宋" w:hAnsi="仿宋" w:eastAsia="仿宋" w:cs="宋体"/>
                <w:kern w:val="0"/>
                <w:sz w:val="21"/>
                <w:szCs w:val="21"/>
                <w:highlight w:val="none"/>
                <w14:ligatures w14:val="none"/>
              </w:rPr>
              <w:t>、双探测器：</w:t>
            </w:r>
            <w:r>
              <w:rPr>
                <w:rFonts w:hint="eastAsia" w:ascii="仿宋" w:hAnsi="仿宋" w:eastAsia="仿宋" w:cs="宋体"/>
                <w:kern w:val="0"/>
                <w:sz w:val="21"/>
                <w:szCs w:val="21"/>
                <w:highlight w:val="none"/>
                <w:lang w:eastAsia="zh-CN"/>
                <w14:ligatures w14:val="none"/>
              </w:rPr>
              <w:t>不小于</w:t>
            </w:r>
            <w:r>
              <w:rPr>
                <w:rFonts w:ascii="仿宋" w:hAnsi="仿宋" w:eastAsia="仿宋" w:cs="宋体"/>
                <w:kern w:val="0"/>
                <w:sz w:val="21"/>
                <w:szCs w:val="21"/>
                <w:highlight w:val="none"/>
                <w14:ligatures w14:val="none"/>
              </w:rPr>
              <w:t>2英寸LaBr3和</w:t>
            </w:r>
            <w:r>
              <w:rPr>
                <w:rFonts w:ascii="Calibri" w:hAnsi="Calibri" w:eastAsia="仿宋" w:cs="Calibri"/>
                <w:kern w:val="0"/>
                <w:sz w:val="21"/>
                <w:szCs w:val="21"/>
                <w:highlight w:val="none"/>
                <w14:ligatures w14:val="none"/>
              </w:rPr>
              <w:t>φ</w:t>
            </w:r>
            <w:r>
              <w:rPr>
                <w:rFonts w:ascii="仿宋" w:hAnsi="仿宋" w:eastAsia="仿宋" w:cs="宋体"/>
                <w:kern w:val="0"/>
                <w:sz w:val="21"/>
                <w:szCs w:val="21"/>
                <w:highlight w:val="none"/>
                <w14:ligatures w14:val="none"/>
              </w:rPr>
              <w:t>5.0mm×65mm GM管计数器；</w:t>
            </w:r>
          </w:p>
          <w:p w14:paraId="1633086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7</w:t>
            </w:r>
            <w:r>
              <w:rPr>
                <w:rFonts w:ascii="仿宋" w:hAnsi="仿宋" w:eastAsia="仿宋" w:cs="宋体"/>
                <w:kern w:val="0"/>
                <w:sz w:val="21"/>
                <w:szCs w:val="21"/>
                <w:highlight w:val="none"/>
                <w14:ligatures w14:val="none"/>
              </w:rPr>
              <w:t>、能量分辨率：≤3.5%；</w:t>
            </w:r>
          </w:p>
          <w:p w14:paraId="5E25129C">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18</w:t>
            </w:r>
            <w:r>
              <w:rPr>
                <w:rFonts w:ascii="仿宋" w:hAnsi="仿宋" w:eastAsia="仿宋" w:cs="宋体"/>
                <w:kern w:val="0"/>
                <w:sz w:val="21"/>
                <w:szCs w:val="21"/>
                <w:highlight w:val="none"/>
                <w14:ligatures w14:val="none"/>
              </w:rPr>
              <w:t>、能量范围：30keV～3MeV；</w:t>
            </w:r>
          </w:p>
          <w:p w14:paraId="523F3D90">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19</w:t>
            </w:r>
            <w:r>
              <w:rPr>
                <w:rFonts w:ascii="仿宋" w:hAnsi="仿宋" w:eastAsia="仿宋" w:cs="宋体"/>
                <w:kern w:val="0"/>
                <w:sz w:val="21"/>
                <w:szCs w:val="21"/>
                <w:highlight w:val="none"/>
                <w14:ligatures w14:val="none"/>
              </w:rPr>
              <w:t>、剂量率量程范围：0.01</w:t>
            </w:r>
            <w:r>
              <w:rPr>
                <w:rFonts w:ascii="Calibri" w:hAnsi="Calibri" w:eastAsia="仿宋" w:cs="Calibri"/>
                <w:kern w:val="0"/>
                <w:sz w:val="21"/>
                <w:szCs w:val="21"/>
                <w:highlight w:val="none"/>
                <w14:ligatures w14:val="none"/>
              </w:rPr>
              <w:t>μ</w:t>
            </w:r>
            <w:r>
              <w:rPr>
                <w:rFonts w:ascii="仿宋" w:hAnsi="仿宋" w:eastAsia="仿宋" w:cs="宋体"/>
                <w:kern w:val="0"/>
                <w:sz w:val="21"/>
                <w:szCs w:val="21"/>
                <w:highlight w:val="none"/>
                <w14:ligatures w14:val="none"/>
              </w:rPr>
              <w:t>Sv/h～100mSv/h；</w:t>
            </w:r>
          </w:p>
          <w:p w14:paraId="6A2D4FB4">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0</w:t>
            </w:r>
            <w:r>
              <w:rPr>
                <w:rFonts w:ascii="仿宋" w:hAnsi="仿宋" w:eastAsia="仿宋" w:cs="宋体"/>
                <w:kern w:val="0"/>
                <w:sz w:val="21"/>
                <w:szCs w:val="21"/>
                <w:highlight w:val="none"/>
                <w14:ligatures w14:val="none"/>
              </w:rPr>
              <w:t>、剂量率相对误差：≤±20%；</w:t>
            </w:r>
          </w:p>
          <w:p w14:paraId="4AB5BA23">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、MCA多道分析器：1024道；</w:t>
            </w:r>
          </w:p>
          <w:p w14:paraId="137615DB">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、测量单位：cps、Sv、Sv/h、Gy、Gy/h；</w:t>
            </w:r>
          </w:p>
          <w:p w14:paraId="10142B49">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、内置充电电池，可连续工作</w:t>
            </w:r>
            <w:r>
              <w:rPr>
                <w:rFonts w:hint="eastAsia" w:ascii="仿宋" w:hAnsi="仿宋" w:eastAsia="仿宋" w:cs="宋体"/>
                <w:kern w:val="0"/>
                <w:sz w:val="21"/>
                <w:szCs w:val="21"/>
                <w:highlight w:val="none"/>
                <w:lang w:eastAsia="zh-CN"/>
                <w14:ligatures w14:val="none"/>
              </w:rPr>
              <w:t>不小于</w:t>
            </w:r>
            <w:r>
              <w:rPr>
                <w:rFonts w:ascii="仿宋" w:hAnsi="仿宋" w:eastAsia="仿宋" w:cs="宋体"/>
                <w:kern w:val="0"/>
                <w:sz w:val="21"/>
                <w:szCs w:val="21"/>
                <w:highlight w:val="none"/>
                <w14:ligatures w14:val="none"/>
              </w:rPr>
              <w:t>8小时；</w:t>
            </w:r>
          </w:p>
          <w:p w14:paraId="6AAA5BE7">
            <w:pPr>
              <w:widowControl/>
              <w:spacing w:after="0" w:line="240" w:lineRule="auto"/>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、体积小，便于携带，配有仪表箱，充电器；</w:t>
            </w:r>
          </w:p>
        </w:tc>
      </w:tr>
      <w:tr w14:paraId="6836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0" w:hRule="atLeast"/>
          <w:jc w:val="center"/>
        </w:trPr>
        <w:tc>
          <w:tcPr>
            <w:tcW w:w="570" w:type="dxa"/>
            <w:noWrap/>
            <w:vAlign w:val="center"/>
          </w:tcPr>
          <w:p w14:paraId="7E7378E6">
            <w:pPr>
              <w:widowControl/>
              <w:spacing w:after="0" w:line="240" w:lineRule="auto"/>
              <w:jc w:val="center"/>
              <w:rPr>
                <w:rFonts w:hint="eastAsia" w:ascii="仿宋" w:hAnsi="仿宋" w:eastAsia="仿宋" w:cs="宋体"/>
                <w:kern w:val="0"/>
                <w:szCs w:val="21"/>
                <w:highlight w:val="none"/>
                <w:lang w:eastAsia="zh-CN"/>
              </w:rPr>
            </w:pPr>
            <w:r>
              <w:rPr>
                <w:rFonts w:hint="eastAsia" w:ascii="仿宋" w:hAnsi="仿宋" w:eastAsia="仿宋" w:cs="宋体"/>
                <w:kern w:val="0"/>
                <w:sz w:val="21"/>
                <w:szCs w:val="21"/>
                <w:highlight w:val="none"/>
                <w:lang w:val="en-US" w:eastAsia="zh-CN"/>
                <w14:ligatures w14:val="none"/>
              </w:rPr>
              <w:t>9</w:t>
            </w:r>
          </w:p>
        </w:tc>
        <w:tc>
          <w:tcPr>
            <w:tcW w:w="874" w:type="dxa"/>
            <w:noWrap w:val="0"/>
            <w:vAlign w:val="center"/>
          </w:tcPr>
          <w:p w14:paraId="2349D542">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现场取证装备</w:t>
            </w:r>
          </w:p>
        </w:tc>
        <w:tc>
          <w:tcPr>
            <w:tcW w:w="814" w:type="dxa"/>
            <w:noWrap w:val="0"/>
            <w:vAlign w:val="center"/>
          </w:tcPr>
          <w:p w14:paraId="31C68E8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环境气体综合分析仪</w:t>
            </w:r>
          </w:p>
        </w:tc>
        <w:tc>
          <w:tcPr>
            <w:tcW w:w="502" w:type="dxa"/>
            <w:noWrap w:val="0"/>
            <w:vAlign w:val="center"/>
          </w:tcPr>
          <w:p w14:paraId="196218D5">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155559FC">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shd w:val="clear" w:color="auto" w:fill="auto"/>
            <w:noWrap w:val="0"/>
            <w:vAlign w:val="center"/>
          </w:tcPr>
          <w:p w14:paraId="749FF320">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1、分体式设计，配备智能终端</w:t>
            </w:r>
          </w:p>
          <w:p w14:paraId="50C52852">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2、设备具备计量器具型式批准证书，应涵盖的气体项目包含：氧气、二氧化碳、一氧化碳、一氧化氮、二氧化氮、可燃气、二氧化硫、甲烷、硫化氢。</w:t>
            </w:r>
          </w:p>
          <w:p w14:paraId="77FEF24D">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3、终端与主机可以无线通讯</w:t>
            </w:r>
          </w:p>
          <w:p w14:paraId="7A399DBA">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4、高亮触摸液晶屏，不低于 5.0 英寸</w:t>
            </w:r>
          </w:p>
          <w:p w14:paraId="292CC516">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5、气体传感器模块化设计，配备扩张模块，气体传感器配备：</w:t>
            </w:r>
            <w:r>
              <w:rPr>
                <w:rFonts w:ascii="仿宋" w:hAnsi="仿宋" w:eastAsia="仿宋" w:cs="宋体"/>
                <w:color w:val="auto"/>
                <w:kern w:val="0"/>
                <w:sz w:val="21"/>
                <w:szCs w:val="21"/>
                <w:highlight w:val="none"/>
                <w14:ligatures w14:val="none"/>
              </w:rPr>
              <w:t>氧气、二氧化碳、一氧化碳、氨气、氯气、可燃气、挥发性有机物、二氧化硫、甲烷、硫化氢、氯化氢、氟化氢、氰化氢、磷化氢、臭氧、乙烯、环氧乙烷、甲醛、四氯乙烯、醇类、氢气、环境温度、环境湿度、大气压。</w:t>
            </w:r>
          </w:p>
          <w:p w14:paraId="6F6E753F">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6、气体模块之间为快接设计，无需手动拆卸螺丝进行连接</w:t>
            </w:r>
            <w:r>
              <w:rPr>
                <w:rFonts w:hint="eastAsia" w:ascii="仿宋" w:hAnsi="仿宋" w:eastAsia="仿宋" w:cs="宋体"/>
                <w:kern w:val="0"/>
                <w:sz w:val="21"/>
                <w:szCs w:val="21"/>
                <w:highlight w:val="none"/>
                <w:lang w:eastAsia="zh-CN"/>
                <w14:ligatures w14:val="none"/>
              </w:rPr>
              <w:t>；</w:t>
            </w:r>
          </w:p>
          <w:p w14:paraId="1FAF124C">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仿宋" w:hAnsi="仿宋" w:eastAsia="仿宋" w:cs="宋体"/>
                <w:kern w:val="0"/>
                <w:sz w:val="21"/>
                <w:szCs w:val="21"/>
                <w:highlight w:val="none"/>
                <w:lang w:val="en-US" w:eastAsia="zh-CN"/>
                <w14:ligatures w14:val="none"/>
              </w:rPr>
              <w:t>7</w:t>
            </w:r>
            <w:r>
              <w:rPr>
                <w:rFonts w:ascii="仿宋" w:hAnsi="仿宋" w:eastAsia="仿宋" w:cs="宋体"/>
                <w:kern w:val="0"/>
                <w:sz w:val="21"/>
                <w:szCs w:val="21"/>
                <w:highlight w:val="none"/>
                <w14:ligatures w14:val="none"/>
              </w:rPr>
              <w:t>、大气压、环境温度、环境相对湿度可实时测量</w:t>
            </w:r>
            <w:r>
              <w:rPr>
                <w:rFonts w:hint="eastAsia" w:ascii="仿宋" w:hAnsi="仿宋" w:eastAsia="仿宋" w:cs="宋体"/>
                <w:kern w:val="0"/>
                <w:sz w:val="21"/>
                <w:szCs w:val="21"/>
                <w:highlight w:val="none"/>
                <w:lang w:eastAsia="zh-CN"/>
                <w14:ligatures w14:val="none"/>
              </w:rPr>
              <w:t>；</w:t>
            </w:r>
          </w:p>
          <w:p w14:paraId="13C03A75">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lang w:val="en-US" w:eastAsia="zh-CN"/>
                <w14:ligatures w14:val="none"/>
              </w:rPr>
              <w:t>8</w:t>
            </w:r>
            <w:r>
              <w:rPr>
                <w:rFonts w:ascii="仿宋" w:hAnsi="仿宋" w:eastAsia="仿宋" w:cs="宋体"/>
                <w:kern w:val="0"/>
                <w:sz w:val="21"/>
                <w:szCs w:val="21"/>
                <w:highlight w:val="none"/>
                <w14:ligatures w14:val="none"/>
              </w:rPr>
              <w:t>、预留气象参数接口，可外接气象检测仪</w:t>
            </w:r>
            <w:r>
              <w:rPr>
                <w:rFonts w:hint="eastAsia" w:ascii="仿宋" w:hAnsi="仿宋" w:eastAsia="仿宋" w:cs="宋体"/>
                <w:kern w:val="0"/>
                <w:sz w:val="21"/>
                <w:szCs w:val="21"/>
                <w:highlight w:val="none"/>
                <w:lang w:eastAsia="zh-CN"/>
                <w14:ligatures w14:val="none"/>
              </w:rPr>
              <w:t>；</w:t>
            </w:r>
          </w:p>
          <w:p w14:paraId="5DB68DA3">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仿宋" w:hAnsi="仿宋" w:eastAsia="仿宋" w:cs="宋体"/>
                <w:kern w:val="0"/>
                <w:sz w:val="21"/>
                <w:szCs w:val="21"/>
                <w:highlight w:val="none"/>
                <w:lang w:val="en-US" w:eastAsia="zh-CN"/>
                <w14:ligatures w14:val="none"/>
              </w:rPr>
              <w:t>9</w:t>
            </w:r>
            <w:r>
              <w:rPr>
                <w:rFonts w:ascii="仿宋" w:hAnsi="仿宋" w:eastAsia="仿宋" w:cs="宋体"/>
                <w:kern w:val="0"/>
                <w:sz w:val="21"/>
                <w:szCs w:val="21"/>
                <w:highlight w:val="none"/>
                <w14:ligatures w14:val="none"/>
              </w:rPr>
              <w:t>、内置锂电池，可连续工作不低于 10 小时，电池可更换</w:t>
            </w:r>
            <w:r>
              <w:rPr>
                <w:rFonts w:hint="eastAsia" w:ascii="仿宋" w:hAnsi="仿宋" w:eastAsia="仿宋" w:cs="宋体"/>
                <w:kern w:val="0"/>
                <w:sz w:val="21"/>
                <w:szCs w:val="21"/>
                <w:highlight w:val="none"/>
                <w:lang w:eastAsia="zh-CN"/>
                <w14:ligatures w14:val="none"/>
              </w:rPr>
              <w:t>；</w:t>
            </w:r>
          </w:p>
          <w:p w14:paraId="77B180C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0</w:t>
            </w:r>
            <w:r>
              <w:rPr>
                <w:rFonts w:ascii="仿宋" w:hAnsi="仿宋" w:eastAsia="仿宋" w:cs="宋体"/>
                <w:kern w:val="0"/>
                <w:sz w:val="21"/>
                <w:szCs w:val="21"/>
                <w:highlight w:val="none"/>
                <w14:ligatures w14:val="none"/>
              </w:rPr>
              <w:t>、标准Type-C 充电接口，支持交、直流两种供电方式</w:t>
            </w:r>
          </w:p>
          <w:p w14:paraId="67DA5E13">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、自带报警灯提示</w:t>
            </w:r>
          </w:p>
          <w:p w14:paraId="75EA34FB">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、自带震动报警功能</w:t>
            </w:r>
          </w:p>
          <w:p w14:paraId="155882A2">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、可选配蓝牙打印机打印数据</w:t>
            </w:r>
          </w:p>
          <w:p w14:paraId="2D839EB2">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4</w:t>
            </w:r>
            <w:r>
              <w:rPr>
                <w:rFonts w:hint="eastAsia" w:ascii="仿宋" w:hAnsi="仿宋" w:eastAsia="仿宋" w:cs="宋体"/>
                <w:kern w:val="0"/>
                <w:sz w:val="21"/>
                <w:szCs w:val="21"/>
                <w:highlight w:val="none"/>
                <w:lang w:eastAsia="zh-CN"/>
                <w14:ligatures w14:val="none"/>
              </w:rPr>
              <w:t>、</w:t>
            </w:r>
            <w:r>
              <w:rPr>
                <w:rFonts w:ascii="仿宋" w:hAnsi="仿宋" w:eastAsia="仿宋" w:cs="宋体"/>
                <w:kern w:val="0"/>
                <w:sz w:val="21"/>
                <w:szCs w:val="21"/>
                <w:highlight w:val="none"/>
                <w14:ligatures w14:val="none"/>
              </w:rPr>
              <w:t>可选配激光颗粒物传感器，实时检测 PM1/ PM2.5/PM10/TSP 颗粒物浓度</w:t>
            </w:r>
          </w:p>
          <w:p w14:paraId="41ED1610">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5</w:t>
            </w:r>
            <w:r>
              <w:rPr>
                <w:rFonts w:ascii="仿宋" w:hAnsi="仿宋" w:eastAsia="仿宋" w:cs="宋体"/>
                <w:kern w:val="0"/>
                <w:sz w:val="21"/>
                <w:szCs w:val="21"/>
                <w:highlight w:val="none"/>
                <w14:ligatures w14:val="none"/>
              </w:rPr>
              <w:t>、可选配通信模块，实现数据 4G 传输功能</w:t>
            </w:r>
          </w:p>
          <w:p w14:paraId="7277F0D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6</w:t>
            </w:r>
            <w:r>
              <w:rPr>
                <w:rFonts w:ascii="仿宋" w:hAnsi="仿宋" w:eastAsia="仿宋" w:cs="宋体"/>
                <w:kern w:val="0"/>
                <w:sz w:val="21"/>
                <w:szCs w:val="21"/>
                <w:highlight w:val="none"/>
                <w14:ligatures w14:val="none"/>
              </w:rPr>
              <w:t>、可搭载无人机进行走航检测</w:t>
            </w:r>
          </w:p>
          <w:p w14:paraId="40BB4E82">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7</w:t>
            </w:r>
            <w:r>
              <w:rPr>
                <w:rFonts w:ascii="仿宋" w:hAnsi="仿宋" w:eastAsia="仿宋" w:cs="宋体"/>
                <w:kern w:val="0"/>
                <w:sz w:val="21"/>
                <w:szCs w:val="21"/>
                <w:highlight w:val="none"/>
                <w14:ligatures w14:val="none"/>
              </w:rPr>
              <w:t>、防护等级不低于 IP65</w:t>
            </w:r>
          </w:p>
          <w:p w14:paraId="76359BA2">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8</w:t>
            </w:r>
            <w:r>
              <w:rPr>
                <w:rFonts w:ascii="仿宋" w:hAnsi="仿宋" w:eastAsia="仿宋" w:cs="宋体"/>
                <w:kern w:val="0"/>
                <w:sz w:val="21"/>
                <w:szCs w:val="21"/>
                <w:highlight w:val="none"/>
                <w14:ligatures w14:val="none"/>
              </w:rPr>
              <w:t>、主机防爆等级不低于 Ex d ib ⅡB T4 Gb</w:t>
            </w:r>
          </w:p>
          <w:p w14:paraId="77DFD9DC">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19</w:t>
            </w:r>
            <w:r>
              <w:rPr>
                <w:rFonts w:ascii="仿宋" w:hAnsi="仿宋" w:eastAsia="仿宋" w:cs="宋体"/>
                <w:kern w:val="0"/>
                <w:sz w:val="21"/>
                <w:szCs w:val="21"/>
                <w:highlight w:val="none"/>
                <w14:ligatures w14:val="none"/>
              </w:rPr>
              <w:t>、终端防爆等级不低于 Ex ib Ⅱb T4 Gc</w:t>
            </w:r>
          </w:p>
          <w:p w14:paraId="1C4AE4A8">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0</w:t>
            </w:r>
            <w:r>
              <w:rPr>
                <w:rFonts w:ascii="仿宋" w:hAnsi="仿宋" w:eastAsia="仿宋" w:cs="宋体"/>
                <w:kern w:val="0"/>
                <w:sz w:val="21"/>
                <w:szCs w:val="21"/>
                <w:highlight w:val="none"/>
                <w14:ligatures w14:val="none"/>
              </w:rPr>
              <w:t>、数据存储量不低于 4000 组</w:t>
            </w:r>
          </w:p>
          <w:p w14:paraId="3B2CDEA0">
            <w:pPr>
              <w:widowControl/>
              <w:spacing w:after="0" w:line="240" w:lineRule="auto"/>
              <w:rPr>
                <w:rFonts w:hint="eastAsia" w:ascii="仿宋" w:hAnsi="仿宋" w:eastAsia="仿宋" w:cs="宋体"/>
                <w:ker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2</w:t>
            </w: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、为保证安全，需提供静电放电抗扰度检测报告</w:t>
            </w:r>
          </w:p>
        </w:tc>
      </w:tr>
      <w:tr w14:paraId="6329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570" w:type="dxa"/>
            <w:noWrap/>
            <w:vAlign w:val="center"/>
          </w:tcPr>
          <w:p w14:paraId="7C673826">
            <w:pPr>
              <w:widowControl/>
              <w:spacing w:after="0" w:line="240" w:lineRule="auto"/>
              <w:jc w:val="center"/>
              <w:rPr>
                <w:rFonts w:hint="eastAsia" w:ascii="仿宋" w:hAnsi="仿宋" w:eastAsia="仿宋" w:cs="宋体"/>
                <w:kern w:val="0"/>
                <w:szCs w:val="21"/>
                <w:highlight w:val="none"/>
                <w:lang w:eastAsia="zh-CN"/>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0</w:t>
            </w:r>
          </w:p>
        </w:tc>
        <w:tc>
          <w:tcPr>
            <w:tcW w:w="874" w:type="dxa"/>
            <w:noWrap w:val="0"/>
            <w:vAlign w:val="center"/>
          </w:tcPr>
          <w:p w14:paraId="0A9444F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防护装备</w:t>
            </w:r>
          </w:p>
        </w:tc>
        <w:tc>
          <w:tcPr>
            <w:tcW w:w="814" w:type="dxa"/>
            <w:noWrap w:val="0"/>
            <w:vAlign w:val="center"/>
          </w:tcPr>
          <w:p w14:paraId="3C1493ED">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铅衣</w:t>
            </w:r>
          </w:p>
        </w:tc>
        <w:tc>
          <w:tcPr>
            <w:tcW w:w="502" w:type="dxa"/>
            <w:noWrap w:val="0"/>
            <w:vAlign w:val="center"/>
          </w:tcPr>
          <w:p w14:paraId="36A4E5DD">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2</w:t>
            </w:r>
          </w:p>
        </w:tc>
        <w:tc>
          <w:tcPr>
            <w:tcW w:w="721" w:type="dxa"/>
            <w:noWrap w:val="0"/>
            <w:vAlign w:val="center"/>
          </w:tcPr>
          <w:p w14:paraId="3437D619">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套</w:t>
            </w:r>
          </w:p>
        </w:tc>
        <w:tc>
          <w:tcPr>
            <w:tcW w:w="5559" w:type="dxa"/>
            <w:noWrap w:val="0"/>
            <w:vAlign w:val="center"/>
          </w:tcPr>
          <w:p w14:paraId="74DBFB5C">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整套包含衣服，帽子，护脚，手套以及眼镜，铅当量为0.5mmpb，前身铅当量0.5mmpb，后背及袖子铅当量为0.25mmpb，上衣和裤子连在一起，配有一个上衣口袋，可放置物品，配有腰带，可调节宽度，内部核心材料采用防护铅橡胶，柔软均匀，韧性好，耐拉伸，表面为防水牛津布材料，防水耐磨，易清洗，宽度可调，配有子母粘扣。</w:t>
            </w:r>
          </w:p>
        </w:tc>
      </w:tr>
      <w:tr w14:paraId="0EDA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70" w:type="dxa"/>
            <w:noWrap/>
            <w:vAlign w:val="center"/>
          </w:tcPr>
          <w:p w14:paraId="16260529">
            <w:pPr>
              <w:widowControl/>
              <w:spacing w:after="0" w:line="240" w:lineRule="auto"/>
              <w:jc w:val="center"/>
              <w:rPr>
                <w:rFonts w:hint="eastAsia" w:ascii="仿宋" w:hAnsi="仿宋" w:eastAsia="仿宋" w:cs="宋体"/>
                <w:kern w:val="0"/>
                <w:szCs w:val="21"/>
                <w:highlight w:val="none"/>
                <w:lang w:eastAsia="zh-CN"/>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1</w:t>
            </w:r>
          </w:p>
        </w:tc>
        <w:tc>
          <w:tcPr>
            <w:tcW w:w="874" w:type="dxa"/>
            <w:noWrap w:val="0"/>
            <w:vAlign w:val="center"/>
          </w:tcPr>
          <w:p w14:paraId="1CA1C672">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防护装备</w:t>
            </w:r>
          </w:p>
        </w:tc>
        <w:tc>
          <w:tcPr>
            <w:tcW w:w="814" w:type="dxa"/>
            <w:noWrap w:val="0"/>
            <w:vAlign w:val="center"/>
          </w:tcPr>
          <w:p w14:paraId="2BC819AB">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放射源操作长柄</w:t>
            </w:r>
          </w:p>
        </w:tc>
        <w:tc>
          <w:tcPr>
            <w:tcW w:w="502" w:type="dxa"/>
            <w:noWrap w:val="0"/>
            <w:vAlign w:val="center"/>
          </w:tcPr>
          <w:p w14:paraId="06707D3F">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27AAB0F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个</w:t>
            </w:r>
          </w:p>
        </w:tc>
        <w:tc>
          <w:tcPr>
            <w:tcW w:w="5559" w:type="dxa"/>
            <w:noWrap w:val="0"/>
            <w:vAlign w:val="center"/>
          </w:tcPr>
          <w:p w14:paraId="2A4E7A52">
            <w:pPr>
              <w:widowControl/>
              <w:spacing w:after="0" w:line="240" w:lineRule="auto"/>
              <w:rPr>
                <w:rFonts w:hint="eastAsia" w:ascii="仿宋" w:hAnsi="仿宋" w:eastAsia="仿宋" w:cs="宋体"/>
                <w:kern w:val="0"/>
                <w:sz w:val="21"/>
                <w:szCs w:val="21"/>
                <w:highlight w:val="none"/>
                <w:lang w:val="en-US" w:eastAsia="zh-CN"/>
                <w14:ligatures w14: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专为核技术应用单位设计，可实现废放射源的夹取、转移、封盖等操作，避免执法人员与放射源直接接触，提升核辐射执法的安全性</w:t>
            </w:r>
            <w:r>
              <w:rPr>
                <w:rFonts w:hint="eastAsia" w:ascii="仿宋" w:hAnsi="仿宋" w:eastAsia="仿宋" w:cs="宋体"/>
                <w:kern w:val="0"/>
                <w:sz w:val="21"/>
                <w:szCs w:val="21"/>
                <w:highlight w:val="none"/>
                <w:lang w:eastAsia="zh-CN"/>
                <w14:ligatures w14:val="none"/>
              </w:rPr>
              <w:t>，长度不小于</w:t>
            </w:r>
            <w:r>
              <w:rPr>
                <w:rFonts w:hint="eastAsia" w:ascii="仿宋" w:hAnsi="仿宋" w:eastAsia="仿宋" w:cs="宋体"/>
                <w:kern w:val="0"/>
                <w:sz w:val="21"/>
                <w:szCs w:val="21"/>
                <w:highlight w:val="none"/>
                <w:lang w:val="en-US" w:eastAsia="zh-CN"/>
                <w14:ligatures w14:val="none"/>
              </w:rPr>
              <w:t>1.2m；可承受a、β、γ射线，辐射后无变化，夹具头与柄杆之间的角度不低于90°</w:t>
            </w:r>
          </w:p>
          <w:p w14:paraId="1AF36B2A">
            <w:pPr>
              <w:widowControl/>
              <w:spacing w:after="0" w:line="240" w:lineRule="auto"/>
              <w:rPr>
                <w:rFonts w:hint="default" w:ascii="仿宋" w:hAnsi="仿宋" w:eastAsia="仿宋" w:cs="宋体"/>
                <w:kern w:val="0"/>
                <w:szCs w:val="21"/>
                <w:highlight w:val="none"/>
                <w:lang w:val="en-US" w:eastAsia="zh-CN"/>
              </w:rPr>
            </w:pPr>
            <w:r>
              <w:rPr>
                <w:rFonts w:hint="eastAsia" w:ascii="仿宋" w:hAnsi="仿宋" w:eastAsia="仿宋" w:cs="宋体"/>
                <w:kern w:val="0"/>
                <w:sz w:val="21"/>
                <w:szCs w:val="21"/>
                <w:highlight w:val="none"/>
                <w:lang w:val="en-US" w:eastAsia="zh-CN"/>
                <w14:ligatures w14:val="none"/>
              </w:rPr>
              <w:t>，最大开口:不小于90mm</w:t>
            </w:r>
          </w:p>
        </w:tc>
      </w:tr>
      <w:tr w14:paraId="14D1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70" w:type="dxa"/>
            <w:noWrap/>
            <w:vAlign w:val="center"/>
          </w:tcPr>
          <w:p w14:paraId="2BE03E62">
            <w:pPr>
              <w:widowControl/>
              <w:spacing w:after="0" w:line="240" w:lineRule="auto"/>
              <w:jc w:val="center"/>
              <w:rPr>
                <w:rFonts w:hint="eastAsia" w:ascii="仿宋" w:hAnsi="仿宋" w:eastAsia="仿宋" w:cs="宋体"/>
                <w:kern w:val="0"/>
                <w:szCs w:val="21"/>
                <w:highlight w:val="none"/>
                <w:lang w:eastAsia="zh-CN"/>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2</w:t>
            </w:r>
          </w:p>
        </w:tc>
        <w:tc>
          <w:tcPr>
            <w:tcW w:w="874" w:type="dxa"/>
            <w:noWrap w:val="0"/>
            <w:vAlign w:val="center"/>
          </w:tcPr>
          <w:p w14:paraId="14310DAF">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执法保障装备</w:t>
            </w:r>
          </w:p>
        </w:tc>
        <w:tc>
          <w:tcPr>
            <w:tcW w:w="814" w:type="dxa"/>
            <w:noWrap w:val="0"/>
            <w:vAlign w:val="center"/>
          </w:tcPr>
          <w:p w14:paraId="20688140">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移动大电源</w:t>
            </w:r>
          </w:p>
        </w:tc>
        <w:tc>
          <w:tcPr>
            <w:tcW w:w="502" w:type="dxa"/>
            <w:noWrap w:val="0"/>
            <w:vAlign w:val="center"/>
          </w:tcPr>
          <w:p w14:paraId="56A0AEDA">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27</w:t>
            </w:r>
          </w:p>
        </w:tc>
        <w:tc>
          <w:tcPr>
            <w:tcW w:w="721" w:type="dxa"/>
            <w:noWrap w:val="0"/>
            <w:vAlign w:val="center"/>
          </w:tcPr>
          <w:p w14:paraId="60CCCE75">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noWrap w:val="0"/>
            <w:vAlign w:val="center"/>
          </w:tcPr>
          <w:p w14:paraId="7E81082C">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容量≥3000Wh、功率≥3000W，续航≥8小时，防护等级≥IP54，支持多接口同时充电，可满足户外执法中多款便携设备的同时供电需求</w:t>
            </w:r>
            <w:r>
              <w:rPr>
                <w:rFonts w:hint="eastAsia" w:ascii="仿宋" w:hAnsi="仿宋" w:eastAsia="仿宋" w:cs="宋体"/>
                <w:kern w:val="0"/>
                <w:sz w:val="21"/>
                <w:szCs w:val="21"/>
                <w:highlight w:val="none"/>
                <w:lang w:eastAsia="zh-CN"/>
                <w14:ligatures w14:val="none"/>
              </w:rPr>
              <w:t>，须</w:t>
            </w:r>
            <w:r>
              <w:rPr>
                <w:rFonts w:hint="eastAsia" w:ascii="仿宋" w:hAnsi="仿宋" w:eastAsia="仿宋" w:cs="宋体"/>
                <w:kern w:val="0"/>
                <w:sz w:val="21"/>
                <w:szCs w:val="21"/>
                <w:highlight w:val="none"/>
                <w14:ligatures w14:val="none"/>
              </w:rPr>
              <w:t>提供CCC认证证书</w:t>
            </w:r>
            <w:r>
              <w:rPr>
                <w:rFonts w:ascii="仿宋" w:hAnsi="仿宋" w:eastAsia="仿宋" w:cs="宋体"/>
                <w:kern w:val="0"/>
                <w:sz w:val="21"/>
                <w:szCs w:val="21"/>
                <w:highlight w:val="none"/>
                <w14:ligatures w14:val="none"/>
              </w:rPr>
              <w:t>。</w:t>
            </w:r>
          </w:p>
        </w:tc>
      </w:tr>
      <w:tr w14:paraId="3111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8" w:hRule="atLeast"/>
          <w:jc w:val="center"/>
        </w:trPr>
        <w:tc>
          <w:tcPr>
            <w:tcW w:w="570" w:type="dxa"/>
            <w:noWrap/>
            <w:vAlign w:val="center"/>
          </w:tcPr>
          <w:p w14:paraId="4BCD5CC4">
            <w:pPr>
              <w:widowControl/>
              <w:spacing w:after="0" w:line="240" w:lineRule="auto"/>
              <w:jc w:val="center"/>
              <w:rPr>
                <w:rFonts w:hint="eastAsia" w:ascii="仿宋" w:hAnsi="仿宋" w:eastAsia="仿宋" w:cs="宋体"/>
                <w:kern w:val="0"/>
                <w:szCs w:val="21"/>
                <w:highlight w:val="none"/>
                <w:lang w:eastAsia="zh-CN"/>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3</w:t>
            </w:r>
          </w:p>
        </w:tc>
        <w:tc>
          <w:tcPr>
            <w:tcW w:w="874" w:type="dxa"/>
            <w:noWrap w:val="0"/>
            <w:vAlign w:val="center"/>
          </w:tcPr>
          <w:p w14:paraId="0FA196DA">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现场取证装备</w:t>
            </w:r>
          </w:p>
        </w:tc>
        <w:tc>
          <w:tcPr>
            <w:tcW w:w="814" w:type="dxa"/>
            <w:noWrap w:val="0"/>
            <w:vAlign w:val="center"/>
          </w:tcPr>
          <w:p w14:paraId="269C9A2C">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便携式傅里叶红外气体分析仪</w:t>
            </w:r>
          </w:p>
        </w:tc>
        <w:tc>
          <w:tcPr>
            <w:tcW w:w="502" w:type="dxa"/>
            <w:noWrap w:val="0"/>
            <w:vAlign w:val="center"/>
          </w:tcPr>
          <w:p w14:paraId="3BAADCEA">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1</w:t>
            </w:r>
          </w:p>
        </w:tc>
        <w:tc>
          <w:tcPr>
            <w:tcW w:w="721" w:type="dxa"/>
            <w:noWrap w:val="0"/>
            <w:vAlign w:val="center"/>
          </w:tcPr>
          <w:p w14:paraId="1385D894">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 w:val="21"/>
                <w:szCs w:val="21"/>
                <w:highlight w:val="none"/>
                <w14:ligatures w14:val="none"/>
              </w:rPr>
              <w:t>台</w:t>
            </w:r>
          </w:p>
        </w:tc>
        <w:tc>
          <w:tcPr>
            <w:tcW w:w="5559" w:type="dxa"/>
            <w:noWrap w:val="0"/>
            <w:vAlign w:val="center"/>
          </w:tcPr>
          <w:p w14:paraId="43C50EEB">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1、设备名称：便携式傅里叶变换红外分析仪</w:t>
            </w:r>
          </w:p>
          <w:p w14:paraId="779FD736">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2、设备用途：用于环境空气应急污染事故现场，有机、无机物气体的快速定性、定量监测</w:t>
            </w:r>
          </w:p>
          <w:p w14:paraId="29C6B34D">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3、配置要求</w:t>
            </w:r>
          </w:p>
          <w:p w14:paraId="01582A05">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傅里叶变换红外分析仪主机，数据分析处理系统，不少于50种有毒有害气体出厂标定(可准确定性、定量)，不少于300种定性、半定量光谱库，不少于4000种定性搜索光谱图，仪器便携箱，内置充电电池不少于1块，过滤芯不少于5个。</w:t>
            </w:r>
          </w:p>
          <w:p w14:paraId="284946AC">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4、基本要求</w:t>
            </w:r>
          </w:p>
          <w:p w14:paraId="647553EA">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4.1分析原理要求：傅里叶变换红外原理</w:t>
            </w:r>
          </w:p>
          <w:p w14:paraId="2D1E52D1">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4.2便携性要求：完全便携式仪器，重量不超过15公斤(含分析仪主机、供电电池)，便于携带和操作，适合野外工作，满足环境应急监测工作需要。</w:t>
            </w:r>
            <w:r>
              <w:rPr>
                <w:rFonts w:hint="eastAsia" w:ascii="仿宋" w:hAnsi="仿宋" w:eastAsia="仿宋" w:cs="宋体"/>
                <w:kern w:val="0"/>
                <w:sz w:val="21"/>
                <w:szCs w:val="21"/>
                <w:highlight w:val="none"/>
                <w:lang w:eastAsia="zh-CN"/>
                <w14:ligatures w14:val="none"/>
              </w:rPr>
              <w:t>、</w:t>
            </w:r>
          </w:p>
          <w:p w14:paraId="601ADE00">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4.3供电方式要求：分析仪主机须同时支持内置电池供电和220V交流供电两种供电方式。</w:t>
            </w:r>
          </w:p>
          <w:p w14:paraId="570ABB2F">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4.4全中文分析软件，气体组分名称显示为中文。</w:t>
            </w:r>
          </w:p>
          <w:p w14:paraId="721E7E07">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4.5适用方法：HJ919-2017 环境空气挥发性有机物的测定便携式傅里叶红外仪法。</w:t>
            </w:r>
          </w:p>
          <w:p w14:paraId="0291C5B9">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HJ920-2017环境空气无机有害气体的应急监测便携式傅里叶红外仪法。</w:t>
            </w:r>
          </w:p>
          <w:p w14:paraId="012BC0A2">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HJ1011-2018环境空气和废气挥发性有机物组分便携式傅里叶红外监测仪技术要求及检测方法</w:t>
            </w:r>
          </w:p>
          <w:p w14:paraId="2C8C8303">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5、性能指标要求</w:t>
            </w:r>
          </w:p>
          <w:p w14:paraId="0869F3E2">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5.1傅里叶变换红外气体分析仪主机</w:t>
            </w:r>
          </w:p>
          <w:p w14:paraId="75B6DFFA">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5.1.1光谱分辨率不大于16cm</w:t>
            </w:r>
            <w:r>
              <w:rPr>
                <w:rFonts w:hint="eastAsia" w:ascii="仿宋" w:hAnsi="仿宋" w:eastAsia="仿宋" w:cs="宋体"/>
                <w:kern w:val="0"/>
                <w:sz w:val="21"/>
                <w:szCs w:val="21"/>
                <w:highlight w:val="none"/>
                <w:vertAlign w:val="superscript"/>
                <w14:ligatures w14:val="none"/>
              </w:rPr>
              <w:t>-1</w:t>
            </w:r>
          </w:p>
          <w:p w14:paraId="2DC5E059">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5.1.2光谱扫描速度≥5次/秒</w:t>
            </w:r>
          </w:p>
          <w:p w14:paraId="614E229C">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5.1.3检测器类型为碲镉汞(MCT)</w:t>
            </w:r>
          </w:p>
          <w:p w14:paraId="7BC7D10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5.1.4波</w:t>
            </w:r>
            <w:r>
              <w:rPr>
                <w:rFonts w:hint="eastAsia" w:ascii="仿宋" w:hAnsi="仿宋" w:eastAsia="仿宋" w:cs="宋体"/>
                <w:kern w:val="0"/>
                <w:sz w:val="21"/>
                <w:szCs w:val="21"/>
                <w:highlight w:val="none"/>
                <w:lang w:eastAsia="zh-CN"/>
                <w14:ligatures w14:val="none"/>
              </w:rPr>
              <w:t>长</w:t>
            </w:r>
            <w:r>
              <w:rPr>
                <w:rFonts w:hint="eastAsia" w:ascii="仿宋" w:hAnsi="仿宋" w:eastAsia="仿宋" w:cs="宋体"/>
                <w:kern w:val="0"/>
                <w:sz w:val="21"/>
                <w:szCs w:val="21"/>
                <w:highlight w:val="none"/>
                <w14:ligatures w14:val="none"/>
              </w:rPr>
              <w:t>范围：至少包括600～4500cm</w:t>
            </w:r>
            <w:r>
              <w:rPr>
                <w:rFonts w:hint="eastAsia" w:ascii="仿宋" w:hAnsi="仿宋" w:eastAsia="仿宋" w:cs="宋体"/>
                <w:kern w:val="0"/>
                <w:sz w:val="21"/>
                <w:szCs w:val="21"/>
                <w:highlight w:val="none"/>
                <w:vertAlign w:val="superscript"/>
                <w14:ligatures w14:val="none"/>
              </w:rPr>
              <w:t>-1</w:t>
            </w:r>
          </w:p>
          <w:p w14:paraId="7E6DD9FF">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5.1.5采样方式：分析仪主机内置抽气泵直接采样</w:t>
            </w:r>
          </w:p>
          <w:p w14:paraId="1633391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5.1.6操作模式：有线连接或无线连接方式</w:t>
            </w:r>
          </w:p>
          <w:p w14:paraId="1CE0F0F2">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5.1.7仪器基本技术指标须满足《环境空气和废气挥发性有机物组分便携式傅里叶红外监测仪技术要及检测方法》(HJ1011-2018)目次9检测项目表1中I型仪器技术要求，检测项目至少包含定量测量重复性、线性误差、环境温度变化的影响、供电电压变化的影响、响应时间，用作技术参数检测的气体应包含HJ919-2017标准规定的丙烷、乙烯、丙烯、乙炔、苯、甲苯、乙苯、苯乙烯不少于2种挥发性有机物和HJ920-2017标准规定的一氧化碳、二氧化氮、一氧化氮、二氧化硫、二氧化碳、氯化氢、氰化氢、氟化氢、一氧化二氮、氨中不少于2种无机有害气体组分；具体检测项目须满足以下要求：①定量测量重复性:≤5.0%；②线性误差不超过±5.0%F.S.；③环境温度变化的影响不超过±5.0%F.S.；④供电电压变换影响不超过±2.0%F.S.⑤响应时间&lt;120s；(需提供有资质计量部门出具的CMA报告复印件或扫描件,证书上规格/型号须与投标产品规格/型号一致)</w:t>
            </w:r>
          </w:p>
          <w:p w14:paraId="4F67180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5.2样气室</w:t>
            </w:r>
          </w:p>
          <w:p w14:paraId="1F78BA68">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5.2.1多次反射光程总长度不小于9.0米</w:t>
            </w:r>
          </w:p>
          <w:p w14:paraId="4FF37E5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5.2.2防腐蚀性要求：样气室、反射镜使用镀金材质，并有防腐涂层，可用于泄露事故中腐蚀性气体的检测。</w:t>
            </w:r>
          </w:p>
          <w:p w14:paraId="1595FFE0">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5.2.3体积：小于1升</w:t>
            </w:r>
          </w:p>
          <w:p w14:paraId="44A2156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6、数据分析处理系统要求</w:t>
            </w:r>
          </w:p>
          <w:p w14:paraId="26F35149">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6.1可按分钟保存测量数据，软件具有计算平均值的功能。</w:t>
            </w:r>
          </w:p>
          <w:p w14:paraId="73EDAF2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6.2能够进行未知气体的自动查找和判定，可进行连续现场记录存储，自动存储测量光谱图，光谱图能不断升级参考光谱库；</w:t>
            </w:r>
          </w:p>
          <w:p w14:paraId="5F88E3F6">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6.3能将测试数据输出为文本格式（.txt）利用EXCEL进行报表分析，气体浓度单位ppm与mg/m3可转换；</w:t>
            </w:r>
          </w:p>
          <w:p w14:paraId="48491DE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6.4红外光谱图要求：提供不少于50种化合物定性定量红外光谱图，不少于300种化合物定性、半定量光谱库，提供不少于4000种化合物的定性搜索光谱图；</w:t>
            </w:r>
          </w:p>
          <w:p w14:paraId="038B8C1F">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14:ligatures w14:val="none"/>
              </w:rPr>
              <w:t>6.5 为了适用环境应急现场快速分析需要，最快分析时间≤1秒，其他测定时间可选；</w:t>
            </w:r>
          </w:p>
          <w:p w14:paraId="4C27FF97">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6.6 具有现场打印功能可打印原始监测数据，配置手持式打印机(同时支持蓝牙与USB通讯)，打印内容</w:t>
            </w:r>
            <w:r>
              <w:rPr>
                <w:rFonts w:hint="eastAsia" w:ascii="仿宋" w:hAnsi="仿宋" w:eastAsia="仿宋" w:cs="宋体"/>
                <w:kern w:val="0"/>
                <w:sz w:val="21"/>
                <w:szCs w:val="21"/>
                <w:highlight w:val="none"/>
                <w:lang w:eastAsia="zh-CN"/>
                <w14:ligatures w14:val="none"/>
              </w:rPr>
              <w:t>应</w:t>
            </w:r>
            <w:r>
              <w:rPr>
                <w:rFonts w:hint="eastAsia" w:ascii="仿宋" w:hAnsi="仿宋" w:eastAsia="仿宋" w:cs="宋体"/>
                <w:kern w:val="0"/>
                <w:sz w:val="21"/>
                <w:szCs w:val="21"/>
                <w:highlight w:val="none"/>
                <w14:ligatures w14:val="none"/>
              </w:rPr>
              <w:t>包括单位名称、时间、仪器型号、仪器编号、化合物名称、分析光谱、化合物浓度及单位。</w:t>
            </w:r>
          </w:p>
          <w:p w14:paraId="301F3F4E">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6.7</w:t>
            </w:r>
          </w:p>
          <w:p w14:paraId="168DC922">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14:ligatures w14:val="none"/>
              </w:rPr>
              <w:t xml:space="preserve"> 五十种定性、定量物质</w:t>
            </w:r>
          </w:p>
          <w:p w14:paraId="63B97511">
            <w:pPr>
              <w:widowControl/>
              <w:spacing w:after="0" w:line="240" w:lineRule="auto"/>
              <w:rPr>
                <w:rFonts w:hint="eastAsia" w:ascii="仿宋" w:hAnsi="仿宋" w:eastAsia="仿宋" w:cs="宋体"/>
                <w:kern w:val="0"/>
                <w:szCs w:val="21"/>
                <w:highlight w:val="none"/>
              </w:rPr>
            </w:pPr>
            <w:r>
              <w:rPr>
                <w:rFonts w:hint="eastAsia" w:ascii="仿宋" w:hAnsi="仿宋" w:eastAsia="仿宋" w:cs="宋体"/>
                <w:kern w:val="0"/>
                <w:sz w:val="21"/>
                <w:szCs w:val="21"/>
                <w:highlight w:val="none"/>
                <w14:ligatures w14:val="none"/>
              </w:rPr>
              <w:t>1.水；2.二氧化碳；3.一氧化碳；4.一氧化二氮；5.一氧化氮；6.二氧化氮；7.二氧化硫；8.氨；9.氯化氢；10.氰化氢；11.氟化氢；12.甲烷；13.乙烷；14.乙烯；15.丙烷；16.(正)己烷；17.环己烷；18.苯；19.甲苯；20.苯乙烯；21.间二甲苯；22.邻二甲苯；23.对二甲苯；24.乙酸；25.甲醛；26.丙酮；27.甲醇；28.乙醇；29.苯酚；30.二氯甲烷(氟里昂30)；31.三氯甲烷(氯仿)；32.1,1-二氯乙烷；33.1,2-二氯乙烷（氟里昂150）；34.三氯乙烯；35.四氯乙烯；36.丙烯；37.乙酸甲酯；38.乙酸乙酯；39.丙烯酸甲酯；40.三甲胺；41.硝基苯；42.氯苯；43.乙苯；44.乙炔；45.二硫化碳；46.苯胺；47.氯乙烯；48.丙烯醛；49.乙醛；50.乙(酸)酐。</w:t>
            </w:r>
          </w:p>
        </w:tc>
      </w:tr>
      <w:tr w14:paraId="7CF9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9040" w:type="dxa"/>
            <w:gridSpan w:val="6"/>
            <w:noWrap/>
            <w:vAlign w:val="center"/>
          </w:tcPr>
          <w:p w14:paraId="6795CA4E">
            <w:pPr>
              <w:widowControl/>
              <w:jc w:val="center"/>
              <w:rPr>
                <w:rFonts w:hint="default" w:ascii="仿宋" w:hAnsi="仿宋" w:eastAsia="仿宋" w:cs="宋体"/>
                <w:kern w:val="0"/>
                <w:szCs w:val="21"/>
                <w:highlight w:val="none"/>
                <w:lang w:val="en-US" w:eastAsia="zh-CN"/>
              </w:rPr>
            </w:pPr>
            <w:r>
              <w:rPr>
                <w:rFonts w:hint="eastAsia" w:ascii="仿宋" w:hAnsi="仿宋" w:eastAsia="仿宋" w:cs="宋体"/>
                <w:b/>
                <w:bCs/>
                <w:kern w:val="0"/>
                <w:szCs w:val="21"/>
                <w:highlight w:val="none"/>
                <w:lang w:val="en-US" w:eastAsia="zh-CN"/>
              </w:rPr>
              <w:t>02包</w:t>
            </w:r>
          </w:p>
        </w:tc>
      </w:tr>
      <w:tr w14:paraId="4147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0" w:type="dxa"/>
            <w:noWrap/>
            <w:vAlign w:val="center"/>
          </w:tcPr>
          <w:p w14:paraId="72BB7F54">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序号</w:t>
            </w:r>
          </w:p>
        </w:tc>
        <w:tc>
          <w:tcPr>
            <w:tcW w:w="874" w:type="dxa"/>
            <w:noWrap w:val="0"/>
            <w:vAlign w:val="center"/>
          </w:tcPr>
          <w:p w14:paraId="66723B19">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具体类别</w:t>
            </w:r>
          </w:p>
        </w:tc>
        <w:tc>
          <w:tcPr>
            <w:tcW w:w="814" w:type="dxa"/>
            <w:noWrap w:val="0"/>
            <w:vAlign w:val="center"/>
          </w:tcPr>
          <w:p w14:paraId="48F4460B">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设备名称</w:t>
            </w:r>
          </w:p>
        </w:tc>
        <w:tc>
          <w:tcPr>
            <w:tcW w:w="502" w:type="dxa"/>
            <w:noWrap w:val="0"/>
            <w:vAlign w:val="center"/>
          </w:tcPr>
          <w:p w14:paraId="388201EB">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数量</w:t>
            </w:r>
          </w:p>
        </w:tc>
        <w:tc>
          <w:tcPr>
            <w:tcW w:w="721" w:type="dxa"/>
            <w:noWrap w:val="0"/>
            <w:vAlign w:val="center"/>
          </w:tcPr>
          <w:p w14:paraId="3C2E21BF">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单位</w:t>
            </w:r>
          </w:p>
        </w:tc>
        <w:tc>
          <w:tcPr>
            <w:tcW w:w="5559" w:type="dxa"/>
            <w:noWrap w:val="0"/>
            <w:vAlign w:val="center"/>
          </w:tcPr>
          <w:p w14:paraId="78DB3DB2">
            <w:pPr>
              <w:widowControl/>
              <w:jc w:val="center"/>
              <w:rPr>
                <w:rFonts w:hint="eastAsia" w:ascii="仿宋" w:hAnsi="仿宋" w:eastAsia="仿宋" w:cs="宋体"/>
                <w:b/>
                <w:bCs/>
                <w:kern w:val="0"/>
                <w:szCs w:val="21"/>
                <w:highlight w:val="none"/>
              </w:rPr>
            </w:pPr>
            <w:r>
              <w:rPr>
                <w:rFonts w:hint="eastAsia" w:ascii="仿宋" w:hAnsi="仿宋" w:eastAsia="仿宋" w:cs="宋体"/>
                <w:b/>
                <w:bCs/>
                <w:kern w:val="0"/>
                <w:szCs w:val="21"/>
                <w:highlight w:val="none"/>
              </w:rPr>
              <w:t>技术要求</w:t>
            </w:r>
          </w:p>
        </w:tc>
      </w:tr>
      <w:tr w14:paraId="444E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9" w:hRule="atLeast"/>
          <w:jc w:val="center"/>
        </w:trPr>
        <w:tc>
          <w:tcPr>
            <w:tcW w:w="570" w:type="dxa"/>
            <w:noWrap/>
            <w:vAlign w:val="center"/>
          </w:tcPr>
          <w:p w14:paraId="5C1D3ACB">
            <w:pPr>
              <w:widowControl/>
              <w:spacing w:after="0" w:line="240" w:lineRule="auto"/>
              <w:jc w:val="center"/>
              <w:rPr>
                <w:rFonts w:hint="eastAsia" w:ascii="仿宋" w:hAnsi="仿宋" w:eastAsia="仿宋" w:cs="宋体"/>
                <w:kern w:val="0"/>
                <w:szCs w:val="21"/>
                <w:highlight w:val="none"/>
                <w:lang w:eastAsia="zh-CN"/>
              </w:rPr>
            </w:pPr>
            <w:r>
              <w:rPr>
                <w:rFonts w:hint="eastAsia" w:ascii="仿宋" w:hAnsi="仿宋" w:eastAsia="仿宋" w:cs="宋体"/>
                <w:kern w:val="0"/>
                <w:szCs w:val="22"/>
                <w:highlight w:val="none"/>
                <w:lang w:val="en-US" w:eastAsia="zh-CN"/>
                <w14:ligatures w14:val="none"/>
              </w:rPr>
              <w:t>1</w:t>
            </w:r>
          </w:p>
        </w:tc>
        <w:tc>
          <w:tcPr>
            <w:tcW w:w="874" w:type="dxa"/>
            <w:noWrap w:val="0"/>
            <w:vAlign w:val="center"/>
          </w:tcPr>
          <w:p w14:paraId="24AC914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 xml:space="preserve">现场取证装备 </w:t>
            </w:r>
          </w:p>
        </w:tc>
        <w:tc>
          <w:tcPr>
            <w:tcW w:w="814" w:type="dxa"/>
            <w:noWrap w:val="0"/>
            <w:vAlign w:val="center"/>
          </w:tcPr>
          <w:p w14:paraId="5F05B5C7">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移动源执法监测设备（OBD 诊断仪）</w:t>
            </w:r>
          </w:p>
        </w:tc>
        <w:tc>
          <w:tcPr>
            <w:tcW w:w="502" w:type="dxa"/>
            <w:noWrap w:val="0"/>
            <w:vAlign w:val="center"/>
          </w:tcPr>
          <w:p w14:paraId="52832192">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23</w:t>
            </w:r>
          </w:p>
        </w:tc>
        <w:tc>
          <w:tcPr>
            <w:tcW w:w="721" w:type="dxa"/>
            <w:noWrap w:val="0"/>
            <w:vAlign w:val="center"/>
          </w:tcPr>
          <w:p w14:paraId="3997565D">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台</w:t>
            </w:r>
          </w:p>
        </w:tc>
        <w:tc>
          <w:tcPr>
            <w:tcW w:w="5559" w:type="dxa"/>
            <w:noWrap w:val="0"/>
            <w:vAlign w:val="center"/>
          </w:tcPr>
          <w:p w14:paraId="74EAFFA1">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1、符合现行GB18285-2018、GB3847-2018、HJ1237-2021《机动车排放定期检验规范》、HJ 1238—2021 《汽车排放定期检验信息采集传输技术规范 》、中国计量协会团体标准《机动车排放检验用OBD诊断仪检验项目和方法》T/CMA JD 042-2021汽车排放标准。适用于环保检测新标准中规定的新车下线检验、注册登记检验、在用车辆检验、监督执法检查，适用于国六、国五、国四车型的检测，支持国六车型永久故障码检查，满足12V/24V车辆OBD检测需求。</w:t>
            </w:r>
          </w:p>
          <w:p w14:paraId="321C838E">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2、支持但不限于读取符合以下通信协议的车辆OBD诊断协议：ISO 9141、ISO 13400、ISO14229、ISO 14230、ISO15031、ISO 15765、ISO 27145、SAE J1850、SAE J1939, SAE J1979、 SAE J1708等。</w:t>
            </w:r>
          </w:p>
          <w:p w14:paraId="1ABA385C">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3、OBD设备检测系统有服务器支撑，具备与其他系统对接功能，进行重点数据信息定制化推送，设备程序界面可根据采购人需求进行功能定制，重点展示VIN 、CALID、CVN、故障码、故障灯点亮后的行驶里程（km）等关键信息，有数据源的情况下可支持VIN、CALID、CVN一致性判定。</w:t>
            </w:r>
          </w:p>
          <w:p w14:paraId="7A4135A1">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4、开放端口，具备与北京市生态环境综合执法管控平台连接的功能，提供数据传输标准规范，支持数据传输内容上传至北京市生态环境综合管控平台。</w:t>
            </w:r>
          </w:p>
          <w:p w14:paraId="630C9824">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5、终端 CPU：四核1.5GHz及以上；内置电池5000毫安及以上；内存容量：2GB及以上，存储容量：64GB及以上；显示屏幕：7寸以下（便于携带）。支持通过Wi-Fi打印检测结果。</w:t>
            </w:r>
          </w:p>
          <w:p w14:paraId="3F2E33A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6、带远程工具，日志抓取功能在车辆检查有疑问时厂家技术人员可快速接入查找车辆问题。</w:t>
            </w:r>
          </w:p>
          <w:p w14:paraId="7855DC7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7、蓝牙接头具备照明功能，以便查找车辆OBD接口位置，蓝牙和主机之间无线传输距离不小于30米。</w:t>
            </w:r>
          </w:p>
          <w:p w14:paraId="3BE069C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8、蓝牙接头带自检功能，出现故障时通过指示灯显示故障。</w:t>
            </w:r>
          </w:p>
          <w:p w14:paraId="16828B6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9、仪器具有便携性，不受供电限制，屏幕尺寸不大于7寸方便携带，适合长时间连续室外工作，内置电池连续工作时间不少于8小时，配备便携工具箱。</w:t>
            </w:r>
          </w:p>
          <w:p w14:paraId="2B84AD14">
            <w:pPr>
              <w:widowControl/>
              <w:spacing w:after="0" w:line="240" w:lineRule="auto"/>
              <w:rPr>
                <w:rFonts w:hint="eastAsia" w:ascii="仿宋" w:hAnsi="仿宋" w:eastAsia="仿宋" w:cs="宋体"/>
                <w:kern w:val="0"/>
                <w:sz w:val="21"/>
                <w:szCs w:val="21"/>
                <w:highlight w:val="none"/>
                <w:lang w:val="en-US" w:eastAsia="zh-CN"/>
                <w14:ligatures w14:val="none"/>
              </w:rPr>
            </w:pPr>
            <w:r>
              <w:rPr>
                <w:rFonts w:ascii="仿宋" w:hAnsi="仿宋" w:eastAsia="仿宋" w:cs="宋体"/>
                <w:kern w:val="0"/>
                <w:sz w:val="21"/>
                <w:szCs w:val="21"/>
                <w:highlight w:val="none"/>
                <w14:ligatures w14:val="none"/>
              </w:rPr>
              <w:t>10、读取数据信息管理全中文操作，支持读取数据以无线方式传输读取结果，通信协议优先扫描功能，提高车辆的检测速度。</w:t>
            </w:r>
          </w:p>
          <w:p w14:paraId="39C076CB">
            <w:pPr>
              <w:widowControl/>
              <w:spacing w:after="0" w:line="240" w:lineRule="auto"/>
              <w:rPr>
                <w:rFonts w:hint="eastAsia" w:ascii="仿宋" w:hAnsi="仿宋" w:eastAsia="仿宋" w:cs="宋体"/>
                <w:kern w:val="0"/>
                <w:sz w:val="21"/>
                <w:szCs w:val="21"/>
                <w:highlight w:val="none"/>
                <w:lang w:val="en-US" w:eastAsia="zh-CN"/>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lang w:val="en-US" w:eastAsia="zh-CN"/>
                <w14:ligatures w14:val="none"/>
              </w:rPr>
              <w:t>11、</w:t>
            </w:r>
            <w:r>
              <w:rPr>
                <w:rFonts w:hint="eastAsia" w:ascii="仿宋" w:hAnsi="仿宋" w:eastAsia="仿宋" w:cs="宋体"/>
                <w:kern w:val="0"/>
                <w:sz w:val="21"/>
                <w:szCs w:val="21"/>
                <w:highlight w:val="none"/>
                <w14:ligatures w14:val="none"/>
              </w:rPr>
              <w:t>必须满足数据传输通讯协议，可与北京市生态环境局综合执法平台对接。（须做出承诺）</w:t>
            </w:r>
          </w:p>
        </w:tc>
      </w:tr>
      <w:tr w14:paraId="67AF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jc w:val="center"/>
        </w:trPr>
        <w:tc>
          <w:tcPr>
            <w:tcW w:w="570" w:type="dxa"/>
            <w:noWrap/>
            <w:vAlign w:val="center"/>
          </w:tcPr>
          <w:p w14:paraId="49D1C5EB">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2</w:t>
            </w:r>
          </w:p>
        </w:tc>
        <w:tc>
          <w:tcPr>
            <w:tcW w:w="874" w:type="dxa"/>
            <w:noWrap w:val="0"/>
            <w:vAlign w:val="center"/>
          </w:tcPr>
          <w:p w14:paraId="3A1D9CEF">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现场取证装备</w:t>
            </w:r>
          </w:p>
        </w:tc>
        <w:tc>
          <w:tcPr>
            <w:tcW w:w="814" w:type="dxa"/>
            <w:noWrap w:val="0"/>
            <w:vAlign w:val="center"/>
          </w:tcPr>
          <w:p w14:paraId="26C7EA0C">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移动源执法监测设备 (不透光烟度计)</w:t>
            </w:r>
          </w:p>
        </w:tc>
        <w:tc>
          <w:tcPr>
            <w:tcW w:w="502" w:type="dxa"/>
            <w:noWrap w:val="0"/>
            <w:vAlign w:val="center"/>
          </w:tcPr>
          <w:p w14:paraId="22E528ED">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23</w:t>
            </w:r>
          </w:p>
        </w:tc>
        <w:tc>
          <w:tcPr>
            <w:tcW w:w="721" w:type="dxa"/>
            <w:noWrap w:val="0"/>
            <w:vAlign w:val="center"/>
          </w:tcPr>
          <w:p w14:paraId="6417F306">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台</w:t>
            </w:r>
          </w:p>
        </w:tc>
        <w:tc>
          <w:tcPr>
            <w:tcW w:w="5559" w:type="dxa"/>
            <w:noWrap w:val="0"/>
            <w:vAlign w:val="center"/>
          </w:tcPr>
          <w:p w14:paraId="5B0E59FE">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1、用于执法检查中对在用柴油车、燃气车、非道路移动柴油机械采用自由加速法进行尾气排放烟度检测。甲方执法终端软件可自动调用检测数值及结果。</w:t>
            </w:r>
          </w:p>
          <w:p w14:paraId="771AE63F">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2、满足《柴油车污染物排放限值及测量方法(自由加速法)》(GB 3847-2018)附录A(规范性附录)自由加速法及附录C(规范性附录)不透光烟度计的特性和安装要求、《非道路柴油移动机械排气烟度限值及测量方法》(GB 36886 -2018)5.2.1不透光烟度计法有关要求。</w:t>
            </w:r>
          </w:p>
          <w:p w14:paraId="5E2FE8DA">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3、产品须取得省级及以上人民政府计量行政部门颁发的有效的计量器具型式批准证书。</w:t>
            </w:r>
          </w:p>
          <w:p w14:paraId="5D26C0BF">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4、功能要求</w:t>
            </w:r>
          </w:p>
          <w:p w14:paraId="561CF4BD">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仪器便携式一体化设计，不受供电限制，执法现场可快速打印检测结果，全中文操作软件，拍照自动识别车辆号牌，可查看历史检测数据、检测现场信息以及设备质控信息(标定、检查)等。</w:t>
            </w:r>
          </w:p>
          <w:p w14:paraId="09911811">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5、技术要求</w:t>
            </w:r>
          </w:p>
          <w:p w14:paraId="24DF201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5.1全中文操作，开放设备端口，提供数据传输标准规范，支持数传输内容、格式定制开发；</w:t>
            </w:r>
          </w:p>
          <w:p w14:paraId="521AA15C">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5.2应具备烟度计软件应内置车牌号拍照自动识别功能，无需接入互联网应能拍照进行车牌号牌识别；</w:t>
            </w:r>
          </w:p>
          <w:p w14:paraId="4592DE53">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5.3应具备筛选历史检测数据并将筛选结果生成报表的功能；</w:t>
            </w:r>
          </w:p>
          <w:p w14:paraId="3D008E28">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5.4软件须与甲方在用系统平台及手持终端软件通讯，能调用并能自动读取不透光烟度计检测结果。甲方系统平台及手持终端软件升级、更新或更换后应快速建立通讯；</w:t>
            </w:r>
          </w:p>
          <w:p w14:paraId="22E760CE">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5.5烟度计软件应具有仪器检定、零点校准、零点检查功能，应能保存仪器检定、零点校准、零点检查质控信息；</w:t>
            </w:r>
          </w:p>
          <w:p w14:paraId="62BA976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5.6终端和主机之间通过无线蓝牙连接，连接距离应大于15米；</w:t>
            </w:r>
          </w:p>
          <w:p w14:paraId="2F8F6A4F">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5.7软件应内置《柴油车污染物排放限值及测量方法（自由加速法及加载减速法）》（GB 3847-2018）烟度排放限值和自由加速检测方法，应能根据排放限值自动判断检测结果是否合格，应能打印检测执行的标准名称及排放限值；</w:t>
            </w:r>
          </w:p>
          <w:p w14:paraId="53521465">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5.8 软件应内置《非道路移动柴油机械排放烟度限值及测量方法》（GB 36886-2018）标准的I 类、II 类、III 类烟度排放限值和自由加载及自由加速检测方法，应能根据排放限值自动判断检测结果是否合格，应能打印检测执行的标准名称及排放限值数值、检测模式、机械类别、功率范围。</w:t>
            </w:r>
          </w:p>
          <w:p w14:paraId="50FE662E">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6、烟度计主机设备性能要求</w:t>
            </w:r>
          </w:p>
          <w:p w14:paraId="6F841F11">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 xml:space="preserve">6.1.采用便携一体化设计； </w:t>
            </w:r>
          </w:p>
          <w:p w14:paraId="5477AE8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6.2. 设备应采用主机内置锂电池或220V交流方式供电，设备供电电池续航能力应不低于8小时，并具有电量指示等显示；</w:t>
            </w:r>
          </w:p>
          <w:p w14:paraId="23D74565">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6.3.设备应具有防止烟气污染措施；</w:t>
            </w:r>
          </w:p>
          <w:p w14:paraId="28242CC0">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6.4.检测室具有自动加热，恒温控制功能；</w:t>
            </w:r>
          </w:p>
          <w:p w14:paraId="0982D8F0">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6.5.设备应可通过软件提示异常，确保设备处于正常工作状态；</w:t>
            </w:r>
          </w:p>
          <w:p w14:paraId="4686B549">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6.6预热时间：≦6分钟；</w:t>
            </w:r>
          </w:p>
          <w:p w14:paraId="50B70C8A">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6.7 操作方式：蓝牙无线操作，无线手操器须同时连接专用打印机和烟度计主机。</w:t>
            </w:r>
          </w:p>
          <w:p w14:paraId="33F5D4E8">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7、技术指标要求</w:t>
            </w:r>
          </w:p>
          <w:p w14:paraId="6C4B0C92">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7.1 不透光度</w:t>
            </w:r>
          </w:p>
          <w:p w14:paraId="63391591">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7.1.1</w:t>
            </w:r>
            <w:r>
              <w:rPr>
                <w:rFonts w:ascii="仿宋" w:hAnsi="仿宋" w:eastAsia="仿宋" w:cs="宋体"/>
                <w:kern w:val="0"/>
                <w:sz w:val="21"/>
                <w:szCs w:val="21"/>
                <w:highlight w:val="none"/>
                <w14:ligatures w14:val="none"/>
              </w:rPr>
              <w:t>示值范围：0~99.85%，</w:t>
            </w:r>
          </w:p>
          <w:p w14:paraId="5188EFEA">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7.1.2</w:t>
            </w:r>
            <w:r>
              <w:rPr>
                <w:rFonts w:ascii="仿宋" w:hAnsi="仿宋" w:eastAsia="仿宋" w:cs="宋体"/>
                <w:kern w:val="0"/>
                <w:sz w:val="21"/>
                <w:szCs w:val="21"/>
                <w:highlight w:val="none"/>
                <w14:ligatures w14:val="none"/>
              </w:rPr>
              <w:t>分辨力：不大于0.1%</w:t>
            </w:r>
          </w:p>
          <w:p w14:paraId="4FCB6AD3">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7.1.3</w:t>
            </w:r>
            <w:r>
              <w:rPr>
                <w:rFonts w:ascii="仿宋" w:hAnsi="仿宋" w:eastAsia="仿宋" w:cs="宋体"/>
                <w:kern w:val="0"/>
                <w:sz w:val="21"/>
                <w:szCs w:val="21"/>
                <w:highlight w:val="none"/>
                <w14:ligatures w14:val="none"/>
              </w:rPr>
              <w:t>示值误差(绝对量)：不超过±2.0%</w:t>
            </w:r>
          </w:p>
          <w:p w14:paraId="7B13B807">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7.1.4</w:t>
            </w:r>
            <w:r>
              <w:rPr>
                <w:rFonts w:ascii="仿宋" w:hAnsi="仿宋" w:eastAsia="仿宋" w:cs="宋体"/>
                <w:kern w:val="0"/>
                <w:sz w:val="21"/>
                <w:szCs w:val="21"/>
                <w:highlight w:val="none"/>
                <w14:ligatures w14:val="none"/>
              </w:rPr>
              <w:t>重复性(绝对量)：不大于1.0%</w:t>
            </w:r>
          </w:p>
          <w:p w14:paraId="3A7BE860">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7.1.5</w:t>
            </w:r>
            <w:r>
              <w:rPr>
                <w:rFonts w:ascii="仿宋" w:hAnsi="仿宋" w:eastAsia="仿宋" w:cs="宋体"/>
                <w:kern w:val="0"/>
                <w:sz w:val="21"/>
                <w:szCs w:val="21"/>
                <w:highlight w:val="none"/>
                <w14:ligatures w14:val="none"/>
              </w:rPr>
              <w:t>仪器漂移(绝对量)：30min内不超过1.0%</w:t>
            </w:r>
          </w:p>
          <w:p w14:paraId="1894BB42">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7.2 光吸收系数</w:t>
            </w:r>
          </w:p>
          <w:p w14:paraId="217A06B9">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7.2.1</w:t>
            </w:r>
            <w:r>
              <w:rPr>
                <w:rFonts w:ascii="仿宋" w:hAnsi="仿宋" w:eastAsia="仿宋" w:cs="宋体"/>
                <w:kern w:val="0"/>
                <w:sz w:val="21"/>
                <w:szCs w:val="21"/>
                <w:highlight w:val="none"/>
                <w14:ligatures w14:val="none"/>
              </w:rPr>
              <w:t>示值范围：至少应满足（0~10.71）m</w:t>
            </w:r>
            <w:r>
              <w:rPr>
                <w:rFonts w:ascii="仿宋" w:hAnsi="仿宋" w:eastAsia="仿宋" w:cs="宋体"/>
                <w:kern w:val="0"/>
                <w:sz w:val="21"/>
                <w:szCs w:val="21"/>
                <w:highlight w:val="none"/>
                <w:vertAlign w:val="superscript"/>
                <w14:ligatures w14:val="none"/>
              </w:rPr>
              <w:t>-1</w:t>
            </w:r>
            <w:r>
              <w:rPr>
                <w:rFonts w:ascii="仿宋" w:hAnsi="仿宋" w:eastAsia="仿宋" w:cs="宋体"/>
                <w:kern w:val="0"/>
                <w:sz w:val="21"/>
                <w:szCs w:val="21"/>
                <w:highlight w:val="none"/>
                <w14:ligatures w14:val="none"/>
              </w:rPr>
              <w:t>；</w:t>
            </w:r>
          </w:p>
          <w:p w14:paraId="2BD5BBA7">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7.2.2</w:t>
            </w:r>
            <w:r>
              <w:rPr>
                <w:rFonts w:ascii="仿宋" w:hAnsi="仿宋" w:eastAsia="仿宋" w:cs="宋体"/>
                <w:kern w:val="0"/>
                <w:sz w:val="21"/>
                <w:szCs w:val="21"/>
                <w:highlight w:val="none"/>
                <w14:ligatures w14:val="none"/>
              </w:rPr>
              <w:t>分辨</w:t>
            </w:r>
            <w:r>
              <w:rPr>
                <w:rFonts w:hint="eastAsia" w:ascii="仿宋" w:hAnsi="仿宋" w:eastAsia="仿宋" w:cs="宋体"/>
                <w:kern w:val="0"/>
                <w:sz w:val="21"/>
                <w:szCs w:val="21"/>
                <w:highlight w:val="none"/>
                <w:lang w:eastAsia="zh-CN"/>
                <w14:ligatures w14:val="none"/>
              </w:rPr>
              <w:t>率不大于</w:t>
            </w:r>
            <w:r>
              <w:rPr>
                <w:rFonts w:ascii="仿宋" w:hAnsi="仿宋" w:eastAsia="仿宋" w:cs="宋体"/>
                <w:kern w:val="0"/>
                <w:sz w:val="21"/>
                <w:szCs w:val="21"/>
                <w:highlight w:val="none"/>
                <w14:ligatures w14:val="none"/>
              </w:rPr>
              <w:t>0.01 m</w:t>
            </w:r>
            <w:r>
              <w:rPr>
                <w:rFonts w:ascii="仿宋" w:hAnsi="仿宋" w:eastAsia="仿宋" w:cs="宋体"/>
                <w:kern w:val="0"/>
                <w:sz w:val="21"/>
                <w:szCs w:val="21"/>
                <w:highlight w:val="none"/>
                <w:vertAlign w:val="superscript"/>
                <w14:ligatures w14:val="none"/>
              </w:rPr>
              <w:t>-1</w:t>
            </w:r>
          </w:p>
          <w:p w14:paraId="15D0942D">
            <w:pPr>
              <w:widowControl/>
              <w:spacing w:after="0" w:line="240" w:lineRule="auto"/>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7.2.3</w:t>
            </w:r>
            <w:r>
              <w:rPr>
                <w:rFonts w:ascii="仿宋" w:hAnsi="仿宋" w:eastAsia="仿宋" w:cs="宋体"/>
                <w:kern w:val="0"/>
                <w:sz w:val="21"/>
                <w:szCs w:val="21"/>
                <w:highlight w:val="none"/>
                <w14:ligatures w14:val="none"/>
              </w:rPr>
              <w:t>示值的不一致性：不大于0.05 m</w:t>
            </w:r>
            <w:r>
              <w:rPr>
                <w:rFonts w:ascii="仿宋" w:hAnsi="仿宋" w:eastAsia="仿宋" w:cs="宋体"/>
                <w:kern w:val="0"/>
                <w:sz w:val="21"/>
                <w:szCs w:val="21"/>
                <w:highlight w:val="none"/>
                <w:vertAlign w:val="superscript"/>
                <w14:ligatures w14:val="none"/>
              </w:rPr>
              <w:t>-1</w:t>
            </w:r>
            <w:r>
              <w:rPr>
                <w:rFonts w:ascii="仿宋" w:hAnsi="仿宋" w:eastAsia="仿宋" w:cs="宋体"/>
                <w:kern w:val="0"/>
                <w:sz w:val="21"/>
                <w:szCs w:val="21"/>
                <w:highlight w:val="none"/>
                <w14:ligatures w14:val="none"/>
              </w:rPr>
              <w:t>；</w:t>
            </w:r>
          </w:p>
          <w:p w14:paraId="70247B56">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7.3透射式烟度计可在-20℃～40℃范围内工作。</w:t>
            </w:r>
          </w:p>
          <w:p w14:paraId="5E095C00">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8、配置要求</w:t>
            </w:r>
          </w:p>
          <w:p w14:paraId="0C66A87B">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包括但不限于：不透光烟度计主机，无线手操器，采样探针（采样管长度至少 400mm顶端应有翅片确保吸气口接近排气管中部，导气软管、伸缩杆），充电器，便携背包，手持式蓝牙针式专用打印机。</w:t>
            </w:r>
          </w:p>
          <w:p w14:paraId="016C7CCC">
            <w:pPr>
              <w:widowControl/>
              <w:spacing w:after="0" w:line="240" w:lineRule="auto"/>
              <w:rPr>
                <w:rFonts w:hint="eastAsia" w:ascii="仿宋" w:hAnsi="仿宋" w:eastAsia="仿宋" w:cs="宋体"/>
                <w:kern w:val="0"/>
                <w:sz w:val="21"/>
                <w:szCs w:val="21"/>
                <w:highlight w: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9、</w:t>
            </w:r>
            <w:r>
              <w:rPr>
                <w:rFonts w:hint="eastAsia" w:ascii="仿宋" w:hAnsi="仿宋" w:eastAsia="仿宋" w:cs="宋体"/>
                <w:kern w:val="0"/>
                <w:sz w:val="21"/>
                <w:szCs w:val="21"/>
                <w:highlight w:val="none"/>
                <w14:ligatures w14:val="none"/>
              </w:rPr>
              <w:t>必须满足数据传输通讯协议，可与北京市生态环境局综合执法平台对接。（须做出承诺）</w:t>
            </w:r>
          </w:p>
        </w:tc>
      </w:tr>
      <w:tr w14:paraId="6376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jc w:val="center"/>
        </w:trPr>
        <w:tc>
          <w:tcPr>
            <w:tcW w:w="570" w:type="dxa"/>
            <w:noWrap/>
            <w:vAlign w:val="center"/>
          </w:tcPr>
          <w:p w14:paraId="70AA3D7F">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3</w:t>
            </w:r>
          </w:p>
        </w:tc>
        <w:tc>
          <w:tcPr>
            <w:tcW w:w="874" w:type="dxa"/>
            <w:noWrap w:val="0"/>
            <w:vAlign w:val="center"/>
          </w:tcPr>
          <w:p w14:paraId="09D91E53">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现场取证装备</w:t>
            </w:r>
          </w:p>
        </w:tc>
        <w:tc>
          <w:tcPr>
            <w:tcW w:w="814" w:type="dxa"/>
            <w:noWrap w:val="0"/>
            <w:vAlign w:val="center"/>
          </w:tcPr>
          <w:p w14:paraId="2DAB36EB">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移动源执法监测设备（重型汽车氮氧化物快速检测仪）</w:t>
            </w:r>
          </w:p>
        </w:tc>
        <w:tc>
          <w:tcPr>
            <w:tcW w:w="502" w:type="dxa"/>
            <w:noWrap w:val="0"/>
            <w:vAlign w:val="center"/>
          </w:tcPr>
          <w:p w14:paraId="72F1DF0C">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2</w:t>
            </w:r>
            <w:bookmarkStart w:id="1085" w:name="_GoBack"/>
            <w:bookmarkEnd w:id="1085"/>
          </w:p>
        </w:tc>
        <w:tc>
          <w:tcPr>
            <w:tcW w:w="721" w:type="dxa"/>
            <w:noWrap w:val="0"/>
            <w:vAlign w:val="center"/>
          </w:tcPr>
          <w:p w14:paraId="3DEFB25C">
            <w:pPr>
              <w:widowControl/>
              <w:spacing w:after="0" w:line="240" w:lineRule="auto"/>
              <w:jc w:val="center"/>
              <w:rPr>
                <w:rFonts w:hint="eastAsia" w:ascii="仿宋" w:hAnsi="仿宋" w:eastAsia="仿宋" w:cs="宋体"/>
                <w:kern w:val="0"/>
                <w:szCs w:val="21"/>
                <w:highlight w:val="none"/>
              </w:rPr>
            </w:pPr>
            <w:r>
              <w:rPr>
                <w:rFonts w:ascii="仿宋" w:hAnsi="仿宋" w:eastAsia="仿宋" w:cs="宋体"/>
                <w:kern w:val="0"/>
                <w:szCs w:val="22"/>
                <w:highlight w:val="none"/>
                <w14:ligatures w14:val="none"/>
              </w:rPr>
              <w:t>台</w:t>
            </w:r>
          </w:p>
        </w:tc>
        <w:tc>
          <w:tcPr>
            <w:tcW w:w="5559" w:type="dxa"/>
            <w:noWrap w:val="0"/>
            <w:vAlign w:val="center"/>
          </w:tcPr>
          <w:p w14:paraId="6B32C4DC">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1、满足《重型汽车氮氧化物快速检测方法及排放限值》（DB11/1476-2017）全部要求。适用车型：燃用柴油、汽油、天然气的重型汽车。</w:t>
            </w:r>
          </w:p>
          <w:p w14:paraId="063CDE70">
            <w:pPr>
              <w:widowControl/>
              <w:spacing w:after="0" w:line="240" w:lineRule="auto"/>
              <w:rPr>
                <w:rFonts w:hint="eastAsia" w:ascii="仿宋" w:hAnsi="仿宋" w:eastAsia="仿宋" w:cs="仿宋"/>
                <w:i w:val="0"/>
                <w:iCs w:val="0"/>
                <w:color w:val="auto"/>
                <w:spacing w:val="0"/>
                <w:position w:val="0"/>
                <w:sz w:val="21"/>
                <w:szCs w:val="21"/>
                <w:highlight w:val="none"/>
              </w:rPr>
            </w:pPr>
            <w:r>
              <w:rPr>
                <w:rFonts w:hint="eastAsia" w:ascii="仿宋" w:hAnsi="仿宋" w:eastAsia="仿宋" w:cs="仿宋"/>
                <w:i w:val="0"/>
                <w:iCs w:val="0"/>
                <w:color w:val="auto"/>
                <w:spacing w:val="0"/>
                <w:position w:val="0"/>
                <w:sz w:val="21"/>
                <w:szCs w:val="21"/>
                <w:highlight w:val="none"/>
                <w:lang w:val="en-US" w:eastAsia="zh-CN"/>
              </w:rPr>
              <w:t>2、</w:t>
            </w:r>
            <w:r>
              <w:rPr>
                <w:rFonts w:hint="eastAsia" w:ascii="仿宋" w:hAnsi="仿宋" w:eastAsia="仿宋" w:cs="仿宋"/>
                <w:i w:val="0"/>
                <w:iCs w:val="0"/>
                <w:color w:val="auto"/>
                <w:spacing w:val="0"/>
                <w:position w:val="0"/>
                <w:sz w:val="21"/>
                <w:szCs w:val="21"/>
                <w:highlight w:val="none"/>
              </w:rPr>
              <w:t>检测环境条件：</w:t>
            </w:r>
          </w:p>
          <w:p w14:paraId="0F89847E">
            <w:pPr>
              <w:widowControl/>
              <w:spacing w:after="0" w:line="240" w:lineRule="auto"/>
              <w:rPr>
                <w:rFonts w:hint="eastAsia" w:ascii="仿宋" w:hAnsi="仿宋" w:eastAsia="仿宋" w:cs="仿宋"/>
                <w:i w:val="0"/>
                <w:iCs w:val="0"/>
                <w:color w:val="auto"/>
                <w:spacing w:val="0"/>
                <w:position w:val="0"/>
                <w:sz w:val="21"/>
                <w:szCs w:val="21"/>
                <w:highlight w:val="none"/>
              </w:rPr>
            </w:pPr>
            <w:r>
              <w:rPr>
                <w:rFonts w:hint="eastAsia" w:ascii="仿宋" w:hAnsi="仿宋" w:eastAsia="仿宋" w:cs="仿宋"/>
                <w:i w:val="0"/>
                <w:iCs w:val="0"/>
                <w:color w:val="auto"/>
                <w:spacing w:val="0"/>
                <w:position w:val="0"/>
                <w:sz w:val="21"/>
                <w:szCs w:val="21"/>
                <w:highlight w:val="none"/>
                <w:lang w:val="en-US" w:eastAsia="zh-CN"/>
              </w:rPr>
              <w:t>2.1</w:t>
            </w:r>
            <w:r>
              <w:rPr>
                <w:rFonts w:hint="eastAsia" w:ascii="仿宋" w:hAnsi="仿宋" w:eastAsia="仿宋" w:cs="仿宋"/>
                <w:i w:val="0"/>
                <w:iCs w:val="0"/>
                <w:color w:val="auto"/>
                <w:spacing w:val="0"/>
                <w:position w:val="0"/>
                <w:sz w:val="21"/>
                <w:szCs w:val="21"/>
                <w:highlight w:val="none"/>
              </w:rPr>
              <w:t>压力：900-1100kPa；</w:t>
            </w:r>
          </w:p>
          <w:p w14:paraId="368B606E">
            <w:pPr>
              <w:widowControl/>
              <w:spacing w:after="0" w:line="240" w:lineRule="auto"/>
              <w:rPr>
                <w:rFonts w:hint="eastAsia" w:ascii="仿宋" w:hAnsi="仿宋" w:eastAsia="仿宋" w:cs="仿宋"/>
                <w:i w:val="0"/>
                <w:iCs w:val="0"/>
                <w:color w:val="auto"/>
                <w:spacing w:val="0"/>
                <w:position w:val="0"/>
                <w:sz w:val="21"/>
                <w:szCs w:val="21"/>
                <w:highlight w:val="none"/>
              </w:rPr>
            </w:pPr>
            <w:r>
              <w:rPr>
                <w:rFonts w:hint="eastAsia" w:ascii="仿宋" w:hAnsi="仿宋" w:eastAsia="仿宋" w:cs="仿宋"/>
                <w:i w:val="0"/>
                <w:iCs w:val="0"/>
                <w:color w:val="auto"/>
                <w:spacing w:val="0"/>
                <w:position w:val="0"/>
                <w:sz w:val="21"/>
                <w:szCs w:val="21"/>
                <w:highlight w:val="none"/>
                <w:lang w:val="en-US" w:eastAsia="zh-CN"/>
              </w:rPr>
              <w:t>2.2</w:t>
            </w:r>
            <w:r>
              <w:rPr>
                <w:rFonts w:hint="eastAsia" w:ascii="仿宋" w:hAnsi="仿宋" w:eastAsia="仿宋" w:cs="仿宋"/>
                <w:i w:val="0"/>
                <w:iCs w:val="0"/>
                <w:color w:val="auto"/>
                <w:spacing w:val="0"/>
                <w:position w:val="0"/>
                <w:sz w:val="21"/>
                <w:szCs w:val="21"/>
                <w:highlight w:val="none"/>
              </w:rPr>
              <w:t>温度：-20~70℃；</w:t>
            </w:r>
          </w:p>
          <w:p w14:paraId="219BD2BC">
            <w:pPr>
              <w:widowControl/>
              <w:spacing w:after="0" w:line="240" w:lineRule="auto"/>
              <w:rPr>
                <w:rFonts w:hint="eastAsia" w:ascii="仿宋" w:hAnsi="仿宋" w:eastAsia="仿宋" w:cs="仿宋"/>
                <w:i w:val="0"/>
                <w:iCs w:val="0"/>
                <w:color w:val="auto"/>
                <w:spacing w:val="0"/>
                <w:position w:val="0"/>
                <w:sz w:val="21"/>
                <w:szCs w:val="21"/>
                <w:highlight w:val="none"/>
              </w:rPr>
            </w:pPr>
            <w:r>
              <w:rPr>
                <w:rFonts w:hint="eastAsia" w:ascii="仿宋" w:hAnsi="仿宋" w:eastAsia="仿宋" w:cs="仿宋"/>
                <w:i w:val="0"/>
                <w:iCs w:val="0"/>
                <w:color w:val="auto"/>
                <w:spacing w:val="0"/>
                <w:position w:val="0"/>
                <w:sz w:val="21"/>
                <w:szCs w:val="21"/>
                <w:highlight w:val="none"/>
                <w:lang w:val="en-US" w:eastAsia="zh-CN"/>
              </w:rPr>
              <w:t>2.3</w:t>
            </w:r>
            <w:r>
              <w:rPr>
                <w:rFonts w:hint="eastAsia" w:ascii="仿宋" w:hAnsi="仿宋" w:eastAsia="仿宋" w:cs="仿宋"/>
                <w:i w:val="0"/>
                <w:iCs w:val="0"/>
                <w:color w:val="auto"/>
                <w:spacing w:val="0"/>
                <w:position w:val="0"/>
                <w:sz w:val="21"/>
                <w:szCs w:val="21"/>
                <w:highlight w:val="none"/>
              </w:rPr>
              <w:t>湿度：0-95%；</w:t>
            </w:r>
          </w:p>
          <w:p w14:paraId="05BDECFC">
            <w:pPr>
              <w:widowControl/>
              <w:spacing w:after="0" w:line="240" w:lineRule="auto"/>
              <w:rPr>
                <w:rFonts w:hint="eastAsia" w:ascii="仿宋" w:hAnsi="仿宋" w:eastAsia="仿宋" w:cs="仿宋"/>
                <w:i w:val="0"/>
                <w:iCs w:val="0"/>
                <w:color w:val="auto"/>
                <w:spacing w:val="0"/>
                <w:position w:val="0"/>
                <w:sz w:val="21"/>
                <w:szCs w:val="21"/>
                <w:highlight w:val="none"/>
              </w:rPr>
            </w:pPr>
            <w:r>
              <w:rPr>
                <w:rFonts w:hint="eastAsia" w:ascii="仿宋" w:hAnsi="仿宋" w:eastAsia="仿宋" w:cs="仿宋"/>
                <w:i w:val="0"/>
                <w:iCs w:val="0"/>
                <w:color w:val="auto"/>
                <w:spacing w:val="0"/>
                <w:position w:val="0"/>
                <w:sz w:val="21"/>
                <w:szCs w:val="21"/>
                <w:highlight w:val="none"/>
                <w:lang w:val="en-US" w:eastAsia="zh-CN"/>
              </w:rPr>
              <w:t>2.4</w:t>
            </w:r>
            <w:r>
              <w:rPr>
                <w:rFonts w:hint="eastAsia" w:ascii="仿宋" w:hAnsi="仿宋" w:eastAsia="仿宋" w:cs="仿宋"/>
                <w:i w:val="0"/>
                <w:iCs w:val="0"/>
                <w:color w:val="auto"/>
                <w:spacing w:val="0"/>
                <w:position w:val="0"/>
                <w:sz w:val="21"/>
                <w:szCs w:val="21"/>
                <w:highlight w:val="none"/>
              </w:rPr>
              <w:t>设备防护等级</w:t>
            </w:r>
            <w:r>
              <w:rPr>
                <w:rFonts w:hint="eastAsia" w:ascii="仿宋" w:hAnsi="仿宋" w:eastAsia="仿宋" w:cs="仿宋"/>
                <w:i w:val="0"/>
                <w:iCs w:val="0"/>
                <w:color w:val="auto"/>
                <w:spacing w:val="0"/>
                <w:position w:val="0"/>
                <w:sz w:val="21"/>
                <w:szCs w:val="21"/>
                <w:highlight w:val="none"/>
                <w:lang w:eastAsia="zh-CN"/>
              </w:rPr>
              <w:t>不低于</w:t>
            </w:r>
            <w:r>
              <w:rPr>
                <w:rFonts w:hint="eastAsia" w:ascii="仿宋" w:hAnsi="仿宋" w:eastAsia="仿宋" w:cs="仿宋"/>
                <w:i w:val="0"/>
                <w:iCs w:val="0"/>
                <w:color w:val="auto"/>
                <w:spacing w:val="0"/>
                <w:position w:val="0"/>
                <w:sz w:val="21"/>
                <w:szCs w:val="21"/>
                <w:highlight w:val="none"/>
              </w:rPr>
              <w:t>IP65;</w:t>
            </w:r>
          </w:p>
          <w:p w14:paraId="007512F9">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3、采样频率不小于1 Hz，最小分辨率为</w:t>
            </w:r>
            <w:r>
              <w:rPr>
                <w:rFonts w:hint="eastAsia" w:ascii="仿宋" w:hAnsi="仿宋" w:eastAsia="仿宋" w:cs="宋体"/>
                <w:kern w:val="0"/>
                <w:sz w:val="21"/>
                <w:szCs w:val="21"/>
                <w:highlight w:val="none"/>
                <w:lang w:eastAsia="zh-CN"/>
                <w14:ligatures w14:val="none"/>
              </w:rPr>
              <w:t>不大于</w:t>
            </w:r>
            <w:r>
              <w:rPr>
                <w:rFonts w:ascii="仿宋" w:hAnsi="仿宋" w:eastAsia="仿宋" w:cs="宋体"/>
                <w:kern w:val="0"/>
                <w:sz w:val="21"/>
                <w:szCs w:val="21"/>
                <w:highlight w:val="none"/>
                <w14:ligatures w14:val="none"/>
              </w:rPr>
              <w:t>1 ppm。</w:t>
            </w:r>
          </w:p>
          <w:p w14:paraId="05B36F0A">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4、快速检测仪测量得到的氮氧化物应是NO和NO</w:t>
            </w:r>
            <w:r>
              <w:rPr>
                <w:rFonts w:ascii="仿宋" w:hAnsi="仿宋" w:eastAsia="仿宋" w:cs="宋体"/>
                <w:kern w:val="0"/>
                <w:sz w:val="21"/>
                <w:szCs w:val="21"/>
                <w:highlight w:val="none"/>
                <w:vertAlign w:val="subscript"/>
                <w14:ligatures w14:val="none"/>
              </w:rPr>
              <w:t>2</w:t>
            </w:r>
            <w:r>
              <w:rPr>
                <w:rFonts w:ascii="仿宋" w:hAnsi="仿宋" w:eastAsia="仿宋" w:cs="宋体"/>
                <w:kern w:val="0"/>
                <w:sz w:val="21"/>
                <w:szCs w:val="21"/>
                <w:highlight w:val="none"/>
                <w14:ligatures w14:val="none"/>
              </w:rPr>
              <w:t>的总和。</w:t>
            </w:r>
          </w:p>
          <w:p w14:paraId="1F393298">
            <w:pPr>
              <w:widowControl/>
              <w:spacing w:after="0" w:line="240" w:lineRule="auto"/>
              <w:rPr>
                <w:rFonts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5、快速检测仪量程和精确度要求：</w:t>
            </w:r>
          </w:p>
          <w:p w14:paraId="1269D93A">
            <w:pPr>
              <w:widowControl/>
              <w:spacing w:after="0" w:line="240" w:lineRule="auto"/>
              <w:rPr>
                <w:rFonts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5.1</w:t>
            </w:r>
            <w:r>
              <w:rPr>
                <w:rFonts w:ascii="仿宋" w:hAnsi="仿宋" w:eastAsia="仿宋" w:cs="宋体"/>
                <w:kern w:val="0"/>
                <w:sz w:val="21"/>
                <w:szCs w:val="21"/>
                <w:highlight w:val="none"/>
                <w14:ligatures w14:val="none"/>
              </w:rPr>
              <w:t>量程：0ppm~2000ppm；</w:t>
            </w:r>
          </w:p>
          <w:p w14:paraId="0CEDE573">
            <w:pPr>
              <w:widowControl/>
              <w:spacing w:after="0" w:line="240" w:lineRule="auto"/>
              <w:rPr>
                <w:rFonts w:hint="eastAsia" w:ascii="仿宋" w:hAnsi="仿宋" w:eastAsia="仿宋" w:cs="宋体"/>
                <w:kern w:val="0"/>
                <w:sz w:val="21"/>
                <w:szCs w:val="21"/>
                <w:highlight w:val="none"/>
                <w:lang w:eastAsia="zh-CN"/>
                <w14:ligatures w14:val="none"/>
              </w:rPr>
            </w:pPr>
            <w:r>
              <w:rPr>
                <w:rFonts w:hint="eastAsia" w:ascii="仿宋" w:hAnsi="仿宋" w:eastAsia="仿宋" w:cs="宋体"/>
                <w:kern w:val="0"/>
                <w:sz w:val="21"/>
                <w:szCs w:val="21"/>
                <w:highlight w:val="none"/>
                <w:lang w:val="en-US" w:eastAsia="zh-CN"/>
                <w14:ligatures w14:val="none"/>
              </w:rPr>
              <w:t>5.2</w:t>
            </w:r>
            <w:r>
              <w:rPr>
                <w:rFonts w:ascii="仿宋" w:hAnsi="仿宋" w:eastAsia="仿宋" w:cs="宋体"/>
                <w:kern w:val="0"/>
                <w:sz w:val="21"/>
                <w:szCs w:val="21"/>
                <w:highlight w:val="none"/>
                <w14:ligatures w14:val="none"/>
              </w:rPr>
              <w:t>相对误差：≤</w:t>
            </w:r>
            <w:r>
              <w:rPr>
                <w:rFonts w:ascii="Wingdings" w:hAnsi="Wingdings" w:eastAsia="仿宋" w:cs="宋体"/>
                <w:kern w:val="0"/>
                <w:sz w:val="21"/>
                <w:szCs w:val="21"/>
                <w:highlight w:val="none"/>
                <w14:ligatures w14:val="none"/>
              </w:rPr>
              <w:t>±</w:t>
            </w:r>
            <w:r>
              <w:rPr>
                <w:rFonts w:ascii="仿宋" w:hAnsi="仿宋" w:eastAsia="仿宋" w:cs="宋体"/>
                <w:kern w:val="0"/>
                <w:sz w:val="21"/>
                <w:szCs w:val="21"/>
                <w:highlight w:val="none"/>
                <w14:ligatures w14:val="none"/>
              </w:rPr>
              <w:t>10%</w:t>
            </w:r>
            <w:r>
              <w:rPr>
                <w:rFonts w:hint="eastAsia" w:ascii="仿宋" w:hAnsi="仿宋" w:eastAsia="仿宋" w:cs="宋体"/>
                <w:kern w:val="0"/>
                <w:sz w:val="21"/>
                <w:szCs w:val="21"/>
                <w:highlight w:val="none"/>
                <w:lang w:eastAsia="zh-CN"/>
                <w14:ligatures w14:val="none"/>
              </w:rPr>
              <w:t>；</w:t>
            </w:r>
          </w:p>
          <w:p w14:paraId="0BDAEC36">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6、检测仪器应包括氮氧化物分析仪、仪器定位装置、检测数据发送装置、检测结果显示装置、数据存储平台。</w:t>
            </w:r>
          </w:p>
          <w:p w14:paraId="07B45A8B">
            <w:pPr>
              <w:widowControl/>
              <w:numPr>
                <w:ilvl w:val="0"/>
                <w:numId w:val="0"/>
              </w:numPr>
              <w:spacing w:after="0" w:line="240" w:lineRule="auto"/>
              <w:ind w:leftChars="0"/>
              <w:rPr>
                <w:rFonts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7、</w:t>
            </w:r>
            <w:r>
              <w:rPr>
                <w:rFonts w:ascii="仿宋" w:hAnsi="仿宋" w:eastAsia="仿宋" w:cs="宋体"/>
                <w:kern w:val="0"/>
                <w:sz w:val="21"/>
                <w:szCs w:val="21"/>
                <w:highlight w:val="none"/>
                <w14:ligatures w14:val="none"/>
              </w:rPr>
              <w:t>仪器定位装置采用北斗卫星定位系统，通过仪器定位装置设备采集车辆位置及车速，响应时间不大于1 s，采集频率</w:t>
            </w:r>
            <w:r>
              <w:rPr>
                <w:rFonts w:hint="eastAsia" w:ascii="仿宋" w:hAnsi="仿宋" w:eastAsia="仿宋" w:cs="宋体"/>
                <w:kern w:val="0"/>
                <w:sz w:val="21"/>
                <w:szCs w:val="21"/>
                <w:highlight w:val="none"/>
                <w:lang w:eastAsia="zh-CN"/>
                <w14:ligatures w14:val="none"/>
              </w:rPr>
              <w:t>不小于</w:t>
            </w:r>
            <w:r>
              <w:rPr>
                <w:rFonts w:ascii="仿宋" w:hAnsi="仿宋" w:eastAsia="仿宋" w:cs="宋体"/>
                <w:kern w:val="0"/>
                <w:sz w:val="21"/>
                <w:szCs w:val="21"/>
                <w:highlight w:val="none"/>
                <w14:ligatures w14:val="none"/>
              </w:rPr>
              <w:t>1 Hz，定位精度在±5 m 范围内。</w:t>
            </w:r>
          </w:p>
          <w:p w14:paraId="3205CDFD">
            <w:pPr>
              <w:widowControl/>
              <w:numPr>
                <w:ilvl w:val="0"/>
                <w:numId w:val="0"/>
              </w:numPr>
              <w:spacing w:after="0" w:line="240" w:lineRule="auto"/>
              <w:ind w:leftChars="0"/>
              <w:rPr>
                <w:rFonts w:hint="eastAsia" w:ascii="仿宋" w:hAnsi="仿宋" w:eastAsia="仿宋" w:cs="宋体"/>
                <w:kern w:val="0"/>
                <w:sz w:val="21"/>
                <w:szCs w:val="21"/>
                <w:highlight w:val="none"/>
                <w14:ligatures w14:val="none"/>
              </w:rPr>
            </w:pPr>
            <w:r>
              <w:rPr>
                <w:rFonts w:hint="eastAsia" w:ascii="仿宋" w:hAnsi="仿宋" w:eastAsia="仿宋" w:cs="宋体"/>
                <w:kern w:val="0"/>
                <w:sz w:val="21"/>
                <w:szCs w:val="21"/>
                <w:highlight w:val="none"/>
                <w:lang w:val="en-US" w:eastAsia="zh-CN"/>
                <w14:ligatures w14:val="none"/>
              </w:rPr>
              <w:t>8、</w:t>
            </w:r>
            <w:r>
              <w:rPr>
                <w:rFonts w:ascii="仿宋" w:hAnsi="仿宋" w:eastAsia="仿宋" w:cs="宋体"/>
                <w:kern w:val="0"/>
                <w:sz w:val="21"/>
                <w:szCs w:val="21"/>
                <w:highlight w:val="none"/>
                <w14:ligatures w14:val="none"/>
              </w:rPr>
              <w:t>可与北京市生态环境局综合执法平台对接。</w:t>
            </w:r>
          </w:p>
          <w:p w14:paraId="6881CDBB">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lang w:val="en-US" w:eastAsia="zh-CN"/>
                <w14:ligatures w14:val="none"/>
              </w:rPr>
              <w:t>9</w:t>
            </w:r>
            <w:r>
              <w:rPr>
                <w:rFonts w:ascii="仿宋" w:hAnsi="仿宋" w:eastAsia="仿宋" w:cs="宋体"/>
                <w:kern w:val="0"/>
                <w:sz w:val="21"/>
                <w:szCs w:val="21"/>
                <w:highlight w:val="none"/>
                <w14:ligatures w14:val="none"/>
              </w:rPr>
              <w:t>、检测数据发送装置应能以</w:t>
            </w:r>
            <w:r>
              <w:rPr>
                <w:rFonts w:hint="eastAsia" w:ascii="仿宋" w:hAnsi="仿宋" w:eastAsia="仿宋" w:cs="宋体"/>
                <w:kern w:val="0"/>
                <w:sz w:val="21"/>
                <w:szCs w:val="21"/>
                <w:highlight w:val="none"/>
                <w:lang w:eastAsia="zh-CN"/>
                <w14:ligatures w14:val="none"/>
              </w:rPr>
              <w:t>不低于</w:t>
            </w:r>
            <w:r>
              <w:rPr>
                <w:rFonts w:ascii="仿宋" w:hAnsi="仿宋" w:eastAsia="仿宋" w:cs="宋体"/>
                <w:kern w:val="0"/>
                <w:sz w:val="21"/>
                <w:szCs w:val="21"/>
                <w:highlight w:val="none"/>
                <w14:ligatures w14:val="none"/>
              </w:rPr>
              <w:t>1 Hz 的频率向平台发送数据，平台可以写入相应的算法，按照标准或者自定义算法对数据进行计算处理并支持导出逐秒数据并进行展示。</w:t>
            </w:r>
          </w:p>
          <w:p w14:paraId="492A1AD5">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hint="eastAsia" w:ascii="仿宋" w:hAnsi="仿宋" w:eastAsia="仿宋" w:cs="宋体"/>
                <w:kern w:val="0"/>
                <w:sz w:val="21"/>
                <w:szCs w:val="21"/>
                <w:highlight w:val="none"/>
                <w:lang w:val="en-US" w:eastAsia="zh-CN"/>
                <w14:ligatures w14:val="none"/>
              </w:rPr>
              <w:t>10</w:t>
            </w:r>
            <w:r>
              <w:rPr>
                <w:rFonts w:ascii="仿宋" w:hAnsi="仿宋" w:eastAsia="仿宋" w:cs="宋体"/>
                <w:kern w:val="0"/>
                <w:sz w:val="21"/>
                <w:szCs w:val="21"/>
                <w:highlight w:val="none"/>
                <w14:ligatures w14:val="none"/>
              </w:rPr>
              <w:t>、检测仪器应能在2分钟内安装到被检车辆。</w:t>
            </w:r>
          </w:p>
          <w:p w14:paraId="08F5C904">
            <w:pPr>
              <w:widowControl/>
              <w:spacing w:after="0" w:line="240" w:lineRule="auto"/>
              <w:rPr>
                <w:rFonts w:hint="eastAsia" w:ascii="仿宋" w:hAnsi="仿宋" w:eastAsia="仿宋" w:cs="宋体"/>
                <w:kern w:val="0"/>
                <w:sz w:val="21"/>
                <w:szCs w:val="21"/>
                <w:highlight w:val="none"/>
                <w14:ligatures w14:val="none"/>
              </w:rPr>
            </w:pP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1</w:t>
            </w:r>
            <w:r>
              <w:rPr>
                <w:rFonts w:ascii="仿宋" w:hAnsi="仿宋" w:eastAsia="仿宋" w:cs="宋体"/>
                <w:kern w:val="0"/>
                <w:sz w:val="21"/>
                <w:szCs w:val="21"/>
                <w:highlight w:val="none"/>
                <w14:ligatures w14:val="none"/>
              </w:rPr>
              <w:t>、检测终端的供电电池方便拆卸、更换。检测终端配有备用电池，能够在工作条件下支持检测终端至少连续工作8h。</w:t>
            </w:r>
          </w:p>
          <w:p w14:paraId="67F59B17">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2</w:t>
            </w:r>
            <w:r>
              <w:rPr>
                <w:rFonts w:ascii="仿宋" w:hAnsi="仿宋" w:eastAsia="仿宋" w:cs="宋体"/>
                <w:kern w:val="0"/>
                <w:sz w:val="21"/>
                <w:szCs w:val="21"/>
                <w:highlight w:val="none"/>
                <w14:ligatures w14:val="none"/>
              </w:rPr>
              <w:t>、检测终端的显示屏能够显示设备的运行状态，包括：电量状态、连接状态、通讯状态、设备故障信息等。</w:t>
            </w:r>
          </w:p>
          <w:p w14:paraId="570D67B0">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3</w:t>
            </w:r>
            <w:r>
              <w:rPr>
                <w:rFonts w:ascii="仿宋" w:hAnsi="仿宋" w:eastAsia="仿宋" w:cs="宋体"/>
                <w:kern w:val="0"/>
                <w:sz w:val="21"/>
                <w:szCs w:val="21"/>
                <w:highlight w:val="none"/>
                <w14:ligatures w14:val="none"/>
              </w:rPr>
              <w:t>、数据存储功能：设备具有拓展模块，能够连接到云平台，测试过程中可以实现数据的在线传输和存储。</w:t>
            </w:r>
          </w:p>
          <w:p w14:paraId="48304CBA">
            <w:pPr>
              <w:widowControl/>
              <w:spacing w:after="0" w:line="240" w:lineRule="auto"/>
              <w:rPr>
                <w:rFonts w:hint="eastAsia" w:ascii="仿宋" w:hAnsi="仿宋" w:eastAsia="仿宋" w:cs="宋体"/>
                <w:kern w:val="0"/>
                <w:sz w:val="21"/>
                <w:szCs w:val="21"/>
                <w:highlight w:val="none"/>
                <w14:ligatures w14:val="none"/>
              </w:rPr>
            </w:pPr>
            <w:r>
              <w:rPr>
                <w:rFonts w:hint="eastAsia" w:ascii="宋体" w:hAnsi="宋体" w:eastAsia="宋体" w:cs="宋体"/>
                <w:i w:val="0"/>
                <w:iCs w:val="0"/>
                <w:color w:val="auto"/>
                <w:spacing w:val="0"/>
                <w:position w:val="0"/>
                <w:sz w:val="21"/>
                <w:szCs w:val="21"/>
                <w:highlight w: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4</w:t>
            </w:r>
            <w:r>
              <w:rPr>
                <w:rFonts w:ascii="仿宋" w:hAnsi="仿宋" w:eastAsia="仿宋" w:cs="宋体"/>
                <w:kern w:val="0"/>
                <w:sz w:val="21"/>
                <w:szCs w:val="21"/>
                <w:highlight w:val="none"/>
                <w14:ligatures w14:val="none"/>
              </w:rPr>
              <w:t>、APP支持自动识别车牌/行驶本信息及定制打印功能。</w:t>
            </w:r>
          </w:p>
          <w:p w14:paraId="15457D66">
            <w:pPr>
              <w:widowControl/>
              <w:spacing w:after="0" w:line="240" w:lineRule="auto"/>
              <w:rPr>
                <w:rFonts w:hint="eastAsia" w:ascii="仿宋" w:hAnsi="仿宋" w:eastAsia="仿宋" w:cs="宋体"/>
                <w:kern w:val="0"/>
                <w:sz w:val="21"/>
                <w:szCs w:val="21"/>
                <w:highlight w:val="none"/>
              </w:rPr>
            </w:pPr>
            <w:r>
              <w:rPr>
                <w:rFonts w:hint="eastAsia" w:ascii="仿宋" w:hAnsi="仿宋" w:eastAsia="仿宋" w:cs="宋体"/>
                <w:kern w:val="0"/>
                <w:sz w:val="21"/>
                <w:szCs w:val="21"/>
                <w:highlight w:val="none"/>
                <w14:ligatures w14:val="none"/>
              </w:rPr>
              <w:t>★</w:t>
            </w:r>
            <w:r>
              <w:rPr>
                <w:rFonts w:ascii="仿宋" w:hAnsi="仿宋" w:eastAsia="仿宋" w:cs="宋体"/>
                <w:kern w:val="0"/>
                <w:sz w:val="21"/>
                <w:szCs w:val="21"/>
                <w:highlight w:val="none"/>
                <w14:ligatures w14:val="none"/>
              </w:rPr>
              <w:t>1</w:t>
            </w:r>
            <w:r>
              <w:rPr>
                <w:rFonts w:hint="eastAsia" w:ascii="仿宋" w:hAnsi="仿宋" w:eastAsia="仿宋" w:cs="宋体"/>
                <w:kern w:val="0"/>
                <w:sz w:val="21"/>
                <w:szCs w:val="21"/>
                <w:highlight w:val="none"/>
                <w:lang w:val="en-US" w:eastAsia="zh-CN"/>
                <w14:ligatures w14:val="none"/>
              </w:rPr>
              <w:t>5</w:t>
            </w:r>
            <w:r>
              <w:rPr>
                <w:rFonts w:ascii="仿宋" w:hAnsi="仿宋" w:eastAsia="仿宋" w:cs="宋体"/>
                <w:kern w:val="0"/>
                <w:sz w:val="21"/>
                <w:szCs w:val="21"/>
                <w:highlight w:val="none"/>
                <w14:ligatures w14:val="none"/>
              </w:rPr>
              <w:t>、</w:t>
            </w:r>
            <w:r>
              <w:rPr>
                <w:rFonts w:hint="eastAsia" w:ascii="仿宋" w:hAnsi="仿宋" w:eastAsia="仿宋" w:cs="宋体"/>
                <w:kern w:val="0"/>
                <w:sz w:val="21"/>
                <w:szCs w:val="21"/>
                <w:highlight w:val="none"/>
                <w14:ligatures w14:val="none"/>
              </w:rPr>
              <w:t>必须满足数据传输通讯协议，可与北京市生态环境局综合执法平台对接。（须做出承诺）</w:t>
            </w:r>
          </w:p>
        </w:tc>
      </w:tr>
    </w:tbl>
    <w:p w14:paraId="70C40050">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p>
    <w:p w14:paraId="1683B009">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br w:type="page"/>
      </w:r>
      <w:bookmarkStart w:id="828" w:name="_Toc23678"/>
      <w:r>
        <w:rPr>
          <w:rFonts w:hint="eastAsia" w:ascii="宋体" w:hAnsi="宋体" w:eastAsia="宋体" w:cs="宋体"/>
          <w:b/>
          <w:i w:val="0"/>
          <w:iCs w:val="0"/>
          <w:color w:val="auto"/>
          <w:spacing w:val="0"/>
          <w:position w:val="0"/>
          <w:sz w:val="36"/>
          <w:szCs w:val="36"/>
          <w:highlight w:val="none"/>
        </w:rPr>
        <w:t>第六章   拟签订的合同文本</w:t>
      </w:r>
      <w:bookmarkEnd w:id="828"/>
    </w:p>
    <w:p w14:paraId="23011E04">
      <w:pPr>
        <w:pageBreakBefore w:val="0"/>
        <w:wordWrap/>
        <w:topLinePunct w:val="0"/>
        <w:bidi w:val="0"/>
        <w:spacing w:line="360" w:lineRule="auto"/>
        <w:rPr>
          <w:rFonts w:hint="eastAsia" w:ascii="宋体" w:hAnsi="宋体" w:eastAsia="宋体" w:cs="宋体"/>
          <w:b/>
          <w:i w:val="0"/>
          <w:iCs w:val="0"/>
          <w:color w:val="auto"/>
          <w:spacing w:val="0"/>
          <w:position w:val="0"/>
          <w:sz w:val="36"/>
          <w:szCs w:val="36"/>
          <w:highlight w:val="none"/>
        </w:rPr>
      </w:pPr>
    </w:p>
    <w:p w14:paraId="19FBBA28">
      <w:pPr>
        <w:pageBreakBefore w:val="0"/>
        <w:tabs>
          <w:tab w:val="left" w:pos="900"/>
          <w:tab w:val="left" w:pos="1080"/>
        </w:tabs>
        <w:wordWrap/>
        <w:topLinePunct w:val="0"/>
        <w:bidi w:val="0"/>
        <w:snapToGrid w:val="0"/>
        <w:spacing w:line="360" w:lineRule="auto"/>
        <w:jc w:val="center"/>
        <w:rPr>
          <w:rFonts w:hint="eastAsia" w:ascii="宋体" w:hAnsi="宋体" w:eastAsia="宋体" w:cs="宋体"/>
          <w:i w:val="0"/>
          <w:iCs w:val="0"/>
          <w:color w:val="auto"/>
          <w:spacing w:val="0"/>
          <w:position w:val="0"/>
          <w:sz w:val="24"/>
          <w:szCs w:val="21"/>
          <w:highlight w:val="none"/>
          <w:lang w:eastAsia="zh-CN"/>
        </w:rPr>
      </w:pPr>
      <w:r>
        <w:rPr>
          <w:rFonts w:hint="eastAsia" w:ascii="宋体" w:hAnsi="宋体" w:eastAsia="宋体" w:cs="宋体"/>
          <w:i w:val="0"/>
          <w:iCs w:val="0"/>
          <w:color w:val="auto"/>
          <w:spacing w:val="0"/>
          <w:position w:val="0"/>
          <w:sz w:val="24"/>
          <w:szCs w:val="21"/>
          <w:highlight w:val="none"/>
          <w:lang w:eastAsia="zh-CN"/>
        </w:rPr>
        <w:t>(此合同文本仅供参考。以最终招标人与中标人签定的合同条款为准,最终签定合同的主要条款不能与采购文件有冲突）</w:t>
      </w:r>
    </w:p>
    <w:p w14:paraId="71DC9F2F">
      <w:pPr>
        <w:pageBreakBefore w:val="0"/>
        <w:kinsoku/>
        <w:wordWrap/>
        <w:overflowPunct/>
        <w:topLinePunct w:val="0"/>
        <w:bidi w:val="0"/>
        <w:spacing w:line="360" w:lineRule="auto"/>
        <w:textAlignment w:val="auto"/>
        <w:rPr>
          <w:rFonts w:hint="eastAsia" w:ascii="宋体" w:hAnsi="宋体" w:eastAsia="宋体" w:cs="宋体"/>
          <w:i w:val="0"/>
          <w:iCs w:val="0"/>
          <w:color w:val="auto"/>
          <w:spacing w:val="0"/>
          <w:highlight w:val="none"/>
        </w:rPr>
      </w:pPr>
    </w:p>
    <w:p w14:paraId="22E26A81">
      <w:pPr>
        <w:spacing w:line="360" w:lineRule="auto"/>
        <w:rPr>
          <w:rFonts w:hint="eastAsia" w:ascii="宋体" w:hAnsi="宋体" w:cs="仿宋"/>
          <w:b/>
          <w:spacing w:val="208"/>
          <w:sz w:val="44"/>
          <w:szCs w:val="44"/>
          <w:highlight w:val="none"/>
          <w:lang w:bidi="ar"/>
        </w:rPr>
      </w:pPr>
    </w:p>
    <w:p w14:paraId="631CAB9B">
      <w:pPr>
        <w:spacing w:line="360" w:lineRule="auto"/>
        <w:jc w:val="center"/>
        <w:rPr>
          <w:rFonts w:hint="eastAsia" w:ascii="宋体" w:hAnsi="宋体" w:cs="仿宋"/>
          <w:b/>
          <w:spacing w:val="208"/>
          <w:sz w:val="44"/>
          <w:szCs w:val="44"/>
          <w:highlight w:val="none"/>
          <w:lang w:bidi="ar"/>
        </w:rPr>
      </w:pPr>
      <w:r>
        <w:rPr>
          <w:rFonts w:hint="eastAsia" w:ascii="宋体" w:hAnsi="宋体" w:cs="仿宋"/>
          <w:b/>
          <w:spacing w:val="208"/>
          <w:sz w:val="44"/>
          <w:szCs w:val="44"/>
          <w:highlight w:val="none"/>
          <w:lang w:bidi="ar"/>
        </w:rPr>
        <w:t>合同书</w:t>
      </w:r>
    </w:p>
    <w:p w14:paraId="5DF043DB">
      <w:pPr>
        <w:spacing w:line="360" w:lineRule="auto"/>
        <w:ind w:firstLine="560" w:firstLineChars="200"/>
        <w:rPr>
          <w:rFonts w:hint="eastAsia" w:ascii="宋体" w:hAnsi="宋体" w:cs="仿宋"/>
          <w:sz w:val="28"/>
          <w:szCs w:val="28"/>
          <w:highlight w:val="none"/>
        </w:rPr>
      </w:pPr>
    </w:p>
    <w:p w14:paraId="65680DA3">
      <w:pPr>
        <w:spacing w:line="360" w:lineRule="auto"/>
        <w:ind w:firstLine="560" w:firstLineChars="200"/>
        <w:rPr>
          <w:rFonts w:hint="eastAsia" w:ascii="宋体" w:hAnsi="宋体" w:cs="仿宋"/>
          <w:sz w:val="28"/>
          <w:szCs w:val="28"/>
          <w:highlight w:val="none"/>
        </w:rPr>
      </w:pPr>
    </w:p>
    <w:p w14:paraId="63E00153">
      <w:pPr>
        <w:spacing w:line="360" w:lineRule="auto"/>
        <w:ind w:firstLine="560" w:firstLineChars="200"/>
        <w:rPr>
          <w:rFonts w:hint="eastAsia" w:ascii="宋体" w:hAnsi="宋体" w:cs="仿宋"/>
          <w:sz w:val="28"/>
          <w:szCs w:val="28"/>
          <w:highlight w:val="none"/>
        </w:rPr>
      </w:pPr>
    </w:p>
    <w:p w14:paraId="239FC890">
      <w:pPr>
        <w:pStyle w:val="31"/>
        <w:rPr>
          <w:rFonts w:hint="eastAsia"/>
          <w:highlight w:val="none"/>
        </w:rPr>
      </w:pPr>
    </w:p>
    <w:p w14:paraId="43DDF602">
      <w:pPr>
        <w:rPr>
          <w:rFonts w:hint="eastAsia" w:ascii="宋体" w:hAnsi="宋体"/>
          <w:highlight w:val="none"/>
        </w:rPr>
      </w:pPr>
    </w:p>
    <w:p w14:paraId="35337F52">
      <w:pPr>
        <w:pStyle w:val="31"/>
        <w:rPr>
          <w:rFonts w:hint="eastAsia"/>
          <w:highlight w:val="none"/>
        </w:rPr>
      </w:pPr>
    </w:p>
    <w:p w14:paraId="13A84967">
      <w:pPr>
        <w:pStyle w:val="38"/>
        <w:adjustRightInd w:val="0"/>
        <w:snapToGrid w:val="0"/>
        <w:spacing w:line="360" w:lineRule="auto"/>
        <w:ind w:left="2549" w:leftChars="359" w:hanging="1795" w:hangingChars="476"/>
        <w:rPr>
          <w:rFonts w:hint="eastAsia" w:cs="仿宋"/>
          <w:sz w:val="28"/>
          <w:szCs w:val="28"/>
          <w:highlight w:val="none"/>
          <w:lang w:bidi="ar"/>
        </w:rPr>
      </w:pPr>
      <w:r>
        <w:rPr>
          <w:rFonts w:hint="eastAsia" w:cs="仿宋"/>
          <w:b/>
          <w:bCs/>
          <w:spacing w:val="48"/>
          <w:sz w:val="28"/>
          <w:szCs w:val="28"/>
          <w:highlight w:val="none"/>
          <w:lang w:bidi="ar"/>
        </w:rPr>
        <w:t>项目名称：</w:t>
      </w:r>
      <w:r>
        <w:rPr>
          <w:rFonts w:hint="eastAsia" w:cs="仿宋"/>
          <w:sz w:val="28"/>
          <w:szCs w:val="28"/>
          <w:highlight w:val="none"/>
          <w:lang w:bidi="ar"/>
        </w:rPr>
        <w:t xml:space="preserve"> </w:t>
      </w:r>
    </w:p>
    <w:p w14:paraId="3A14BB60">
      <w:pPr>
        <w:pStyle w:val="38"/>
        <w:adjustRightInd w:val="0"/>
        <w:snapToGrid w:val="0"/>
        <w:spacing w:line="360" w:lineRule="auto"/>
        <w:ind w:left="2092" w:leftChars="359" w:hanging="1338" w:hangingChars="476"/>
        <w:jc w:val="both"/>
        <w:rPr>
          <w:rFonts w:hint="eastAsia" w:cs="仿宋"/>
          <w:sz w:val="28"/>
          <w:szCs w:val="28"/>
          <w:highlight w:val="none"/>
          <w:lang w:bidi="ar"/>
        </w:rPr>
      </w:pPr>
      <w:r>
        <w:rPr>
          <w:rFonts w:hint="eastAsia" w:cs="仿宋"/>
          <w:b/>
          <w:bCs/>
          <w:sz w:val="28"/>
          <w:szCs w:val="28"/>
          <w:highlight w:val="none"/>
          <w:lang w:bidi="ar"/>
        </w:rPr>
        <w:t>委托人（买方）：</w:t>
      </w:r>
      <w:r>
        <w:rPr>
          <w:rFonts w:hint="eastAsia" w:cs="仿宋"/>
          <w:sz w:val="28"/>
          <w:szCs w:val="28"/>
          <w:highlight w:val="none"/>
          <w:lang w:bidi="ar"/>
        </w:rPr>
        <w:t xml:space="preserve">                                         </w:t>
      </w:r>
    </w:p>
    <w:p w14:paraId="48652C3D">
      <w:pPr>
        <w:pStyle w:val="38"/>
        <w:adjustRightInd w:val="0"/>
        <w:snapToGrid w:val="0"/>
        <w:spacing w:line="360" w:lineRule="auto"/>
        <w:ind w:left="2092" w:leftChars="359" w:hanging="1338" w:hangingChars="476"/>
        <w:jc w:val="both"/>
        <w:rPr>
          <w:rFonts w:hint="eastAsia" w:cs="仿宋"/>
          <w:sz w:val="28"/>
          <w:szCs w:val="28"/>
          <w:highlight w:val="none"/>
          <w:lang w:bidi="ar"/>
        </w:rPr>
      </w:pPr>
      <w:r>
        <w:rPr>
          <w:rFonts w:hint="eastAsia" w:cs="仿宋"/>
          <w:b/>
          <w:bCs/>
          <w:sz w:val="28"/>
          <w:szCs w:val="28"/>
          <w:highlight w:val="none"/>
          <w:lang w:bidi="ar"/>
        </w:rPr>
        <w:t>受托人（卖方）：</w:t>
      </w:r>
      <w:r>
        <w:rPr>
          <w:rFonts w:hint="eastAsia" w:cs="仿宋"/>
          <w:sz w:val="28"/>
          <w:szCs w:val="28"/>
          <w:highlight w:val="none"/>
          <w:lang w:bidi="ar"/>
        </w:rPr>
        <w:t xml:space="preserve">                                        </w:t>
      </w:r>
    </w:p>
    <w:p w14:paraId="6C5EFC3F">
      <w:pPr>
        <w:pStyle w:val="38"/>
        <w:adjustRightInd w:val="0"/>
        <w:snapToGrid w:val="0"/>
        <w:spacing w:line="360" w:lineRule="auto"/>
        <w:ind w:left="2092" w:leftChars="359" w:hanging="1338" w:hangingChars="476"/>
        <w:rPr>
          <w:rFonts w:hint="eastAsia" w:cs="仿宋"/>
          <w:sz w:val="28"/>
          <w:szCs w:val="28"/>
          <w:highlight w:val="none"/>
          <w:lang w:bidi="ar"/>
        </w:rPr>
      </w:pPr>
      <w:r>
        <w:rPr>
          <w:rFonts w:hint="eastAsia" w:cs="仿宋"/>
          <w:b/>
          <w:bCs/>
          <w:sz w:val="28"/>
          <w:szCs w:val="28"/>
          <w:highlight w:val="none"/>
          <w:lang w:bidi="ar"/>
        </w:rPr>
        <w:t>签订地点：</w:t>
      </w:r>
      <w:r>
        <w:rPr>
          <w:rFonts w:hint="eastAsia" w:cs="仿宋"/>
          <w:sz w:val="28"/>
          <w:szCs w:val="28"/>
          <w:highlight w:val="none"/>
          <w:lang w:bidi="ar"/>
        </w:rPr>
        <w:t>北京市通州区</w:t>
      </w:r>
    </w:p>
    <w:p w14:paraId="12FFDFCC">
      <w:pPr>
        <w:pStyle w:val="38"/>
        <w:adjustRightInd w:val="0"/>
        <w:snapToGrid w:val="0"/>
        <w:spacing w:line="360" w:lineRule="auto"/>
        <w:ind w:left="2092" w:leftChars="359" w:hanging="1338" w:hangingChars="476"/>
        <w:rPr>
          <w:rFonts w:hint="eastAsia" w:cs="仿宋"/>
          <w:sz w:val="28"/>
          <w:szCs w:val="28"/>
          <w:highlight w:val="none"/>
          <w:lang w:bidi="ar"/>
        </w:rPr>
      </w:pPr>
      <w:r>
        <w:rPr>
          <w:rFonts w:hint="eastAsia" w:cs="仿宋"/>
          <w:b/>
          <w:bCs/>
          <w:sz w:val="28"/>
          <w:szCs w:val="28"/>
          <w:highlight w:val="none"/>
          <w:lang w:bidi="ar"/>
        </w:rPr>
        <w:t>签订日期</w:t>
      </w:r>
      <w:r>
        <w:rPr>
          <w:rFonts w:hint="eastAsia" w:cs="仿宋"/>
          <w:sz w:val="28"/>
          <w:szCs w:val="28"/>
          <w:highlight w:val="none"/>
          <w:lang w:bidi="ar"/>
        </w:rPr>
        <w:t xml:space="preserve">： </w:t>
      </w:r>
      <w:r>
        <w:rPr>
          <w:rFonts w:cs="仿宋"/>
          <w:sz w:val="28"/>
          <w:szCs w:val="28"/>
          <w:highlight w:val="none"/>
          <w:lang w:bidi="ar"/>
        </w:rPr>
        <w:t xml:space="preserve">   </w:t>
      </w:r>
      <w:r>
        <w:rPr>
          <w:rFonts w:hint="eastAsia" w:cs="仿宋"/>
          <w:sz w:val="28"/>
          <w:szCs w:val="28"/>
          <w:highlight w:val="none"/>
          <w:lang w:bidi="ar"/>
        </w:rPr>
        <w:t xml:space="preserve">年 </w:t>
      </w:r>
      <w:r>
        <w:rPr>
          <w:rFonts w:cs="仿宋"/>
          <w:sz w:val="28"/>
          <w:szCs w:val="28"/>
          <w:highlight w:val="none"/>
          <w:lang w:bidi="ar"/>
        </w:rPr>
        <w:t xml:space="preserve">   </w:t>
      </w:r>
      <w:r>
        <w:rPr>
          <w:rFonts w:hint="eastAsia" w:cs="仿宋"/>
          <w:sz w:val="28"/>
          <w:szCs w:val="28"/>
          <w:highlight w:val="none"/>
          <w:lang w:bidi="ar"/>
        </w:rPr>
        <w:t xml:space="preserve">月 </w:t>
      </w:r>
      <w:r>
        <w:rPr>
          <w:rFonts w:cs="仿宋"/>
          <w:sz w:val="28"/>
          <w:szCs w:val="28"/>
          <w:highlight w:val="none"/>
          <w:lang w:bidi="ar"/>
        </w:rPr>
        <w:t xml:space="preserve">   </w:t>
      </w:r>
      <w:r>
        <w:rPr>
          <w:rFonts w:hint="eastAsia" w:cs="仿宋"/>
          <w:sz w:val="28"/>
          <w:szCs w:val="28"/>
          <w:highlight w:val="none"/>
          <w:lang w:bidi="ar"/>
        </w:rPr>
        <w:t>日</w:t>
      </w:r>
    </w:p>
    <w:p w14:paraId="7D393F97">
      <w:pPr>
        <w:rPr>
          <w:rFonts w:cs="仿宋"/>
          <w:sz w:val="28"/>
          <w:szCs w:val="28"/>
          <w:highlight w:val="none"/>
          <w:lang w:bidi="ar"/>
        </w:rPr>
      </w:pPr>
      <w:r>
        <w:rPr>
          <w:rFonts w:hint="eastAsia" w:cs="仿宋"/>
          <w:sz w:val="28"/>
          <w:szCs w:val="28"/>
          <w:highlight w:val="none"/>
          <w:lang w:bidi="ar"/>
        </w:rPr>
        <w:br w:type="page"/>
      </w:r>
    </w:p>
    <w:p w14:paraId="184983B0">
      <w:pPr>
        <w:spacing w:before="120" w:line="360" w:lineRule="auto"/>
        <w:jc w:val="center"/>
        <w:rPr>
          <w:rFonts w:hint="eastAsia" w:ascii="宋体" w:hAnsi="宋体" w:cs="宋体"/>
          <w:b/>
          <w:sz w:val="24"/>
          <w:highlight w:val="none"/>
        </w:rPr>
      </w:pPr>
      <w:r>
        <w:rPr>
          <w:rFonts w:hint="eastAsia" w:ascii="宋体" w:hAnsi="宋体" w:cs="宋体"/>
          <w:b/>
          <w:sz w:val="24"/>
          <w:highlight w:val="none"/>
        </w:rPr>
        <w:t>合　　　同　　　书</w:t>
      </w:r>
    </w:p>
    <w:p w14:paraId="574DA5EB">
      <w:pPr>
        <w:spacing w:before="120" w:line="360" w:lineRule="auto"/>
        <w:ind w:firstLine="720"/>
        <w:rPr>
          <w:rFonts w:hint="eastAsia" w:ascii="宋体" w:hAnsi="宋体" w:cs="宋体"/>
          <w:sz w:val="24"/>
          <w:highlight w:val="none"/>
        </w:rPr>
      </w:pPr>
      <w:r>
        <w:rPr>
          <w:rFonts w:hint="eastAsia" w:ascii="宋体" w:hAnsi="宋体" w:cs="宋体"/>
          <w:sz w:val="24"/>
          <w:highlight w:val="none"/>
        </w:rPr>
        <w:t>______________________(买方)</w:t>
      </w:r>
      <w:r>
        <w:rPr>
          <w:rFonts w:hint="eastAsia" w:ascii="宋体" w:hAnsi="宋体" w:cs="宋体"/>
          <w:sz w:val="24"/>
          <w:highlight w:val="none"/>
          <w:u w:val="single"/>
        </w:rPr>
        <w:t xml:space="preserve"> </w:t>
      </w:r>
      <w:r>
        <w:rPr>
          <w:rFonts w:hint="eastAsia" w:ascii="宋体" w:hAnsi="宋体" w:cs="宋体"/>
          <w:sz w:val="24"/>
          <w:highlight w:val="none"/>
        </w:rPr>
        <w:t>__________________________ (项目名称)中所需_____________(货物/服务名称)经(采购代理机构)以_____________号招标文件在国内</w:t>
      </w:r>
      <w:r>
        <w:rPr>
          <w:rFonts w:hint="eastAsia" w:ascii="宋体" w:hAnsi="宋体" w:cs="宋体"/>
          <w:sz w:val="24"/>
          <w:highlight w:val="none"/>
          <w:u w:val="single"/>
        </w:rPr>
        <w:t>公开招标</w:t>
      </w:r>
      <w:r>
        <w:rPr>
          <w:rFonts w:hint="eastAsia" w:ascii="宋体" w:hAnsi="宋体" w:cs="宋体"/>
          <w:sz w:val="24"/>
          <w:highlight w:val="none"/>
        </w:rPr>
        <w:t>采购。经评标委员会评定_____________</w:t>
      </w:r>
      <w:r>
        <w:rPr>
          <w:rFonts w:hint="eastAsia" w:ascii="宋体" w:hAnsi="宋体" w:cs="宋体"/>
          <w:sz w:val="24"/>
          <w:highlight w:val="none"/>
          <w:u w:val="single"/>
        </w:rPr>
        <w:t xml:space="preserve"> </w:t>
      </w:r>
      <w:r>
        <w:rPr>
          <w:rFonts w:hint="eastAsia" w:ascii="宋体" w:hAnsi="宋体" w:cs="宋体"/>
          <w:sz w:val="24"/>
          <w:highlight w:val="none"/>
        </w:rPr>
        <w:t>(卖方)为中标人。买、卖双方同意按照下面的条款和条件，签署本合同。</w:t>
      </w:r>
    </w:p>
    <w:p w14:paraId="58E2FDF0">
      <w:pPr>
        <w:spacing w:before="240" w:line="360" w:lineRule="auto"/>
        <w:rPr>
          <w:rFonts w:hint="eastAsia" w:ascii="宋体" w:hAnsi="宋体" w:cs="宋体"/>
          <w:b/>
          <w:sz w:val="24"/>
          <w:highlight w:val="none"/>
        </w:rPr>
      </w:pPr>
      <w:r>
        <w:rPr>
          <w:rFonts w:hint="eastAsia" w:ascii="宋体" w:hAnsi="宋体" w:cs="宋体"/>
          <w:b/>
          <w:sz w:val="24"/>
          <w:highlight w:val="none"/>
        </w:rPr>
        <w:t>1、合同文件</w:t>
      </w:r>
    </w:p>
    <w:p w14:paraId="1734CAAA">
      <w:pPr>
        <w:spacing w:before="120" w:line="360" w:lineRule="auto"/>
        <w:ind w:firstLine="480" w:firstLineChars="200"/>
        <w:rPr>
          <w:rFonts w:hint="eastAsia" w:ascii="宋体" w:hAnsi="宋体" w:cs="宋体"/>
          <w:sz w:val="24"/>
          <w:highlight w:val="none"/>
        </w:rPr>
      </w:pPr>
      <w:r>
        <w:rPr>
          <w:rFonts w:hint="eastAsia" w:ascii="宋体" w:hAnsi="宋体" w:cs="宋体"/>
          <w:sz w:val="24"/>
          <w:highlight w:val="none"/>
        </w:rPr>
        <w:t>下列文件构成本合同的组成部分，应该认为是一个整体，彼此相互解释，相互补充。为便于解释，组成合同的多个文件的优先支配地位的次序如下：</w:t>
      </w:r>
    </w:p>
    <w:p w14:paraId="5F4F9381">
      <w:pPr>
        <w:spacing w:before="120" w:line="360" w:lineRule="auto"/>
        <w:ind w:firstLine="540"/>
        <w:rPr>
          <w:rFonts w:hint="eastAsia" w:ascii="宋体" w:hAnsi="宋体" w:cs="宋体"/>
          <w:sz w:val="24"/>
          <w:highlight w:val="none"/>
        </w:rPr>
      </w:pPr>
      <w:r>
        <w:rPr>
          <w:rFonts w:hint="eastAsia" w:ascii="宋体" w:hAnsi="宋体" w:cs="宋体"/>
          <w:sz w:val="24"/>
          <w:highlight w:val="none"/>
        </w:rPr>
        <w:t>a.</w:t>
      </w:r>
      <w:r>
        <w:rPr>
          <w:rFonts w:hint="eastAsia" w:ascii="宋体" w:hAnsi="宋体" w:cs="宋体"/>
          <w:sz w:val="24"/>
          <w:highlight w:val="none"/>
        </w:rPr>
        <w:tab/>
      </w:r>
      <w:r>
        <w:rPr>
          <w:rFonts w:hint="eastAsia" w:ascii="宋体" w:hAnsi="宋体" w:cs="宋体"/>
          <w:sz w:val="24"/>
          <w:highlight w:val="none"/>
        </w:rPr>
        <w:t>本合同书</w:t>
      </w:r>
    </w:p>
    <w:p w14:paraId="0ADA9B1A">
      <w:pPr>
        <w:spacing w:before="120" w:line="360" w:lineRule="auto"/>
        <w:ind w:firstLine="540"/>
        <w:rPr>
          <w:rFonts w:hint="eastAsia" w:ascii="宋体" w:hAnsi="宋体" w:cs="宋体"/>
          <w:sz w:val="24"/>
          <w:highlight w:val="none"/>
        </w:rPr>
      </w:pPr>
      <w:r>
        <w:rPr>
          <w:rFonts w:hint="eastAsia" w:ascii="宋体" w:hAnsi="宋体" w:cs="宋体"/>
          <w:sz w:val="24"/>
          <w:highlight w:val="none"/>
        </w:rPr>
        <w:t>b.</w:t>
      </w:r>
      <w:r>
        <w:rPr>
          <w:rFonts w:hint="eastAsia" w:ascii="宋体" w:hAnsi="宋体" w:cs="宋体"/>
          <w:sz w:val="24"/>
          <w:highlight w:val="none"/>
        </w:rPr>
        <w:tab/>
      </w:r>
      <w:r>
        <w:rPr>
          <w:rFonts w:hint="eastAsia" w:ascii="宋体" w:hAnsi="宋体" w:cs="宋体"/>
          <w:sz w:val="24"/>
          <w:highlight w:val="none"/>
        </w:rPr>
        <w:t>中标/成交通知书</w:t>
      </w:r>
    </w:p>
    <w:p w14:paraId="7F7CE2BF">
      <w:pPr>
        <w:spacing w:before="120" w:line="360" w:lineRule="auto"/>
        <w:ind w:firstLine="540"/>
        <w:rPr>
          <w:rFonts w:hint="eastAsia" w:ascii="宋体" w:hAnsi="宋体" w:cs="宋体"/>
          <w:sz w:val="24"/>
          <w:highlight w:val="none"/>
        </w:rPr>
      </w:pPr>
      <w:r>
        <w:rPr>
          <w:rFonts w:hint="eastAsia" w:ascii="宋体" w:hAnsi="宋体" w:cs="宋体"/>
          <w:sz w:val="24"/>
          <w:highlight w:val="none"/>
        </w:rPr>
        <w:t>c.</w:t>
      </w:r>
      <w:r>
        <w:rPr>
          <w:rFonts w:hint="eastAsia" w:ascii="宋体" w:hAnsi="宋体" w:cs="宋体"/>
          <w:sz w:val="24"/>
          <w:highlight w:val="none"/>
        </w:rPr>
        <w:tab/>
      </w:r>
      <w:r>
        <w:rPr>
          <w:rFonts w:hint="eastAsia" w:ascii="宋体" w:hAnsi="宋体" w:cs="宋体"/>
          <w:sz w:val="24"/>
          <w:highlight w:val="none"/>
        </w:rPr>
        <w:t>协议</w:t>
      </w:r>
    </w:p>
    <w:p w14:paraId="7513C354">
      <w:pPr>
        <w:spacing w:before="120" w:line="360" w:lineRule="auto"/>
        <w:ind w:firstLine="540"/>
        <w:rPr>
          <w:rFonts w:hint="eastAsia" w:ascii="宋体" w:hAnsi="宋体" w:cs="宋体"/>
          <w:sz w:val="24"/>
          <w:highlight w:val="none"/>
        </w:rPr>
      </w:pPr>
      <w:r>
        <w:rPr>
          <w:rFonts w:hint="eastAsia" w:ascii="宋体" w:hAnsi="宋体" w:cs="宋体"/>
          <w:sz w:val="24"/>
          <w:highlight w:val="none"/>
        </w:rPr>
        <w:t>d.</w:t>
      </w:r>
      <w:r>
        <w:rPr>
          <w:rFonts w:hint="eastAsia" w:ascii="宋体" w:hAnsi="宋体" w:cs="宋体"/>
          <w:sz w:val="24"/>
          <w:highlight w:val="none"/>
        </w:rPr>
        <w:tab/>
      </w:r>
      <w:r>
        <w:rPr>
          <w:rFonts w:hint="eastAsia" w:ascii="宋体" w:hAnsi="宋体" w:cs="宋体"/>
          <w:sz w:val="24"/>
          <w:highlight w:val="none"/>
        </w:rPr>
        <w:t>投标文件</w:t>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(含澄清文件)</w:t>
      </w:r>
    </w:p>
    <w:p w14:paraId="123956CB">
      <w:pPr>
        <w:spacing w:before="120" w:line="360" w:lineRule="auto"/>
        <w:ind w:firstLine="540"/>
        <w:rPr>
          <w:rFonts w:hint="eastAsia" w:ascii="宋体" w:hAnsi="宋体" w:cs="宋体"/>
          <w:sz w:val="24"/>
          <w:highlight w:val="none"/>
        </w:rPr>
      </w:pPr>
      <w:r>
        <w:rPr>
          <w:rFonts w:hint="eastAsia" w:ascii="宋体" w:hAnsi="宋体" w:cs="宋体"/>
          <w:sz w:val="24"/>
          <w:highlight w:val="none"/>
        </w:rPr>
        <w:t>e.</w:t>
      </w:r>
      <w:r>
        <w:rPr>
          <w:rFonts w:hint="eastAsia" w:ascii="宋体" w:hAnsi="宋体" w:cs="宋体"/>
          <w:sz w:val="24"/>
          <w:highlight w:val="none"/>
        </w:rPr>
        <w:tab/>
      </w:r>
      <w:r>
        <w:rPr>
          <w:rFonts w:hint="eastAsia" w:ascii="宋体" w:hAnsi="宋体" w:cs="宋体"/>
          <w:sz w:val="24"/>
          <w:highlight w:val="none"/>
        </w:rPr>
        <w:t>招标文件</w:t>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ab/>
      </w:r>
      <w:r>
        <w:rPr>
          <w:rFonts w:hint="eastAsia" w:ascii="宋体" w:hAnsi="宋体" w:cs="宋体"/>
          <w:sz w:val="24"/>
          <w:highlight w:val="none"/>
        </w:rPr>
        <w:t>(含招标文件补充通知)</w:t>
      </w:r>
    </w:p>
    <w:p w14:paraId="3CC3652A">
      <w:pPr>
        <w:spacing w:before="240" w:line="360" w:lineRule="auto"/>
        <w:rPr>
          <w:rFonts w:hint="eastAsia" w:ascii="宋体" w:hAnsi="宋体" w:cs="宋体"/>
          <w:b/>
          <w:sz w:val="24"/>
          <w:highlight w:val="none"/>
        </w:rPr>
      </w:pPr>
      <w:r>
        <w:rPr>
          <w:rFonts w:hint="eastAsia" w:ascii="宋体" w:hAnsi="宋体" w:cs="宋体"/>
          <w:b/>
          <w:sz w:val="24"/>
          <w:highlight w:val="none"/>
        </w:rPr>
        <w:t>2、货物和数量</w:t>
      </w:r>
    </w:p>
    <w:p w14:paraId="2F0CD7AC">
      <w:pPr>
        <w:spacing w:before="120" w:line="360" w:lineRule="auto"/>
        <w:ind w:firstLine="454"/>
        <w:rPr>
          <w:rFonts w:hint="eastAsia" w:ascii="宋体" w:hAnsi="宋体" w:cs="宋体"/>
          <w:sz w:val="24"/>
          <w:highlight w:val="none"/>
        </w:rPr>
      </w:pPr>
      <w:r>
        <w:rPr>
          <w:rFonts w:hint="eastAsia" w:ascii="宋体" w:hAnsi="宋体" w:cs="宋体"/>
          <w:sz w:val="24"/>
          <w:highlight w:val="none"/>
        </w:rPr>
        <w:t>本合同货物/服务：</w:t>
      </w:r>
      <w:r>
        <w:rPr>
          <w:rFonts w:hint="eastAsia" w:ascii="宋体" w:hAnsi="宋体" w:cs="宋体"/>
          <w:sz w:val="24"/>
          <w:highlight w:val="none"/>
          <w:u w:val="single"/>
        </w:rPr>
        <w:t xml:space="preserve">                  </w:t>
      </w:r>
    </w:p>
    <w:p w14:paraId="1ABAAC0A">
      <w:pPr>
        <w:spacing w:before="120" w:line="360" w:lineRule="auto"/>
        <w:ind w:firstLine="454"/>
        <w:rPr>
          <w:rFonts w:hint="eastAsia" w:ascii="宋体" w:hAnsi="宋体" w:cs="宋体"/>
          <w:sz w:val="24"/>
          <w:highlight w:val="none"/>
        </w:rPr>
      </w:pPr>
      <w:r>
        <w:rPr>
          <w:rFonts w:hint="eastAsia" w:ascii="宋体" w:hAnsi="宋体" w:cs="宋体"/>
          <w:sz w:val="24"/>
          <w:highlight w:val="none"/>
        </w:rPr>
        <w:t>数量：</w:t>
      </w:r>
      <w:r>
        <w:rPr>
          <w:rFonts w:hint="eastAsia" w:ascii="宋体" w:hAnsi="宋体" w:cs="宋体"/>
          <w:sz w:val="24"/>
          <w:highlight w:val="none"/>
          <w:u w:val="single"/>
        </w:rPr>
        <w:t xml:space="preserve">                    </w:t>
      </w:r>
    </w:p>
    <w:p w14:paraId="0666CB36">
      <w:pPr>
        <w:spacing w:before="240" w:line="360" w:lineRule="auto"/>
        <w:rPr>
          <w:rFonts w:hint="eastAsia" w:ascii="宋体" w:hAnsi="宋体" w:cs="宋体"/>
          <w:b/>
          <w:sz w:val="24"/>
          <w:highlight w:val="none"/>
        </w:rPr>
      </w:pPr>
      <w:r>
        <w:rPr>
          <w:rFonts w:hint="eastAsia" w:ascii="宋体" w:hAnsi="宋体" w:cs="宋体"/>
          <w:b/>
          <w:sz w:val="24"/>
          <w:highlight w:val="none"/>
        </w:rPr>
        <w:t>3、合同总金额</w:t>
      </w:r>
    </w:p>
    <w:p w14:paraId="308E8659">
      <w:pPr>
        <w:spacing w:before="120" w:line="360" w:lineRule="auto"/>
        <w:ind w:firstLine="454"/>
        <w:rPr>
          <w:rFonts w:hint="eastAsia" w:ascii="宋体" w:hAnsi="宋体" w:cs="宋体"/>
          <w:sz w:val="24"/>
          <w:highlight w:val="none"/>
        </w:rPr>
      </w:pPr>
      <w:r>
        <w:rPr>
          <w:rFonts w:hint="eastAsia" w:ascii="宋体" w:hAnsi="宋体" w:cs="宋体"/>
          <w:sz w:val="24"/>
          <w:highlight w:val="none"/>
        </w:rPr>
        <w:t>本合同总金额为</w:t>
      </w:r>
      <w:r>
        <w:rPr>
          <w:rFonts w:hint="eastAsia" w:ascii="宋体" w:hAnsi="宋体" w:cs="宋体"/>
          <w:sz w:val="24"/>
          <w:highlight w:val="none"/>
          <w:u w:val="single"/>
        </w:rPr>
        <w:t xml:space="preserve">              </w:t>
      </w:r>
      <w:r>
        <w:rPr>
          <w:rFonts w:hint="eastAsia" w:ascii="宋体" w:hAnsi="宋体" w:cs="宋体"/>
          <w:sz w:val="24"/>
          <w:highlight w:val="none"/>
        </w:rPr>
        <w:t>元人民币。</w:t>
      </w:r>
    </w:p>
    <w:p w14:paraId="66C4D2DB">
      <w:pPr>
        <w:spacing w:before="120" w:line="360" w:lineRule="auto"/>
        <w:ind w:firstLine="454"/>
        <w:rPr>
          <w:rFonts w:hint="eastAsia" w:ascii="宋体" w:hAnsi="宋体" w:cs="宋体"/>
          <w:sz w:val="24"/>
          <w:highlight w:val="none"/>
          <w:u w:val="single"/>
        </w:rPr>
      </w:pPr>
      <w:r>
        <w:rPr>
          <w:rFonts w:hint="eastAsia" w:ascii="宋体" w:hAnsi="宋体" w:cs="宋体"/>
          <w:sz w:val="24"/>
          <w:highlight w:val="none"/>
        </w:rPr>
        <w:t>分项价格：</w:t>
      </w:r>
      <w:r>
        <w:rPr>
          <w:rFonts w:hint="eastAsia" w:ascii="宋体" w:hAnsi="宋体" w:cs="宋体"/>
          <w:sz w:val="24"/>
          <w:highlight w:val="none"/>
          <w:u w:val="single"/>
        </w:rPr>
        <w:t>详见如下清单</w:t>
      </w:r>
    </w:p>
    <w:tbl>
      <w:tblPr>
        <w:tblStyle w:val="44"/>
        <w:tblW w:w="50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1646"/>
        <w:gridCol w:w="1600"/>
        <w:gridCol w:w="2752"/>
        <w:gridCol w:w="1033"/>
        <w:gridCol w:w="520"/>
        <w:gridCol w:w="1038"/>
      </w:tblGrid>
      <w:tr w14:paraId="6470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5" w:type="pct"/>
            <w:vAlign w:val="center"/>
          </w:tcPr>
          <w:p w14:paraId="27DA0330">
            <w:pPr>
              <w:widowControl/>
              <w:spacing w:line="360" w:lineRule="auto"/>
              <w:jc w:val="center"/>
              <w:rPr>
                <w:rFonts w:hint="eastAsia" w:ascii="宋体" w:hAnsi="宋体" w:cs="宋体"/>
                <w:sz w:val="24"/>
                <w:highlight w:val="none"/>
              </w:rPr>
            </w:pPr>
            <w:r>
              <w:rPr>
                <w:rFonts w:hint="eastAsia" w:ascii="宋体" w:hAnsi="宋体" w:cs="宋体"/>
                <w:sz w:val="24"/>
                <w:highlight w:val="none"/>
              </w:rPr>
              <w:t>序号</w:t>
            </w:r>
          </w:p>
        </w:tc>
        <w:tc>
          <w:tcPr>
            <w:tcW w:w="903" w:type="pct"/>
            <w:vAlign w:val="center"/>
          </w:tcPr>
          <w:p w14:paraId="71B903EE">
            <w:pPr>
              <w:widowControl/>
              <w:spacing w:line="360" w:lineRule="auto"/>
              <w:jc w:val="center"/>
              <w:rPr>
                <w:rFonts w:hint="eastAsia" w:ascii="宋体" w:hAnsi="宋体" w:cs="宋体"/>
                <w:sz w:val="24"/>
                <w:highlight w:val="none"/>
              </w:rPr>
            </w:pPr>
            <w:r>
              <w:rPr>
                <w:rFonts w:hint="eastAsia" w:ascii="宋体" w:hAnsi="宋体" w:cs="宋体"/>
                <w:sz w:val="24"/>
                <w:highlight w:val="none"/>
              </w:rPr>
              <w:t>分项名称</w:t>
            </w:r>
          </w:p>
        </w:tc>
        <w:tc>
          <w:tcPr>
            <w:tcW w:w="878" w:type="pct"/>
            <w:vAlign w:val="center"/>
          </w:tcPr>
          <w:p w14:paraId="61D8A3D7">
            <w:pPr>
              <w:widowControl/>
              <w:spacing w:line="360" w:lineRule="auto"/>
              <w:jc w:val="center"/>
              <w:rPr>
                <w:rFonts w:hint="eastAsia" w:ascii="宋体" w:hAnsi="宋体" w:cs="宋体"/>
                <w:sz w:val="24"/>
                <w:highlight w:val="none"/>
              </w:rPr>
            </w:pPr>
            <w:r>
              <w:rPr>
                <w:rFonts w:hint="eastAsia" w:ascii="宋体" w:hAnsi="宋体" w:cs="宋体"/>
                <w:sz w:val="24"/>
                <w:highlight w:val="none"/>
              </w:rPr>
              <w:t>制造商</w:t>
            </w:r>
          </w:p>
        </w:tc>
        <w:tc>
          <w:tcPr>
            <w:tcW w:w="1510" w:type="pct"/>
            <w:vAlign w:val="center"/>
          </w:tcPr>
          <w:p w14:paraId="4F125BFA">
            <w:pPr>
              <w:widowControl/>
              <w:spacing w:line="360" w:lineRule="auto"/>
              <w:jc w:val="center"/>
              <w:rPr>
                <w:rFonts w:hint="eastAsia" w:ascii="宋体" w:hAnsi="宋体" w:cs="宋体"/>
                <w:sz w:val="24"/>
                <w:highlight w:val="none"/>
              </w:rPr>
            </w:pPr>
            <w:r>
              <w:rPr>
                <w:rFonts w:hint="eastAsia" w:ascii="宋体" w:hAnsi="宋体" w:cs="宋体"/>
                <w:sz w:val="24"/>
                <w:highlight w:val="none"/>
              </w:rPr>
              <w:t>规格、型号</w:t>
            </w:r>
          </w:p>
        </w:tc>
        <w:tc>
          <w:tcPr>
            <w:tcW w:w="567" w:type="pct"/>
            <w:vAlign w:val="center"/>
          </w:tcPr>
          <w:p w14:paraId="0E5F5CBE">
            <w:pPr>
              <w:widowControl/>
              <w:spacing w:line="360" w:lineRule="auto"/>
              <w:jc w:val="center"/>
              <w:rPr>
                <w:rFonts w:hint="eastAsia" w:ascii="宋体" w:hAnsi="宋体" w:cs="宋体"/>
                <w:sz w:val="24"/>
                <w:highlight w:val="none"/>
              </w:rPr>
            </w:pPr>
            <w:r>
              <w:rPr>
                <w:rFonts w:hint="eastAsia" w:ascii="宋体" w:hAnsi="宋体" w:cs="宋体"/>
                <w:sz w:val="24"/>
                <w:highlight w:val="none"/>
              </w:rPr>
              <w:t>单价（元）</w:t>
            </w:r>
          </w:p>
        </w:tc>
        <w:tc>
          <w:tcPr>
            <w:tcW w:w="285" w:type="pct"/>
            <w:vAlign w:val="center"/>
          </w:tcPr>
          <w:p w14:paraId="7B758D1B">
            <w:pPr>
              <w:widowControl/>
              <w:spacing w:line="360" w:lineRule="auto"/>
              <w:jc w:val="center"/>
              <w:rPr>
                <w:rFonts w:hint="eastAsia" w:ascii="宋体" w:hAnsi="宋体" w:cs="宋体"/>
                <w:sz w:val="24"/>
                <w:highlight w:val="none"/>
              </w:rPr>
            </w:pPr>
            <w:r>
              <w:rPr>
                <w:rFonts w:hint="eastAsia" w:ascii="宋体" w:hAnsi="宋体" w:cs="宋体"/>
                <w:sz w:val="24"/>
                <w:highlight w:val="none"/>
              </w:rPr>
              <w:t>数量</w:t>
            </w:r>
          </w:p>
        </w:tc>
        <w:tc>
          <w:tcPr>
            <w:tcW w:w="569" w:type="pct"/>
            <w:vAlign w:val="center"/>
          </w:tcPr>
          <w:p w14:paraId="67B34BD4">
            <w:pPr>
              <w:widowControl/>
              <w:spacing w:line="360" w:lineRule="auto"/>
              <w:jc w:val="center"/>
              <w:rPr>
                <w:rFonts w:hint="eastAsia" w:ascii="宋体" w:hAnsi="宋体" w:cs="宋体"/>
                <w:sz w:val="24"/>
                <w:highlight w:val="none"/>
              </w:rPr>
            </w:pPr>
            <w:r>
              <w:rPr>
                <w:rFonts w:hint="eastAsia" w:ascii="宋体" w:hAnsi="宋体" w:cs="宋体"/>
                <w:sz w:val="24"/>
                <w:highlight w:val="none"/>
              </w:rPr>
              <w:t>合价（元）</w:t>
            </w:r>
          </w:p>
        </w:tc>
      </w:tr>
      <w:tr w14:paraId="726A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5" w:type="pct"/>
            <w:vAlign w:val="center"/>
          </w:tcPr>
          <w:p w14:paraId="5AD35705">
            <w:pPr>
              <w:widowControl/>
              <w:spacing w:line="360" w:lineRule="auto"/>
              <w:jc w:val="center"/>
              <w:rPr>
                <w:rFonts w:hint="eastAsia" w:ascii="宋体" w:hAnsi="宋体" w:cs="宋体"/>
                <w:sz w:val="24"/>
                <w:highlight w:val="none"/>
              </w:rPr>
            </w:pPr>
            <w:r>
              <w:rPr>
                <w:rFonts w:hint="eastAsia" w:ascii="宋体" w:hAnsi="宋体" w:cs="宋体"/>
                <w:sz w:val="24"/>
                <w:highlight w:val="none"/>
              </w:rPr>
              <w:t>1</w:t>
            </w:r>
          </w:p>
        </w:tc>
        <w:tc>
          <w:tcPr>
            <w:tcW w:w="903" w:type="pct"/>
            <w:vAlign w:val="center"/>
          </w:tcPr>
          <w:p w14:paraId="78BE42E3">
            <w:pPr>
              <w:widowControl/>
              <w:spacing w:line="360" w:lineRule="auto"/>
              <w:jc w:val="center"/>
              <w:rPr>
                <w:rFonts w:hint="eastAsia" w:ascii="宋体" w:hAnsi="宋体" w:cs="宋体"/>
                <w:sz w:val="24"/>
                <w:highlight w:val="none"/>
              </w:rPr>
            </w:pPr>
          </w:p>
        </w:tc>
        <w:tc>
          <w:tcPr>
            <w:tcW w:w="878" w:type="pct"/>
            <w:vAlign w:val="center"/>
          </w:tcPr>
          <w:p w14:paraId="36190A22">
            <w:pPr>
              <w:widowControl/>
              <w:spacing w:line="360" w:lineRule="auto"/>
              <w:jc w:val="center"/>
              <w:rPr>
                <w:rFonts w:hint="eastAsia" w:ascii="宋体" w:hAnsi="宋体" w:cs="宋体"/>
                <w:sz w:val="24"/>
                <w:highlight w:val="none"/>
              </w:rPr>
            </w:pPr>
          </w:p>
        </w:tc>
        <w:tc>
          <w:tcPr>
            <w:tcW w:w="1510" w:type="pct"/>
            <w:vAlign w:val="center"/>
          </w:tcPr>
          <w:p w14:paraId="79A68401">
            <w:pPr>
              <w:widowControl/>
              <w:spacing w:line="360" w:lineRule="auto"/>
              <w:jc w:val="center"/>
              <w:rPr>
                <w:rFonts w:hint="eastAsia" w:ascii="宋体" w:hAnsi="宋体" w:cs="宋体"/>
                <w:sz w:val="24"/>
                <w:highlight w:val="none"/>
              </w:rPr>
            </w:pPr>
          </w:p>
        </w:tc>
        <w:tc>
          <w:tcPr>
            <w:tcW w:w="567" w:type="pct"/>
            <w:noWrap/>
            <w:vAlign w:val="center"/>
          </w:tcPr>
          <w:p w14:paraId="04230969">
            <w:pPr>
              <w:widowControl/>
              <w:spacing w:line="360" w:lineRule="auto"/>
              <w:jc w:val="center"/>
              <w:rPr>
                <w:rFonts w:hint="eastAsia" w:ascii="宋体" w:hAnsi="宋体" w:cs="宋体"/>
                <w:sz w:val="24"/>
                <w:highlight w:val="none"/>
              </w:rPr>
            </w:pPr>
          </w:p>
        </w:tc>
        <w:tc>
          <w:tcPr>
            <w:tcW w:w="285" w:type="pct"/>
            <w:vAlign w:val="center"/>
          </w:tcPr>
          <w:p w14:paraId="4F2CBC1D">
            <w:pPr>
              <w:widowControl/>
              <w:spacing w:line="360" w:lineRule="auto"/>
              <w:jc w:val="center"/>
              <w:rPr>
                <w:rFonts w:hint="eastAsia" w:ascii="宋体" w:hAnsi="宋体" w:cs="宋体"/>
                <w:sz w:val="24"/>
                <w:highlight w:val="none"/>
              </w:rPr>
            </w:pPr>
          </w:p>
        </w:tc>
        <w:tc>
          <w:tcPr>
            <w:tcW w:w="569" w:type="pct"/>
            <w:vAlign w:val="center"/>
          </w:tcPr>
          <w:p w14:paraId="02397C81">
            <w:pPr>
              <w:widowControl/>
              <w:spacing w:line="360" w:lineRule="auto"/>
              <w:jc w:val="center"/>
              <w:rPr>
                <w:rFonts w:hint="eastAsia" w:ascii="宋体" w:hAnsi="宋体" w:cs="宋体"/>
                <w:sz w:val="24"/>
                <w:highlight w:val="none"/>
              </w:rPr>
            </w:pPr>
          </w:p>
        </w:tc>
      </w:tr>
      <w:tr w14:paraId="60D9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5" w:type="pct"/>
            <w:vAlign w:val="center"/>
          </w:tcPr>
          <w:p w14:paraId="6C054EFB">
            <w:pPr>
              <w:widowControl/>
              <w:spacing w:line="360" w:lineRule="auto"/>
              <w:jc w:val="center"/>
              <w:rPr>
                <w:rFonts w:hint="eastAsia" w:ascii="宋体" w:hAnsi="宋体" w:cs="宋体"/>
                <w:sz w:val="24"/>
                <w:highlight w:val="none"/>
              </w:rPr>
            </w:pPr>
            <w:r>
              <w:rPr>
                <w:rFonts w:hint="eastAsia" w:ascii="宋体" w:hAnsi="宋体" w:cs="宋体"/>
                <w:sz w:val="24"/>
                <w:highlight w:val="none"/>
              </w:rPr>
              <w:t>2</w:t>
            </w:r>
          </w:p>
        </w:tc>
        <w:tc>
          <w:tcPr>
            <w:tcW w:w="903" w:type="pct"/>
            <w:vAlign w:val="center"/>
          </w:tcPr>
          <w:p w14:paraId="22B3F57C">
            <w:pPr>
              <w:widowControl/>
              <w:spacing w:line="360" w:lineRule="auto"/>
              <w:jc w:val="center"/>
              <w:rPr>
                <w:rFonts w:hint="eastAsia" w:ascii="宋体" w:hAnsi="宋体" w:cs="宋体"/>
                <w:sz w:val="24"/>
                <w:highlight w:val="none"/>
              </w:rPr>
            </w:pPr>
          </w:p>
        </w:tc>
        <w:tc>
          <w:tcPr>
            <w:tcW w:w="878" w:type="pct"/>
            <w:vAlign w:val="center"/>
          </w:tcPr>
          <w:p w14:paraId="6CDD6B17">
            <w:pPr>
              <w:widowControl/>
              <w:spacing w:line="360" w:lineRule="auto"/>
              <w:jc w:val="center"/>
              <w:rPr>
                <w:rFonts w:hint="eastAsia" w:ascii="宋体" w:hAnsi="宋体" w:cs="宋体"/>
                <w:sz w:val="24"/>
                <w:highlight w:val="none"/>
              </w:rPr>
            </w:pPr>
          </w:p>
        </w:tc>
        <w:tc>
          <w:tcPr>
            <w:tcW w:w="1510" w:type="pct"/>
            <w:vAlign w:val="center"/>
          </w:tcPr>
          <w:p w14:paraId="0562316B">
            <w:pPr>
              <w:widowControl/>
              <w:spacing w:line="360" w:lineRule="auto"/>
              <w:jc w:val="center"/>
              <w:rPr>
                <w:rFonts w:hint="eastAsia" w:ascii="宋体" w:hAnsi="宋体" w:cs="宋体"/>
                <w:sz w:val="24"/>
                <w:highlight w:val="none"/>
              </w:rPr>
            </w:pPr>
          </w:p>
        </w:tc>
        <w:tc>
          <w:tcPr>
            <w:tcW w:w="567" w:type="pct"/>
            <w:noWrap/>
            <w:vAlign w:val="center"/>
          </w:tcPr>
          <w:p w14:paraId="230E8441">
            <w:pPr>
              <w:widowControl/>
              <w:spacing w:line="360" w:lineRule="auto"/>
              <w:jc w:val="center"/>
              <w:rPr>
                <w:rFonts w:hint="eastAsia" w:ascii="宋体" w:hAnsi="宋体" w:cs="宋体"/>
                <w:sz w:val="24"/>
                <w:highlight w:val="none"/>
              </w:rPr>
            </w:pPr>
          </w:p>
        </w:tc>
        <w:tc>
          <w:tcPr>
            <w:tcW w:w="285" w:type="pct"/>
            <w:vAlign w:val="center"/>
          </w:tcPr>
          <w:p w14:paraId="7EF475CB">
            <w:pPr>
              <w:widowControl/>
              <w:spacing w:line="360" w:lineRule="auto"/>
              <w:jc w:val="center"/>
              <w:rPr>
                <w:rFonts w:hint="eastAsia" w:ascii="宋体" w:hAnsi="宋体" w:cs="宋体"/>
                <w:sz w:val="24"/>
                <w:highlight w:val="none"/>
              </w:rPr>
            </w:pPr>
          </w:p>
        </w:tc>
        <w:tc>
          <w:tcPr>
            <w:tcW w:w="569" w:type="pct"/>
            <w:vAlign w:val="center"/>
          </w:tcPr>
          <w:p w14:paraId="0357F831">
            <w:pPr>
              <w:widowControl/>
              <w:spacing w:line="360" w:lineRule="auto"/>
              <w:jc w:val="center"/>
              <w:rPr>
                <w:rFonts w:hint="eastAsia" w:ascii="宋体" w:hAnsi="宋体" w:cs="宋体"/>
                <w:sz w:val="24"/>
                <w:highlight w:val="none"/>
              </w:rPr>
            </w:pPr>
          </w:p>
        </w:tc>
      </w:tr>
    </w:tbl>
    <w:p w14:paraId="055EEA24">
      <w:pPr>
        <w:spacing w:before="240" w:line="360" w:lineRule="auto"/>
        <w:rPr>
          <w:rFonts w:hint="eastAsia" w:ascii="宋体" w:hAnsi="宋体" w:cs="宋体"/>
          <w:b/>
          <w:sz w:val="24"/>
          <w:highlight w:val="none"/>
        </w:rPr>
      </w:pPr>
      <w:r>
        <w:rPr>
          <w:rFonts w:hint="eastAsia" w:ascii="宋体" w:hAnsi="宋体" w:cs="宋体"/>
          <w:b/>
          <w:sz w:val="24"/>
          <w:highlight w:val="none"/>
        </w:rPr>
        <w:t>4、付款方式</w:t>
      </w:r>
    </w:p>
    <w:p w14:paraId="25491CA7">
      <w:pPr>
        <w:spacing w:before="120" w:line="360" w:lineRule="auto"/>
        <w:ind w:firstLine="480"/>
        <w:rPr>
          <w:rFonts w:hint="eastAsia" w:ascii="宋体" w:hAnsi="宋体" w:cs="宋体"/>
          <w:sz w:val="24"/>
          <w:highlight w:val="none"/>
        </w:rPr>
      </w:pPr>
      <w:r>
        <w:rPr>
          <w:rFonts w:hint="eastAsia" w:ascii="宋体" w:hAnsi="宋体" w:cs="宋体"/>
          <w:sz w:val="24"/>
          <w:highlight w:val="none"/>
        </w:rPr>
        <w:t>本合同的付款方式为：</w:t>
      </w:r>
    </w:p>
    <w:p w14:paraId="07F87972">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u w:val="single"/>
        </w:rPr>
        <w:t>预付款：</w:t>
      </w:r>
      <w:r>
        <w:rPr>
          <w:rFonts w:hint="eastAsia" w:ascii="宋体" w:hAnsi="宋体" w:cs="宋体"/>
          <w:sz w:val="24"/>
          <w:highlight w:val="none"/>
          <w:u w:val="single"/>
          <w:lang w:val="en-US" w:eastAsia="zh-CN"/>
        </w:rPr>
        <w:t>合同生效后15个工作日内，乙方提供合同价的10%作为履约保证金</w:t>
      </w:r>
      <w:r>
        <w:rPr>
          <w:rFonts w:hint="eastAsia" w:ascii="宋体" w:hAnsi="宋体" w:cs="宋体"/>
          <w:sz w:val="24"/>
          <w:highlight w:val="none"/>
          <w:u w:val="single"/>
        </w:rPr>
        <w:t>，</w:t>
      </w:r>
      <w:r>
        <w:rPr>
          <w:rFonts w:hint="eastAsia" w:ascii="宋体" w:hAnsi="宋体" w:cs="宋体"/>
          <w:sz w:val="24"/>
          <w:highlight w:val="none"/>
          <w:u w:val="single"/>
          <w:lang w:val="en-US" w:eastAsia="zh-CN"/>
        </w:rPr>
        <w:t>财政资金到位</w:t>
      </w:r>
      <w:r>
        <w:rPr>
          <w:rFonts w:hint="eastAsia" w:ascii="宋体" w:hAnsi="宋体" w:cs="宋体"/>
          <w:sz w:val="24"/>
          <w:highlight w:val="none"/>
          <w:u w:val="single"/>
        </w:rPr>
        <w:t>后支付合同总金额的</w:t>
      </w:r>
      <w:r>
        <w:rPr>
          <w:rFonts w:hint="eastAsia" w:ascii="宋体" w:hAnsi="宋体" w:cs="宋体"/>
          <w:sz w:val="24"/>
          <w:highlight w:val="none"/>
          <w:u w:val="single"/>
          <w:lang w:val="en-US" w:eastAsia="zh-CN"/>
        </w:rPr>
        <w:t>50</w:t>
      </w:r>
      <w:r>
        <w:rPr>
          <w:rFonts w:hint="eastAsia" w:ascii="宋体" w:hAnsi="宋体" w:cs="宋体"/>
          <w:sz w:val="24"/>
          <w:highlight w:val="none"/>
          <w:u w:val="single"/>
        </w:rPr>
        <w:t>%作为预付款。</w:t>
      </w:r>
    </w:p>
    <w:p w14:paraId="3260DA12">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u w:val="single"/>
        </w:rPr>
        <w:t>验收款：设备全部到货并完成安装调试、现场验收合格后，采购人收到供应商开具的剩余金额正规发票后15个工作日内，支付合同总金额的</w:t>
      </w:r>
      <w:r>
        <w:rPr>
          <w:rFonts w:hint="eastAsia" w:ascii="宋体" w:hAnsi="宋体" w:cs="宋体"/>
          <w:sz w:val="24"/>
          <w:highlight w:val="none"/>
          <w:u w:val="single"/>
          <w:lang w:val="en-US" w:eastAsia="zh-CN"/>
        </w:rPr>
        <w:t>50</w:t>
      </w:r>
      <w:r>
        <w:rPr>
          <w:rFonts w:hint="eastAsia" w:ascii="宋体" w:hAnsi="宋体" w:cs="宋体"/>
          <w:sz w:val="24"/>
          <w:highlight w:val="none"/>
          <w:u w:val="single"/>
        </w:rPr>
        <w:t>%。</w:t>
      </w:r>
    </w:p>
    <w:p w14:paraId="14BC760E">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u w:val="single"/>
        </w:rPr>
        <w:t>付款方式：银行转账，供应商需提供合法、有效、等额的增值税发票。</w:t>
      </w:r>
    </w:p>
    <w:p w14:paraId="1D09B86D">
      <w:pPr>
        <w:spacing w:before="240" w:line="360" w:lineRule="auto"/>
        <w:rPr>
          <w:rFonts w:hint="eastAsia" w:ascii="宋体" w:hAnsi="宋体" w:cs="宋体"/>
          <w:b/>
          <w:sz w:val="24"/>
          <w:highlight w:val="none"/>
        </w:rPr>
      </w:pPr>
      <w:r>
        <w:rPr>
          <w:rFonts w:hint="eastAsia" w:ascii="宋体" w:hAnsi="宋体" w:cs="宋体"/>
          <w:b/>
          <w:sz w:val="24"/>
          <w:highlight w:val="none"/>
        </w:rPr>
        <w:t>5、本合同货物服务的交货（实施）时间及交货（实施）地点</w:t>
      </w:r>
    </w:p>
    <w:p w14:paraId="18F4F010">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rPr>
        <w:t>交货（实施）时间：</w:t>
      </w:r>
      <w:r>
        <w:rPr>
          <w:rFonts w:hint="eastAsia" w:ascii="宋体" w:hAnsi="宋体" w:cs="宋体"/>
          <w:sz w:val="24"/>
          <w:highlight w:val="none"/>
          <w:u w:val="single"/>
        </w:rPr>
        <w:t>自合同签订之日起</w:t>
      </w:r>
      <w:r>
        <w:rPr>
          <w:rFonts w:hint="eastAsia" w:ascii="宋体" w:hAnsi="宋体" w:cs="宋体"/>
          <w:sz w:val="24"/>
          <w:highlight w:val="none"/>
          <w:u w:val="single"/>
          <w:lang w:val="en-US" w:eastAsia="zh-CN"/>
        </w:rPr>
        <w:t>90</w:t>
      </w:r>
      <w:r>
        <w:rPr>
          <w:rFonts w:hint="eastAsia" w:ascii="宋体" w:hAnsi="宋体" w:cs="宋体"/>
          <w:sz w:val="24"/>
          <w:highlight w:val="none"/>
          <w:u w:val="single"/>
        </w:rPr>
        <w:t>个工作日内完成设备的供货、运输、安装调试及验收。</w:t>
      </w:r>
    </w:p>
    <w:p w14:paraId="07AA4DB6">
      <w:pPr>
        <w:spacing w:before="120" w:line="360" w:lineRule="auto"/>
        <w:ind w:firstLine="480"/>
        <w:rPr>
          <w:rFonts w:hint="eastAsia" w:ascii="宋体" w:hAnsi="宋体" w:cs="宋体"/>
          <w:sz w:val="24"/>
          <w:highlight w:val="none"/>
        </w:rPr>
      </w:pPr>
      <w:r>
        <w:rPr>
          <w:rFonts w:hint="eastAsia" w:ascii="宋体" w:hAnsi="宋体" w:cs="宋体"/>
          <w:sz w:val="24"/>
          <w:highlight w:val="none"/>
        </w:rPr>
        <w:t>交货（实施）地点：</w:t>
      </w:r>
      <w:r>
        <w:rPr>
          <w:rFonts w:hint="eastAsia" w:ascii="宋体" w:hAnsi="宋体" w:cs="宋体"/>
          <w:sz w:val="24"/>
          <w:highlight w:val="none"/>
          <w:u w:val="single"/>
        </w:rPr>
        <w:t>现场交货（买方指定）</w:t>
      </w:r>
    </w:p>
    <w:p w14:paraId="2B7405ED">
      <w:pPr>
        <w:spacing w:before="240" w:line="360" w:lineRule="auto"/>
        <w:rPr>
          <w:rFonts w:hint="eastAsia" w:ascii="宋体" w:hAnsi="宋体" w:cs="宋体"/>
          <w:b/>
          <w:sz w:val="24"/>
          <w:highlight w:val="none"/>
        </w:rPr>
      </w:pPr>
      <w:r>
        <w:rPr>
          <w:rFonts w:hint="eastAsia" w:ascii="宋体" w:hAnsi="宋体" w:cs="宋体"/>
          <w:b/>
          <w:sz w:val="24"/>
          <w:highlight w:val="none"/>
        </w:rPr>
        <w:t>6、合同的生效。</w:t>
      </w:r>
    </w:p>
    <w:p w14:paraId="1D142187">
      <w:pPr>
        <w:spacing w:before="120" w:line="360" w:lineRule="auto"/>
        <w:ind w:firstLine="454"/>
        <w:rPr>
          <w:rFonts w:hint="eastAsia" w:ascii="宋体" w:hAnsi="宋体" w:cs="宋体"/>
          <w:sz w:val="24"/>
          <w:highlight w:val="none"/>
        </w:rPr>
      </w:pPr>
      <w:r>
        <w:rPr>
          <w:rFonts w:hint="eastAsia" w:ascii="宋体" w:hAnsi="宋体" w:cs="宋体"/>
          <w:sz w:val="24"/>
          <w:highlight w:val="none"/>
        </w:rPr>
        <w:t>本合同经双方全权代表签署、加盖单位印章生效。</w:t>
      </w:r>
    </w:p>
    <w:tbl>
      <w:tblPr>
        <w:tblStyle w:val="4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41"/>
        <w:gridCol w:w="4098"/>
      </w:tblGrid>
      <w:tr w14:paraId="4DB1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2856F603">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xml:space="preserve">　　买　方：                                        </w:t>
            </w:r>
          </w:p>
        </w:tc>
        <w:tc>
          <w:tcPr>
            <w:tcW w:w="4098" w:type="dxa"/>
          </w:tcPr>
          <w:p w14:paraId="2B288CE2">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 xml:space="preserve">卖　方：                                        </w:t>
            </w:r>
          </w:p>
        </w:tc>
      </w:tr>
      <w:tr w14:paraId="7C1C4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303A9996">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　　名　称：(印章)　　　　　　　　　</w:t>
            </w:r>
          </w:p>
        </w:tc>
        <w:tc>
          <w:tcPr>
            <w:tcW w:w="4098" w:type="dxa"/>
          </w:tcPr>
          <w:p w14:paraId="5322E0F0">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名　称：(印章)</w:t>
            </w:r>
          </w:p>
        </w:tc>
      </w:tr>
      <w:tr w14:paraId="727AA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631E2DDB">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　　　　年　月　日　　　　　　　　　　　</w:t>
            </w:r>
          </w:p>
        </w:tc>
        <w:tc>
          <w:tcPr>
            <w:tcW w:w="4098" w:type="dxa"/>
          </w:tcPr>
          <w:p w14:paraId="17D21BA1">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　　　　年　月　日</w:t>
            </w:r>
          </w:p>
        </w:tc>
      </w:tr>
      <w:tr w14:paraId="69169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66578910">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授权代表(签字)：</w:t>
            </w:r>
            <w:r>
              <w:rPr>
                <w:rFonts w:hint="eastAsia" w:ascii="宋体" w:hAnsi="宋体" w:cs="宋体"/>
                <w:kern w:val="2"/>
                <w:sz w:val="24"/>
                <w:szCs w:val="24"/>
                <w:highlight w:val="none"/>
                <w14:ligatures w14:val="standardContextual"/>
              </w:rPr>
              <w:tab/>
            </w:r>
            <w:r>
              <w:rPr>
                <w:rFonts w:hint="eastAsia" w:ascii="宋体" w:hAnsi="宋体" w:cs="宋体"/>
                <w:kern w:val="2"/>
                <w:sz w:val="24"/>
                <w:szCs w:val="24"/>
                <w:highlight w:val="none"/>
                <w14:ligatures w14:val="standardContextual"/>
              </w:rPr>
              <w:tab/>
            </w:r>
            <w:r>
              <w:rPr>
                <w:rFonts w:hint="eastAsia" w:ascii="宋体" w:hAnsi="宋体" w:cs="宋体"/>
                <w:kern w:val="2"/>
                <w:sz w:val="24"/>
                <w:szCs w:val="24"/>
                <w:highlight w:val="none"/>
                <w14:ligatures w14:val="standardContextual"/>
              </w:rPr>
              <w:tab/>
            </w:r>
            <w:r>
              <w:rPr>
                <w:rFonts w:hint="eastAsia" w:ascii="宋体" w:hAnsi="宋体" w:cs="宋体"/>
                <w:kern w:val="2"/>
                <w:sz w:val="24"/>
                <w:szCs w:val="24"/>
                <w:highlight w:val="none"/>
                <w14:ligatures w14:val="standardContextual"/>
              </w:rPr>
              <w:t xml:space="preserve">       </w:t>
            </w:r>
          </w:p>
        </w:tc>
        <w:tc>
          <w:tcPr>
            <w:tcW w:w="4098" w:type="dxa"/>
          </w:tcPr>
          <w:p w14:paraId="47322086">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授权代表(签字)：</w:t>
            </w:r>
          </w:p>
        </w:tc>
      </w:tr>
      <w:tr w14:paraId="1222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23745E53">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地　　址：</w:t>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14:ligatures w14:val="standardContextual"/>
              </w:rPr>
              <w:tab/>
            </w:r>
          </w:p>
        </w:tc>
        <w:tc>
          <w:tcPr>
            <w:tcW w:w="4098" w:type="dxa"/>
          </w:tcPr>
          <w:p w14:paraId="4253564B">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地　　址：</w:t>
            </w:r>
            <w:r>
              <w:rPr>
                <w:rFonts w:hint="eastAsia" w:ascii="宋体" w:hAnsi="宋体" w:cs="宋体"/>
                <w:kern w:val="2"/>
                <w:sz w:val="24"/>
                <w:szCs w:val="24"/>
                <w:highlight w:val="none"/>
                <w:u w:val="single"/>
                <w14:ligatures w14:val="standardContextual"/>
              </w:rPr>
              <w:t xml:space="preserve">                 </w:t>
            </w:r>
          </w:p>
        </w:tc>
      </w:tr>
      <w:tr w14:paraId="45C1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473020CE">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邮政编码：</w:t>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14:ligatures w14:val="standardContextual"/>
              </w:rPr>
              <w:tab/>
            </w:r>
          </w:p>
        </w:tc>
        <w:tc>
          <w:tcPr>
            <w:tcW w:w="4098" w:type="dxa"/>
          </w:tcPr>
          <w:p w14:paraId="1C676604">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邮政编码：</w:t>
            </w:r>
            <w:r>
              <w:rPr>
                <w:rFonts w:hint="eastAsia" w:ascii="宋体" w:hAnsi="宋体" w:cs="宋体"/>
                <w:kern w:val="2"/>
                <w:sz w:val="24"/>
                <w:szCs w:val="24"/>
                <w:highlight w:val="none"/>
                <w:u w:val="single"/>
                <w14:ligatures w14:val="standardContextual"/>
              </w:rPr>
              <w:t xml:space="preserve">             </w:t>
            </w:r>
          </w:p>
        </w:tc>
      </w:tr>
      <w:tr w14:paraId="2557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2679863F">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电　　话：</w:t>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14:ligatures w14:val="standardContextual"/>
              </w:rPr>
              <w:tab/>
            </w:r>
          </w:p>
        </w:tc>
        <w:tc>
          <w:tcPr>
            <w:tcW w:w="4098" w:type="dxa"/>
          </w:tcPr>
          <w:p w14:paraId="1F1FE313">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电　　话：</w:t>
            </w:r>
            <w:r>
              <w:rPr>
                <w:rFonts w:hint="eastAsia" w:ascii="宋体" w:hAnsi="宋体" w:cs="宋体"/>
                <w:kern w:val="2"/>
                <w:sz w:val="24"/>
                <w:szCs w:val="24"/>
                <w:highlight w:val="none"/>
                <w:u w:val="single"/>
                <w14:ligatures w14:val="standardContextual"/>
              </w:rPr>
              <w:t xml:space="preserve">              </w:t>
            </w:r>
          </w:p>
        </w:tc>
      </w:tr>
      <w:tr w14:paraId="4F2E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4441" w:type="dxa"/>
          </w:tcPr>
          <w:p w14:paraId="17D89E84">
            <w:pPr>
              <w:spacing w:before="120" w:line="360" w:lineRule="auto"/>
              <w:rPr>
                <w:rFonts w:hint="eastAsia" w:ascii="宋体" w:hAnsi="宋体" w:cs="宋体"/>
                <w:kern w:val="0"/>
                <w:sz w:val="24"/>
                <w:szCs w:val="20"/>
                <w:highlight w:val="none"/>
                <w:u w:val="single"/>
                <w14:ligatures w14:val="standardContextual"/>
              </w:rPr>
            </w:pPr>
            <w:r>
              <w:rPr>
                <w:rFonts w:hint="eastAsia" w:ascii="宋体" w:hAnsi="宋体" w:cs="宋体"/>
                <w:kern w:val="2"/>
                <w:sz w:val="24"/>
                <w:szCs w:val="24"/>
                <w:highlight w:val="none"/>
                <w14:ligatures w14:val="standardContextual"/>
              </w:rPr>
              <w:t>　　开户银行：</w:t>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14:ligatures w14:val="standardContextual"/>
              </w:rPr>
              <w:tab/>
            </w:r>
          </w:p>
        </w:tc>
        <w:tc>
          <w:tcPr>
            <w:tcW w:w="4098" w:type="dxa"/>
          </w:tcPr>
          <w:p w14:paraId="6C45DCA2">
            <w:pPr>
              <w:spacing w:before="120"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开户银行：</w:t>
            </w:r>
            <w:r>
              <w:rPr>
                <w:rFonts w:hint="eastAsia" w:ascii="宋体" w:hAnsi="宋体" w:cs="宋体"/>
                <w:kern w:val="2"/>
                <w:sz w:val="24"/>
                <w:szCs w:val="24"/>
                <w:highlight w:val="none"/>
                <w:u w:val="single"/>
                <w14:ligatures w14:val="standardContextual"/>
              </w:rPr>
              <w:t xml:space="preserve">                   </w:t>
            </w:r>
          </w:p>
        </w:tc>
      </w:tr>
      <w:tr w14:paraId="0C2B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4441" w:type="dxa"/>
          </w:tcPr>
          <w:p w14:paraId="35984964">
            <w:pPr>
              <w:spacing w:line="360" w:lineRule="auto"/>
              <w:rPr>
                <w:rFonts w:hint="eastAsia" w:ascii="宋体" w:hAnsi="宋体" w:cs="宋体"/>
                <w:b/>
                <w:bCs/>
                <w:kern w:val="0"/>
                <w:sz w:val="24"/>
                <w:szCs w:val="20"/>
                <w:highlight w:val="none"/>
                <w14:ligatures w14:val="standardContextual"/>
              </w:rPr>
            </w:pPr>
            <w:r>
              <w:rPr>
                <w:rFonts w:hint="eastAsia" w:ascii="宋体" w:hAnsi="宋体" w:cs="宋体"/>
                <w:kern w:val="2"/>
                <w:sz w:val="24"/>
                <w:szCs w:val="24"/>
                <w:highlight w:val="none"/>
                <w14:ligatures w14:val="standardContextual"/>
              </w:rPr>
              <w:t>　　帐　　号：</w:t>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u w:val="single"/>
                <w14:ligatures w14:val="standardContextual"/>
              </w:rPr>
              <w:tab/>
            </w:r>
            <w:r>
              <w:rPr>
                <w:rFonts w:hint="eastAsia" w:ascii="宋体" w:hAnsi="宋体" w:cs="宋体"/>
                <w:kern w:val="2"/>
                <w:sz w:val="24"/>
                <w:szCs w:val="24"/>
                <w:highlight w:val="none"/>
                <w14:ligatures w14:val="standardContextual"/>
              </w:rPr>
              <w:tab/>
            </w:r>
          </w:p>
        </w:tc>
        <w:tc>
          <w:tcPr>
            <w:tcW w:w="4098" w:type="dxa"/>
          </w:tcPr>
          <w:p w14:paraId="2E444584">
            <w:pPr>
              <w:spacing w:line="360" w:lineRule="auto"/>
              <w:rPr>
                <w:rFonts w:hint="eastAsia" w:ascii="宋体" w:hAnsi="宋体" w:cs="宋体"/>
                <w:kern w:val="0"/>
                <w:sz w:val="24"/>
                <w:szCs w:val="20"/>
                <w:highlight w:val="none"/>
                <w14:ligatures w14:val="standardContextual"/>
              </w:rPr>
            </w:pPr>
            <w:r>
              <w:rPr>
                <w:rFonts w:hint="eastAsia" w:ascii="宋体" w:hAnsi="宋体" w:cs="宋体"/>
                <w:kern w:val="2"/>
                <w:sz w:val="24"/>
                <w:szCs w:val="24"/>
                <w:highlight w:val="none"/>
                <w14:ligatures w14:val="standardContextual"/>
              </w:rPr>
              <w:t>帐　　号：</w:t>
            </w:r>
            <w:r>
              <w:rPr>
                <w:rFonts w:hint="eastAsia" w:ascii="宋体" w:hAnsi="宋体" w:cs="宋体"/>
                <w:kern w:val="2"/>
                <w:sz w:val="24"/>
                <w:szCs w:val="24"/>
                <w:highlight w:val="none"/>
                <w:u w:val="single"/>
                <w14:ligatures w14:val="standardContextual"/>
              </w:rPr>
              <w:t xml:space="preserve">                    </w:t>
            </w:r>
          </w:p>
        </w:tc>
      </w:tr>
    </w:tbl>
    <w:p w14:paraId="7F66563B">
      <w:pPr>
        <w:spacing w:line="360" w:lineRule="auto"/>
        <w:jc w:val="center"/>
        <w:rPr>
          <w:rFonts w:hint="eastAsia" w:ascii="宋体" w:hAnsi="宋体" w:cs="宋体"/>
          <w:b/>
          <w:bCs/>
          <w:sz w:val="24"/>
          <w:highlight w:val="none"/>
        </w:rPr>
      </w:pPr>
      <w:r>
        <w:rPr>
          <w:rFonts w:hint="eastAsia" w:ascii="宋体" w:hAnsi="宋体" w:cs="宋体"/>
          <w:b/>
          <w:bCs/>
          <w:sz w:val="24"/>
          <w:highlight w:val="none"/>
        </w:rPr>
        <w:br w:type="page"/>
      </w:r>
      <w:r>
        <w:rPr>
          <w:rFonts w:hint="eastAsia" w:ascii="宋体" w:hAnsi="宋体" w:cs="宋体"/>
          <w:b/>
          <w:bCs/>
          <w:sz w:val="24"/>
          <w:highlight w:val="none"/>
        </w:rPr>
        <w:t>合同一般条款</w:t>
      </w:r>
    </w:p>
    <w:p w14:paraId="140710D8">
      <w:pPr>
        <w:spacing w:before="120" w:line="360" w:lineRule="auto"/>
        <w:rPr>
          <w:rFonts w:hint="eastAsia" w:ascii="宋体" w:hAnsi="宋体" w:cs="宋体"/>
          <w:sz w:val="24"/>
          <w:highlight w:val="none"/>
        </w:rPr>
      </w:pPr>
      <w:bookmarkStart w:id="829" w:name="_Ref467379214"/>
      <w:bookmarkStart w:id="830" w:name="_Toc310195732"/>
      <w:bookmarkStart w:id="831" w:name="_Toc413930817"/>
      <w:bookmarkStart w:id="832" w:name="_Ref467379101"/>
      <w:bookmarkStart w:id="833" w:name="_Ref467379094"/>
      <w:bookmarkStart w:id="834" w:name="_Ref467378404"/>
      <w:bookmarkStart w:id="835" w:name="_Ref467379195"/>
      <w:bookmarkStart w:id="836" w:name="_Ref467379205"/>
      <w:bookmarkStart w:id="837" w:name="_Toc310521908"/>
      <w:bookmarkStart w:id="838" w:name="_Ref467378499"/>
      <w:bookmarkStart w:id="839" w:name="_Ref467379225"/>
      <w:bookmarkStart w:id="840" w:name="_Ref467378463"/>
      <w:bookmarkStart w:id="841" w:name="_Toc329875482"/>
      <w:bookmarkStart w:id="842" w:name="_Ref467379109"/>
      <w:bookmarkStart w:id="843" w:name="_Toc487900349"/>
      <w:r>
        <w:rPr>
          <w:rFonts w:hint="eastAsia" w:ascii="宋体" w:hAnsi="宋体" w:cs="宋体"/>
          <w:sz w:val="24"/>
          <w:highlight w:val="none"/>
        </w:rPr>
        <w:t>1. 定义</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14:paraId="6E1DE83C">
      <w:pPr>
        <w:spacing w:before="120" w:line="360" w:lineRule="auto"/>
        <w:rPr>
          <w:rFonts w:hint="eastAsia" w:ascii="宋体" w:hAnsi="宋体" w:cs="宋体"/>
          <w:sz w:val="24"/>
          <w:highlight w:val="none"/>
        </w:rPr>
      </w:pPr>
      <w:r>
        <w:rPr>
          <w:rFonts w:hint="eastAsia" w:ascii="宋体" w:hAnsi="宋体" w:cs="宋体"/>
          <w:sz w:val="24"/>
          <w:highlight w:val="none"/>
        </w:rPr>
        <w:t>本合同中的下列术语应解释为：</w:t>
      </w:r>
    </w:p>
    <w:p w14:paraId="0C6347BA">
      <w:pPr>
        <w:spacing w:before="120" w:line="360" w:lineRule="auto"/>
        <w:rPr>
          <w:rFonts w:hint="eastAsia" w:ascii="宋体" w:hAnsi="宋体" w:cs="宋体"/>
          <w:sz w:val="24"/>
          <w:highlight w:val="none"/>
        </w:rPr>
      </w:pPr>
      <w:r>
        <w:rPr>
          <w:rFonts w:hint="eastAsia" w:ascii="宋体" w:hAnsi="宋体" w:cs="宋体"/>
          <w:sz w:val="24"/>
          <w:highlight w:val="none"/>
        </w:rPr>
        <w:t>1.1 “合同”系指买卖双方签署的、合同格式中载明的买卖双方所达成的协议，包括所有的附件、附录和构成合同的其它文件。</w:t>
      </w:r>
    </w:p>
    <w:p w14:paraId="57C35CD9">
      <w:pPr>
        <w:spacing w:before="120" w:line="360" w:lineRule="auto"/>
        <w:rPr>
          <w:rFonts w:hint="eastAsia" w:ascii="宋体" w:hAnsi="宋体" w:cs="宋体"/>
          <w:sz w:val="24"/>
          <w:highlight w:val="none"/>
        </w:rPr>
      </w:pPr>
      <w:r>
        <w:rPr>
          <w:rFonts w:hint="eastAsia" w:ascii="宋体" w:hAnsi="宋体" w:cs="宋体"/>
          <w:sz w:val="24"/>
          <w:highlight w:val="none"/>
        </w:rPr>
        <w:t>1.2 “合同价”系指根据合同约定，卖方在完全履行合同义务后买方应付给卖方的价格。</w:t>
      </w:r>
    </w:p>
    <w:p w14:paraId="7CCDC619">
      <w:pPr>
        <w:spacing w:before="120" w:line="360" w:lineRule="auto"/>
        <w:rPr>
          <w:rFonts w:hint="eastAsia" w:ascii="宋体" w:hAnsi="宋体" w:cs="宋体"/>
          <w:sz w:val="24"/>
          <w:highlight w:val="none"/>
        </w:rPr>
      </w:pPr>
      <w:r>
        <w:rPr>
          <w:rFonts w:hint="eastAsia" w:ascii="宋体" w:hAnsi="宋体" w:cs="宋体"/>
          <w:sz w:val="24"/>
          <w:highlight w:val="none"/>
        </w:rPr>
        <w:t>1.3 “货物”系指卖方根据合同约定须向买方提供的一切设备、机械、仪表、备件、工具、手册等其它相关资料。</w:t>
      </w:r>
    </w:p>
    <w:p w14:paraId="7D35A20B">
      <w:pPr>
        <w:spacing w:before="120" w:line="360" w:lineRule="auto"/>
        <w:rPr>
          <w:rFonts w:hint="eastAsia" w:ascii="宋体" w:hAnsi="宋体" w:cs="宋体"/>
          <w:sz w:val="24"/>
          <w:highlight w:val="none"/>
        </w:rPr>
      </w:pPr>
      <w:r>
        <w:rPr>
          <w:rFonts w:hint="eastAsia" w:ascii="宋体" w:hAnsi="宋体" w:cs="宋体"/>
          <w:sz w:val="24"/>
          <w:highlight w:val="none"/>
        </w:rPr>
        <w:t>1.4 “服务”系指根据合同约定卖方承担与供货有关的辅助服务，如运输、保险、及安装、调试、提供技术援助、培训和其他类似的服务。</w:t>
      </w:r>
    </w:p>
    <w:p w14:paraId="0D966EAB">
      <w:pPr>
        <w:spacing w:before="120" w:line="360" w:lineRule="auto"/>
        <w:rPr>
          <w:rFonts w:hint="eastAsia" w:ascii="宋体" w:hAnsi="宋体" w:cs="宋体"/>
          <w:sz w:val="24"/>
          <w:highlight w:val="none"/>
        </w:rPr>
      </w:pPr>
      <w:bookmarkStart w:id="844" w:name="_Ref467378840"/>
      <w:r>
        <w:rPr>
          <w:rFonts w:hint="eastAsia" w:ascii="宋体" w:hAnsi="宋体" w:cs="宋体"/>
          <w:sz w:val="24"/>
          <w:highlight w:val="none"/>
        </w:rPr>
        <w:t>1.5 “买方”系指采购人或购买货物的单位。</w:t>
      </w:r>
      <w:bookmarkEnd w:id="844"/>
    </w:p>
    <w:p w14:paraId="5F205489">
      <w:pPr>
        <w:spacing w:before="120" w:line="360" w:lineRule="auto"/>
        <w:rPr>
          <w:rFonts w:hint="eastAsia" w:ascii="宋体" w:hAnsi="宋体" w:cs="宋体"/>
          <w:sz w:val="24"/>
          <w:highlight w:val="none"/>
        </w:rPr>
      </w:pPr>
      <w:bookmarkStart w:id="845" w:name="_Ref467379400"/>
      <w:r>
        <w:rPr>
          <w:rFonts w:hint="eastAsia" w:ascii="宋体" w:hAnsi="宋体" w:cs="宋体"/>
          <w:sz w:val="24"/>
          <w:highlight w:val="none"/>
        </w:rPr>
        <w:t>1.6 “卖方”系指根据合同约定提供货物及相关服务的投标人，即中标人。</w:t>
      </w:r>
      <w:bookmarkEnd w:id="845"/>
    </w:p>
    <w:p w14:paraId="7657F15F">
      <w:pPr>
        <w:spacing w:before="120" w:line="360" w:lineRule="auto"/>
        <w:rPr>
          <w:rFonts w:hint="eastAsia" w:ascii="宋体" w:hAnsi="宋体" w:cs="宋体"/>
          <w:sz w:val="24"/>
          <w:highlight w:val="none"/>
        </w:rPr>
      </w:pPr>
      <w:bookmarkStart w:id="846" w:name="_Ref467379436"/>
      <w:r>
        <w:rPr>
          <w:rFonts w:hint="eastAsia" w:ascii="宋体" w:hAnsi="宋体" w:cs="宋体"/>
          <w:sz w:val="24"/>
          <w:highlight w:val="none"/>
        </w:rPr>
        <w:t>1.7 “现场”系指合同约定货物将要运至和安装的地点。</w:t>
      </w:r>
      <w:bookmarkEnd w:id="846"/>
    </w:p>
    <w:p w14:paraId="26D3AF0B">
      <w:pPr>
        <w:spacing w:before="120" w:line="360" w:lineRule="auto"/>
        <w:rPr>
          <w:rFonts w:hint="eastAsia" w:ascii="宋体" w:hAnsi="宋体" w:cs="宋体"/>
          <w:sz w:val="24"/>
          <w:highlight w:val="none"/>
        </w:rPr>
      </w:pPr>
      <w:r>
        <w:rPr>
          <w:rFonts w:hint="eastAsia" w:ascii="宋体" w:hAnsi="宋体" w:cs="宋体"/>
          <w:sz w:val="24"/>
          <w:highlight w:val="none"/>
        </w:rPr>
        <w:t>1.8 “验收”系指合同双方依据强制性的国家技术质量规范和合同约定，确认合同项下的货物符合合同规定的活动。</w:t>
      </w:r>
    </w:p>
    <w:p w14:paraId="21EEF145">
      <w:pPr>
        <w:spacing w:before="120" w:line="360" w:lineRule="auto"/>
        <w:rPr>
          <w:rFonts w:hint="eastAsia" w:ascii="宋体" w:hAnsi="宋体" w:cs="宋体"/>
          <w:sz w:val="24"/>
          <w:highlight w:val="none"/>
        </w:rPr>
      </w:pPr>
      <w:bookmarkStart w:id="847" w:name="_Toc413930818"/>
      <w:bookmarkStart w:id="848" w:name="_Toc310521909"/>
      <w:bookmarkStart w:id="849" w:name="_Toc310195733"/>
      <w:bookmarkStart w:id="850" w:name="_Toc487900350"/>
      <w:bookmarkStart w:id="851" w:name="_Toc329875483"/>
      <w:r>
        <w:rPr>
          <w:rFonts w:hint="eastAsia" w:ascii="宋体" w:hAnsi="宋体" w:cs="宋体"/>
          <w:sz w:val="24"/>
          <w:highlight w:val="none"/>
        </w:rPr>
        <w:t>2. 技术规范</w:t>
      </w:r>
      <w:bookmarkEnd w:id="847"/>
      <w:bookmarkEnd w:id="848"/>
      <w:bookmarkEnd w:id="849"/>
      <w:bookmarkEnd w:id="850"/>
      <w:bookmarkEnd w:id="851"/>
    </w:p>
    <w:p w14:paraId="66AAA75A">
      <w:pPr>
        <w:spacing w:before="120" w:line="360" w:lineRule="auto"/>
        <w:rPr>
          <w:rFonts w:hint="eastAsia" w:ascii="宋体" w:hAnsi="宋体" w:cs="宋体"/>
          <w:sz w:val="24"/>
          <w:highlight w:val="none"/>
        </w:rPr>
      </w:pPr>
      <w:r>
        <w:rPr>
          <w:rFonts w:hint="eastAsia" w:ascii="宋体" w:hAnsi="宋体" w:cs="宋体"/>
          <w:sz w:val="24"/>
          <w:highlight w:val="none"/>
        </w:rPr>
        <w:t>2.1 提交货物的技术规范应与</w:t>
      </w:r>
      <w:r>
        <w:rPr>
          <w:rFonts w:hint="eastAsia" w:ascii="宋体" w:hAnsi="宋体" w:cs="宋体"/>
          <w:sz w:val="24"/>
          <w:highlight w:val="none"/>
          <w:lang w:eastAsia="zh-CN"/>
        </w:rPr>
        <w:t>招标</w:t>
      </w:r>
      <w:r>
        <w:rPr>
          <w:rFonts w:hint="eastAsia" w:ascii="宋体" w:hAnsi="宋体" w:cs="宋体"/>
          <w:sz w:val="24"/>
          <w:highlight w:val="none"/>
        </w:rPr>
        <w:t>文件规定的技术规范和技术规范附件(如果有的话)及其</w:t>
      </w:r>
      <w:r>
        <w:rPr>
          <w:rFonts w:hint="eastAsia" w:ascii="宋体" w:hAnsi="宋体" w:cs="宋体"/>
          <w:sz w:val="24"/>
          <w:highlight w:val="none"/>
          <w:lang w:eastAsia="zh-CN"/>
        </w:rPr>
        <w:t>投标</w:t>
      </w:r>
      <w:r>
        <w:rPr>
          <w:rFonts w:hint="eastAsia" w:ascii="宋体" w:hAnsi="宋体" w:cs="宋体"/>
          <w:sz w:val="24"/>
          <w:highlight w:val="none"/>
        </w:rPr>
        <w:t>文件的技术规范偏差表(如果被买方接受的话)相一致。若技术规范中无相应说明，则以国家有关部门最新颁布的相应标准及规范为准。</w:t>
      </w:r>
    </w:p>
    <w:p w14:paraId="3BE305E1">
      <w:pPr>
        <w:spacing w:before="120" w:line="360" w:lineRule="auto"/>
        <w:rPr>
          <w:rFonts w:hint="eastAsia" w:ascii="宋体" w:hAnsi="宋体" w:cs="宋体"/>
          <w:sz w:val="24"/>
          <w:highlight w:val="none"/>
        </w:rPr>
      </w:pPr>
      <w:bookmarkStart w:id="852" w:name="_Toc487900351"/>
      <w:bookmarkStart w:id="853" w:name="_Toc329875484"/>
      <w:bookmarkStart w:id="854" w:name="_Toc310195734"/>
      <w:bookmarkStart w:id="855" w:name="_Toc310521910"/>
      <w:bookmarkStart w:id="856" w:name="_Toc413930819"/>
      <w:r>
        <w:rPr>
          <w:rFonts w:hint="eastAsia" w:ascii="宋体" w:hAnsi="宋体" w:cs="宋体"/>
          <w:sz w:val="24"/>
          <w:highlight w:val="none"/>
        </w:rPr>
        <w:t>3. 知识产权</w:t>
      </w:r>
      <w:bookmarkEnd w:id="852"/>
      <w:bookmarkEnd w:id="853"/>
      <w:bookmarkEnd w:id="854"/>
      <w:bookmarkEnd w:id="855"/>
      <w:bookmarkEnd w:id="856"/>
    </w:p>
    <w:p w14:paraId="0F656EF2">
      <w:pPr>
        <w:spacing w:before="120" w:line="360" w:lineRule="auto"/>
        <w:rPr>
          <w:rFonts w:hint="eastAsia" w:ascii="宋体" w:hAnsi="宋体" w:cs="宋体"/>
          <w:sz w:val="24"/>
          <w:highlight w:val="none"/>
        </w:rPr>
      </w:pPr>
      <w:r>
        <w:rPr>
          <w:rFonts w:hint="eastAsia" w:ascii="宋体" w:hAnsi="宋体" w:cs="宋体"/>
          <w:sz w:val="24"/>
          <w:highlight w:val="none"/>
        </w:rPr>
        <w:t>3.1 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415DE419">
      <w:pPr>
        <w:spacing w:before="120" w:line="360" w:lineRule="auto"/>
        <w:rPr>
          <w:rFonts w:hint="eastAsia" w:ascii="宋体" w:hAnsi="宋体" w:cs="宋体"/>
          <w:sz w:val="24"/>
          <w:highlight w:val="none"/>
        </w:rPr>
      </w:pPr>
      <w:bookmarkStart w:id="857" w:name="_Toc413930820"/>
      <w:bookmarkStart w:id="858" w:name="_Toc487900352"/>
      <w:bookmarkStart w:id="859" w:name="_Toc329875485"/>
      <w:bookmarkStart w:id="860" w:name="_Toc310195735"/>
      <w:bookmarkStart w:id="861" w:name="_Toc310521911"/>
      <w:r>
        <w:rPr>
          <w:rFonts w:hint="eastAsia" w:ascii="宋体" w:hAnsi="宋体" w:cs="宋体"/>
          <w:sz w:val="24"/>
          <w:highlight w:val="none"/>
        </w:rPr>
        <w:t>4. 包装要求</w:t>
      </w:r>
      <w:bookmarkEnd w:id="857"/>
      <w:bookmarkEnd w:id="858"/>
      <w:bookmarkEnd w:id="859"/>
      <w:bookmarkEnd w:id="860"/>
      <w:bookmarkEnd w:id="861"/>
    </w:p>
    <w:p w14:paraId="4A047709">
      <w:pPr>
        <w:spacing w:before="120" w:line="360" w:lineRule="auto"/>
        <w:rPr>
          <w:rFonts w:hint="eastAsia" w:ascii="宋体" w:hAnsi="宋体" w:cs="宋体"/>
          <w:sz w:val="24"/>
          <w:highlight w:val="none"/>
        </w:rPr>
      </w:pPr>
      <w:r>
        <w:rPr>
          <w:rFonts w:hint="eastAsia" w:ascii="宋体" w:hAnsi="宋体" w:cs="宋体"/>
          <w:sz w:val="24"/>
          <w:highlight w:val="none"/>
        </w:rPr>
        <w:t>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285779F3">
      <w:pPr>
        <w:spacing w:before="120" w:line="360" w:lineRule="auto"/>
        <w:rPr>
          <w:rFonts w:hint="eastAsia" w:ascii="宋体" w:hAnsi="宋体" w:cs="宋体"/>
          <w:sz w:val="24"/>
          <w:highlight w:val="none"/>
        </w:rPr>
      </w:pPr>
      <w:r>
        <w:rPr>
          <w:rFonts w:hint="eastAsia" w:ascii="宋体" w:hAnsi="宋体" w:cs="宋体"/>
          <w:sz w:val="24"/>
          <w:highlight w:val="none"/>
        </w:rPr>
        <w:t>4.2 每件包装箱内应附一份详细装箱单和质量合格证。</w:t>
      </w:r>
    </w:p>
    <w:p w14:paraId="3EEE2569">
      <w:pPr>
        <w:spacing w:before="120" w:line="360" w:lineRule="auto"/>
        <w:rPr>
          <w:rFonts w:hint="eastAsia" w:ascii="宋体" w:hAnsi="宋体" w:cs="宋体"/>
          <w:sz w:val="24"/>
          <w:highlight w:val="none"/>
        </w:rPr>
      </w:pPr>
      <w:bookmarkStart w:id="862" w:name="_Toc413930821"/>
      <w:bookmarkStart w:id="863" w:name="_Toc310195736"/>
      <w:bookmarkStart w:id="864" w:name="_Toc487900353"/>
      <w:bookmarkStart w:id="865" w:name="_Toc329875486"/>
      <w:bookmarkStart w:id="866" w:name="_Toc310521912"/>
      <w:r>
        <w:rPr>
          <w:rFonts w:hint="eastAsia" w:ascii="宋体" w:hAnsi="宋体" w:cs="宋体"/>
          <w:sz w:val="24"/>
          <w:highlight w:val="none"/>
        </w:rPr>
        <w:t>5. 装运标志</w:t>
      </w:r>
      <w:bookmarkEnd w:id="862"/>
      <w:bookmarkEnd w:id="863"/>
      <w:bookmarkEnd w:id="864"/>
      <w:bookmarkEnd w:id="865"/>
      <w:bookmarkEnd w:id="866"/>
    </w:p>
    <w:p w14:paraId="511E0795">
      <w:pPr>
        <w:spacing w:before="120" w:line="360" w:lineRule="auto"/>
        <w:rPr>
          <w:rFonts w:hint="eastAsia" w:ascii="宋体" w:hAnsi="宋体" w:cs="宋体"/>
          <w:sz w:val="24"/>
          <w:highlight w:val="none"/>
        </w:rPr>
      </w:pPr>
      <w:r>
        <w:rPr>
          <w:rFonts w:hint="eastAsia" w:ascii="宋体" w:hAnsi="宋体" w:cs="宋体"/>
          <w:sz w:val="24"/>
          <w:highlight w:val="none"/>
        </w:rPr>
        <w:t>5.1 卖方应在每一包装箱的四侧用不褪色的油漆以醒目的中文字样做出下列标记：</w:t>
      </w:r>
    </w:p>
    <w:p w14:paraId="0815C230">
      <w:pPr>
        <w:spacing w:line="360" w:lineRule="auto"/>
        <w:ind w:left="1276"/>
        <w:rPr>
          <w:rFonts w:hint="eastAsia" w:ascii="宋体" w:hAnsi="宋体" w:cs="宋体"/>
          <w:sz w:val="24"/>
          <w:highlight w:val="none"/>
        </w:rPr>
      </w:pPr>
      <w:r>
        <w:rPr>
          <w:rFonts w:hint="eastAsia" w:ascii="宋体" w:hAnsi="宋体" w:cs="宋体"/>
          <w:sz w:val="24"/>
          <w:highlight w:val="none"/>
        </w:rPr>
        <w:t>收货人：</w:t>
      </w:r>
    </w:p>
    <w:p w14:paraId="45C763DC">
      <w:pPr>
        <w:spacing w:line="360" w:lineRule="auto"/>
        <w:ind w:left="1276"/>
        <w:rPr>
          <w:rFonts w:hint="eastAsia" w:ascii="宋体" w:hAnsi="宋体" w:cs="宋体"/>
          <w:sz w:val="24"/>
          <w:highlight w:val="none"/>
        </w:rPr>
      </w:pPr>
      <w:r>
        <w:rPr>
          <w:rFonts w:hint="eastAsia" w:ascii="宋体" w:hAnsi="宋体" w:cs="宋体"/>
          <w:sz w:val="24"/>
          <w:highlight w:val="none"/>
        </w:rPr>
        <w:t>合同号：</w:t>
      </w:r>
    </w:p>
    <w:p w14:paraId="0D4EC026">
      <w:pPr>
        <w:spacing w:line="360" w:lineRule="auto"/>
        <w:ind w:left="1276"/>
        <w:rPr>
          <w:rFonts w:hint="eastAsia" w:ascii="宋体" w:hAnsi="宋体" w:cs="宋体"/>
          <w:sz w:val="24"/>
          <w:highlight w:val="none"/>
        </w:rPr>
      </w:pPr>
      <w:r>
        <w:rPr>
          <w:rFonts w:hint="eastAsia" w:ascii="宋体" w:hAnsi="宋体" w:cs="宋体"/>
          <w:sz w:val="24"/>
          <w:highlight w:val="none"/>
        </w:rPr>
        <w:t>装运标志：</w:t>
      </w:r>
    </w:p>
    <w:p w14:paraId="212E2163">
      <w:pPr>
        <w:spacing w:line="360" w:lineRule="auto"/>
        <w:ind w:left="1276"/>
        <w:rPr>
          <w:rFonts w:hint="eastAsia" w:ascii="宋体" w:hAnsi="宋体" w:cs="宋体"/>
          <w:sz w:val="24"/>
          <w:highlight w:val="none"/>
        </w:rPr>
      </w:pPr>
      <w:r>
        <w:rPr>
          <w:rFonts w:hint="eastAsia" w:ascii="宋体" w:hAnsi="宋体" w:cs="宋体"/>
          <w:sz w:val="24"/>
          <w:highlight w:val="none"/>
        </w:rPr>
        <w:t>收货人代号：</w:t>
      </w:r>
    </w:p>
    <w:p w14:paraId="01C3938F">
      <w:pPr>
        <w:spacing w:line="360" w:lineRule="auto"/>
        <w:ind w:left="1276"/>
        <w:rPr>
          <w:rFonts w:hint="eastAsia" w:ascii="宋体" w:hAnsi="宋体" w:cs="宋体"/>
          <w:sz w:val="24"/>
          <w:highlight w:val="none"/>
        </w:rPr>
      </w:pPr>
      <w:r>
        <w:rPr>
          <w:rFonts w:hint="eastAsia" w:ascii="宋体" w:hAnsi="宋体" w:cs="宋体"/>
          <w:sz w:val="24"/>
          <w:highlight w:val="none"/>
        </w:rPr>
        <w:t>目的地：</w:t>
      </w:r>
    </w:p>
    <w:p w14:paraId="47007817">
      <w:pPr>
        <w:spacing w:line="360" w:lineRule="auto"/>
        <w:ind w:left="1276"/>
        <w:rPr>
          <w:rFonts w:hint="eastAsia" w:ascii="宋体" w:hAnsi="宋体" w:cs="宋体"/>
          <w:sz w:val="24"/>
          <w:highlight w:val="none"/>
        </w:rPr>
      </w:pPr>
      <w:r>
        <w:rPr>
          <w:rFonts w:hint="eastAsia" w:ascii="宋体" w:hAnsi="宋体" w:cs="宋体"/>
          <w:sz w:val="24"/>
          <w:highlight w:val="none"/>
        </w:rPr>
        <w:t>货物名称、品目号和箱号：</w:t>
      </w:r>
    </w:p>
    <w:p w14:paraId="780BEB76">
      <w:pPr>
        <w:spacing w:line="360" w:lineRule="auto"/>
        <w:ind w:left="1276"/>
        <w:rPr>
          <w:rFonts w:hint="eastAsia" w:ascii="宋体" w:hAnsi="宋体" w:cs="宋体"/>
          <w:sz w:val="24"/>
          <w:highlight w:val="none"/>
        </w:rPr>
      </w:pPr>
      <w:r>
        <w:rPr>
          <w:rFonts w:hint="eastAsia" w:ascii="宋体" w:hAnsi="宋体" w:cs="宋体"/>
          <w:sz w:val="24"/>
          <w:highlight w:val="none"/>
        </w:rPr>
        <w:t>毛重／净重：</w:t>
      </w:r>
    </w:p>
    <w:p w14:paraId="7C550E4A">
      <w:pPr>
        <w:spacing w:line="360" w:lineRule="auto"/>
        <w:ind w:left="1276"/>
        <w:rPr>
          <w:rFonts w:hint="eastAsia" w:ascii="宋体" w:hAnsi="宋体" w:cs="宋体"/>
          <w:sz w:val="24"/>
          <w:highlight w:val="none"/>
        </w:rPr>
      </w:pPr>
      <w:r>
        <w:rPr>
          <w:rFonts w:hint="eastAsia" w:ascii="宋体" w:hAnsi="宋体" w:cs="宋体"/>
          <w:sz w:val="24"/>
          <w:highlight w:val="none"/>
        </w:rPr>
        <w:t>尺寸(长×宽×高以厘米计)：</w:t>
      </w:r>
    </w:p>
    <w:p w14:paraId="661239F9">
      <w:pPr>
        <w:spacing w:before="120" w:line="360" w:lineRule="auto"/>
        <w:rPr>
          <w:rFonts w:hint="eastAsia" w:ascii="宋体" w:hAnsi="宋体" w:cs="宋体"/>
          <w:sz w:val="24"/>
          <w:highlight w:val="none"/>
        </w:rPr>
      </w:pPr>
      <w:r>
        <w:rPr>
          <w:rFonts w:hint="eastAsia" w:ascii="宋体" w:hAnsi="宋体" w:cs="宋体"/>
          <w:sz w:val="24"/>
          <w:highlight w:val="none"/>
        </w:rPr>
        <w:t>5.2 如果货物单件重量在2吨或2吨以上，卖方应在每件包装箱的两侧用中文和适当的运输标记，标明“重心”和“吊装点”，以便装卸和搬运。根据货物的特点和运输的不同要求， 卖方应在包装箱上清楚地标有“小心轻放”、“防潮”、 “勿倒置”等字样和其他适当的标志。</w:t>
      </w:r>
    </w:p>
    <w:p w14:paraId="6446E07E">
      <w:pPr>
        <w:spacing w:before="120" w:line="360" w:lineRule="auto"/>
        <w:rPr>
          <w:rFonts w:hint="eastAsia" w:ascii="宋体" w:hAnsi="宋体" w:cs="宋体"/>
          <w:sz w:val="24"/>
          <w:highlight w:val="none"/>
        </w:rPr>
      </w:pPr>
      <w:bookmarkStart w:id="867" w:name="_Toc329875487"/>
      <w:bookmarkStart w:id="868" w:name="_Ref467378541"/>
      <w:bookmarkStart w:id="869" w:name="_Ref467379542"/>
      <w:bookmarkStart w:id="870" w:name="_Toc487900354"/>
      <w:bookmarkStart w:id="871" w:name="_Ref467379536"/>
      <w:bookmarkStart w:id="872" w:name="_Ref467378591"/>
      <w:bookmarkStart w:id="873" w:name="_Ref467379527"/>
      <w:bookmarkStart w:id="874" w:name="_Toc310521913"/>
      <w:bookmarkStart w:id="875" w:name="_Toc310195737"/>
      <w:bookmarkStart w:id="876" w:name="_Toc413930822"/>
      <w:r>
        <w:rPr>
          <w:rFonts w:hint="eastAsia" w:ascii="宋体" w:hAnsi="宋体" w:cs="宋体"/>
          <w:sz w:val="24"/>
          <w:highlight w:val="none"/>
        </w:rPr>
        <w:t>6. 交货方式</w:t>
      </w:r>
      <w:bookmarkEnd w:id="867"/>
      <w:bookmarkEnd w:id="868"/>
      <w:bookmarkEnd w:id="869"/>
      <w:bookmarkEnd w:id="870"/>
      <w:bookmarkEnd w:id="871"/>
      <w:bookmarkEnd w:id="872"/>
      <w:bookmarkEnd w:id="873"/>
      <w:bookmarkEnd w:id="874"/>
      <w:bookmarkEnd w:id="875"/>
      <w:bookmarkEnd w:id="876"/>
    </w:p>
    <w:p w14:paraId="0E1F3637">
      <w:pPr>
        <w:spacing w:before="120" w:line="360" w:lineRule="auto"/>
        <w:rPr>
          <w:rFonts w:hint="eastAsia" w:ascii="宋体" w:hAnsi="宋体" w:cs="宋体"/>
          <w:sz w:val="24"/>
          <w:highlight w:val="none"/>
        </w:rPr>
      </w:pPr>
      <w:bookmarkStart w:id="877" w:name="_Ref467379657"/>
      <w:r>
        <w:rPr>
          <w:rFonts w:hint="eastAsia" w:ascii="宋体" w:hAnsi="宋体" w:cs="宋体"/>
          <w:sz w:val="24"/>
          <w:highlight w:val="none"/>
        </w:rPr>
        <w:t>6.1 交货方式一般为下列其中一种，具体在合同特殊条款中规定。</w:t>
      </w:r>
      <w:bookmarkEnd w:id="877"/>
    </w:p>
    <w:p w14:paraId="5E6F99CB">
      <w:pPr>
        <w:spacing w:before="120" w:line="360" w:lineRule="auto"/>
        <w:rPr>
          <w:rFonts w:hint="eastAsia" w:ascii="宋体" w:hAnsi="宋体" w:cs="宋体"/>
          <w:sz w:val="24"/>
          <w:highlight w:val="none"/>
        </w:rPr>
      </w:pPr>
      <w:r>
        <w:rPr>
          <w:rFonts w:hint="eastAsia" w:ascii="宋体" w:hAnsi="宋体" w:cs="宋体"/>
          <w:sz w:val="24"/>
          <w:highlight w:val="none"/>
        </w:rPr>
        <w:t>6.1.1 现场交货：卖方负责办理运输和保险，将货物运抵现场。有关运输和保险的一切费用由卖方承担。所有货物运抵现场的日期为交货日期。</w:t>
      </w:r>
    </w:p>
    <w:p w14:paraId="7A6BFB53">
      <w:pPr>
        <w:spacing w:before="120" w:line="360" w:lineRule="auto"/>
        <w:rPr>
          <w:rFonts w:hint="eastAsia" w:ascii="宋体" w:hAnsi="宋体" w:cs="宋体"/>
          <w:sz w:val="24"/>
          <w:highlight w:val="none"/>
        </w:rPr>
      </w:pPr>
      <w:r>
        <w:rPr>
          <w:rFonts w:hint="eastAsia" w:ascii="宋体" w:hAnsi="宋体" w:cs="宋体"/>
          <w:sz w:val="24"/>
          <w:highlight w:val="none"/>
        </w:rPr>
        <w:t>6.1.2 工厂交货：由卖方负责代办运输和保险事宜。运输费和保险费由买方承担。运输部门出具收据的日期为交货日期。</w:t>
      </w:r>
    </w:p>
    <w:p w14:paraId="1B95A5A7">
      <w:pPr>
        <w:spacing w:before="120" w:line="360" w:lineRule="auto"/>
        <w:rPr>
          <w:rFonts w:hint="eastAsia" w:ascii="宋体" w:hAnsi="宋体" w:cs="宋体"/>
          <w:sz w:val="24"/>
          <w:highlight w:val="none"/>
        </w:rPr>
      </w:pPr>
      <w:r>
        <w:rPr>
          <w:rFonts w:hint="eastAsia" w:ascii="宋体" w:hAnsi="宋体" w:cs="宋体"/>
          <w:sz w:val="24"/>
          <w:highlight w:val="none"/>
        </w:rPr>
        <w:t>6.1.3 买方自提货物：由买方在合同规定地点自行办理提货。提单日期为交货日期。</w:t>
      </w:r>
    </w:p>
    <w:p w14:paraId="5700ACF1">
      <w:pPr>
        <w:spacing w:before="120" w:line="360" w:lineRule="auto"/>
        <w:ind w:left="2"/>
        <w:rPr>
          <w:rFonts w:hint="eastAsia" w:ascii="宋体" w:hAnsi="宋体" w:cs="宋体"/>
          <w:sz w:val="24"/>
          <w:highlight w:val="none"/>
        </w:rPr>
      </w:pPr>
      <w:r>
        <w:rPr>
          <w:rFonts w:hint="eastAsia" w:ascii="宋体" w:hAnsi="宋体" w:cs="宋体"/>
          <w:sz w:val="24"/>
          <w:highlight w:val="none"/>
        </w:rPr>
        <w:t>6.2 卖方应在合同规定的交货期10天以前以邮件或传真形式将合同号、货物名称、数量、包装箱件数、总毛重、总体积(立方米)和备妥交货日期通知买方。同时卖方应用EMS等快递方式将详细交货清单一式6份包括合同号、货物名称、规格、数量、总毛重、总体积(立方米)、包装箱件数和每个包装箱的尺寸(长×宽×高)、货物总价和备妥待交日期以及对货物在运输和仓储的特殊要求和注意事项通知买方。</w:t>
      </w:r>
    </w:p>
    <w:p w14:paraId="4FF77902">
      <w:pPr>
        <w:tabs>
          <w:tab w:val="left" w:pos="0"/>
        </w:tabs>
        <w:spacing w:before="120" w:line="360" w:lineRule="auto"/>
        <w:rPr>
          <w:rFonts w:hint="eastAsia" w:ascii="宋体" w:hAnsi="宋体" w:cs="宋体"/>
          <w:sz w:val="24"/>
          <w:highlight w:val="none"/>
        </w:rPr>
      </w:pPr>
      <w:r>
        <w:rPr>
          <w:rFonts w:hint="eastAsia" w:ascii="宋体" w:hAnsi="宋体" w:cs="宋体"/>
          <w:sz w:val="24"/>
          <w:highlight w:val="none"/>
        </w:rPr>
        <w:t>6.3 在现场交货和工厂交货条件下，卖方装运的货物不应超过合同规定的数量或重量。否则，卖方应对超运部分引起的一切后果负责。</w:t>
      </w:r>
    </w:p>
    <w:p w14:paraId="63EA2B4C">
      <w:pPr>
        <w:tabs>
          <w:tab w:val="left" w:pos="900"/>
        </w:tabs>
        <w:spacing w:line="360" w:lineRule="auto"/>
        <w:rPr>
          <w:rFonts w:hint="eastAsia" w:ascii="宋体" w:hAnsi="宋体" w:cs="宋体"/>
          <w:sz w:val="24"/>
          <w:highlight w:val="none"/>
        </w:rPr>
      </w:pPr>
      <w:bookmarkStart w:id="878" w:name="_Toc310195738"/>
      <w:bookmarkStart w:id="879" w:name="_Toc487900355"/>
      <w:bookmarkStart w:id="880" w:name="_Toc413930823"/>
      <w:bookmarkStart w:id="881" w:name="_Toc329875488"/>
      <w:bookmarkStart w:id="882" w:name="_Toc310521914"/>
      <w:r>
        <w:rPr>
          <w:rFonts w:hint="eastAsia" w:ascii="宋体" w:hAnsi="宋体" w:cs="宋体"/>
          <w:sz w:val="24"/>
          <w:highlight w:val="none"/>
        </w:rPr>
        <w:t>7. 装运通知</w:t>
      </w:r>
      <w:bookmarkEnd w:id="878"/>
      <w:bookmarkEnd w:id="879"/>
      <w:bookmarkEnd w:id="880"/>
      <w:bookmarkEnd w:id="881"/>
      <w:bookmarkEnd w:id="882"/>
    </w:p>
    <w:p w14:paraId="298C0031">
      <w:pPr>
        <w:spacing w:before="120" w:line="360" w:lineRule="auto"/>
        <w:rPr>
          <w:rFonts w:hint="eastAsia" w:ascii="宋体" w:hAnsi="宋体" w:cs="宋体"/>
          <w:sz w:val="24"/>
          <w:highlight w:val="none"/>
        </w:rPr>
      </w:pPr>
      <w:r>
        <w:rPr>
          <w:rFonts w:hint="eastAsia" w:ascii="宋体" w:hAnsi="宋体" w:cs="宋体"/>
          <w:sz w:val="24"/>
          <w:highlight w:val="none"/>
        </w:rPr>
        <w:t>7.1 在现场交货和工厂交货条件下的货物，在卖方已通知买方货物已备妥待运输后24小时之内，卖方应将合同号、货名、数量、毛重、总体积(立方米)、发票金额、运输工具名称及装运日期，以电报或传真通知买方。</w:t>
      </w:r>
    </w:p>
    <w:p w14:paraId="7AF01BC2">
      <w:pPr>
        <w:pStyle w:val="257"/>
        <w:spacing w:line="360" w:lineRule="auto"/>
        <w:ind w:left="0" w:firstLine="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7.2 如因卖方延误将上述内容用电报或传真通知买方，由此引起的一切后果损失应由卖方负责。</w:t>
      </w:r>
    </w:p>
    <w:p w14:paraId="6865D803">
      <w:pPr>
        <w:tabs>
          <w:tab w:val="left" w:pos="900"/>
        </w:tabs>
        <w:spacing w:line="360" w:lineRule="auto"/>
        <w:rPr>
          <w:rFonts w:hint="eastAsia" w:ascii="宋体" w:hAnsi="宋体" w:cs="宋体"/>
          <w:sz w:val="24"/>
          <w:highlight w:val="none"/>
        </w:rPr>
      </w:pPr>
      <w:bookmarkStart w:id="883" w:name="_Toc310521915"/>
      <w:bookmarkStart w:id="884" w:name="_Toc310195739"/>
      <w:bookmarkStart w:id="885" w:name="_Toc413930824"/>
      <w:bookmarkStart w:id="886" w:name="_Toc329875489"/>
      <w:bookmarkStart w:id="887" w:name="_Toc487900356"/>
      <w:r>
        <w:rPr>
          <w:rFonts w:hint="eastAsia" w:ascii="宋体" w:hAnsi="宋体" w:cs="宋体"/>
          <w:sz w:val="24"/>
          <w:highlight w:val="none"/>
        </w:rPr>
        <w:t>8. 保险</w:t>
      </w:r>
      <w:bookmarkEnd w:id="883"/>
      <w:bookmarkEnd w:id="884"/>
      <w:bookmarkEnd w:id="885"/>
      <w:bookmarkEnd w:id="886"/>
      <w:bookmarkEnd w:id="887"/>
    </w:p>
    <w:p w14:paraId="261CD2B8">
      <w:pPr>
        <w:spacing w:before="120" w:line="360" w:lineRule="auto"/>
        <w:rPr>
          <w:rFonts w:hint="eastAsia" w:ascii="宋体" w:hAnsi="宋体" w:cs="宋体"/>
          <w:sz w:val="24"/>
          <w:highlight w:val="none"/>
        </w:rPr>
      </w:pPr>
      <w:r>
        <w:rPr>
          <w:rFonts w:hint="eastAsia" w:ascii="宋体" w:hAnsi="宋体" w:cs="宋体"/>
          <w:sz w:val="24"/>
          <w:highlight w:val="none"/>
        </w:rPr>
        <w:t>8.1 如果货物是按现场交货方式或工厂交货方式报价的，由卖方办理保险，按照发票金额的100％办理“一切险”，保险范围包括卖方承诺装运的货物；如果货物是按买方自提货物方式报价的，其保险由买方办理。</w:t>
      </w:r>
    </w:p>
    <w:p w14:paraId="3ACC9856">
      <w:pPr>
        <w:tabs>
          <w:tab w:val="left" w:pos="900"/>
        </w:tabs>
        <w:spacing w:line="360" w:lineRule="auto"/>
        <w:rPr>
          <w:rFonts w:hint="eastAsia" w:ascii="宋体" w:hAnsi="宋体" w:cs="宋体"/>
          <w:sz w:val="24"/>
          <w:highlight w:val="none"/>
        </w:rPr>
      </w:pPr>
      <w:bookmarkStart w:id="888" w:name="_Toc413930825"/>
      <w:bookmarkStart w:id="889" w:name="_Toc487900357"/>
      <w:bookmarkStart w:id="890" w:name="_Toc310521916"/>
      <w:bookmarkStart w:id="891" w:name="_Ref467379793"/>
      <w:bookmarkStart w:id="892" w:name="_Toc329875490"/>
      <w:bookmarkStart w:id="893" w:name="_Ref467379807"/>
      <w:bookmarkStart w:id="894" w:name="_Toc310195740"/>
      <w:r>
        <w:rPr>
          <w:rFonts w:hint="eastAsia" w:ascii="宋体" w:hAnsi="宋体" w:cs="宋体"/>
          <w:sz w:val="24"/>
          <w:highlight w:val="none"/>
        </w:rPr>
        <w:t>9. 付款条件</w:t>
      </w:r>
      <w:bookmarkEnd w:id="888"/>
      <w:bookmarkEnd w:id="889"/>
      <w:bookmarkEnd w:id="890"/>
      <w:bookmarkEnd w:id="891"/>
      <w:bookmarkEnd w:id="892"/>
      <w:bookmarkEnd w:id="893"/>
      <w:bookmarkEnd w:id="894"/>
    </w:p>
    <w:p w14:paraId="55FCFD9F">
      <w:pPr>
        <w:spacing w:before="120" w:line="360" w:lineRule="auto"/>
        <w:rPr>
          <w:rFonts w:hint="eastAsia" w:ascii="宋体" w:hAnsi="宋体" w:cs="宋体"/>
          <w:sz w:val="24"/>
          <w:highlight w:val="none"/>
        </w:rPr>
      </w:pPr>
      <w:r>
        <w:rPr>
          <w:rFonts w:hint="eastAsia" w:ascii="宋体" w:hAnsi="宋体" w:cs="宋体"/>
          <w:sz w:val="24"/>
          <w:highlight w:val="none"/>
        </w:rPr>
        <w:t>9.1 付款条件见“合同专用条款”。</w:t>
      </w:r>
    </w:p>
    <w:p w14:paraId="659AA98E">
      <w:pPr>
        <w:tabs>
          <w:tab w:val="left" w:pos="900"/>
        </w:tabs>
        <w:spacing w:line="360" w:lineRule="auto"/>
        <w:rPr>
          <w:rFonts w:hint="eastAsia" w:ascii="宋体" w:hAnsi="宋体" w:cs="宋体"/>
          <w:sz w:val="24"/>
          <w:highlight w:val="none"/>
        </w:rPr>
      </w:pPr>
      <w:bookmarkStart w:id="895" w:name="_Toc310521917"/>
      <w:bookmarkStart w:id="896" w:name="_Ref467379852"/>
      <w:bookmarkStart w:id="897" w:name="_Toc413930826"/>
      <w:bookmarkStart w:id="898" w:name="_Toc487900358"/>
      <w:bookmarkStart w:id="899" w:name="_Ref467379863"/>
      <w:bookmarkStart w:id="900" w:name="_Ref467379923"/>
      <w:bookmarkStart w:id="901" w:name="_Toc329875491"/>
      <w:bookmarkStart w:id="902" w:name="_Toc310195741"/>
      <w:r>
        <w:rPr>
          <w:rFonts w:hint="eastAsia" w:ascii="宋体" w:hAnsi="宋体" w:cs="宋体"/>
          <w:sz w:val="24"/>
          <w:highlight w:val="none"/>
        </w:rPr>
        <w:t>10. 技术资料</w:t>
      </w:r>
      <w:bookmarkEnd w:id="895"/>
      <w:bookmarkEnd w:id="896"/>
      <w:bookmarkEnd w:id="897"/>
      <w:bookmarkEnd w:id="898"/>
      <w:bookmarkEnd w:id="899"/>
      <w:bookmarkEnd w:id="900"/>
      <w:bookmarkEnd w:id="901"/>
      <w:bookmarkEnd w:id="902"/>
    </w:p>
    <w:p w14:paraId="7967A2E5">
      <w:pPr>
        <w:spacing w:before="120" w:line="360" w:lineRule="auto"/>
        <w:rPr>
          <w:rFonts w:hint="eastAsia" w:ascii="宋体" w:hAnsi="宋体" w:cs="宋体"/>
          <w:sz w:val="24"/>
          <w:highlight w:val="none"/>
        </w:rPr>
      </w:pPr>
      <w:r>
        <w:rPr>
          <w:rFonts w:hint="eastAsia" w:ascii="宋体" w:hAnsi="宋体" w:cs="宋体"/>
          <w:sz w:val="24"/>
          <w:highlight w:val="none"/>
        </w:rPr>
        <w:t>10.1 合同项下技术资料(除合同特殊条款规定外)将以下列方式交付：</w:t>
      </w:r>
    </w:p>
    <w:p w14:paraId="17E12421">
      <w:pPr>
        <w:spacing w:before="120" w:line="360" w:lineRule="auto"/>
        <w:rPr>
          <w:rFonts w:hint="eastAsia" w:ascii="宋体" w:hAnsi="宋体" w:cs="宋体"/>
          <w:sz w:val="24"/>
          <w:highlight w:val="none"/>
        </w:rPr>
      </w:pPr>
      <w:r>
        <w:rPr>
          <w:rFonts w:hint="eastAsia" w:ascii="宋体" w:hAnsi="宋体" w:cs="宋体"/>
          <w:sz w:val="24"/>
          <w:highlight w:val="none"/>
        </w:rPr>
        <w:t>合同生效后</w:t>
      </w:r>
      <w:r>
        <w:rPr>
          <w:rFonts w:hint="eastAsia" w:ascii="宋体" w:hAnsi="宋体" w:cs="宋体"/>
          <w:sz w:val="24"/>
          <w:highlight w:val="none"/>
          <w:u w:val="single"/>
        </w:rPr>
        <w:t xml:space="preserve"> 70 </w:t>
      </w:r>
      <w:r>
        <w:rPr>
          <w:rFonts w:hint="eastAsia" w:ascii="宋体" w:hAnsi="宋体" w:cs="宋体"/>
          <w:sz w:val="24"/>
          <w:highlight w:val="none"/>
        </w:rPr>
        <w:t>天之内，卖方应将货物的中文技术资料一套，如目录索引、图纸、操作手册、使用指南、维修指南和／或服务手册和示意图寄给买方。</w:t>
      </w:r>
    </w:p>
    <w:p w14:paraId="3333C00F">
      <w:pPr>
        <w:spacing w:before="120" w:line="360" w:lineRule="auto"/>
        <w:rPr>
          <w:rFonts w:hint="eastAsia" w:ascii="宋体" w:hAnsi="宋体" w:cs="宋体"/>
          <w:sz w:val="24"/>
          <w:highlight w:val="none"/>
        </w:rPr>
      </w:pPr>
      <w:r>
        <w:rPr>
          <w:rFonts w:hint="eastAsia" w:ascii="宋体" w:hAnsi="宋体" w:cs="宋体"/>
          <w:sz w:val="24"/>
          <w:highlight w:val="none"/>
        </w:rPr>
        <w:t>10.2 另外一套完整的上述资料应包装好随同每批货物一起发运。</w:t>
      </w:r>
    </w:p>
    <w:p w14:paraId="635BD085">
      <w:pPr>
        <w:spacing w:before="120" w:line="360" w:lineRule="auto"/>
        <w:rPr>
          <w:rFonts w:hint="eastAsia" w:ascii="宋体" w:hAnsi="宋体" w:cs="宋体"/>
          <w:sz w:val="24"/>
          <w:highlight w:val="none"/>
        </w:rPr>
      </w:pPr>
      <w:r>
        <w:rPr>
          <w:rFonts w:hint="eastAsia" w:ascii="宋体" w:hAnsi="宋体" w:cs="宋体"/>
          <w:sz w:val="24"/>
          <w:highlight w:val="none"/>
        </w:rPr>
        <w:t>10.3 如果买方确认卖方提供的技术资料不完整或在运输过程中丢失，卖方将在收到买方通知后</w:t>
      </w:r>
      <w:r>
        <w:rPr>
          <w:rFonts w:hint="eastAsia" w:ascii="宋体" w:hAnsi="宋体" w:cs="宋体"/>
          <w:sz w:val="24"/>
          <w:highlight w:val="none"/>
          <w:u w:val="single"/>
        </w:rPr>
        <w:t xml:space="preserve"> 3 </w:t>
      </w:r>
      <w:r>
        <w:rPr>
          <w:rFonts w:hint="eastAsia" w:ascii="宋体" w:hAnsi="宋体" w:cs="宋体"/>
          <w:sz w:val="24"/>
          <w:highlight w:val="none"/>
        </w:rPr>
        <w:t>天内将这些资料免费寄给买方。</w:t>
      </w:r>
    </w:p>
    <w:p w14:paraId="545B6CAF">
      <w:pPr>
        <w:tabs>
          <w:tab w:val="left" w:pos="900"/>
        </w:tabs>
        <w:spacing w:line="360" w:lineRule="auto"/>
        <w:rPr>
          <w:rFonts w:hint="eastAsia" w:ascii="宋体" w:hAnsi="宋体" w:cs="宋体"/>
          <w:sz w:val="24"/>
          <w:highlight w:val="none"/>
        </w:rPr>
      </w:pPr>
      <w:bookmarkStart w:id="903" w:name="_Ref467377798"/>
      <w:bookmarkStart w:id="904" w:name="_Toc310521918"/>
      <w:bookmarkStart w:id="905" w:name="_Toc310195742"/>
      <w:bookmarkStart w:id="906" w:name="_Ref467377962"/>
      <w:bookmarkStart w:id="907" w:name="_Ref467379937"/>
      <w:bookmarkStart w:id="908" w:name="_Toc413930827"/>
      <w:bookmarkStart w:id="909" w:name="_Toc329875492"/>
      <w:bookmarkStart w:id="910" w:name="_Ref467379946"/>
      <w:bookmarkStart w:id="911" w:name="_Toc487900359"/>
      <w:r>
        <w:rPr>
          <w:rFonts w:hint="eastAsia" w:ascii="宋体" w:hAnsi="宋体" w:cs="宋体"/>
          <w:sz w:val="24"/>
          <w:highlight w:val="none"/>
        </w:rPr>
        <w:t>11. 质量保证</w:t>
      </w:r>
      <w:bookmarkEnd w:id="903"/>
      <w:bookmarkEnd w:id="904"/>
      <w:bookmarkEnd w:id="905"/>
      <w:bookmarkEnd w:id="906"/>
      <w:bookmarkEnd w:id="907"/>
      <w:bookmarkEnd w:id="908"/>
      <w:bookmarkEnd w:id="909"/>
      <w:bookmarkEnd w:id="910"/>
      <w:bookmarkEnd w:id="911"/>
    </w:p>
    <w:p w14:paraId="526564C4">
      <w:pPr>
        <w:spacing w:line="360" w:lineRule="auto"/>
        <w:rPr>
          <w:rFonts w:hint="eastAsia" w:ascii="宋体" w:hAnsi="宋体" w:cs="宋体"/>
          <w:sz w:val="24"/>
          <w:highlight w:val="none"/>
        </w:rPr>
      </w:pPr>
      <w:r>
        <w:rPr>
          <w:rFonts w:hint="eastAsia" w:ascii="宋体" w:hAnsi="宋体" w:cs="宋体"/>
          <w:sz w:val="24"/>
          <w:highlight w:val="none"/>
        </w:rPr>
        <w:t>11.1 卖方应保证货物是全新、未使用过的，并完全符合强制性的国家技术质量规范和合同规定的质量、规格、性能和技术规范等的要求。</w:t>
      </w:r>
    </w:p>
    <w:p w14:paraId="16D7A253">
      <w:pPr>
        <w:spacing w:line="360" w:lineRule="auto"/>
        <w:rPr>
          <w:rFonts w:hint="eastAsia" w:ascii="宋体" w:hAnsi="宋体" w:cs="宋体"/>
          <w:sz w:val="24"/>
          <w:highlight w:val="none"/>
        </w:rPr>
      </w:pPr>
      <w:r>
        <w:rPr>
          <w:rFonts w:hint="eastAsia" w:ascii="宋体" w:hAnsi="宋体" w:cs="宋体"/>
          <w:sz w:val="24"/>
          <w:highlight w:val="none"/>
        </w:rPr>
        <w:t>11.2 卖方应保证所提供的货物经正确安装、正常运转和保养，在其使用寿命期内应具有符合质量要求和产品说明书的性能。在货物质量保证期之内，卖方应对由于设计、工艺或材料的缺陷而发生的任何不足或故障负责。</w:t>
      </w:r>
    </w:p>
    <w:p w14:paraId="697B0BF0">
      <w:pPr>
        <w:spacing w:before="120" w:line="360" w:lineRule="auto"/>
        <w:rPr>
          <w:rFonts w:hint="eastAsia" w:ascii="宋体" w:hAnsi="宋体" w:cs="宋体"/>
          <w:sz w:val="24"/>
          <w:highlight w:val="none"/>
        </w:rPr>
      </w:pPr>
      <w:r>
        <w:rPr>
          <w:rFonts w:hint="eastAsia" w:ascii="宋体" w:hAnsi="宋体" w:cs="宋体"/>
          <w:sz w:val="24"/>
          <w:highlight w:val="none"/>
        </w:rPr>
        <w:t xml:space="preserve">11.3 根据买方按检验标准自己检验结果或委托有资质的相关质检机构的检验结果，或者在质量保证期内，如果货物的数量、质量或规格与合同不符，或证实货物是有缺陷的，包括潜在的缺陷或使用不符合要求的材料等，买方应尽快以书面形式通知卖方。卖方在收到通知后最迟 </w:t>
      </w:r>
      <w:r>
        <w:rPr>
          <w:rFonts w:hint="eastAsia" w:ascii="宋体" w:hAnsi="宋体" w:cs="宋体"/>
          <w:sz w:val="24"/>
          <w:highlight w:val="none"/>
          <w:u w:val="single"/>
        </w:rPr>
        <w:t>7</w:t>
      </w:r>
      <w:r>
        <w:rPr>
          <w:rFonts w:hint="eastAsia" w:ascii="宋体" w:hAnsi="宋体" w:cs="宋体"/>
          <w:sz w:val="24"/>
          <w:highlight w:val="none"/>
        </w:rPr>
        <w:t>天内应免费维修或更换有缺陷的货物或部件。</w:t>
      </w:r>
    </w:p>
    <w:p w14:paraId="3085E276">
      <w:pPr>
        <w:spacing w:before="120" w:line="360" w:lineRule="auto"/>
        <w:rPr>
          <w:rFonts w:hint="eastAsia" w:ascii="宋体" w:hAnsi="宋体" w:cs="宋体"/>
          <w:sz w:val="24"/>
          <w:highlight w:val="none"/>
        </w:rPr>
      </w:pPr>
      <w:r>
        <w:rPr>
          <w:rFonts w:hint="eastAsia" w:ascii="宋体" w:hAnsi="宋体" w:cs="宋体"/>
          <w:sz w:val="24"/>
          <w:highlight w:val="none"/>
        </w:rPr>
        <w:t>11.4 如果卖方在收到通知后</w:t>
      </w:r>
      <w:r>
        <w:rPr>
          <w:rFonts w:hint="eastAsia" w:ascii="宋体" w:hAnsi="宋体" w:cs="宋体"/>
          <w:sz w:val="24"/>
          <w:highlight w:val="none"/>
          <w:u w:val="single"/>
        </w:rPr>
        <w:t xml:space="preserve">  7 </w:t>
      </w:r>
      <w:r>
        <w:rPr>
          <w:rFonts w:hint="eastAsia" w:ascii="宋体" w:hAnsi="宋体" w:cs="宋体"/>
          <w:sz w:val="24"/>
          <w:highlight w:val="none"/>
        </w:rPr>
        <w:t>天内没有弥补缺陷，买方可采取必要的补救措施，但由此引发的风险和费用将由卖方承担。</w:t>
      </w:r>
    </w:p>
    <w:p w14:paraId="1B4D8E67">
      <w:pPr>
        <w:spacing w:before="120" w:line="360" w:lineRule="auto"/>
        <w:rPr>
          <w:rFonts w:hint="eastAsia" w:ascii="宋体" w:hAnsi="宋体" w:cs="宋体"/>
          <w:b/>
          <w:sz w:val="24"/>
          <w:highlight w:val="none"/>
        </w:rPr>
      </w:pPr>
      <w:r>
        <w:rPr>
          <w:rFonts w:hint="eastAsia" w:ascii="宋体" w:hAnsi="宋体" w:cs="宋体"/>
          <w:sz w:val="24"/>
          <w:highlight w:val="none"/>
        </w:rPr>
        <w:t>11.5 合同项下货物的质量保证期为自货物通过最终验收起</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36</w:t>
      </w:r>
      <w:r>
        <w:rPr>
          <w:rFonts w:hint="eastAsia" w:ascii="宋体" w:hAnsi="宋体" w:cs="宋体"/>
          <w:sz w:val="24"/>
          <w:highlight w:val="none"/>
          <w:u w:val="single"/>
        </w:rPr>
        <w:t xml:space="preserve"> </w:t>
      </w:r>
      <w:r>
        <w:rPr>
          <w:rFonts w:hint="eastAsia" w:ascii="宋体" w:hAnsi="宋体" w:cs="宋体"/>
          <w:sz w:val="24"/>
          <w:highlight w:val="none"/>
        </w:rPr>
        <w:t>个月。</w:t>
      </w:r>
      <w:r>
        <w:rPr>
          <w:rFonts w:hint="eastAsia" w:ascii="宋体" w:hAnsi="宋体" w:cs="宋体"/>
          <w:b/>
          <w:sz w:val="24"/>
          <w:highlight w:val="none"/>
        </w:rPr>
        <w:t>详见合同专用条款.</w:t>
      </w:r>
    </w:p>
    <w:p w14:paraId="095CCE7A">
      <w:pPr>
        <w:tabs>
          <w:tab w:val="left" w:pos="900"/>
        </w:tabs>
        <w:spacing w:line="360" w:lineRule="auto"/>
        <w:rPr>
          <w:rFonts w:hint="eastAsia" w:ascii="宋体" w:hAnsi="宋体" w:cs="宋体"/>
          <w:sz w:val="24"/>
          <w:highlight w:val="none"/>
        </w:rPr>
      </w:pPr>
      <w:bookmarkStart w:id="912" w:name="_Ref467378018"/>
      <w:bookmarkStart w:id="913" w:name="_Toc487900360"/>
      <w:bookmarkStart w:id="914" w:name="_Toc329875493"/>
      <w:bookmarkStart w:id="915" w:name="_Toc310521919"/>
      <w:bookmarkStart w:id="916" w:name="_Toc413930828"/>
      <w:bookmarkStart w:id="917" w:name="_Toc310195743"/>
      <w:r>
        <w:rPr>
          <w:rFonts w:hint="eastAsia" w:ascii="宋体" w:hAnsi="宋体" w:cs="宋体"/>
          <w:sz w:val="24"/>
          <w:highlight w:val="none"/>
        </w:rPr>
        <w:t>12. 检验</w:t>
      </w:r>
      <w:bookmarkEnd w:id="912"/>
      <w:bookmarkEnd w:id="913"/>
      <w:r>
        <w:rPr>
          <w:rFonts w:hint="eastAsia" w:ascii="宋体" w:hAnsi="宋体" w:cs="宋体"/>
          <w:sz w:val="24"/>
          <w:highlight w:val="none"/>
        </w:rPr>
        <w:t>和验收</w:t>
      </w:r>
      <w:bookmarkEnd w:id="914"/>
      <w:bookmarkEnd w:id="915"/>
      <w:bookmarkEnd w:id="916"/>
      <w:bookmarkEnd w:id="917"/>
    </w:p>
    <w:p w14:paraId="4869D59E">
      <w:pPr>
        <w:spacing w:before="120" w:line="360" w:lineRule="auto"/>
        <w:rPr>
          <w:rFonts w:hint="eastAsia" w:ascii="宋体" w:hAnsi="宋体" w:cs="宋体"/>
          <w:sz w:val="24"/>
          <w:highlight w:val="none"/>
        </w:rPr>
      </w:pPr>
      <w:r>
        <w:rPr>
          <w:rFonts w:hint="eastAsia" w:ascii="宋体" w:hAnsi="宋体" w:cs="宋体"/>
          <w:sz w:val="24"/>
          <w:highlight w:val="none"/>
        </w:rPr>
        <w:t>12.1 在交货前，制造商应对货物的质量、规格、性能、数量和重量等进行详细而全面的检验，并出具证明货物符合合同规定的文件。制造商检验的结果和细节应在文件中加以说明。该文件将作为申请付款单据的一部分，但有关质量、规格、性能、数量或重量的检验不应视为最终检验。</w:t>
      </w:r>
    </w:p>
    <w:p w14:paraId="1F34EA30">
      <w:pPr>
        <w:spacing w:before="120" w:line="360" w:lineRule="auto"/>
        <w:rPr>
          <w:rFonts w:hint="eastAsia" w:ascii="宋体" w:hAnsi="宋体" w:cs="宋体"/>
          <w:sz w:val="24"/>
          <w:highlight w:val="none"/>
        </w:rPr>
      </w:pPr>
      <w:r>
        <w:rPr>
          <w:rFonts w:hint="eastAsia" w:ascii="宋体" w:hAnsi="宋体" w:cs="宋体"/>
          <w:sz w:val="24"/>
          <w:highlight w:val="none"/>
        </w:rPr>
        <w:t>12.2 货物运抵现场后，买方应在</w:t>
      </w:r>
      <w:r>
        <w:rPr>
          <w:rFonts w:hint="eastAsia" w:ascii="宋体" w:hAnsi="宋体" w:cs="宋体"/>
          <w:sz w:val="24"/>
          <w:highlight w:val="none"/>
          <w:u w:val="single"/>
        </w:rPr>
        <w:t xml:space="preserve">      </w:t>
      </w:r>
      <w:r>
        <w:rPr>
          <w:rFonts w:hint="eastAsia" w:ascii="宋体" w:hAnsi="宋体" w:cs="宋体"/>
          <w:sz w:val="24"/>
          <w:highlight w:val="none"/>
        </w:rPr>
        <w:t>日内组织验收，并制作验收备忘录，签署验收意见并报政府采购监督管理部门备案。</w:t>
      </w:r>
    </w:p>
    <w:p w14:paraId="4C08FA78">
      <w:pPr>
        <w:spacing w:before="120" w:line="360" w:lineRule="auto"/>
        <w:rPr>
          <w:rFonts w:hint="eastAsia" w:ascii="宋体" w:hAnsi="宋体" w:cs="宋体"/>
          <w:sz w:val="24"/>
          <w:highlight w:val="none"/>
        </w:rPr>
      </w:pPr>
      <w:r>
        <w:rPr>
          <w:rFonts w:hint="eastAsia" w:ascii="宋体" w:hAnsi="宋体" w:cs="宋体"/>
          <w:sz w:val="24"/>
          <w:highlight w:val="none"/>
        </w:rPr>
        <w:t>12.3 如果任何被检验或测试的货物不能满足规格的要求，买方可以拒绝接受该货物，卖方应更换被拒绝的货物，或者免费进行必要的修改以满足规格的要求。</w:t>
      </w:r>
    </w:p>
    <w:p w14:paraId="0F7DAEEE">
      <w:pPr>
        <w:spacing w:before="120" w:line="360" w:lineRule="auto"/>
        <w:rPr>
          <w:rFonts w:hint="eastAsia" w:ascii="宋体" w:hAnsi="宋体" w:cs="宋体"/>
          <w:sz w:val="24"/>
          <w:highlight w:val="none"/>
        </w:rPr>
      </w:pPr>
      <w:r>
        <w:rPr>
          <w:rFonts w:hint="eastAsia" w:ascii="宋体" w:hAnsi="宋体" w:cs="宋体"/>
          <w:sz w:val="24"/>
          <w:highlight w:val="none"/>
        </w:rPr>
        <w:t>12.4 买方有在货物制造过程中派人员监造的权利, 卖方有义务为买方监造人员行使该权利提供方便。</w:t>
      </w:r>
    </w:p>
    <w:p w14:paraId="63AC9210">
      <w:pPr>
        <w:spacing w:before="120" w:line="360" w:lineRule="auto"/>
        <w:rPr>
          <w:rFonts w:hint="eastAsia" w:ascii="宋体" w:hAnsi="宋体" w:cs="宋体"/>
          <w:sz w:val="24"/>
          <w:highlight w:val="none"/>
        </w:rPr>
      </w:pPr>
      <w:r>
        <w:rPr>
          <w:rFonts w:hint="eastAsia" w:ascii="宋体" w:hAnsi="宋体" w:cs="宋体"/>
          <w:sz w:val="24"/>
          <w:highlight w:val="none"/>
        </w:rPr>
        <w:t>12.5 制造厂对所供货物进行机械运转试验和性能试验时，必须提前通知买方。</w:t>
      </w:r>
    </w:p>
    <w:p w14:paraId="6E6C5317">
      <w:pPr>
        <w:spacing w:before="120" w:line="360" w:lineRule="auto"/>
        <w:rPr>
          <w:rFonts w:hint="eastAsia" w:ascii="宋体" w:hAnsi="宋体" w:cs="宋体"/>
          <w:sz w:val="24"/>
          <w:highlight w:val="none"/>
        </w:rPr>
      </w:pPr>
      <w:bookmarkStart w:id="918" w:name="_Toc310195744"/>
      <w:bookmarkStart w:id="919" w:name="_Toc329875494"/>
      <w:bookmarkStart w:id="920" w:name="_Toc487900361"/>
      <w:bookmarkStart w:id="921" w:name="_Toc413930829"/>
      <w:bookmarkStart w:id="922" w:name="_Toc310521920"/>
      <w:r>
        <w:rPr>
          <w:rFonts w:hint="eastAsia" w:ascii="宋体" w:hAnsi="宋体" w:cs="宋体"/>
          <w:sz w:val="24"/>
          <w:highlight w:val="none"/>
        </w:rPr>
        <w:t>13. 索赔</w:t>
      </w:r>
      <w:bookmarkEnd w:id="918"/>
      <w:bookmarkEnd w:id="919"/>
      <w:bookmarkEnd w:id="920"/>
      <w:bookmarkEnd w:id="921"/>
      <w:bookmarkEnd w:id="922"/>
    </w:p>
    <w:p w14:paraId="4CBC8D0B">
      <w:pPr>
        <w:spacing w:before="120" w:line="360" w:lineRule="auto"/>
        <w:rPr>
          <w:rFonts w:hint="eastAsia" w:ascii="宋体" w:hAnsi="宋体" w:cs="宋体"/>
          <w:sz w:val="24"/>
          <w:highlight w:val="none"/>
        </w:rPr>
      </w:pPr>
      <w:r>
        <w:rPr>
          <w:rFonts w:hint="eastAsia" w:ascii="宋体" w:hAnsi="宋体" w:cs="宋体"/>
          <w:sz w:val="24"/>
          <w:highlight w:val="none"/>
        </w:rPr>
        <w:t>13.1 如果货物的质量、规格、数量、重量等与合同不符，或在第11.5规定的质量保证期内证实货物是有缺陷的，包括潜在的缺陷或使用不符合要求的材料，买方有权根据有资质的质检机构的检验结果向卖方提出索赔。但责任应由保险公司或运输部门承担的除外。</w:t>
      </w:r>
    </w:p>
    <w:p w14:paraId="787BCA37">
      <w:pPr>
        <w:spacing w:before="120" w:line="360" w:lineRule="auto"/>
        <w:rPr>
          <w:rFonts w:hint="eastAsia" w:ascii="宋体" w:hAnsi="宋体" w:cs="宋体"/>
          <w:sz w:val="24"/>
          <w:highlight w:val="none"/>
        </w:rPr>
      </w:pPr>
      <w:bookmarkStart w:id="923" w:name="_Ref467378076"/>
      <w:r>
        <w:rPr>
          <w:rFonts w:hint="eastAsia" w:ascii="宋体" w:hAnsi="宋体" w:cs="宋体"/>
          <w:sz w:val="24"/>
          <w:highlight w:val="none"/>
        </w:rPr>
        <w:t>13.2 在根据合同第11条和第12条规定的检验期和质量保证期内，如果卖方对买方提出的索赔负有责任，卖方应按照买方同意的下列一种或多种方式解决索赔事宜：</w:t>
      </w:r>
      <w:bookmarkEnd w:id="923"/>
    </w:p>
    <w:p w14:paraId="40099D69">
      <w:pPr>
        <w:spacing w:before="120" w:line="360" w:lineRule="auto"/>
        <w:rPr>
          <w:rFonts w:hint="eastAsia" w:ascii="宋体" w:hAnsi="宋体" w:cs="宋体"/>
          <w:sz w:val="24"/>
          <w:highlight w:val="none"/>
        </w:rPr>
      </w:pPr>
      <w:r>
        <w:rPr>
          <w:rFonts w:hint="eastAsia" w:ascii="宋体" w:hAnsi="宋体" w:cs="宋体"/>
          <w:sz w:val="24"/>
          <w:highlight w:val="none"/>
        </w:rPr>
        <w:t>13.2.1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4BE8A1AE">
      <w:pPr>
        <w:spacing w:before="120" w:line="360" w:lineRule="auto"/>
        <w:rPr>
          <w:rFonts w:hint="eastAsia" w:ascii="宋体" w:hAnsi="宋体" w:cs="宋体"/>
          <w:sz w:val="24"/>
          <w:highlight w:val="none"/>
        </w:rPr>
      </w:pPr>
      <w:r>
        <w:rPr>
          <w:rFonts w:hint="eastAsia" w:ascii="宋体" w:hAnsi="宋体" w:cs="宋体"/>
          <w:sz w:val="24"/>
          <w:highlight w:val="none"/>
        </w:rPr>
        <w:t>13.2.2 根据货物低劣程度、损坏程度以及买方所遭受损失的数额，经买卖双方商定降低货物的价格，或由有权的部门评估，以降低后的价格或评估价格为准。</w:t>
      </w:r>
    </w:p>
    <w:p w14:paraId="368F7690">
      <w:pPr>
        <w:spacing w:before="120" w:line="360" w:lineRule="auto"/>
        <w:rPr>
          <w:rFonts w:hint="eastAsia" w:ascii="宋体" w:hAnsi="宋体" w:cs="宋体"/>
          <w:sz w:val="24"/>
          <w:highlight w:val="none"/>
        </w:rPr>
      </w:pPr>
      <w:r>
        <w:rPr>
          <w:rFonts w:hint="eastAsia" w:ascii="宋体" w:hAnsi="宋体" w:cs="宋体"/>
          <w:sz w:val="24"/>
          <w:highlight w:val="none"/>
        </w:rPr>
        <w:t>13.2.3 用符合规格、质量和性能要求的新零件、部件或货物来更换有缺陷的部分或／和修补缺陷部分，卖方应承担一切费用和风险并负担买方所发生的一切直接费用。同时，卖方应按合同第11条规定，相应延长修补或更换件的质量保证期。</w:t>
      </w:r>
    </w:p>
    <w:p w14:paraId="38C450CC">
      <w:pPr>
        <w:spacing w:before="120" w:line="360" w:lineRule="auto"/>
        <w:rPr>
          <w:rFonts w:hint="eastAsia" w:ascii="宋体" w:hAnsi="宋体" w:cs="宋体"/>
          <w:sz w:val="24"/>
          <w:highlight w:val="none"/>
        </w:rPr>
      </w:pPr>
      <w:r>
        <w:rPr>
          <w:rFonts w:hint="eastAsia" w:ascii="宋体" w:hAnsi="宋体" w:cs="宋体"/>
          <w:sz w:val="24"/>
          <w:highlight w:val="none"/>
        </w:rPr>
        <w:t>13.3 如果在买方发出索赔通知后 7 天内，卖方未作答复，上述索赔应视为已被卖方接受。如卖方未能在买方提出索赔通知后 7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14:paraId="5E5C7DD2">
      <w:pPr>
        <w:tabs>
          <w:tab w:val="left" w:pos="900"/>
        </w:tabs>
        <w:spacing w:line="360" w:lineRule="auto"/>
        <w:rPr>
          <w:rFonts w:hint="eastAsia" w:ascii="宋体" w:hAnsi="宋体" w:cs="宋体"/>
          <w:sz w:val="24"/>
          <w:highlight w:val="none"/>
        </w:rPr>
      </w:pPr>
      <w:bookmarkStart w:id="924" w:name="_Toc310195745"/>
      <w:bookmarkStart w:id="925" w:name="_Toc329875495"/>
      <w:bookmarkStart w:id="926" w:name="_Toc310521921"/>
      <w:bookmarkStart w:id="927" w:name="_Toc487900362"/>
      <w:bookmarkStart w:id="928" w:name="_Toc413930830"/>
      <w:r>
        <w:rPr>
          <w:rFonts w:hint="eastAsia" w:ascii="宋体" w:hAnsi="宋体" w:cs="宋体"/>
          <w:sz w:val="24"/>
          <w:highlight w:val="none"/>
        </w:rPr>
        <w:t>14. 迟延交货</w:t>
      </w:r>
      <w:bookmarkEnd w:id="924"/>
      <w:bookmarkEnd w:id="925"/>
      <w:bookmarkEnd w:id="926"/>
      <w:bookmarkEnd w:id="927"/>
      <w:bookmarkEnd w:id="928"/>
    </w:p>
    <w:p w14:paraId="1D53C7B8">
      <w:pPr>
        <w:spacing w:before="120" w:line="360" w:lineRule="auto"/>
        <w:rPr>
          <w:rFonts w:hint="eastAsia" w:ascii="宋体" w:hAnsi="宋体" w:cs="宋体"/>
          <w:sz w:val="24"/>
          <w:highlight w:val="none"/>
        </w:rPr>
      </w:pPr>
      <w:r>
        <w:rPr>
          <w:rFonts w:hint="eastAsia" w:ascii="宋体" w:hAnsi="宋体" w:cs="宋体"/>
          <w:sz w:val="24"/>
          <w:highlight w:val="none"/>
        </w:rPr>
        <w:t>14.1 卖方应按照“货物需求一览表及技术规格”中买方规定的时间表交货和提供服务。</w:t>
      </w:r>
    </w:p>
    <w:p w14:paraId="32219CEF">
      <w:pPr>
        <w:spacing w:before="120" w:line="360" w:lineRule="auto"/>
        <w:rPr>
          <w:rFonts w:hint="eastAsia" w:ascii="宋体" w:hAnsi="宋体" w:cs="宋体"/>
          <w:sz w:val="24"/>
          <w:highlight w:val="none"/>
        </w:rPr>
      </w:pPr>
      <w:r>
        <w:rPr>
          <w:rFonts w:hint="eastAsia" w:ascii="宋体" w:hAnsi="宋体" w:cs="宋体"/>
          <w:sz w:val="24"/>
          <w:highlight w:val="none"/>
        </w:rPr>
        <w:t>14.2 如果卖方无正当理由迟延交货，买方有权提出违约损失赔偿或解除合同。</w:t>
      </w:r>
    </w:p>
    <w:p w14:paraId="4E8E546A">
      <w:pPr>
        <w:spacing w:before="120" w:line="360" w:lineRule="auto"/>
        <w:rPr>
          <w:rFonts w:hint="eastAsia" w:ascii="宋体" w:hAnsi="宋体" w:cs="宋体"/>
          <w:sz w:val="24"/>
          <w:highlight w:val="none"/>
        </w:rPr>
      </w:pPr>
      <w:r>
        <w:rPr>
          <w:rFonts w:hint="eastAsia" w:ascii="宋体" w:hAnsi="宋体" w:cs="宋体"/>
          <w:sz w:val="24"/>
          <w:highlight w:val="none"/>
        </w:rPr>
        <w:t>14.3 在履行合同过程中，如果卖方遇到不能按时交货和提供服务的情况，应及时以书面形式将不能按时交货的理由、预期延误时间通知买方。买方收到卖方通知后，认为其理由正当的，可酌情延长交货时间。</w:t>
      </w:r>
    </w:p>
    <w:p w14:paraId="45494D4F">
      <w:pPr>
        <w:spacing w:before="120" w:line="360" w:lineRule="auto"/>
        <w:rPr>
          <w:rFonts w:hint="eastAsia" w:ascii="宋体" w:hAnsi="宋体" w:cs="宋体"/>
          <w:sz w:val="24"/>
          <w:highlight w:val="none"/>
        </w:rPr>
      </w:pPr>
      <w:bookmarkStart w:id="929" w:name="_Toc310195746"/>
      <w:bookmarkStart w:id="930" w:name="_Toc310521922"/>
      <w:bookmarkStart w:id="931" w:name="_Toc329875496"/>
      <w:bookmarkStart w:id="932" w:name="_Toc413930831"/>
      <w:bookmarkStart w:id="933" w:name="_Toc487900363"/>
      <w:r>
        <w:rPr>
          <w:rFonts w:hint="eastAsia" w:ascii="宋体" w:hAnsi="宋体" w:cs="宋体"/>
          <w:sz w:val="24"/>
          <w:highlight w:val="none"/>
        </w:rPr>
        <w:t>15. 违约赔偿</w:t>
      </w:r>
      <w:bookmarkEnd w:id="929"/>
      <w:bookmarkEnd w:id="930"/>
      <w:bookmarkEnd w:id="931"/>
      <w:bookmarkEnd w:id="932"/>
      <w:bookmarkEnd w:id="933"/>
    </w:p>
    <w:p w14:paraId="2827B1A2">
      <w:pPr>
        <w:spacing w:before="120" w:line="360" w:lineRule="auto"/>
        <w:rPr>
          <w:rFonts w:hint="eastAsia" w:ascii="宋体" w:hAnsi="宋体" w:cs="宋体"/>
          <w:sz w:val="24"/>
          <w:highlight w:val="none"/>
        </w:rPr>
      </w:pPr>
      <w:r>
        <w:rPr>
          <w:rFonts w:hint="eastAsia" w:ascii="宋体" w:hAnsi="宋体" w:cs="宋体"/>
          <w:sz w:val="24"/>
          <w:highlight w:val="none"/>
        </w:rPr>
        <w:t>15.1 除合同第16条规定外，如果卖方没有按照合同规定的时间交货和提供服务，买方可要求卖方支付违约金。违约金按每周迟交货物或未提供服务交货价的0.5%计收。但违约金的最高限额为迟交货物或没有提供服务的合同价的10%。一周按7天计算，不足7天按一周计算。如果达到最高限额，买方有权解除合同。</w:t>
      </w:r>
    </w:p>
    <w:p w14:paraId="15D656D7">
      <w:pPr>
        <w:spacing w:before="120" w:line="360" w:lineRule="auto"/>
        <w:rPr>
          <w:rFonts w:hint="eastAsia" w:ascii="宋体" w:hAnsi="宋体" w:cs="宋体"/>
          <w:sz w:val="24"/>
          <w:highlight w:val="none"/>
        </w:rPr>
      </w:pPr>
      <w:bookmarkStart w:id="934" w:name="_Toc329875497"/>
      <w:bookmarkStart w:id="935" w:name="_Toc487900364"/>
      <w:bookmarkStart w:id="936" w:name="_Toc413930832"/>
      <w:bookmarkStart w:id="937" w:name="_Toc310195747"/>
      <w:bookmarkStart w:id="938" w:name="_Toc310521923"/>
      <w:bookmarkStart w:id="939" w:name="_Ref467378121"/>
      <w:r>
        <w:rPr>
          <w:rFonts w:hint="eastAsia" w:ascii="宋体" w:hAnsi="宋体" w:cs="宋体"/>
          <w:sz w:val="24"/>
          <w:highlight w:val="none"/>
        </w:rPr>
        <w:t>16. 不可抗力</w:t>
      </w:r>
      <w:bookmarkEnd w:id="934"/>
      <w:bookmarkEnd w:id="935"/>
      <w:bookmarkEnd w:id="936"/>
      <w:bookmarkEnd w:id="937"/>
      <w:bookmarkEnd w:id="938"/>
      <w:bookmarkEnd w:id="939"/>
    </w:p>
    <w:p w14:paraId="5ACE386A">
      <w:pPr>
        <w:spacing w:before="120" w:line="360" w:lineRule="auto"/>
        <w:rPr>
          <w:rFonts w:hint="eastAsia" w:ascii="宋体" w:hAnsi="宋体" w:cs="宋体"/>
          <w:sz w:val="24"/>
          <w:highlight w:val="none"/>
        </w:rPr>
      </w:pPr>
      <w:r>
        <w:rPr>
          <w:rFonts w:hint="eastAsia" w:ascii="宋体" w:hAnsi="宋体" w:cs="宋体"/>
          <w:sz w:val="24"/>
          <w:highlight w:val="none"/>
        </w:rPr>
        <w:t>16.1 如果双方中任何一方遭遇法律规定的不可抗力，致使合同履行受阻时，履行合同的期限应予延长，延长的期限应相当于不可抗力所影响的时间。</w:t>
      </w:r>
    </w:p>
    <w:p w14:paraId="34573132">
      <w:pPr>
        <w:spacing w:before="120" w:line="360" w:lineRule="auto"/>
        <w:rPr>
          <w:rFonts w:hint="eastAsia" w:ascii="宋体" w:hAnsi="宋体" w:cs="宋体"/>
          <w:sz w:val="24"/>
          <w:highlight w:val="none"/>
        </w:rPr>
      </w:pPr>
      <w:r>
        <w:rPr>
          <w:rFonts w:hint="eastAsia" w:ascii="宋体" w:hAnsi="宋体" w:cs="宋体"/>
          <w:sz w:val="24"/>
          <w:highlight w:val="none"/>
        </w:rPr>
        <w:t>16.2 受事故影响的一方应在不可抗力的事故发生后尽快书面形式通知另一方，并在事故发生后  14  天内，将有关部门出具的证明文件送达另一方。</w:t>
      </w:r>
    </w:p>
    <w:p w14:paraId="10071A37">
      <w:pPr>
        <w:spacing w:before="120" w:line="360" w:lineRule="auto"/>
        <w:rPr>
          <w:rFonts w:hint="eastAsia" w:ascii="宋体" w:hAnsi="宋体" w:cs="宋体"/>
          <w:sz w:val="24"/>
          <w:highlight w:val="none"/>
        </w:rPr>
      </w:pPr>
      <w:r>
        <w:rPr>
          <w:rFonts w:hint="eastAsia" w:ascii="宋体" w:hAnsi="宋体" w:cs="宋体"/>
          <w:sz w:val="24"/>
          <w:highlight w:val="none"/>
        </w:rPr>
        <w:t>16.3不可抗力使合同的某些内容有变更必要的， 双方应通过协商在 28 日内达成进一步履行合同的协议，因不可抗力致使合同不能履行的，合同终止。</w:t>
      </w:r>
    </w:p>
    <w:p w14:paraId="7B857BA8">
      <w:pPr>
        <w:spacing w:before="120" w:line="360" w:lineRule="auto"/>
        <w:rPr>
          <w:rFonts w:hint="eastAsia" w:ascii="宋体" w:hAnsi="宋体" w:cs="宋体"/>
          <w:sz w:val="24"/>
          <w:highlight w:val="none"/>
        </w:rPr>
      </w:pPr>
      <w:bookmarkStart w:id="940" w:name="_Toc413930833"/>
      <w:bookmarkStart w:id="941" w:name="_Toc487900365"/>
      <w:bookmarkStart w:id="942" w:name="_Toc310521924"/>
      <w:bookmarkStart w:id="943" w:name="_Toc310195748"/>
      <w:bookmarkStart w:id="944" w:name="_Toc329875498"/>
      <w:r>
        <w:rPr>
          <w:rFonts w:hint="eastAsia" w:ascii="宋体" w:hAnsi="宋体" w:cs="宋体"/>
          <w:sz w:val="24"/>
          <w:highlight w:val="none"/>
        </w:rPr>
        <w:t>17. 税费</w:t>
      </w:r>
      <w:bookmarkEnd w:id="940"/>
      <w:bookmarkEnd w:id="941"/>
      <w:bookmarkEnd w:id="942"/>
      <w:bookmarkEnd w:id="943"/>
      <w:bookmarkEnd w:id="944"/>
    </w:p>
    <w:p w14:paraId="4AE5C767">
      <w:pPr>
        <w:spacing w:before="120" w:line="360" w:lineRule="auto"/>
        <w:rPr>
          <w:rFonts w:hint="eastAsia" w:ascii="宋体" w:hAnsi="宋体" w:cs="宋体"/>
          <w:sz w:val="24"/>
          <w:highlight w:val="none"/>
        </w:rPr>
      </w:pPr>
      <w:r>
        <w:rPr>
          <w:rFonts w:hint="eastAsia" w:ascii="宋体" w:hAnsi="宋体" w:cs="宋体"/>
          <w:sz w:val="24"/>
          <w:highlight w:val="none"/>
        </w:rPr>
        <w:t>17.1 与本合同有关的一切税费均适用中华人民共和国法律的相关规定。</w:t>
      </w:r>
    </w:p>
    <w:p w14:paraId="6C1F9F7E">
      <w:pPr>
        <w:spacing w:before="120" w:line="360" w:lineRule="auto"/>
        <w:rPr>
          <w:rFonts w:hint="eastAsia" w:ascii="宋体" w:hAnsi="宋体" w:cs="宋体"/>
          <w:sz w:val="24"/>
          <w:highlight w:val="none"/>
        </w:rPr>
      </w:pPr>
      <w:bookmarkStart w:id="945" w:name="_Toc487900367"/>
      <w:bookmarkStart w:id="946" w:name="_Toc310521926"/>
      <w:bookmarkStart w:id="947" w:name="_Toc413930835"/>
      <w:bookmarkStart w:id="948" w:name="_Toc310195750"/>
      <w:bookmarkStart w:id="949" w:name="_Toc329875500"/>
      <w:r>
        <w:rPr>
          <w:rFonts w:hint="eastAsia" w:ascii="宋体" w:hAnsi="宋体" w:cs="宋体"/>
          <w:sz w:val="24"/>
          <w:highlight w:val="none"/>
        </w:rPr>
        <w:t>18. 争议解决</w:t>
      </w:r>
    </w:p>
    <w:p w14:paraId="1436A641">
      <w:pPr>
        <w:spacing w:before="120" w:line="360" w:lineRule="auto"/>
        <w:rPr>
          <w:rFonts w:hint="eastAsia" w:ascii="宋体" w:hAnsi="宋体" w:cs="宋体"/>
          <w:sz w:val="24"/>
          <w:highlight w:val="none"/>
        </w:rPr>
      </w:pPr>
      <w:r>
        <w:rPr>
          <w:rFonts w:hint="eastAsia" w:ascii="宋体" w:hAnsi="宋体" w:cs="宋体"/>
          <w:sz w:val="24"/>
          <w:highlight w:val="none"/>
        </w:rPr>
        <w:t>18.1 买卖双方应通过友好协商，解决在执行本合同中所发生的或与本合同有关的一切争端。如果协商不成的，任何一方均可向北京市通州区人民法院提起诉讼。</w:t>
      </w:r>
    </w:p>
    <w:p w14:paraId="0F94BA4C">
      <w:pPr>
        <w:spacing w:before="120" w:line="360" w:lineRule="auto"/>
        <w:rPr>
          <w:rFonts w:hint="eastAsia" w:ascii="宋体" w:hAnsi="宋体" w:cs="宋体"/>
          <w:sz w:val="24"/>
          <w:highlight w:val="none"/>
        </w:rPr>
      </w:pPr>
      <w:r>
        <w:rPr>
          <w:rFonts w:hint="eastAsia" w:ascii="宋体" w:hAnsi="宋体" w:cs="宋体"/>
          <w:sz w:val="24"/>
          <w:highlight w:val="none"/>
        </w:rPr>
        <w:t>18.2 在诉讼期间，除正在进行诉讼的合同条款外，合同的其它部分应继续执行。</w:t>
      </w:r>
    </w:p>
    <w:p w14:paraId="57BBAF4E">
      <w:pPr>
        <w:spacing w:before="120" w:line="360" w:lineRule="auto"/>
        <w:rPr>
          <w:rFonts w:hint="eastAsia" w:ascii="宋体" w:hAnsi="宋体" w:cs="宋体"/>
          <w:sz w:val="24"/>
          <w:highlight w:val="none"/>
        </w:rPr>
      </w:pPr>
      <w:r>
        <w:rPr>
          <w:rFonts w:hint="eastAsia" w:ascii="宋体" w:hAnsi="宋体" w:cs="宋体"/>
          <w:sz w:val="24"/>
          <w:highlight w:val="none"/>
        </w:rPr>
        <w:t>其他专用条款还包括本招标文件中的项目服务要求及在合同谈判时具体协商的有关内容。</w:t>
      </w:r>
    </w:p>
    <w:p w14:paraId="564117EE">
      <w:pPr>
        <w:spacing w:before="120" w:line="360" w:lineRule="auto"/>
        <w:rPr>
          <w:rFonts w:hint="eastAsia" w:ascii="宋体" w:hAnsi="宋体" w:cs="宋体"/>
          <w:sz w:val="24"/>
          <w:highlight w:val="none"/>
        </w:rPr>
      </w:pPr>
      <w:r>
        <w:rPr>
          <w:rFonts w:hint="eastAsia" w:ascii="宋体" w:hAnsi="宋体" w:cs="宋体"/>
          <w:sz w:val="24"/>
          <w:highlight w:val="none"/>
        </w:rPr>
        <w:t>19. 违约解除合同</w:t>
      </w:r>
      <w:bookmarkEnd w:id="945"/>
      <w:bookmarkEnd w:id="946"/>
      <w:bookmarkEnd w:id="947"/>
      <w:bookmarkEnd w:id="948"/>
      <w:bookmarkEnd w:id="949"/>
    </w:p>
    <w:p w14:paraId="1A3FE213">
      <w:pPr>
        <w:spacing w:before="120" w:line="360" w:lineRule="auto"/>
        <w:rPr>
          <w:rFonts w:hint="eastAsia" w:ascii="宋体" w:hAnsi="宋体" w:cs="宋体"/>
          <w:sz w:val="24"/>
          <w:highlight w:val="none"/>
        </w:rPr>
      </w:pPr>
      <w:bookmarkStart w:id="950" w:name="_Ref467378234"/>
      <w:r>
        <w:rPr>
          <w:rFonts w:hint="eastAsia" w:ascii="宋体" w:hAnsi="宋体" w:cs="宋体"/>
          <w:sz w:val="24"/>
          <w:highlight w:val="none"/>
        </w:rPr>
        <w:t>19.1 在卖方违约的情况下，买方经政府采购监督管理部门同意后，可向卖方发出书面通知，部分或全部终止合同。同时保留向卖方追诉的权利。</w:t>
      </w:r>
      <w:bookmarkEnd w:id="950"/>
    </w:p>
    <w:p w14:paraId="1FD0B9DD">
      <w:pPr>
        <w:spacing w:before="120" w:line="360" w:lineRule="auto"/>
        <w:rPr>
          <w:rFonts w:hint="eastAsia" w:ascii="宋体" w:hAnsi="宋体" w:cs="宋体"/>
          <w:sz w:val="24"/>
          <w:highlight w:val="none"/>
        </w:rPr>
      </w:pPr>
      <w:r>
        <w:rPr>
          <w:rFonts w:hint="eastAsia" w:ascii="宋体" w:hAnsi="宋体" w:cs="宋体"/>
          <w:sz w:val="24"/>
          <w:highlight w:val="none"/>
        </w:rPr>
        <w:t xml:space="preserve">19.1.1 卖方未能在合同规定的限期或买方同意延长的限期内，提供全部或部分货物的； </w:t>
      </w:r>
    </w:p>
    <w:p w14:paraId="2577074A">
      <w:pPr>
        <w:spacing w:before="120" w:line="360" w:lineRule="auto"/>
        <w:rPr>
          <w:rFonts w:hint="eastAsia" w:ascii="宋体" w:hAnsi="宋体" w:cs="宋体"/>
          <w:sz w:val="24"/>
          <w:highlight w:val="none"/>
        </w:rPr>
      </w:pPr>
      <w:r>
        <w:rPr>
          <w:rFonts w:hint="eastAsia" w:ascii="宋体" w:hAnsi="宋体" w:cs="宋体"/>
          <w:sz w:val="24"/>
          <w:highlight w:val="none"/>
        </w:rPr>
        <w:t>19.1.2 卖方未能履行合同规定的其它主要义务的；</w:t>
      </w:r>
    </w:p>
    <w:p w14:paraId="625F579B">
      <w:pPr>
        <w:spacing w:before="120" w:line="360" w:lineRule="auto"/>
        <w:rPr>
          <w:rFonts w:hint="eastAsia" w:ascii="宋体" w:hAnsi="宋体" w:cs="宋体"/>
          <w:sz w:val="24"/>
          <w:highlight w:val="none"/>
        </w:rPr>
      </w:pPr>
      <w:r>
        <w:rPr>
          <w:rFonts w:hint="eastAsia" w:ascii="宋体" w:hAnsi="宋体" w:cs="宋体"/>
          <w:sz w:val="24"/>
          <w:highlight w:val="none"/>
        </w:rPr>
        <w:t>19.1.3 买方认为卖方在本合同履行过程中有腐败和欺诈行为的。</w:t>
      </w:r>
    </w:p>
    <w:p w14:paraId="7EB0B836">
      <w:pPr>
        <w:spacing w:before="120" w:line="360" w:lineRule="auto"/>
        <w:rPr>
          <w:rFonts w:hint="eastAsia" w:ascii="宋体" w:hAnsi="宋体" w:cs="宋体"/>
          <w:sz w:val="24"/>
          <w:highlight w:val="none"/>
        </w:rPr>
      </w:pPr>
      <w:r>
        <w:rPr>
          <w:rFonts w:hint="eastAsia" w:ascii="宋体" w:hAnsi="宋体" w:cs="宋体"/>
          <w:sz w:val="24"/>
          <w:highlight w:val="none"/>
        </w:rPr>
        <w:t>19.1.3.1“腐败行为”和“欺诈行为”定义如下:</w:t>
      </w:r>
    </w:p>
    <w:p w14:paraId="5C97E6D4">
      <w:pPr>
        <w:spacing w:before="120" w:line="360" w:lineRule="auto"/>
        <w:rPr>
          <w:rFonts w:hint="eastAsia" w:ascii="宋体" w:hAnsi="宋体" w:cs="宋体"/>
          <w:sz w:val="24"/>
          <w:highlight w:val="none"/>
        </w:rPr>
      </w:pPr>
      <w:r>
        <w:rPr>
          <w:rFonts w:hint="eastAsia" w:ascii="宋体" w:hAnsi="宋体" w:cs="宋体"/>
          <w:sz w:val="24"/>
          <w:highlight w:val="none"/>
        </w:rPr>
        <w:t>19.1.3.1.1“腐败行为”是指提供/给予/接受或索取任何有价值的东西来影响买方在合同签定、履行过程中的行为。</w:t>
      </w:r>
    </w:p>
    <w:p w14:paraId="4A7F2C8E">
      <w:pPr>
        <w:spacing w:before="120" w:line="360" w:lineRule="auto"/>
        <w:rPr>
          <w:rFonts w:hint="eastAsia" w:ascii="宋体" w:hAnsi="宋体" w:cs="宋体"/>
          <w:sz w:val="24"/>
          <w:highlight w:val="none"/>
        </w:rPr>
      </w:pPr>
      <w:r>
        <w:rPr>
          <w:rFonts w:hint="eastAsia" w:ascii="宋体" w:hAnsi="宋体" w:cs="宋体"/>
          <w:sz w:val="24"/>
          <w:highlight w:val="none"/>
        </w:rPr>
        <w:t>19.1.3.1.2“欺诈行为”是指为了影响合同签定、履行过程中，以谎报事实的方法，损害买方的利益的行为。</w:t>
      </w:r>
    </w:p>
    <w:p w14:paraId="0BDD1FC0">
      <w:pPr>
        <w:spacing w:before="120" w:line="360" w:lineRule="auto"/>
        <w:rPr>
          <w:rFonts w:hint="eastAsia" w:ascii="宋体" w:hAnsi="宋体" w:cs="宋体"/>
          <w:sz w:val="24"/>
          <w:highlight w:val="none"/>
        </w:rPr>
      </w:pPr>
      <w:r>
        <w:rPr>
          <w:rFonts w:hint="eastAsia" w:ascii="宋体" w:hAnsi="宋体" w:cs="宋体"/>
          <w:sz w:val="24"/>
          <w:highlight w:val="none"/>
        </w:rPr>
        <w:t>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14:paraId="3D17CC43">
      <w:pPr>
        <w:spacing w:before="120" w:line="360" w:lineRule="auto"/>
        <w:rPr>
          <w:rFonts w:hint="eastAsia" w:ascii="宋体" w:hAnsi="宋体" w:cs="宋体"/>
          <w:sz w:val="24"/>
          <w:highlight w:val="none"/>
        </w:rPr>
      </w:pPr>
      <w:bookmarkStart w:id="951" w:name="_Toc487900368"/>
      <w:bookmarkStart w:id="952" w:name="_Toc310521927"/>
      <w:bookmarkStart w:id="953" w:name="_Toc413930836"/>
      <w:bookmarkStart w:id="954" w:name="_Toc329875501"/>
      <w:bookmarkStart w:id="955" w:name="_Toc310195751"/>
      <w:r>
        <w:rPr>
          <w:rFonts w:hint="eastAsia" w:ascii="宋体" w:hAnsi="宋体" w:cs="宋体"/>
          <w:sz w:val="24"/>
          <w:highlight w:val="none"/>
        </w:rPr>
        <w:t>20. 破产终止合同</w:t>
      </w:r>
      <w:bookmarkEnd w:id="951"/>
      <w:bookmarkEnd w:id="952"/>
      <w:bookmarkEnd w:id="953"/>
      <w:bookmarkEnd w:id="954"/>
      <w:bookmarkEnd w:id="955"/>
    </w:p>
    <w:p w14:paraId="5503F311">
      <w:pPr>
        <w:spacing w:before="120" w:line="360" w:lineRule="auto"/>
        <w:rPr>
          <w:rFonts w:hint="eastAsia" w:ascii="宋体" w:hAnsi="宋体" w:cs="宋体"/>
          <w:sz w:val="24"/>
          <w:highlight w:val="none"/>
        </w:rPr>
      </w:pPr>
      <w:r>
        <w:rPr>
          <w:rFonts w:hint="eastAsia" w:ascii="宋体" w:hAnsi="宋体" w:cs="宋体"/>
          <w:sz w:val="24"/>
          <w:highlight w:val="none"/>
        </w:rPr>
        <w:t>20.1 如果卖方破产或无清偿能力时，买方经报政府采购监督管理部门同意后，可在任何时候以书面通知卖方，提出终止合同而不给卖方补偿。该合同的终止将不损害或影响买方已经采取或将要采取的任何行动或补救措施的权利。</w:t>
      </w:r>
    </w:p>
    <w:p w14:paraId="1390AD05">
      <w:pPr>
        <w:spacing w:before="120" w:line="360" w:lineRule="auto"/>
        <w:rPr>
          <w:rFonts w:hint="eastAsia" w:ascii="宋体" w:hAnsi="宋体" w:cs="宋体"/>
          <w:sz w:val="24"/>
          <w:highlight w:val="none"/>
        </w:rPr>
      </w:pPr>
      <w:bookmarkStart w:id="956" w:name="_Toc413930837"/>
      <w:bookmarkStart w:id="957" w:name="_Toc329875502"/>
      <w:bookmarkStart w:id="958" w:name="_Toc487900369"/>
      <w:bookmarkStart w:id="959" w:name="_Toc310195752"/>
      <w:bookmarkStart w:id="960" w:name="_Toc310521928"/>
      <w:r>
        <w:rPr>
          <w:rFonts w:hint="eastAsia" w:ascii="宋体" w:hAnsi="宋体" w:cs="宋体"/>
          <w:sz w:val="24"/>
          <w:highlight w:val="none"/>
        </w:rPr>
        <w:t>21. 转让和分包</w:t>
      </w:r>
      <w:bookmarkEnd w:id="956"/>
      <w:bookmarkEnd w:id="957"/>
      <w:bookmarkEnd w:id="958"/>
      <w:bookmarkEnd w:id="959"/>
      <w:bookmarkEnd w:id="960"/>
    </w:p>
    <w:p w14:paraId="304A4420">
      <w:pPr>
        <w:spacing w:before="120" w:line="360" w:lineRule="auto"/>
        <w:rPr>
          <w:rFonts w:hint="eastAsia" w:ascii="宋体" w:hAnsi="宋体" w:cs="宋体"/>
          <w:sz w:val="24"/>
          <w:highlight w:val="none"/>
        </w:rPr>
      </w:pPr>
      <w:r>
        <w:rPr>
          <w:rFonts w:hint="eastAsia" w:ascii="宋体" w:hAnsi="宋体" w:cs="宋体"/>
          <w:sz w:val="24"/>
          <w:highlight w:val="none"/>
        </w:rPr>
        <w:t xml:space="preserve">21.1 </w:t>
      </w:r>
      <w:r>
        <w:rPr>
          <w:rFonts w:hint="eastAsia" w:ascii="宋体" w:hAnsi="宋体" w:cs="宋体"/>
          <w:b/>
          <w:sz w:val="24"/>
          <w:highlight w:val="none"/>
        </w:rPr>
        <w:t>政府采购合同不能转让。</w:t>
      </w:r>
    </w:p>
    <w:p w14:paraId="2C245904">
      <w:pPr>
        <w:spacing w:before="120" w:line="360" w:lineRule="auto"/>
        <w:rPr>
          <w:rFonts w:hint="eastAsia" w:ascii="宋体" w:hAnsi="宋体" w:cs="宋体"/>
          <w:sz w:val="24"/>
          <w:highlight w:val="none"/>
        </w:rPr>
      </w:pPr>
      <w:r>
        <w:rPr>
          <w:rFonts w:hint="eastAsia" w:ascii="宋体" w:hAnsi="宋体" w:cs="宋体"/>
          <w:sz w:val="24"/>
          <w:highlight w:val="none"/>
        </w:rPr>
        <w:t xml:space="preserve">21.2 </w:t>
      </w:r>
      <w:bookmarkStart w:id="961" w:name="OLE_LINK6"/>
      <w:r>
        <w:rPr>
          <w:rFonts w:hint="eastAsia" w:ascii="宋体" w:hAnsi="宋体" w:cs="宋体"/>
          <w:sz w:val="24"/>
          <w:highlight w:val="none"/>
        </w:rPr>
        <w:t>经买方和政府采购监督管理部门事先书面同意 卖方可以将合同项下非主体、非关键性工作分包给他人完成。</w:t>
      </w:r>
      <w:bookmarkEnd w:id="961"/>
      <w:r>
        <w:rPr>
          <w:rFonts w:hint="eastAsia" w:ascii="宋体" w:hAnsi="宋体" w:cs="宋体"/>
          <w:sz w:val="24"/>
          <w:highlight w:val="none"/>
        </w:rPr>
        <w:t>接受分包的人应当具备相应的资格条件，并不得再次分包。分包不能解除卖方履行本合同的责任和义务。</w:t>
      </w:r>
    </w:p>
    <w:p w14:paraId="0977BCAF">
      <w:pPr>
        <w:spacing w:before="120" w:line="360" w:lineRule="auto"/>
        <w:rPr>
          <w:rFonts w:hint="eastAsia" w:ascii="宋体" w:hAnsi="宋体" w:cs="宋体"/>
          <w:sz w:val="24"/>
          <w:highlight w:val="none"/>
        </w:rPr>
      </w:pPr>
      <w:bookmarkStart w:id="962" w:name="_Toc310521929"/>
      <w:bookmarkStart w:id="963" w:name="_Toc310195753"/>
      <w:bookmarkStart w:id="964" w:name="_Toc329875503"/>
      <w:bookmarkStart w:id="965" w:name="_Toc413930838"/>
      <w:bookmarkStart w:id="966" w:name="_Toc487900370"/>
      <w:r>
        <w:rPr>
          <w:rFonts w:hint="eastAsia" w:ascii="宋体" w:hAnsi="宋体" w:cs="宋体"/>
          <w:sz w:val="24"/>
          <w:highlight w:val="none"/>
        </w:rPr>
        <w:t>22. 合同修改</w:t>
      </w:r>
      <w:bookmarkEnd w:id="962"/>
      <w:bookmarkEnd w:id="963"/>
      <w:bookmarkEnd w:id="964"/>
      <w:bookmarkEnd w:id="965"/>
      <w:bookmarkEnd w:id="966"/>
    </w:p>
    <w:p w14:paraId="518E2AF6">
      <w:pPr>
        <w:spacing w:before="120" w:line="360" w:lineRule="auto"/>
        <w:rPr>
          <w:rFonts w:hint="eastAsia" w:ascii="宋体" w:hAnsi="宋体" w:cs="宋体"/>
          <w:sz w:val="24"/>
          <w:highlight w:val="none"/>
        </w:rPr>
      </w:pPr>
      <w:r>
        <w:rPr>
          <w:rFonts w:hint="eastAsia" w:ascii="宋体" w:hAnsi="宋体" w:cs="宋体"/>
          <w:sz w:val="24"/>
          <w:highlight w:val="none"/>
        </w:rPr>
        <w:t>22.1 买方和卖方都不得擅自变更本合同，但合同继续履行将损害国家和社会公共利益的除外。如必须对合同条款进行改动时，由双方当事人提出书面的合同修改意见，并经政府采购监督管理部门同意后签署。</w:t>
      </w:r>
    </w:p>
    <w:p w14:paraId="561311B5">
      <w:pPr>
        <w:spacing w:before="120" w:line="360" w:lineRule="auto"/>
        <w:rPr>
          <w:rFonts w:hint="eastAsia" w:ascii="宋体" w:hAnsi="宋体" w:cs="宋体"/>
          <w:sz w:val="24"/>
          <w:highlight w:val="none"/>
        </w:rPr>
      </w:pPr>
      <w:bookmarkStart w:id="967" w:name="_Toc310521930"/>
      <w:bookmarkStart w:id="968" w:name="_Toc413930839"/>
      <w:bookmarkStart w:id="969" w:name="_Toc487900371"/>
      <w:bookmarkStart w:id="970" w:name="_Toc310195754"/>
      <w:bookmarkStart w:id="971" w:name="_Toc329875504"/>
      <w:r>
        <w:rPr>
          <w:rFonts w:hint="eastAsia" w:ascii="宋体" w:hAnsi="宋体" w:cs="宋体"/>
          <w:sz w:val="24"/>
          <w:highlight w:val="none"/>
        </w:rPr>
        <w:t>23. 通知</w:t>
      </w:r>
      <w:bookmarkEnd w:id="967"/>
      <w:bookmarkEnd w:id="968"/>
      <w:bookmarkEnd w:id="969"/>
      <w:bookmarkEnd w:id="970"/>
      <w:bookmarkEnd w:id="971"/>
    </w:p>
    <w:p w14:paraId="349B2DA3">
      <w:pPr>
        <w:spacing w:before="120" w:line="360" w:lineRule="auto"/>
        <w:rPr>
          <w:rFonts w:hint="eastAsia" w:ascii="宋体" w:hAnsi="宋体" w:cs="宋体"/>
          <w:sz w:val="24"/>
          <w:highlight w:val="none"/>
        </w:rPr>
      </w:pPr>
      <w:r>
        <w:rPr>
          <w:rFonts w:hint="eastAsia" w:ascii="宋体" w:hAnsi="宋体" w:cs="宋体"/>
          <w:sz w:val="24"/>
          <w:highlight w:val="none"/>
        </w:rPr>
        <w:t>23.1 本合同任何一方给另一方的通知，都应以书面形式发送，而另一方也应以书面形式确认并发送到对方明确的地址。</w:t>
      </w:r>
    </w:p>
    <w:p w14:paraId="40329ABC">
      <w:pPr>
        <w:spacing w:before="120" w:line="360" w:lineRule="auto"/>
        <w:rPr>
          <w:rFonts w:hint="eastAsia" w:ascii="宋体" w:hAnsi="宋体" w:cs="宋体"/>
          <w:sz w:val="24"/>
          <w:highlight w:val="none"/>
        </w:rPr>
      </w:pPr>
      <w:bookmarkStart w:id="972" w:name="_Toc487900372"/>
      <w:bookmarkStart w:id="973" w:name="_Toc310521931"/>
      <w:bookmarkStart w:id="974" w:name="_Toc413930840"/>
      <w:bookmarkStart w:id="975" w:name="_Toc310195755"/>
      <w:bookmarkStart w:id="976" w:name="_Toc329875505"/>
      <w:r>
        <w:rPr>
          <w:rFonts w:hint="eastAsia" w:ascii="宋体" w:hAnsi="宋体" w:cs="宋体"/>
          <w:sz w:val="24"/>
          <w:highlight w:val="none"/>
        </w:rPr>
        <w:t>24. 计量单位</w:t>
      </w:r>
      <w:bookmarkEnd w:id="972"/>
      <w:bookmarkEnd w:id="973"/>
      <w:bookmarkEnd w:id="974"/>
      <w:bookmarkEnd w:id="975"/>
      <w:bookmarkEnd w:id="976"/>
    </w:p>
    <w:p w14:paraId="7066F3F0">
      <w:pPr>
        <w:spacing w:before="120" w:line="360" w:lineRule="auto"/>
        <w:rPr>
          <w:rFonts w:hint="eastAsia" w:ascii="宋体" w:hAnsi="宋体" w:cs="宋体"/>
          <w:sz w:val="24"/>
          <w:highlight w:val="none"/>
        </w:rPr>
      </w:pPr>
      <w:r>
        <w:rPr>
          <w:rFonts w:hint="eastAsia" w:ascii="宋体" w:hAnsi="宋体" w:cs="宋体"/>
          <w:sz w:val="24"/>
          <w:highlight w:val="none"/>
        </w:rPr>
        <w:t>24.1 除技术规范中另有规定外,计量单位均使用国家法定计量单位。</w:t>
      </w:r>
    </w:p>
    <w:p w14:paraId="38A92FA1">
      <w:pPr>
        <w:spacing w:before="120" w:line="360" w:lineRule="auto"/>
        <w:rPr>
          <w:rFonts w:hint="eastAsia" w:ascii="宋体" w:hAnsi="宋体" w:cs="宋体"/>
          <w:sz w:val="24"/>
          <w:highlight w:val="none"/>
        </w:rPr>
      </w:pPr>
      <w:bookmarkStart w:id="977" w:name="_Toc310521932"/>
      <w:bookmarkStart w:id="978" w:name="_Toc413930841"/>
      <w:bookmarkStart w:id="979" w:name="_Toc310195756"/>
      <w:bookmarkStart w:id="980" w:name="_Toc487900373"/>
      <w:bookmarkStart w:id="981" w:name="_Toc329875506"/>
      <w:r>
        <w:rPr>
          <w:rFonts w:hint="eastAsia" w:ascii="宋体" w:hAnsi="宋体" w:cs="宋体"/>
          <w:sz w:val="24"/>
          <w:highlight w:val="none"/>
        </w:rPr>
        <w:t>25. 适用法律</w:t>
      </w:r>
      <w:bookmarkEnd w:id="977"/>
      <w:bookmarkEnd w:id="978"/>
      <w:bookmarkEnd w:id="979"/>
      <w:bookmarkEnd w:id="980"/>
      <w:bookmarkEnd w:id="981"/>
    </w:p>
    <w:p w14:paraId="4D950DA0">
      <w:pPr>
        <w:spacing w:before="120" w:line="360" w:lineRule="auto"/>
        <w:rPr>
          <w:rFonts w:hint="eastAsia" w:ascii="宋体" w:hAnsi="宋体" w:cs="宋体"/>
          <w:sz w:val="24"/>
          <w:highlight w:val="none"/>
        </w:rPr>
      </w:pPr>
      <w:r>
        <w:rPr>
          <w:rFonts w:hint="eastAsia" w:ascii="宋体" w:hAnsi="宋体" w:cs="宋体"/>
          <w:sz w:val="24"/>
          <w:highlight w:val="none"/>
        </w:rPr>
        <w:t>25.1 本合同应按照中华人民共和国的法律进行解释。</w:t>
      </w:r>
    </w:p>
    <w:p w14:paraId="6A38A0AB">
      <w:pPr>
        <w:spacing w:before="120" w:line="360" w:lineRule="auto"/>
        <w:rPr>
          <w:rFonts w:hint="eastAsia" w:ascii="宋体" w:hAnsi="宋体" w:cs="宋体"/>
          <w:sz w:val="24"/>
          <w:highlight w:val="none"/>
        </w:rPr>
      </w:pPr>
      <w:bookmarkStart w:id="982" w:name="_Toc487900374"/>
      <w:bookmarkStart w:id="983" w:name="_Toc413930842"/>
      <w:bookmarkStart w:id="984" w:name="_Toc310195757"/>
      <w:bookmarkStart w:id="985" w:name="_Toc329875507"/>
      <w:bookmarkStart w:id="986" w:name="_Toc310521933"/>
      <w:r>
        <w:rPr>
          <w:rFonts w:hint="eastAsia" w:ascii="宋体" w:hAnsi="宋体" w:cs="宋体"/>
          <w:sz w:val="24"/>
          <w:highlight w:val="none"/>
        </w:rPr>
        <w:t>26. 合同生效</w:t>
      </w:r>
      <w:bookmarkEnd w:id="982"/>
      <w:r>
        <w:rPr>
          <w:rFonts w:hint="eastAsia" w:ascii="宋体" w:hAnsi="宋体" w:cs="宋体"/>
          <w:sz w:val="24"/>
          <w:highlight w:val="none"/>
        </w:rPr>
        <w:t>和其它</w:t>
      </w:r>
      <w:bookmarkEnd w:id="983"/>
      <w:bookmarkEnd w:id="984"/>
      <w:bookmarkEnd w:id="985"/>
      <w:bookmarkEnd w:id="986"/>
    </w:p>
    <w:p w14:paraId="1978AF64">
      <w:pPr>
        <w:spacing w:before="120" w:line="360" w:lineRule="auto"/>
        <w:rPr>
          <w:rFonts w:hint="eastAsia" w:ascii="宋体" w:hAnsi="宋体" w:cs="宋体"/>
          <w:sz w:val="24"/>
          <w:highlight w:val="none"/>
        </w:rPr>
      </w:pPr>
      <w:r>
        <w:rPr>
          <w:rFonts w:hint="eastAsia" w:ascii="宋体" w:hAnsi="宋体" w:cs="宋体"/>
          <w:sz w:val="24"/>
          <w:highlight w:val="none"/>
        </w:rPr>
        <w:t>26.1 政府采购项目的采购合同内容的确定应以</w:t>
      </w:r>
      <w:r>
        <w:rPr>
          <w:rFonts w:hint="eastAsia" w:ascii="宋体" w:hAnsi="宋体" w:cs="宋体"/>
          <w:sz w:val="24"/>
          <w:highlight w:val="none"/>
          <w:lang w:eastAsia="zh-CN"/>
        </w:rPr>
        <w:t>招标</w:t>
      </w:r>
      <w:r>
        <w:rPr>
          <w:rFonts w:hint="eastAsia" w:ascii="宋体" w:hAnsi="宋体" w:cs="宋体"/>
          <w:sz w:val="24"/>
          <w:highlight w:val="none"/>
        </w:rPr>
        <w:t>文件和</w:t>
      </w:r>
      <w:r>
        <w:rPr>
          <w:rFonts w:hint="eastAsia" w:ascii="宋体" w:hAnsi="宋体" w:cs="宋体"/>
          <w:sz w:val="24"/>
          <w:highlight w:val="none"/>
          <w:lang w:eastAsia="zh-CN"/>
        </w:rPr>
        <w:t>投标</w:t>
      </w:r>
      <w:r>
        <w:rPr>
          <w:rFonts w:hint="eastAsia" w:ascii="宋体" w:hAnsi="宋体" w:cs="宋体"/>
          <w:sz w:val="24"/>
          <w:highlight w:val="none"/>
        </w:rPr>
        <w:t>文件为基础，不得违背其实质性内容。政府采购项目的采购合同自签订之日起七个工作日内，买方应当将合同副本报同级政府采购监督管理部门备案。合同将在双方签字盖章后开始生效。</w:t>
      </w:r>
    </w:p>
    <w:p w14:paraId="08CEB76B">
      <w:pPr>
        <w:spacing w:before="120" w:line="360" w:lineRule="auto"/>
        <w:rPr>
          <w:rFonts w:ascii="宋体" w:hAnsi="宋体" w:cs="宋体"/>
          <w:sz w:val="24"/>
          <w:highlight w:val="none"/>
        </w:rPr>
      </w:pPr>
      <w:r>
        <w:rPr>
          <w:rFonts w:hint="eastAsia" w:ascii="宋体" w:hAnsi="宋体" w:cs="宋体"/>
          <w:sz w:val="24"/>
          <w:highlight w:val="none"/>
        </w:rPr>
        <w:t>26.2 本合同一式5份，具有同等法律效力。买方执2份，卖方执2份，采购代理机构执1份。</w:t>
      </w:r>
    </w:p>
    <w:p w14:paraId="45ED5F0D">
      <w:pPr>
        <w:spacing w:before="120" w:line="360" w:lineRule="auto"/>
        <w:jc w:val="center"/>
        <w:rPr>
          <w:rFonts w:hint="eastAsia" w:ascii="宋体" w:hAnsi="宋体" w:cs="宋体"/>
          <w:sz w:val="24"/>
          <w:highlight w:val="none"/>
        </w:rPr>
      </w:pPr>
      <w:r>
        <w:rPr>
          <w:rFonts w:hint="eastAsia" w:ascii="宋体" w:hAnsi="宋体" w:cs="宋体"/>
          <w:sz w:val="24"/>
          <w:highlight w:val="none"/>
        </w:rPr>
        <w:br w:type="page"/>
      </w:r>
      <w:r>
        <w:rPr>
          <w:rFonts w:hint="eastAsia" w:ascii="宋体" w:hAnsi="宋体" w:cs="宋体"/>
          <w:b/>
          <w:bCs/>
          <w:sz w:val="24"/>
          <w:highlight w:val="none"/>
        </w:rPr>
        <w:t>合同专用条款</w:t>
      </w:r>
    </w:p>
    <w:p w14:paraId="3E6459C1">
      <w:pPr>
        <w:spacing w:line="360" w:lineRule="auto"/>
        <w:ind w:firstLine="454"/>
        <w:rPr>
          <w:rFonts w:hint="eastAsia" w:ascii="宋体" w:hAnsi="宋体" w:cs="宋体"/>
          <w:sz w:val="24"/>
          <w:highlight w:val="none"/>
        </w:rPr>
      </w:pPr>
      <w:r>
        <w:rPr>
          <w:rFonts w:hint="eastAsia" w:ascii="宋体" w:hAnsi="宋体" w:cs="宋体"/>
          <w:sz w:val="24"/>
          <w:highlight w:val="none"/>
        </w:rPr>
        <w:t>合同专用条款是合同一般条款的补充和修改。如果两者之间有抵触，应以专用条款为准。合同专用条款的序号将与合同一般条款序号相对应。</w:t>
      </w:r>
    </w:p>
    <w:p w14:paraId="2AD40766">
      <w:pPr>
        <w:spacing w:line="360" w:lineRule="auto"/>
        <w:rPr>
          <w:rFonts w:hint="eastAsia" w:ascii="宋体" w:hAnsi="宋体" w:cs="宋体"/>
          <w:b/>
          <w:sz w:val="24"/>
          <w:highlight w:val="none"/>
        </w:rPr>
      </w:pPr>
      <w:r>
        <w:rPr>
          <w:rFonts w:hint="eastAsia" w:ascii="宋体" w:hAnsi="宋体" w:cs="宋体"/>
          <w:bCs/>
          <w:sz w:val="24"/>
          <w:highlight w:val="none"/>
        </w:rPr>
        <w:t>1、定义</w:t>
      </w:r>
      <w:r>
        <w:rPr>
          <w:rFonts w:hint="eastAsia" w:ascii="宋体" w:hAnsi="宋体" w:cs="宋体"/>
          <w:b/>
          <w:sz w:val="24"/>
          <w:highlight w:val="none"/>
        </w:rPr>
        <w:t>：</w:t>
      </w:r>
    </w:p>
    <w:p w14:paraId="232C9612">
      <w:pPr>
        <w:spacing w:line="360" w:lineRule="auto"/>
        <w:rPr>
          <w:rFonts w:hint="eastAsia" w:ascii="宋体" w:hAnsi="宋体" w:cs="宋体"/>
          <w:sz w:val="24"/>
          <w:highlight w:val="none"/>
        </w:rPr>
      </w:pPr>
      <w:r>
        <w:rPr>
          <w:rFonts w:hint="eastAsia" w:ascii="宋体" w:hAnsi="宋体" w:cs="宋体"/>
          <w:sz w:val="24"/>
          <w:highlight w:val="none"/>
        </w:rPr>
        <w:t>1.5  买方：本合同买方系指：</w:t>
      </w:r>
      <w:r>
        <w:rPr>
          <w:rFonts w:hint="eastAsia" w:ascii="宋体" w:hAnsi="宋体" w:cs="宋体"/>
          <w:sz w:val="24"/>
          <w:highlight w:val="none"/>
          <w:u w:val="single"/>
        </w:rPr>
        <w:t xml:space="preserve">                                        </w:t>
      </w:r>
      <w:r>
        <w:rPr>
          <w:rFonts w:hint="eastAsia" w:ascii="宋体" w:hAnsi="宋体" w:cs="宋体"/>
          <w:sz w:val="24"/>
          <w:highlight w:val="none"/>
        </w:rPr>
        <w:t>。</w:t>
      </w:r>
    </w:p>
    <w:p w14:paraId="0085E4FE">
      <w:pPr>
        <w:spacing w:line="360" w:lineRule="auto"/>
        <w:rPr>
          <w:rFonts w:hint="eastAsia" w:ascii="宋体" w:hAnsi="宋体" w:cs="宋体"/>
          <w:sz w:val="24"/>
          <w:highlight w:val="none"/>
        </w:rPr>
      </w:pPr>
      <w:r>
        <w:rPr>
          <w:rFonts w:hint="eastAsia" w:ascii="宋体" w:hAnsi="宋体" w:cs="宋体"/>
          <w:sz w:val="24"/>
          <w:highlight w:val="none"/>
        </w:rPr>
        <w:t>1.6  卖方：本合同卖方系指：</w:t>
      </w:r>
      <w:r>
        <w:rPr>
          <w:rFonts w:hint="eastAsia" w:ascii="宋体" w:hAnsi="宋体" w:cs="宋体"/>
          <w:sz w:val="24"/>
          <w:highlight w:val="none"/>
          <w:u w:val="single"/>
        </w:rPr>
        <w:t xml:space="preserve">                                        </w:t>
      </w:r>
      <w:r>
        <w:rPr>
          <w:rFonts w:hint="eastAsia" w:ascii="宋体" w:hAnsi="宋体" w:cs="宋体"/>
          <w:sz w:val="24"/>
          <w:highlight w:val="none"/>
        </w:rPr>
        <w:t>。</w:t>
      </w:r>
    </w:p>
    <w:p w14:paraId="2BAE9D72">
      <w:pPr>
        <w:spacing w:line="360" w:lineRule="auto"/>
        <w:rPr>
          <w:rFonts w:hint="eastAsia" w:ascii="宋体" w:hAnsi="宋体" w:cs="宋体"/>
          <w:sz w:val="24"/>
          <w:highlight w:val="none"/>
        </w:rPr>
      </w:pPr>
      <w:r>
        <w:rPr>
          <w:rFonts w:hint="eastAsia" w:ascii="宋体" w:hAnsi="宋体" w:cs="宋体"/>
          <w:sz w:val="24"/>
          <w:highlight w:val="none"/>
        </w:rPr>
        <w:t>1.7  现场：本合同项下的服务地点位于：</w:t>
      </w:r>
      <w:r>
        <w:rPr>
          <w:rFonts w:hint="eastAsia" w:ascii="宋体" w:hAnsi="宋体" w:cs="宋体"/>
          <w:sz w:val="24"/>
          <w:highlight w:val="none"/>
          <w:u w:val="single"/>
        </w:rPr>
        <w:t>买方指定</w:t>
      </w:r>
      <w:r>
        <w:rPr>
          <w:rFonts w:hint="eastAsia" w:ascii="宋体" w:hAnsi="宋体" w:cs="宋体"/>
          <w:sz w:val="24"/>
          <w:highlight w:val="none"/>
        </w:rPr>
        <w:t>。</w:t>
      </w:r>
    </w:p>
    <w:p w14:paraId="64DAE898">
      <w:pPr>
        <w:spacing w:line="360" w:lineRule="auto"/>
        <w:rPr>
          <w:rFonts w:hint="eastAsia" w:ascii="宋体" w:hAnsi="宋体" w:cs="宋体"/>
          <w:sz w:val="24"/>
          <w:highlight w:val="none"/>
        </w:rPr>
      </w:pPr>
      <w:r>
        <w:rPr>
          <w:rFonts w:hint="eastAsia" w:ascii="宋体" w:hAnsi="宋体" w:cs="宋体"/>
          <w:sz w:val="24"/>
          <w:highlight w:val="none"/>
        </w:rPr>
        <w:t>2、 交货方式</w:t>
      </w:r>
    </w:p>
    <w:p w14:paraId="3D19EDD1">
      <w:pPr>
        <w:spacing w:line="360" w:lineRule="auto"/>
        <w:rPr>
          <w:rFonts w:hint="eastAsia" w:ascii="宋体" w:hAnsi="宋体" w:cs="宋体"/>
          <w:sz w:val="24"/>
          <w:highlight w:val="none"/>
        </w:rPr>
      </w:pPr>
      <w:r>
        <w:rPr>
          <w:rFonts w:hint="eastAsia" w:ascii="宋体" w:hAnsi="宋体" w:cs="宋体"/>
          <w:sz w:val="24"/>
          <w:highlight w:val="none"/>
        </w:rPr>
        <w:t>2.1  本合同项下的产品交货方式为:</w:t>
      </w:r>
      <w:r>
        <w:rPr>
          <w:rFonts w:hint="eastAsia" w:ascii="宋体" w:hAnsi="宋体" w:cs="宋体"/>
          <w:sz w:val="24"/>
          <w:highlight w:val="none"/>
          <w:u w:val="single"/>
        </w:rPr>
        <w:t>免费上门送货、安装、调试，所发生的各种费用均包含在投标报价之内，买方在实施过程中不再另行支付。</w:t>
      </w:r>
    </w:p>
    <w:p w14:paraId="26C53DF3">
      <w:pPr>
        <w:spacing w:line="360" w:lineRule="auto"/>
        <w:rPr>
          <w:rFonts w:hint="eastAsia" w:ascii="宋体" w:hAnsi="宋体" w:cs="宋体"/>
          <w:bCs/>
          <w:sz w:val="24"/>
          <w:highlight w:val="none"/>
          <w:u w:val="single"/>
        </w:rPr>
      </w:pPr>
      <w:r>
        <w:rPr>
          <w:rFonts w:hint="eastAsia" w:ascii="宋体" w:hAnsi="宋体" w:cs="宋体"/>
          <w:sz w:val="24"/>
          <w:highlight w:val="none"/>
        </w:rPr>
        <w:t>3、 交货期:</w:t>
      </w:r>
      <w:r>
        <w:rPr>
          <w:rFonts w:hint="eastAsia" w:ascii="宋体" w:hAnsi="宋体" w:cs="宋体"/>
          <w:sz w:val="24"/>
          <w:highlight w:val="none"/>
          <w:u w:val="single"/>
        </w:rPr>
        <w:t>自合同签订之日起</w:t>
      </w:r>
      <w:r>
        <w:rPr>
          <w:rFonts w:hint="eastAsia" w:ascii="宋体" w:hAnsi="宋体" w:cs="宋体"/>
          <w:sz w:val="24"/>
          <w:highlight w:val="none"/>
          <w:u w:val="single"/>
          <w:lang w:val="en-US" w:eastAsia="zh-CN"/>
        </w:rPr>
        <w:t>90</w:t>
      </w:r>
      <w:r>
        <w:rPr>
          <w:rFonts w:hint="eastAsia" w:ascii="宋体" w:hAnsi="宋体" w:cs="宋体"/>
          <w:sz w:val="24"/>
          <w:highlight w:val="none"/>
          <w:u w:val="single"/>
        </w:rPr>
        <w:t>个工作日内完成设备的供货、运输、安装调试及验收。</w:t>
      </w:r>
    </w:p>
    <w:p w14:paraId="77E650A4">
      <w:pPr>
        <w:spacing w:line="360" w:lineRule="auto"/>
        <w:rPr>
          <w:rFonts w:hint="eastAsia" w:ascii="宋体" w:hAnsi="宋体" w:cs="宋体"/>
          <w:sz w:val="24"/>
          <w:highlight w:val="none"/>
          <w:u w:val="single"/>
        </w:rPr>
      </w:pPr>
      <w:r>
        <w:rPr>
          <w:rFonts w:hint="eastAsia" w:ascii="宋体" w:hAnsi="宋体" w:cs="宋体"/>
          <w:sz w:val="24"/>
          <w:highlight w:val="none"/>
        </w:rPr>
        <w:t>4、 付款条件:</w:t>
      </w:r>
    </w:p>
    <w:p w14:paraId="18C5CE98">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u w:val="single"/>
        </w:rPr>
        <w:t>预付款：</w:t>
      </w:r>
      <w:r>
        <w:rPr>
          <w:rFonts w:hint="eastAsia" w:ascii="宋体" w:hAnsi="宋体" w:cs="宋体"/>
          <w:sz w:val="24"/>
          <w:highlight w:val="none"/>
          <w:u w:val="single"/>
          <w:lang w:val="en-US" w:eastAsia="zh-CN"/>
        </w:rPr>
        <w:t>合同生效后15个工作日内，乙方提供合同价的10%作为履约保证金</w:t>
      </w:r>
      <w:r>
        <w:rPr>
          <w:rFonts w:hint="eastAsia" w:ascii="宋体" w:hAnsi="宋体" w:cs="宋体"/>
          <w:sz w:val="24"/>
          <w:highlight w:val="none"/>
          <w:u w:val="single"/>
        </w:rPr>
        <w:t>，</w:t>
      </w:r>
      <w:r>
        <w:rPr>
          <w:rFonts w:hint="eastAsia" w:ascii="宋体" w:hAnsi="宋体" w:cs="宋体"/>
          <w:sz w:val="24"/>
          <w:highlight w:val="none"/>
          <w:u w:val="single"/>
          <w:lang w:val="en-US" w:eastAsia="zh-CN"/>
        </w:rPr>
        <w:t>财政资金到位</w:t>
      </w:r>
      <w:r>
        <w:rPr>
          <w:rFonts w:hint="eastAsia" w:ascii="宋体" w:hAnsi="宋体" w:cs="宋体"/>
          <w:sz w:val="24"/>
          <w:highlight w:val="none"/>
          <w:u w:val="single"/>
        </w:rPr>
        <w:t>后支付合同总金额的</w:t>
      </w:r>
      <w:r>
        <w:rPr>
          <w:rFonts w:hint="eastAsia" w:ascii="宋体" w:hAnsi="宋体" w:cs="宋体"/>
          <w:sz w:val="24"/>
          <w:highlight w:val="none"/>
          <w:u w:val="single"/>
          <w:lang w:val="en-US" w:eastAsia="zh-CN"/>
        </w:rPr>
        <w:t>50</w:t>
      </w:r>
      <w:r>
        <w:rPr>
          <w:rFonts w:hint="eastAsia" w:ascii="宋体" w:hAnsi="宋体" w:cs="宋体"/>
          <w:sz w:val="24"/>
          <w:highlight w:val="none"/>
          <w:u w:val="single"/>
        </w:rPr>
        <w:t>%作为预付款。</w:t>
      </w:r>
    </w:p>
    <w:p w14:paraId="0DDF6FCE">
      <w:pPr>
        <w:spacing w:before="120" w:line="360" w:lineRule="auto"/>
        <w:ind w:firstLine="480"/>
        <w:rPr>
          <w:rFonts w:hint="eastAsia" w:ascii="宋体" w:hAnsi="宋体" w:cs="宋体"/>
          <w:sz w:val="24"/>
          <w:highlight w:val="none"/>
          <w:u w:val="single"/>
        </w:rPr>
      </w:pPr>
      <w:r>
        <w:rPr>
          <w:rFonts w:hint="eastAsia" w:ascii="宋体" w:hAnsi="宋体" w:cs="宋体"/>
          <w:sz w:val="24"/>
          <w:highlight w:val="none"/>
          <w:u w:val="single"/>
        </w:rPr>
        <w:t>验收款：设备全部到货并完成安装调试、现场验收合格后，采购人收到供应商开具的剩余金额正规发票后15个工作日内，支付合同总金额的</w:t>
      </w:r>
      <w:r>
        <w:rPr>
          <w:rFonts w:hint="eastAsia" w:ascii="宋体" w:hAnsi="宋体" w:cs="宋体"/>
          <w:sz w:val="24"/>
          <w:highlight w:val="none"/>
          <w:u w:val="single"/>
          <w:lang w:val="en-US" w:eastAsia="zh-CN"/>
        </w:rPr>
        <w:t>50</w:t>
      </w:r>
      <w:r>
        <w:rPr>
          <w:rFonts w:hint="eastAsia" w:ascii="宋体" w:hAnsi="宋体" w:cs="宋体"/>
          <w:sz w:val="24"/>
          <w:highlight w:val="none"/>
          <w:u w:val="single"/>
        </w:rPr>
        <w:t>%。</w:t>
      </w:r>
    </w:p>
    <w:p w14:paraId="155281DC">
      <w:pPr>
        <w:spacing w:line="360" w:lineRule="auto"/>
        <w:ind w:left="1619" w:leftChars="1" w:hanging="1617" w:hangingChars="674"/>
        <w:rPr>
          <w:rFonts w:hint="eastAsia" w:ascii="宋体" w:hAnsi="宋体" w:cs="宋体"/>
          <w:sz w:val="24"/>
          <w:highlight w:val="none"/>
          <w:u w:val="single"/>
        </w:rPr>
      </w:pPr>
      <w:r>
        <w:rPr>
          <w:rFonts w:hint="eastAsia" w:ascii="宋体" w:hAnsi="宋体" w:cs="宋体"/>
          <w:sz w:val="24"/>
          <w:highlight w:val="none"/>
          <w:u w:val="single"/>
        </w:rPr>
        <w:t>付款方式：银行转账，供应商需提供合法、有效、等额的增值税发票。</w:t>
      </w:r>
    </w:p>
    <w:p w14:paraId="41E799C1">
      <w:pPr>
        <w:spacing w:line="360" w:lineRule="auto"/>
        <w:ind w:left="1619" w:leftChars="1" w:hanging="1617" w:hangingChars="674"/>
        <w:rPr>
          <w:rFonts w:hint="eastAsia" w:ascii="宋体" w:hAnsi="宋体" w:cs="宋体"/>
          <w:sz w:val="24"/>
          <w:highlight w:val="none"/>
        </w:rPr>
      </w:pPr>
      <w:r>
        <w:rPr>
          <w:rFonts w:hint="eastAsia" w:ascii="宋体" w:hAnsi="宋体" w:cs="宋体"/>
          <w:sz w:val="24"/>
          <w:highlight w:val="none"/>
        </w:rPr>
        <w:t>5、技术资料:见合同一般条款约定。</w:t>
      </w:r>
    </w:p>
    <w:p w14:paraId="6D0251BC">
      <w:pPr>
        <w:spacing w:line="360" w:lineRule="auto"/>
        <w:rPr>
          <w:rFonts w:hint="eastAsia" w:ascii="宋体" w:hAnsi="宋体" w:cs="宋体"/>
          <w:sz w:val="24"/>
          <w:highlight w:val="none"/>
        </w:rPr>
      </w:pPr>
      <w:r>
        <w:rPr>
          <w:rFonts w:hint="eastAsia" w:ascii="宋体" w:hAnsi="宋体" w:cs="宋体"/>
          <w:sz w:val="24"/>
          <w:highlight w:val="none"/>
        </w:rPr>
        <w:t>6、质量保证:</w:t>
      </w:r>
    </w:p>
    <w:p w14:paraId="0D068439">
      <w:pPr>
        <w:spacing w:before="120" w:line="360" w:lineRule="auto"/>
        <w:rPr>
          <w:rFonts w:hint="eastAsia" w:ascii="宋体" w:hAnsi="宋体" w:cs="宋体"/>
          <w:sz w:val="24"/>
          <w:highlight w:val="none"/>
        </w:rPr>
      </w:pPr>
      <w:r>
        <w:rPr>
          <w:rFonts w:hint="eastAsia" w:ascii="宋体" w:hAnsi="宋体" w:cs="宋体"/>
          <w:sz w:val="24"/>
          <w:highlight w:val="none"/>
        </w:rPr>
        <w:t>6.1  卖方在收到通知后 7 天内应免费维修或更换有缺陷的产品或部件。</w:t>
      </w:r>
    </w:p>
    <w:p w14:paraId="4E0B39FA">
      <w:pPr>
        <w:spacing w:before="120" w:line="360" w:lineRule="auto"/>
        <w:rPr>
          <w:rFonts w:hint="eastAsia" w:ascii="宋体" w:hAnsi="宋体" w:cs="宋体"/>
          <w:sz w:val="24"/>
          <w:highlight w:val="none"/>
        </w:rPr>
      </w:pPr>
      <w:r>
        <w:rPr>
          <w:rFonts w:hint="eastAsia" w:ascii="宋体" w:hAnsi="宋体" w:cs="宋体"/>
          <w:sz w:val="24"/>
          <w:highlight w:val="none"/>
        </w:rPr>
        <w:t>6.2  如果卖方在收到通知后 7 天内没有弥补缺陷，买方可采取必要的补救措施，但风险和费用将由卖方承担。</w:t>
      </w:r>
    </w:p>
    <w:p w14:paraId="1FBBF94C">
      <w:pPr>
        <w:spacing w:before="120" w:line="360" w:lineRule="auto"/>
        <w:rPr>
          <w:rFonts w:hint="eastAsia" w:ascii="宋体" w:hAnsi="宋体" w:cs="宋体"/>
          <w:sz w:val="24"/>
          <w:highlight w:val="none"/>
        </w:rPr>
      </w:pPr>
      <w:r>
        <w:rPr>
          <w:rFonts w:hint="eastAsia" w:ascii="宋体" w:hAnsi="宋体" w:cs="宋体"/>
          <w:sz w:val="24"/>
          <w:highlight w:val="none"/>
        </w:rPr>
        <w:t xml:space="preserve">6.3  合同项下产品的质量保证期为自产品通过最终验收起 </w:t>
      </w:r>
      <w:r>
        <w:rPr>
          <w:rFonts w:hint="eastAsia" w:ascii="宋体" w:hAnsi="宋体" w:cs="宋体"/>
          <w:sz w:val="24"/>
          <w:highlight w:val="none"/>
          <w:lang w:val="en-US" w:eastAsia="zh-CN"/>
        </w:rPr>
        <w:t>3</w:t>
      </w:r>
      <w:r>
        <w:rPr>
          <w:rFonts w:hint="eastAsia" w:ascii="宋体" w:hAnsi="宋体" w:cs="宋体"/>
          <w:sz w:val="24"/>
          <w:highlight w:val="none"/>
        </w:rPr>
        <w:t xml:space="preserve"> 年。</w:t>
      </w:r>
    </w:p>
    <w:p w14:paraId="0957AB69">
      <w:pPr>
        <w:spacing w:before="120" w:line="360" w:lineRule="auto"/>
        <w:rPr>
          <w:rFonts w:hint="eastAsia" w:ascii="宋体" w:hAnsi="宋体" w:cs="宋体"/>
          <w:sz w:val="24"/>
          <w:highlight w:val="none"/>
        </w:rPr>
      </w:pPr>
      <w:r>
        <w:rPr>
          <w:rFonts w:hint="eastAsia" w:ascii="宋体" w:hAnsi="宋体" w:cs="宋体"/>
          <w:sz w:val="24"/>
          <w:highlight w:val="none"/>
        </w:rPr>
        <w:t>7、检验和验收:按合同约定。</w:t>
      </w:r>
    </w:p>
    <w:p w14:paraId="0357839C">
      <w:pPr>
        <w:spacing w:before="120" w:line="360" w:lineRule="auto"/>
        <w:rPr>
          <w:rFonts w:hint="eastAsia" w:ascii="宋体" w:hAnsi="宋体" w:cs="宋体"/>
          <w:sz w:val="24"/>
          <w:highlight w:val="none"/>
        </w:rPr>
      </w:pPr>
      <w:r>
        <w:rPr>
          <w:rFonts w:hint="eastAsia" w:ascii="宋体" w:hAnsi="宋体" w:cs="宋体"/>
          <w:sz w:val="24"/>
          <w:highlight w:val="none"/>
        </w:rPr>
        <w:t>8、索赔:按合同约定。</w:t>
      </w:r>
    </w:p>
    <w:p w14:paraId="4F60AE72">
      <w:pPr>
        <w:spacing w:before="120" w:line="360" w:lineRule="auto"/>
        <w:rPr>
          <w:rFonts w:hint="eastAsia" w:ascii="宋体" w:hAnsi="宋体" w:cs="宋体"/>
          <w:sz w:val="24"/>
          <w:highlight w:val="none"/>
        </w:rPr>
      </w:pPr>
      <w:r>
        <w:rPr>
          <w:rFonts w:hint="eastAsia" w:ascii="宋体" w:hAnsi="宋体" w:cs="宋体"/>
          <w:sz w:val="24"/>
          <w:highlight w:val="none"/>
        </w:rPr>
        <w:t>9、不可抗力:</w:t>
      </w:r>
    </w:p>
    <w:p w14:paraId="4B111CC9">
      <w:pPr>
        <w:spacing w:line="360" w:lineRule="auto"/>
        <w:rPr>
          <w:rFonts w:hint="eastAsia" w:ascii="宋体" w:hAnsi="宋体" w:cs="宋体"/>
          <w:sz w:val="24"/>
          <w:highlight w:val="none"/>
        </w:rPr>
      </w:pPr>
      <w:r>
        <w:rPr>
          <w:rFonts w:hint="eastAsia" w:ascii="宋体" w:hAnsi="宋体" w:cs="宋体"/>
          <w:sz w:val="24"/>
          <w:highlight w:val="none"/>
        </w:rPr>
        <w:t>10、不可抗力通知送达时间:事故发生后</w:t>
      </w:r>
      <w:r>
        <w:rPr>
          <w:rFonts w:hint="eastAsia" w:ascii="宋体" w:hAnsi="宋体" w:cs="宋体"/>
          <w:sz w:val="24"/>
          <w:highlight w:val="none"/>
          <w:u w:val="single"/>
        </w:rPr>
        <w:t>7</w:t>
      </w:r>
      <w:r>
        <w:rPr>
          <w:rFonts w:hint="eastAsia" w:ascii="宋体" w:hAnsi="宋体" w:cs="宋体"/>
          <w:sz w:val="24"/>
          <w:highlight w:val="none"/>
        </w:rPr>
        <w:t>天内。</w:t>
      </w:r>
    </w:p>
    <w:p w14:paraId="6A8A2EE6">
      <w:pPr>
        <w:spacing w:before="120" w:line="360" w:lineRule="auto"/>
        <w:rPr>
          <w:rFonts w:hint="eastAsia" w:ascii="宋体" w:hAnsi="宋体" w:cs="宋体"/>
          <w:sz w:val="24"/>
          <w:highlight w:val="none"/>
        </w:rPr>
      </w:pPr>
      <w:r>
        <w:rPr>
          <w:rFonts w:hint="eastAsia" w:ascii="宋体" w:hAnsi="宋体" w:cs="宋体"/>
          <w:sz w:val="24"/>
          <w:highlight w:val="none"/>
        </w:rPr>
        <w:t>11、出现本条款下列情形的，买方有权以书面通知卖方的方式解除本合同：</w:t>
      </w:r>
    </w:p>
    <w:p w14:paraId="52360C43">
      <w:pPr>
        <w:spacing w:before="120" w:line="360" w:lineRule="auto"/>
        <w:rPr>
          <w:rFonts w:hint="eastAsia" w:ascii="宋体" w:hAnsi="宋体" w:cs="宋体"/>
          <w:sz w:val="24"/>
          <w:highlight w:val="none"/>
        </w:rPr>
      </w:pPr>
      <w:r>
        <w:rPr>
          <w:rFonts w:hint="eastAsia" w:ascii="宋体" w:hAnsi="宋体" w:cs="宋体"/>
          <w:sz w:val="24"/>
          <w:highlight w:val="none"/>
        </w:rPr>
        <w:t>11.1、本项目的目的、功能及立项等相关内容发生实质性改变；</w:t>
      </w:r>
    </w:p>
    <w:p w14:paraId="7E8156F4">
      <w:pPr>
        <w:spacing w:before="120" w:line="360" w:lineRule="auto"/>
        <w:rPr>
          <w:rFonts w:hint="eastAsia" w:ascii="宋体" w:hAnsi="宋体" w:cs="宋体"/>
          <w:sz w:val="24"/>
          <w:highlight w:val="none"/>
        </w:rPr>
      </w:pPr>
      <w:r>
        <w:rPr>
          <w:rFonts w:hint="eastAsia" w:ascii="宋体" w:hAnsi="宋体" w:cs="宋体"/>
          <w:sz w:val="24"/>
          <w:highlight w:val="none"/>
        </w:rPr>
        <w:t>11.2、如遇特殊情况或突发情况导致本项目建设终止、买方无法继续参与本项目建设或本合同目的无法实现的；</w:t>
      </w:r>
    </w:p>
    <w:p w14:paraId="42F1CF11">
      <w:pPr>
        <w:spacing w:before="120" w:line="360" w:lineRule="auto"/>
        <w:rPr>
          <w:rFonts w:hint="eastAsia" w:ascii="宋体" w:hAnsi="宋体" w:cs="宋体"/>
          <w:sz w:val="24"/>
          <w:highlight w:val="none"/>
        </w:rPr>
      </w:pPr>
      <w:r>
        <w:rPr>
          <w:rFonts w:hint="eastAsia" w:ascii="宋体" w:hAnsi="宋体" w:cs="宋体"/>
          <w:sz w:val="24"/>
          <w:highlight w:val="none"/>
        </w:rPr>
        <w:t>11.3、</w:t>
      </w:r>
      <w:bookmarkStart w:id="987" w:name="OLE_LINK2"/>
      <w:r>
        <w:rPr>
          <w:rFonts w:hint="eastAsia" w:ascii="宋体" w:hAnsi="宋体" w:cs="宋体"/>
          <w:sz w:val="24"/>
          <w:highlight w:val="none"/>
        </w:rPr>
        <w:t>买卖</w:t>
      </w:r>
      <w:bookmarkEnd w:id="987"/>
      <w:r>
        <w:rPr>
          <w:rFonts w:hint="eastAsia" w:ascii="宋体" w:hAnsi="宋体" w:cs="宋体"/>
          <w:sz w:val="24"/>
          <w:highlight w:val="none"/>
        </w:rPr>
        <w:t>双方按照上述条款自动解除合同约定后，</w:t>
      </w:r>
      <w:bookmarkStart w:id="988" w:name="OLE_LINK4"/>
      <w:r>
        <w:rPr>
          <w:rFonts w:hint="eastAsia" w:ascii="宋体" w:hAnsi="宋体" w:cs="宋体"/>
          <w:sz w:val="24"/>
          <w:highlight w:val="none"/>
        </w:rPr>
        <w:t>卖方</w:t>
      </w:r>
      <w:bookmarkEnd w:id="988"/>
      <w:r>
        <w:rPr>
          <w:rFonts w:hint="eastAsia" w:ascii="宋体" w:hAnsi="宋体" w:cs="宋体"/>
          <w:sz w:val="24"/>
          <w:highlight w:val="none"/>
        </w:rPr>
        <w:t>不得通过各种方式要求赔偿；</w:t>
      </w:r>
    </w:p>
    <w:p w14:paraId="51A1A5E7">
      <w:pPr>
        <w:spacing w:before="120" w:line="360" w:lineRule="auto"/>
        <w:rPr>
          <w:rFonts w:hint="eastAsia" w:ascii="宋体" w:hAnsi="宋体" w:cs="宋体"/>
          <w:sz w:val="24"/>
          <w:highlight w:val="none"/>
        </w:rPr>
      </w:pPr>
      <w:r>
        <w:rPr>
          <w:rFonts w:hint="eastAsia" w:ascii="宋体" w:hAnsi="宋体" w:cs="宋体"/>
          <w:sz w:val="24"/>
          <w:highlight w:val="none"/>
        </w:rPr>
        <w:t>11.4、买卖双方按照上述条款解除合同约定后，招标工作所产生的招标代理服务费用由买方承担。</w:t>
      </w:r>
    </w:p>
    <w:p w14:paraId="4CCD1FE1">
      <w:pPr>
        <w:spacing w:before="120" w:line="360" w:lineRule="auto"/>
        <w:rPr>
          <w:rFonts w:hint="eastAsia" w:ascii="宋体" w:hAnsi="宋体" w:cs="宋体"/>
          <w:sz w:val="24"/>
          <w:highlight w:val="none"/>
        </w:rPr>
      </w:pPr>
      <w:r>
        <w:rPr>
          <w:rFonts w:hint="eastAsia" w:ascii="宋体" w:hAnsi="宋体" w:cs="宋体"/>
          <w:sz w:val="24"/>
          <w:highlight w:val="none"/>
        </w:rPr>
        <w:t>12、本合同最终解释权归买方所有。</w:t>
      </w:r>
    </w:p>
    <w:p w14:paraId="09A35ADE">
      <w:pPr>
        <w:pageBreakBefore w:val="0"/>
        <w:tabs>
          <w:tab w:val="left" w:pos="4240"/>
        </w:tabs>
        <w:wordWrap/>
        <w:topLinePunct w:val="0"/>
        <w:bidi w:val="0"/>
        <w:spacing w:line="360" w:lineRule="auto"/>
        <w:rPr>
          <w:rFonts w:ascii="宋体" w:hAnsi="宋体" w:eastAsia="宋体" w:cs="宋体"/>
          <w:i w:val="0"/>
          <w:iCs w:val="0"/>
          <w:color w:val="auto"/>
          <w:spacing w:val="0"/>
          <w:sz w:val="24"/>
          <w:szCs w:val="24"/>
          <w:highlight w:val="none"/>
          <w:lang w:eastAsia="zh-CN"/>
        </w:rPr>
      </w:pPr>
    </w:p>
    <w:p w14:paraId="63CAE365">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br w:type="page"/>
      </w:r>
      <w:bookmarkStart w:id="989" w:name="_Toc10315"/>
      <w:r>
        <w:rPr>
          <w:rFonts w:hint="eastAsia" w:ascii="宋体" w:hAnsi="宋体" w:eastAsia="宋体" w:cs="宋体"/>
          <w:b/>
          <w:i w:val="0"/>
          <w:iCs w:val="0"/>
          <w:color w:val="auto"/>
          <w:spacing w:val="0"/>
          <w:position w:val="0"/>
          <w:sz w:val="36"/>
          <w:szCs w:val="36"/>
          <w:highlight w:val="none"/>
        </w:rPr>
        <w:t>第七章   投标文件格式</w:t>
      </w:r>
      <w:bookmarkEnd w:id="989"/>
    </w:p>
    <w:p w14:paraId="51972263">
      <w:pPr>
        <w:pageBreakBefore w:val="0"/>
        <w:tabs>
          <w:tab w:val="left" w:pos="900"/>
          <w:tab w:val="left" w:pos="1980"/>
        </w:tabs>
        <w:wordWrap/>
        <w:topLinePunct w:val="0"/>
        <w:bidi w:val="0"/>
        <w:snapToGrid w:val="0"/>
        <w:spacing w:line="360" w:lineRule="auto"/>
        <w:ind w:left="142"/>
        <w:rPr>
          <w:rFonts w:hint="eastAsia" w:ascii="宋体" w:hAnsi="宋体" w:eastAsia="宋体" w:cs="宋体"/>
          <w:b/>
          <w:i w:val="0"/>
          <w:iCs w:val="0"/>
          <w:color w:val="auto"/>
          <w:spacing w:val="0"/>
          <w:position w:val="0"/>
          <w:sz w:val="24"/>
          <w:highlight w:val="none"/>
        </w:rPr>
      </w:pPr>
    </w:p>
    <w:p w14:paraId="5FD99A70">
      <w:pPr>
        <w:pageBreakBefore w:val="0"/>
        <w:tabs>
          <w:tab w:val="left" w:pos="900"/>
          <w:tab w:val="left" w:pos="1980"/>
        </w:tabs>
        <w:wordWrap/>
        <w:topLinePunct w:val="0"/>
        <w:bidi w:val="0"/>
        <w:snapToGrid w:val="0"/>
        <w:spacing w:line="360" w:lineRule="auto"/>
        <w:ind w:left="142"/>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投标人编制文件须知</w:t>
      </w:r>
    </w:p>
    <w:p w14:paraId="56EB6BB7">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1.</w:t>
      </w:r>
      <w:r>
        <w:rPr>
          <w:rFonts w:hint="eastAsia" w:ascii="宋体" w:hAnsi="宋体" w:eastAsia="宋体" w:cs="宋体"/>
          <w:i w:val="0"/>
          <w:iCs w:val="0"/>
          <w:color w:val="auto"/>
          <w:spacing w:val="0"/>
          <w:position w:val="0"/>
          <w:sz w:val="24"/>
          <w:highlight w:val="none"/>
        </w:rPr>
        <w:t>投标人按照本部分的顺序编制投标文件（资格证明文件）、投标文件（商务技术文件），编制中涉及格式资料的，应按照本部分提供的内容和格式（所有表格的格式可扩展）填写提交。</w:t>
      </w:r>
    </w:p>
    <w:p w14:paraId="1236ED3F">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szCs w:val="24"/>
          <w:highlight w:val="none"/>
          <w:lang w:val="en-US" w:eastAsia="zh-CN" w:bidi="ar-SA"/>
        </w:rPr>
        <w:t>2.</w:t>
      </w:r>
      <w:r>
        <w:rPr>
          <w:rFonts w:hint="eastAsia" w:ascii="宋体" w:hAnsi="宋体" w:eastAsia="宋体" w:cs="宋体"/>
          <w:i w:val="0"/>
          <w:iCs w:val="0"/>
          <w:color w:val="auto"/>
          <w:spacing w:val="0"/>
          <w:kern w:val="0"/>
          <w:position w:val="0"/>
          <w:sz w:val="24"/>
          <w:highlight w:val="none"/>
        </w:rPr>
        <w:t>对于招标文件中标记了“实质性格式”文件的，</w:t>
      </w:r>
      <w:r>
        <w:rPr>
          <w:rFonts w:hint="eastAsia" w:ascii="宋体" w:hAnsi="宋体" w:eastAsia="宋体" w:cs="宋体"/>
          <w:i w:val="0"/>
          <w:iCs w:val="0"/>
          <w:color w:val="auto"/>
          <w:spacing w:val="0"/>
          <w:position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kern w:val="0"/>
          <w:position w:val="0"/>
          <w:sz w:val="24"/>
          <w:highlight w:val="none"/>
        </w:rPr>
        <w:t>。未标记“实质性格式”的文件和招标文件未提供格式的内容，可由投标人自行编写。</w:t>
      </w:r>
    </w:p>
    <w:p w14:paraId="4C004B64">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3.</w:t>
      </w:r>
      <w:r>
        <w:rPr>
          <w:rFonts w:hint="eastAsia" w:ascii="宋体" w:hAnsi="宋体" w:eastAsia="宋体" w:cs="宋体"/>
          <w:i w:val="0"/>
          <w:iCs w:val="0"/>
          <w:color w:val="auto"/>
          <w:spacing w:val="0"/>
          <w:position w:val="0"/>
          <w:sz w:val="24"/>
          <w:highlight w:val="none"/>
        </w:rPr>
        <w:t>全部声明和问题的回答及所附材料必须是真实的、准确的和完整的。</w:t>
      </w:r>
    </w:p>
    <w:p w14:paraId="617BB882">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02E9AE26">
      <w:pPr>
        <w:keepNext/>
        <w:keepLines/>
        <w:pageBreakBefore w:val="0"/>
        <w:wordWrap/>
        <w:topLinePunct w:val="0"/>
        <w:autoSpaceDE w:val="0"/>
        <w:autoSpaceDN w:val="0"/>
        <w:bidi w:val="0"/>
        <w:adjustRightInd w:val="0"/>
        <w:spacing w:before="120" w:line="360" w:lineRule="auto"/>
        <w:jc w:val="left"/>
        <w:outlineLvl w:val="1"/>
        <w:rPr>
          <w:rFonts w:hint="eastAsia" w:ascii="宋体" w:hAnsi="宋体" w:eastAsia="宋体" w:cs="宋体"/>
          <w:b/>
          <w:i w:val="0"/>
          <w:iCs w:val="0"/>
          <w:color w:val="auto"/>
          <w:spacing w:val="0"/>
          <w:kern w:val="0"/>
          <w:position w:val="0"/>
          <w:sz w:val="30"/>
          <w:szCs w:val="20"/>
          <w:highlight w:val="none"/>
        </w:rPr>
      </w:pPr>
      <w:r>
        <w:rPr>
          <w:rFonts w:hint="eastAsia" w:ascii="宋体" w:hAnsi="宋体" w:eastAsia="宋体" w:cs="宋体"/>
          <w:b/>
          <w:i w:val="0"/>
          <w:iCs w:val="0"/>
          <w:color w:val="auto"/>
          <w:spacing w:val="0"/>
          <w:position w:val="0"/>
          <w:sz w:val="24"/>
          <w:highlight w:val="none"/>
        </w:rPr>
        <w:t>一、资格证明文件格式</w:t>
      </w:r>
    </w:p>
    <w:p w14:paraId="6B818A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Cs w:val="21"/>
          <w:highlight w:val="none"/>
        </w:rPr>
      </w:pPr>
    </w:p>
    <w:p w14:paraId="3E8AE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投标文件（资格证明文件）封面（非实质性格式）</w:t>
      </w:r>
    </w:p>
    <w:p w14:paraId="126CB1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255FF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5C1E27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6EEE17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44826A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60655B3D">
      <w:pPr>
        <w:pageBreakBefore w:val="0"/>
        <w:wordWrap/>
        <w:topLinePunct w:val="0"/>
        <w:bidi w:val="0"/>
        <w:spacing w:line="360" w:lineRule="auto"/>
        <w:jc w:val="both"/>
        <w:rPr>
          <w:rFonts w:hint="eastAsia" w:ascii="宋体" w:hAnsi="宋体" w:eastAsia="宋体" w:cs="宋体"/>
          <w:i w:val="0"/>
          <w:iCs w:val="0"/>
          <w:color w:val="auto"/>
          <w:spacing w:val="0"/>
          <w:position w:val="0"/>
          <w:szCs w:val="21"/>
          <w:highlight w:val="none"/>
        </w:rPr>
      </w:pPr>
    </w:p>
    <w:p w14:paraId="7BBA9670">
      <w:pPr>
        <w:pageBreakBefore w:val="0"/>
        <w:wordWrap/>
        <w:topLinePunct w:val="0"/>
        <w:bidi w:val="0"/>
        <w:spacing w:line="360" w:lineRule="auto"/>
        <w:jc w:val="center"/>
        <w:rPr>
          <w:rFonts w:hint="eastAsia" w:ascii="宋体" w:hAnsi="宋体" w:eastAsia="宋体" w:cs="宋体"/>
          <w:b/>
          <w:i w:val="0"/>
          <w:iCs w:val="0"/>
          <w:color w:val="auto"/>
          <w:spacing w:val="0"/>
          <w:position w:val="0"/>
          <w:sz w:val="84"/>
          <w:szCs w:val="84"/>
          <w:highlight w:val="none"/>
        </w:rPr>
      </w:pPr>
      <w:r>
        <w:rPr>
          <w:rFonts w:hint="eastAsia" w:ascii="宋体" w:hAnsi="宋体" w:eastAsia="宋体" w:cs="宋体"/>
          <w:b/>
          <w:i w:val="0"/>
          <w:iCs w:val="0"/>
          <w:color w:val="auto"/>
          <w:spacing w:val="0"/>
          <w:position w:val="0"/>
          <w:sz w:val="84"/>
          <w:szCs w:val="84"/>
          <w:highlight w:val="none"/>
        </w:rPr>
        <w:t>投 标 文 件</w:t>
      </w:r>
    </w:p>
    <w:p w14:paraId="1A517925">
      <w:pPr>
        <w:pageBreakBefore w:val="0"/>
        <w:wordWrap/>
        <w:topLinePunct w:val="0"/>
        <w:bidi w:val="0"/>
        <w:spacing w:line="360" w:lineRule="auto"/>
        <w:jc w:val="center"/>
        <w:rPr>
          <w:rFonts w:hint="eastAsia" w:ascii="宋体" w:hAnsi="宋体" w:eastAsia="宋体" w:cs="宋体"/>
          <w:b/>
          <w:i w:val="0"/>
          <w:iCs w:val="0"/>
          <w:color w:val="auto"/>
          <w:spacing w:val="0"/>
          <w:position w:val="0"/>
          <w:sz w:val="52"/>
          <w:szCs w:val="52"/>
          <w:highlight w:val="none"/>
        </w:rPr>
      </w:pPr>
      <w:r>
        <w:rPr>
          <w:rFonts w:hint="eastAsia" w:ascii="宋体" w:hAnsi="宋体" w:eastAsia="宋体" w:cs="宋体"/>
          <w:b/>
          <w:i w:val="0"/>
          <w:iCs w:val="0"/>
          <w:color w:val="auto"/>
          <w:spacing w:val="0"/>
          <w:position w:val="0"/>
          <w:sz w:val="52"/>
          <w:szCs w:val="52"/>
          <w:highlight w:val="none"/>
        </w:rPr>
        <w:t>（资格证明文件）</w:t>
      </w:r>
    </w:p>
    <w:p w14:paraId="65426FA7">
      <w:pPr>
        <w:pageBreakBefore w:val="0"/>
        <w:wordWrap/>
        <w:topLinePunct w:val="0"/>
        <w:bidi w:val="0"/>
        <w:spacing w:line="360" w:lineRule="auto"/>
        <w:rPr>
          <w:rFonts w:hint="eastAsia" w:ascii="宋体" w:hAnsi="宋体" w:eastAsia="宋体" w:cs="宋体"/>
          <w:b/>
          <w:i w:val="0"/>
          <w:iCs w:val="0"/>
          <w:color w:val="auto"/>
          <w:spacing w:val="0"/>
          <w:position w:val="0"/>
          <w:sz w:val="32"/>
          <w:szCs w:val="32"/>
          <w:highlight w:val="none"/>
        </w:rPr>
      </w:pPr>
    </w:p>
    <w:p w14:paraId="7128ACD5">
      <w:pPr>
        <w:pageBreakBefore w:val="0"/>
        <w:wordWrap/>
        <w:topLinePunct w:val="0"/>
        <w:bidi w:val="0"/>
        <w:spacing w:line="360" w:lineRule="auto"/>
        <w:rPr>
          <w:rFonts w:hint="eastAsia" w:ascii="宋体" w:hAnsi="宋体" w:eastAsia="宋体" w:cs="宋体"/>
          <w:b/>
          <w:i w:val="0"/>
          <w:iCs w:val="0"/>
          <w:color w:val="auto"/>
          <w:spacing w:val="0"/>
          <w:position w:val="0"/>
          <w:sz w:val="32"/>
          <w:szCs w:val="32"/>
          <w:highlight w:val="none"/>
        </w:rPr>
      </w:pPr>
    </w:p>
    <w:p w14:paraId="7AFAA421">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lang w:eastAsia="zh-CN"/>
        </w:rPr>
      </w:pPr>
      <w:r>
        <w:rPr>
          <w:rFonts w:hint="eastAsia" w:ascii="宋体" w:hAnsi="宋体" w:eastAsia="宋体" w:cs="宋体"/>
          <w:b/>
          <w:i w:val="0"/>
          <w:iCs w:val="0"/>
          <w:color w:val="auto"/>
          <w:spacing w:val="0"/>
          <w:position w:val="0"/>
          <w:sz w:val="32"/>
          <w:szCs w:val="32"/>
          <w:highlight w:val="none"/>
        </w:rPr>
        <w:t>项目名称</w:t>
      </w:r>
      <w:r>
        <w:rPr>
          <w:rFonts w:hint="eastAsia" w:ascii="宋体" w:hAnsi="宋体" w:eastAsia="宋体" w:cs="宋体"/>
          <w:b/>
          <w:i w:val="0"/>
          <w:iCs w:val="0"/>
          <w:color w:val="auto"/>
          <w:spacing w:val="0"/>
          <w:position w:val="0"/>
          <w:sz w:val="32"/>
          <w:szCs w:val="32"/>
          <w:highlight w:val="none"/>
          <w:lang w:eastAsia="zh-CN"/>
        </w:rPr>
        <w:t>：</w:t>
      </w:r>
    </w:p>
    <w:p w14:paraId="16109F2B">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项目编号/包号：</w:t>
      </w:r>
    </w:p>
    <w:p w14:paraId="76AC3EA5">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76E8E757">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13DE0C4A">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246DC76">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67D76231">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514BAE6A">
      <w:pPr>
        <w:pageBreakBefore w:val="0"/>
        <w:wordWrap/>
        <w:topLinePunct w:val="0"/>
        <w:bidi w:val="0"/>
        <w:spacing w:line="360" w:lineRule="auto"/>
        <w:ind w:firstLine="1285" w:firstLineChars="400"/>
        <w:jc w:val="left"/>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投标人名称：</w:t>
      </w:r>
    </w:p>
    <w:p w14:paraId="153737AC">
      <w:pPr>
        <w:pageBreakBefore w:val="0"/>
        <w:wordWrap/>
        <w:topLinePunct w:val="0"/>
        <w:bidi w:val="0"/>
        <w:spacing w:line="360" w:lineRule="auto"/>
        <w:rPr>
          <w:rFonts w:hint="eastAsia" w:ascii="宋体" w:hAnsi="宋体" w:eastAsia="宋体" w:cs="宋体"/>
          <w:b/>
          <w:i w:val="0"/>
          <w:iCs w:val="0"/>
          <w:color w:val="auto"/>
          <w:spacing w:val="0"/>
          <w:position w:val="0"/>
          <w:highlight w:val="none"/>
        </w:rPr>
      </w:pPr>
      <w:r>
        <w:rPr>
          <w:rFonts w:hint="eastAsia" w:ascii="宋体" w:hAnsi="宋体" w:eastAsia="宋体" w:cs="宋体"/>
          <w:b/>
          <w:i w:val="0"/>
          <w:iCs w:val="0"/>
          <w:color w:val="auto"/>
          <w:spacing w:val="0"/>
          <w:position w:val="0"/>
          <w:sz w:val="32"/>
          <w:szCs w:val="32"/>
          <w:highlight w:val="none"/>
        </w:rPr>
        <w:br w:type="page"/>
      </w:r>
    </w:p>
    <w:p w14:paraId="611C03DA">
      <w:pPr>
        <w:pageBreakBefore w:val="0"/>
        <w:numPr>
          <w:ilvl w:val="0"/>
          <w:numId w:val="19"/>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highlight w:val="none"/>
        </w:rPr>
        <w:t>满足《中华人民共和国政府采购法》第二十二条规定</w:t>
      </w:r>
    </w:p>
    <w:p w14:paraId="23433F7F">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1-1 营业执照等证明文件</w:t>
      </w:r>
    </w:p>
    <w:p w14:paraId="0FF9CDC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20C9F66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2FA2A22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63D05F9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522D083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49180EF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1159692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401AB1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9E3E0F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0F3AF1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5363564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7A3438CE">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highlight w:val="none"/>
        </w:rPr>
        <w:br w:type="page"/>
      </w:r>
    </w:p>
    <w:p w14:paraId="38640244">
      <w:pPr>
        <w:pStyle w:val="4"/>
        <w:pageBreakBefore w:val="0"/>
        <w:wordWrap/>
        <w:topLinePunct w:val="0"/>
        <w:bidi w:val="0"/>
        <w:spacing w:line="360" w:lineRule="auto"/>
        <w:rPr>
          <w:rFonts w:hint="eastAsia" w:ascii="宋体" w:hAnsi="宋体" w:eastAsia="宋体" w:cs="宋体"/>
          <w:b w:val="0"/>
          <w:bCs/>
          <w:i w:val="0"/>
          <w:iCs w:val="0"/>
          <w:color w:val="auto"/>
          <w:spacing w:val="0"/>
          <w:position w:val="0"/>
          <w:highlight w:val="none"/>
          <w:u w:val="none"/>
        </w:rPr>
      </w:pPr>
      <w:r>
        <w:rPr>
          <w:rFonts w:hint="eastAsia" w:ascii="宋体" w:hAnsi="宋体" w:eastAsia="宋体" w:cs="宋体"/>
          <w:b w:val="0"/>
          <w:i w:val="0"/>
          <w:iCs w:val="0"/>
          <w:color w:val="auto"/>
          <w:spacing w:val="0"/>
          <w:position w:val="0"/>
          <w:highlight w:val="none"/>
          <w:u w:val="none"/>
        </w:rPr>
        <w:t>1-2 投标人资格声明书</w:t>
      </w:r>
    </w:p>
    <w:p w14:paraId="01DBC9A4">
      <w:pPr>
        <w:pageBreakBefore w:val="0"/>
        <w:wordWrap/>
        <w:topLinePunct w:val="0"/>
        <w:bidi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36"/>
          <w:szCs w:val="36"/>
          <w:highlight w:val="none"/>
        </w:rPr>
        <w:t>投标人资格声明书</w:t>
      </w:r>
    </w:p>
    <w:p w14:paraId="289FB4CF">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5611B857">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在参与本次项目投标中，我单位承诺：</w:t>
      </w:r>
    </w:p>
    <w:p w14:paraId="546EBB74">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具有良好的商业信誉和健全的财务会计制度；</w:t>
      </w:r>
    </w:p>
    <w:p w14:paraId="39F8B1CA">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具有履行合同所必需的设备和专业技术能力；</w:t>
      </w:r>
    </w:p>
    <w:p w14:paraId="385FE7C7">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有依法缴纳税收和社会保障资金的良好记录；</w:t>
      </w:r>
    </w:p>
    <w:p w14:paraId="3A4F3878">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7B65A14">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我单位不属于政府采购法律、行政法规规定的公益一类事业单位、或使用事业编制且由财政拨款保障的群团组织（仅适用于政府购买服务项目）；</w:t>
      </w:r>
    </w:p>
    <w:p w14:paraId="256349AF">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我单位不存在为采购项目提供整体设计、规范编制或者项目管理、监理、检测等服务后，再参加该采购项目的其他采购活动的情形（单一来源采购项目除外）；</w:t>
      </w:r>
    </w:p>
    <w:p w14:paraId="7D78D418">
      <w:pPr>
        <w:pageBreakBefore w:val="0"/>
        <w:numPr>
          <w:ilvl w:val="0"/>
          <w:numId w:val="20"/>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4"/>
        <w:tblW w:w="4999" w:type="pct"/>
        <w:jc w:val="righ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62"/>
        <w:gridCol w:w="5116"/>
        <w:gridCol w:w="2883"/>
      </w:tblGrid>
      <w:tr w14:paraId="7530B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057473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序号</w:t>
            </w:r>
          </w:p>
        </w:tc>
        <w:tc>
          <w:tcPr>
            <w:tcW w:w="2822" w:type="pct"/>
            <w:vAlign w:val="center"/>
          </w:tcPr>
          <w:p w14:paraId="6F4A8B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单位名称</w:t>
            </w:r>
          </w:p>
        </w:tc>
        <w:tc>
          <w:tcPr>
            <w:tcW w:w="1590" w:type="pct"/>
            <w:vAlign w:val="center"/>
          </w:tcPr>
          <w:p w14:paraId="2459CE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相互关系</w:t>
            </w:r>
          </w:p>
        </w:tc>
      </w:tr>
      <w:tr w14:paraId="29815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3D46EB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w:t>
            </w:r>
          </w:p>
        </w:tc>
        <w:tc>
          <w:tcPr>
            <w:tcW w:w="2822" w:type="pct"/>
            <w:vAlign w:val="center"/>
          </w:tcPr>
          <w:p w14:paraId="6E122C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226E6E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4188A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2CDE6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w:t>
            </w:r>
          </w:p>
        </w:tc>
        <w:tc>
          <w:tcPr>
            <w:tcW w:w="2822" w:type="pct"/>
            <w:vAlign w:val="center"/>
          </w:tcPr>
          <w:p w14:paraId="46F66E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24E64F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31AD8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756897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w:t>
            </w:r>
          </w:p>
        </w:tc>
        <w:tc>
          <w:tcPr>
            <w:tcW w:w="2822" w:type="pct"/>
            <w:vAlign w:val="center"/>
          </w:tcPr>
          <w:p w14:paraId="28F2B5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544C0F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bl>
    <w:p w14:paraId="6CBFBF11">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上述声明真实有效，否则我方负全部责任。</w:t>
      </w:r>
    </w:p>
    <w:p w14:paraId="332F38E4">
      <w:pPr>
        <w:pageBreakBefore w:val="0"/>
        <w:wordWrap/>
        <w:topLinePunct w:val="0"/>
        <w:autoSpaceDE w:val="0"/>
        <w:autoSpaceDN w:val="0"/>
        <w:bidi w:val="0"/>
        <w:adjustRightInd w:val="0"/>
        <w:snapToGrid w:val="0"/>
        <w:spacing w:before="25" w:after="25" w:line="360" w:lineRule="auto"/>
        <w:jc w:val="right"/>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5DD3E0A8">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0"/>
          <w:highlight w:val="none"/>
        </w:rPr>
        <w:t>日期：_____年______月______日</w:t>
      </w:r>
    </w:p>
    <w:p w14:paraId="58C3E4E9">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说明：供应商承诺不实的，依据《政府采购法》第七十七条“提供虚假材料谋取中标、成交的”有关规定予以处理。</w:t>
      </w:r>
      <w:r>
        <w:rPr>
          <w:rFonts w:hint="eastAsia" w:ascii="宋体" w:hAnsi="宋体" w:eastAsia="宋体" w:cs="宋体"/>
          <w:i w:val="0"/>
          <w:iCs w:val="0"/>
          <w:color w:val="auto"/>
          <w:spacing w:val="0"/>
          <w:position w:val="0"/>
          <w:sz w:val="24"/>
          <w:highlight w:val="none"/>
        </w:rPr>
        <w:br w:type="page"/>
      </w:r>
    </w:p>
    <w:p w14:paraId="774052E8">
      <w:pPr>
        <w:pageBreakBefore w:val="0"/>
        <w:numPr>
          <w:ilvl w:val="0"/>
          <w:numId w:val="19"/>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落实政府采购政策需满足的资格要求（如有）</w:t>
      </w:r>
    </w:p>
    <w:p w14:paraId="6AE1E09D">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2-1 中小企业政策证明文件</w:t>
      </w:r>
    </w:p>
    <w:p w14:paraId="5A9DB571">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4B2535A7">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A2F5690">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D39D622">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FCC785B">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（4）如本项目（包）预留部分采购项目预算专门面向中小企业采购，且要求供应商以联合体形式参加采购活动</w:t>
      </w:r>
      <w:r>
        <w:rPr>
          <w:rFonts w:hint="eastAsia" w:ascii="宋体" w:hAnsi="宋体" w:eastAsia="宋体" w:cs="宋体"/>
          <w:i w:val="0"/>
          <w:iCs w:val="0"/>
          <w:color w:val="auto"/>
          <w:spacing w:val="0"/>
          <w:position w:val="0"/>
          <w:highlight w:val="none"/>
        </w:rPr>
        <w:t>，</w:t>
      </w:r>
      <w:bookmarkStart w:id="990" w:name="_Hlk145526067"/>
      <w:r>
        <w:rPr>
          <w:rFonts w:hint="eastAsia" w:ascii="宋体" w:hAnsi="宋体" w:eastAsia="宋体" w:cs="宋体"/>
          <w:i w:val="0"/>
          <w:iCs w:val="0"/>
          <w:color w:val="auto"/>
          <w:spacing w:val="0"/>
          <w:position w:val="0"/>
          <w:sz w:val="24"/>
          <w:highlight w:val="none"/>
        </w:rPr>
        <w:t>如供应商为联合体的，</w:t>
      </w:r>
      <w:bookmarkEnd w:id="990"/>
      <w:r>
        <w:rPr>
          <w:rFonts w:hint="eastAsia" w:ascii="宋体" w:hAnsi="宋体" w:eastAsia="宋体" w:cs="宋体"/>
          <w:i w:val="0"/>
          <w:iCs w:val="0"/>
          <w:color w:val="auto"/>
          <w:spacing w:val="0"/>
          <w:position w:val="0"/>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EF2C971">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（5）中小企业声明函填写注意事项</w:t>
      </w:r>
    </w:p>
    <w:p w14:paraId="3A508658">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1）《中小企业声明函》由参加政府采购活动的投标人出具。联合体投标的，《中小企业声明函》可由牵头人出具。</w:t>
      </w:r>
    </w:p>
    <w:p w14:paraId="237ABEBD">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CAB9241">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3）对于多标的采购项目，投标人应充分、准确地了解所提供货物的制造企业、提供服务的承接企业信息。对相关情况了解不清楚的，不建议填报本声明函。</w:t>
      </w:r>
    </w:p>
    <w:p w14:paraId="04CDF59A">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7523AE5F">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p>
    <w:p w14:paraId="44841FC1">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72462B47">
      <w:pPr>
        <w:pStyle w:val="5"/>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highlight w:val="none"/>
        </w:rPr>
        <w:t>2-1-1 中小企业证明文件</w:t>
      </w:r>
    </w:p>
    <w:p w14:paraId="6F9CA13B">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CD7C774">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088C519D">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326709DA">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43108866">
      <w:pPr>
        <w:spacing w:line="360" w:lineRule="auto"/>
        <w:ind w:firstLine="504"/>
        <w:rPr>
          <w:spacing w:val="6"/>
          <w:sz w:val="24"/>
          <w:highlight w:val="none"/>
        </w:rPr>
      </w:pPr>
      <w:r>
        <w:rPr>
          <w:spacing w:val="6"/>
          <w:sz w:val="24"/>
          <w:highlight w:val="none"/>
        </w:rPr>
        <w:t>……</w:t>
      </w:r>
    </w:p>
    <w:p w14:paraId="5A1D479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FB5F77C">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5A4D4C05">
      <w:pPr>
        <w:spacing w:line="360" w:lineRule="auto"/>
        <w:ind w:firstLine="504"/>
        <w:rPr>
          <w:spacing w:val="6"/>
          <w:sz w:val="24"/>
          <w:highlight w:val="none"/>
        </w:rPr>
      </w:pPr>
    </w:p>
    <w:p w14:paraId="08E37176">
      <w:pPr>
        <w:spacing w:line="360" w:lineRule="auto"/>
        <w:ind w:right="360" w:firstLine="480"/>
        <w:jc w:val="right"/>
        <w:rPr>
          <w:color w:val="000000"/>
          <w:sz w:val="24"/>
          <w:highlight w:val="none"/>
        </w:rPr>
      </w:pPr>
      <w:r>
        <w:rPr>
          <w:color w:val="000000"/>
          <w:sz w:val="24"/>
          <w:highlight w:val="none"/>
        </w:rPr>
        <w:t>企业名称（盖章）：________</w:t>
      </w:r>
    </w:p>
    <w:p w14:paraId="6EEC9744">
      <w:pPr>
        <w:spacing w:line="360" w:lineRule="auto"/>
        <w:ind w:right="360" w:firstLine="480"/>
        <w:jc w:val="right"/>
        <w:rPr>
          <w:color w:val="000000"/>
          <w:sz w:val="24"/>
          <w:highlight w:val="none"/>
        </w:rPr>
      </w:pPr>
      <w:r>
        <w:rPr>
          <w:color w:val="000000"/>
          <w:sz w:val="24"/>
          <w:highlight w:val="none"/>
        </w:rPr>
        <w:t>日 期：________</w:t>
      </w:r>
    </w:p>
    <w:p w14:paraId="0CDDDB90">
      <w:pPr>
        <w:spacing w:line="360" w:lineRule="auto"/>
        <w:ind w:right="360" w:firstLine="480"/>
        <w:jc w:val="right"/>
        <w:rPr>
          <w:color w:val="000000"/>
          <w:sz w:val="24"/>
          <w:highlight w:val="none"/>
        </w:rPr>
      </w:pPr>
    </w:p>
    <w:p w14:paraId="71ED888B">
      <w:pPr>
        <w:spacing w:line="360" w:lineRule="auto"/>
        <w:ind w:right="360" w:firstLine="480"/>
        <w:jc w:val="right"/>
        <w:rPr>
          <w:color w:val="000000"/>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018D63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521603C">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846537E">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vertAlign w:val="superscript"/>
        </w:rPr>
      </w:pPr>
    </w:p>
    <w:p w14:paraId="32C3B7E1">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30E46174">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74DC407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18C6E207">
      <w:pPr>
        <w:pageBreakBefore w:val="0"/>
        <w:wordWrap/>
        <w:topLinePunct w:val="0"/>
        <w:bidi w:val="0"/>
        <w:spacing w:before="240" w:beforeLines="100" w:after="240" w:afterLines="100"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bCs/>
          <w:i w:val="0"/>
          <w:iCs w:val="0"/>
          <w:color w:val="auto"/>
          <w:spacing w:val="0"/>
          <w:position w:val="0"/>
          <w:sz w:val="36"/>
          <w:szCs w:val="36"/>
          <w:highlight w:val="none"/>
        </w:rPr>
        <w:t>残疾人福利性单位声明函格式</w:t>
      </w:r>
    </w:p>
    <w:p w14:paraId="678A38D8">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本单位郑重声明，根据《财政部 民政部 中国残疾人联合会关于促进残疾人就业政府采购政策的通知》（财库〔2017〕 141号）的规定，本单位</w:t>
      </w:r>
      <w:r>
        <w:rPr>
          <w:rFonts w:hint="eastAsia" w:ascii="宋体" w:hAnsi="宋体" w:eastAsia="宋体" w:cs="宋体"/>
          <w:b/>
          <w:i w:val="0"/>
          <w:iCs w:val="0"/>
          <w:color w:val="auto"/>
          <w:spacing w:val="0"/>
          <w:position w:val="0"/>
          <w:sz w:val="24"/>
          <w:highlight w:val="none"/>
        </w:rPr>
        <w:t>（请进行选择）</w:t>
      </w:r>
      <w:r>
        <w:rPr>
          <w:rFonts w:hint="eastAsia" w:ascii="宋体" w:hAnsi="宋体" w:eastAsia="宋体" w:cs="宋体"/>
          <w:i w:val="0"/>
          <w:iCs w:val="0"/>
          <w:color w:val="auto"/>
          <w:spacing w:val="0"/>
          <w:position w:val="0"/>
          <w:sz w:val="24"/>
          <w:highlight w:val="none"/>
        </w:rPr>
        <w:t>：</w:t>
      </w:r>
    </w:p>
    <w:p w14:paraId="6828B286">
      <w:pPr>
        <w:pageBreakBefore w:val="0"/>
        <w:wordWrap/>
        <w:topLinePunct w:val="0"/>
        <w:bidi w:val="0"/>
        <w:spacing w:line="360" w:lineRule="auto"/>
        <w:ind w:firstLine="482"/>
        <w:rPr>
          <w:rFonts w:hint="eastAsia" w:ascii="宋体" w:hAnsi="宋体" w:eastAsia="宋体" w:cs="宋体"/>
          <w:b/>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不属于符合条件的残疾人福利性单位。</w:t>
      </w:r>
    </w:p>
    <w:p w14:paraId="2EA7D1D3">
      <w:pPr>
        <w:pageBreakBefore w:val="0"/>
        <w:wordWrap/>
        <w:topLinePunct w:val="0"/>
        <w:bidi w:val="0"/>
        <w:spacing w:line="360" w:lineRule="auto"/>
        <w:ind w:firstLine="482"/>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属于符合条件的残疾人福利性单位，</w:t>
      </w:r>
      <w:r>
        <w:rPr>
          <w:rFonts w:hint="eastAsia" w:ascii="宋体" w:hAnsi="宋体" w:eastAsia="宋体" w:cs="宋体"/>
          <w:i w:val="0"/>
          <w:iCs w:val="0"/>
          <w:color w:val="auto"/>
          <w:spacing w:val="0"/>
          <w:position w:val="0"/>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717905">
      <w:pPr>
        <w:pageBreakBefore w:val="0"/>
        <w:wordWrap/>
        <w:topLinePunct w:val="0"/>
        <w:bidi w:val="0"/>
        <w:spacing w:line="360" w:lineRule="auto"/>
        <w:ind w:firstLine="482"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本单位对上述声明的真实性负责。如有虚假，将依法承担相应责任。</w:t>
      </w:r>
    </w:p>
    <w:p w14:paraId="09B866E5">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11FFBED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1847B550">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单位名称（盖章）：</w:t>
      </w:r>
    </w:p>
    <w:p w14:paraId="57026736">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日  期：</w:t>
      </w:r>
    </w:p>
    <w:p w14:paraId="79DC8632">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5FC46889">
      <w:pPr>
        <w:pStyle w:val="5"/>
        <w:pageBreakBefore w:val="0"/>
        <w:wordWrap/>
        <w:topLinePunct w:val="0"/>
        <w:bidi w:val="0"/>
        <w:spacing w:line="360" w:lineRule="auto"/>
        <w:rPr>
          <w:rFonts w:hint="default" w:ascii="宋体" w:hAnsi="宋体" w:eastAsia="宋体" w:cs="宋体"/>
          <w:i w:val="0"/>
          <w:iCs w:val="0"/>
          <w:color w:val="auto"/>
          <w:spacing w:val="0"/>
          <w:position w:val="0"/>
          <w:sz w:val="30"/>
          <w:szCs w:val="30"/>
          <w:highlight w:val="none"/>
          <w:lang w:val="en-US" w:eastAsia="zh-CN"/>
        </w:rPr>
      </w:pPr>
      <w:r>
        <w:rPr>
          <w:rFonts w:hint="eastAsia" w:ascii="宋体" w:hAnsi="宋体" w:eastAsia="宋体" w:cs="宋体"/>
          <w:i w:val="0"/>
          <w:iCs w:val="0"/>
          <w:color w:val="auto"/>
          <w:spacing w:val="0"/>
          <w:position w:val="0"/>
          <w:highlight w:val="none"/>
        </w:rPr>
        <w:t>2-1-2 拟分包情况说明及分包意向协议</w:t>
      </w:r>
      <w:r>
        <w:rPr>
          <w:rFonts w:hint="eastAsia" w:ascii="宋体" w:hAnsi="宋体" w:cs="宋体"/>
          <w:i w:val="0"/>
          <w:iCs w:val="0"/>
          <w:color w:val="auto"/>
          <w:spacing w:val="0"/>
          <w:position w:val="0"/>
          <w:highlight w:val="none"/>
          <w:lang w:eastAsia="zh-CN"/>
        </w:rPr>
        <w:t>（</w:t>
      </w:r>
      <w:r>
        <w:rPr>
          <w:rFonts w:hint="eastAsia" w:ascii="宋体" w:hAnsi="宋体" w:cs="宋体"/>
          <w:i w:val="0"/>
          <w:iCs w:val="0"/>
          <w:color w:val="auto"/>
          <w:spacing w:val="0"/>
          <w:position w:val="0"/>
          <w:highlight w:val="none"/>
          <w:lang w:val="en-US" w:eastAsia="zh-CN"/>
        </w:rPr>
        <w:t>不适用）</w:t>
      </w:r>
    </w:p>
    <w:p w14:paraId="466A0DF2">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51ECE9F9">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 xml:space="preserve">2-2 </w:t>
      </w:r>
      <w:r>
        <w:rPr>
          <w:rFonts w:hint="eastAsia" w:ascii="宋体" w:hAnsi="宋体" w:eastAsia="宋体" w:cs="宋体"/>
          <w:i w:val="0"/>
          <w:iCs w:val="0"/>
          <w:color w:val="auto"/>
          <w:spacing w:val="0"/>
          <w:position w:val="0"/>
          <w:sz w:val="24"/>
          <w:highlight w:val="none"/>
        </w:rPr>
        <w:t>其它落实政府采购政策的资格要求</w:t>
      </w:r>
      <w:r>
        <w:rPr>
          <w:rFonts w:hint="eastAsia" w:ascii="宋体" w:hAnsi="宋体" w:eastAsia="宋体" w:cs="宋体"/>
          <w:i w:val="0"/>
          <w:iCs w:val="0"/>
          <w:color w:val="auto"/>
          <w:spacing w:val="0"/>
          <w:position w:val="0"/>
          <w:sz w:val="24"/>
          <w:szCs w:val="20"/>
          <w:highlight w:val="none"/>
        </w:rPr>
        <w:t>（如有）</w:t>
      </w:r>
    </w:p>
    <w:p w14:paraId="1050445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430BF17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B75854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04B5DF4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4E54604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6DD1839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57FB4EF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07DA5C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382ACA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5E560AD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7672B7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36C925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0CD31B47">
      <w:pPr>
        <w:pageBreakBefore w:val="0"/>
        <w:numPr>
          <w:ilvl w:val="0"/>
          <w:numId w:val="19"/>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本项目的特定资格要求</w:t>
      </w:r>
      <w:r>
        <w:rPr>
          <w:rFonts w:hint="eastAsia" w:ascii="宋体" w:hAnsi="宋体" w:eastAsia="宋体" w:cs="宋体"/>
          <w:i w:val="0"/>
          <w:iCs w:val="0"/>
          <w:color w:val="auto"/>
          <w:spacing w:val="0"/>
          <w:position w:val="0"/>
          <w:sz w:val="24"/>
          <w:szCs w:val="20"/>
          <w:highlight w:val="none"/>
        </w:rPr>
        <w:t>（如有）</w:t>
      </w:r>
    </w:p>
    <w:p w14:paraId="25165CAE">
      <w:pPr>
        <w:pageBreakBefore w:val="0"/>
        <w:wordWrap/>
        <w:topLinePunct w:val="0"/>
        <w:bidi w:val="0"/>
        <w:spacing w:line="360" w:lineRule="auto"/>
        <w:outlineLvl w:val="2"/>
        <w:rPr>
          <w:rFonts w:hint="default" w:ascii="宋体" w:hAnsi="宋体" w:eastAsia="宋体" w:cs="宋体"/>
          <w:i w:val="0"/>
          <w:iCs w:val="0"/>
          <w:color w:val="auto"/>
          <w:spacing w:val="0"/>
          <w:position w:val="0"/>
          <w:sz w:val="24"/>
          <w:szCs w:val="20"/>
          <w:highlight w:val="none"/>
          <w:lang w:val="en-US" w:eastAsia="zh-CN"/>
        </w:rPr>
      </w:pPr>
      <w:r>
        <w:rPr>
          <w:rFonts w:hint="eastAsia" w:ascii="宋体" w:hAnsi="宋体" w:eastAsia="宋体" w:cs="宋体"/>
          <w:i w:val="0"/>
          <w:iCs w:val="0"/>
          <w:color w:val="auto"/>
          <w:spacing w:val="0"/>
          <w:position w:val="0"/>
          <w:sz w:val="24"/>
          <w:szCs w:val="20"/>
          <w:highlight w:val="none"/>
        </w:rPr>
        <w:t>3-1 联合协议（如有）</w:t>
      </w:r>
      <w:r>
        <w:rPr>
          <w:rFonts w:hint="eastAsia" w:ascii="宋体" w:hAnsi="宋体" w:cs="宋体"/>
          <w:i w:val="0"/>
          <w:iCs w:val="0"/>
          <w:color w:val="auto"/>
          <w:spacing w:val="0"/>
          <w:position w:val="0"/>
          <w:sz w:val="24"/>
          <w:szCs w:val="20"/>
          <w:highlight w:val="none"/>
          <w:lang w:eastAsia="zh-CN"/>
        </w:rPr>
        <w:t>（</w:t>
      </w:r>
      <w:r>
        <w:rPr>
          <w:rFonts w:hint="eastAsia" w:ascii="宋体" w:hAnsi="宋体" w:cs="宋体"/>
          <w:i w:val="0"/>
          <w:iCs w:val="0"/>
          <w:color w:val="auto"/>
          <w:spacing w:val="0"/>
          <w:position w:val="0"/>
          <w:sz w:val="24"/>
          <w:szCs w:val="20"/>
          <w:highlight w:val="none"/>
          <w:lang w:val="en-US" w:eastAsia="zh-CN"/>
        </w:rPr>
        <w:t>不适用）</w:t>
      </w:r>
    </w:p>
    <w:p w14:paraId="190F40DD">
      <w:pPr>
        <w:pageBreakBefore w:val="0"/>
        <w:wordWrap/>
        <w:topLinePunct w:val="0"/>
        <w:bidi w:val="0"/>
        <w:spacing w:line="360" w:lineRule="auto"/>
        <w:ind w:left="719" w:leftChars="228" w:hanging="240" w:hangingChars="1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6B24D668">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3-2 其他特定资格要求</w:t>
      </w:r>
    </w:p>
    <w:p w14:paraId="2CB87B9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3AB0A15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21B8DFC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711C510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69DE856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4AE38EF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205DD95B">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44131017">
      <w:pPr>
        <w:pageBreakBefore w:val="0"/>
        <w:numPr>
          <w:ilvl w:val="0"/>
          <w:numId w:val="19"/>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投标保证金凭证/交款单据电子件</w:t>
      </w:r>
    </w:p>
    <w:p w14:paraId="6A03092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B7AD9C3">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37EE60C2">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2EC9BEC">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C31B6A1">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E5282A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97B795F">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2620DAFE">
      <w:pPr>
        <w:pageBreakBefore w:val="0"/>
        <w:widowControl/>
        <w:wordWrap/>
        <w:topLinePunct w:val="0"/>
        <w:bidi w:val="0"/>
        <w:spacing w:line="360" w:lineRule="auto"/>
        <w:jc w:val="left"/>
        <w:rPr>
          <w:rFonts w:hint="eastAsia" w:ascii="宋体" w:hAnsi="宋体" w:eastAsia="宋体" w:cs="宋体"/>
          <w:i w:val="0"/>
          <w:iCs w:val="0"/>
          <w:color w:val="auto"/>
          <w:spacing w:val="0"/>
          <w:kern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D507124">
      <w:pPr>
        <w:keepNext/>
        <w:keepLines/>
        <w:pageBreakBefore w:val="0"/>
        <w:wordWrap/>
        <w:topLinePunct w:val="0"/>
        <w:autoSpaceDE w:val="0"/>
        <w:autoSpaceDN w:val="0"/>
        <w:bidi w:val="0"/>
        <w:adjustRightInd w:val="0"/>
        <w:spacing w:before="120" w:line="360" w:lineRule="auto"/>
        <w:jc w:val="left"/>
        <w:outlineLvl w:val="1"/>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二、商务技术文件格式</w:t>
      </w:r>
    </w:p>
    <w:p w14:paraId="6CFB2C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Cs w:val="21"/>
          <w:highlight w:val="none"/>
        </w:rPr>
      </w:pPr>
    </w:p>
    <w:p w14:paraId="42D753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投标文件（商务技术文件）封面（非实质性格式）</w:t>
      </w:r>
    </w:p>
    <w:p w14:paraId="70951B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17B593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576672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04C3B539">
      <w:pPr>
        <w:pageBreakBefore w:val="0"/>
        <w:wordWrap/>
        <w:topLinePunct w:val="0"/>
        <w:bidi w:val="0"/>
        <w:spacing w:line="360" w:lineRule="auto"/>
        <w:jc w:val="both"/>
        <w:rPr>
          <w:rFonts w:hint="eastAsia" w:ascii="宋体" w:hAnsi="宋体" w:eastAsia="宋体" w:cs="宋体"/>
          <w:i w:val="0"/>
          <w:iCs w:val="0"/>
          <w:color w:val="auto"/>
          <w:spacing w:val="0"/>
          <w:position w:val="0"/>
          <w:szCs w:val="21"/>
          <w:highlight w:val="none"/>
        </w:rPr>
      </w:pPr>
    </w:p>
    <w:p w14:paraId="163D9452">
      <w:pPr>
        <w:pageBreakBefore w:val="0"/>
        <w:wordWrap/>
        <w:topLinePunct w:val="0"/>
        <w:bidi w:val="0"/>
        <w:spacing w:line="360" w:lineRule="auto"/>
        <w:jc w:val="center"/>
        <w:rPr>
          <w:rFonts w:hint="eastAsia" w:ascii="宋体" w:hAnsi="宋体" w:eastAsia="宋体" w:cs="宋体"/>
          <w:b/>
          <w:i w:val="0"/>
          <w:iCs w:val="0"/>
          <w:color w:val="auto"/>
          <w:spacing w:val="0"/>
          <w:position w:val="0"/>
          <w:sz w:val="84"/>
          <w:szCs w:val="84"/>
          <w:highlight w:val="none"/>
        </w:rPr>
      </w:pPr>
      <w:r>
        <w:rPr>
          <w:rFonts w:hint="eastAsia" w:ascii="宋体" w:hAnsi="宋体" w:eastAsia="宋体" w:cs="宋体"/>
          <w:b/>
          <w:i w:val="0"/>
          <w:iCs w:val="0"/>
          <w:color w:val="auto"/>
          <w:spacing w:val="0"/>
          <w:position w:val="0"/>
          <w:sz w:val="84"/>
          <w:szCs w:val="84"/>
          <w:highlight w:val="none"/>
        </w:rPr>
        <w:t>投 标 文 件</w:t>
      </w:r>
    </w:p>
    <w:p w14:paraId="35EB5B9A">
      <w:pPr>
        <w:pageBreakBefore w:val="0"/>
        <w:wordWrap/>
        <w:topLinePunct w:val="0"/>
        <w:bidi w:val="0"/>
        <w:spacing w:line="360" w:lineRule="auto"/>
        <w:jc w:val="center"/>
        <w:rPr>
          <w:rFonts w:hint="eastAsia" w:ascii="宋体" w:hAnsi="宋体" w:eastAsia="宋体" w:cs="宋体"/>
          <w:b/>
          <w:i w:val="0"/>
          <w:iCs w:val="0"/>
          <w:color w:val="auto"/>
          <w:spacing w:val="0"/>
          <w:position w:val="0"/>
          <w:sz w:val="52"/>
          <w:szCs w:val="52"/>
          <w:highlight w:val="none"/>
        </w:rPr>
      </w:pPr>
      <w:r>
        <w:rPr>
          <w:rFonts w:hint="eastAsia" w:ascii="宋体" w:hAnsi="宋体" w:eastAsia="宋体" w:cs="宋体"/>
          <w:b/>
          <w:i w:val="0"/>
          <w:iCs w:val="0"/>
          <w:color w:val="auto"/>
          <w:spacing w:val="0"/>
          <w:position w:val="0"/>
          <w:sz w:val="52"/>
          <w:szCs w:val="52"/>
          <w:highlight w:val="none"/>
        </w:rPr>
        <w:t>（商务技术文件）</w:t>
      </w:r>
    </w:p>
    <w:p w14:paraId="5731225B">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p>
    <w:p w14:paraId="543E58C4">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p>
    <w:p w14:paraId="0F13FF3D">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lang w:eastAsia="zh-CN"/>
        </w:rPr>
      </w:pPr>
      <w:r>
        <w:rPr>
          <w:rFonts w:hint="eastAsia" w:ascii="宋体" w:hAnsi="宋体" w:eastAsia="宋体" w:cs="宋体"/>
          <w:b/>
          <w:i w:val="0"/>
          <w:iCs w:val="0"/>
          <w:color w:val="auto"/>
          <w:spacing w:val="0"/>
          <w:position w:val="0"/>
          <w:sz w:val="32"/>
          <w:szCs w:val="32"/>
          <w:highlight w:val="none"/>
        </w:rPr>
        <w:t>项目名称</w:t>
      </w:r>
      <w:r>
        <w:rPr>
          <w:rFonts w:hint="eastAsia" w:ascii="宋体" w:hAnsi="宋体" w:eastAsia="宋体" w:cs="宋体"/>
          <w:b/>
          <w:i w:val="0"/>
          <w:iCs w:val="0"/>
          <w:color w:val="auto"/>
          <w:spacing w:val="0"/>
          <w:position w:val="0"/>
          <w:sz w:val="32"/>
          <w:szCs w:val="32"/>
          <w:highlight w:val="none"/>
          <w:lang w:eastAsia="zh-CN"/>
        </w:rPr>
        <w:t>：</w:t>
      </w:r>
    </w:p>
    <w:p w14:paraId="02B84B87">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项目编号/包号：</w:t>
      </w:r>
    </w:p>
    <w:p w14:paraId="5F1CD630">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4CBC62A">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7D4CCC12">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486D7BA9">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CC53969">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3CB362C7">
      <w:pPr>
        <w:pageBreakBefore w:val="0"/>
        <w:wordWrap/>
        <w:topLinePunct w:val="0"/>
        <w:bidi w:val="0"/>
        <w:spacing w:line="360" w:lineRule="auto"/>
        <w:ind w:firstLine="1285" w:firstLineChars="400"/>
        <w:jc w:val="left"/>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投标人名称：</w:t>
      </w:r>
    </w:p>
    <w:p w14:paraId="12D749A3">
      <w:pPr>
        <w:pageBreakBefore w:val="0"/>
        <w:wordWrap/>
        <w:topLinePunct w:val="0"/>
        <w:bidi w:val="0"/>
        <w:spacing w:line="360" w:lineRule="auto"/>
        <w:jc w:val="center"/>
        <w:rPr>
          <w:rFonts w:hint="eastAsia" w:ascii="宋体" w:hAnsi="宋体" w:eastAsia="宋体" w:cs="宋体"/>
          <w:b/>
          <w:i w:val="0"/>
          <w:iCs w:val="0"/>
          <w:color w:val="auto"/>
          <w:spacing w:val="0"/>
          <w:position w:val="0"/>
          <w:sz w:val="32"/>
          <w:szCs w:val="32"/>
          <w:highlight w:val="none"/>
        </w:rPr>
      </w:pPr>
    </w:p>
    <w:p w14:paraId="1227FC13">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br w:type="page"/>
      </w:r>
    </w:p>
    <w:p w14:paraId="7CF0B54D">
      <w:pPr>
        <w:pageBreakBefore w:val="0"/>
        <w:numPr>
          <w:ilvl w:val="0"/>
          <w:numId w:val="2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bookmarkStart w:id="991" w:name="_Hlt520274065"/>
      <w:bookmarkEnd w:id="991"/>
      <w:bookmarkStart w:id="992" w:name="_Hlt520355504"/>
      <w:bookmarkEnd w:id="992"/>
      <w:bookmarkStart w:id="993" w:name="_Hlt520343000"/>
      <w:bookmarkEnd w:id="993"/>
      <w:bookmarkStart w:id="994" w:name="_Hlt520350918"/>
      <w:bookmarkEnd w:id="994"/>
      <w:bookmarkStart w:id="995" w:name="_Hlt520274393"/>
      <w:bookmarkEnd w:id="995"/>
      <w:bookmarkStart w:id="996" w:name="_Hlt520273711"/>
      <w:bookmarkEnd w:id="996"/>
      <w:bookmarkStart w:id="997" w:name="_Hlt520343392"/>
      <w:bookmarkEnd w:id="997"/>
      <w:bookmarkStart w:id="998" w:name="_Hlt520274407"/>
      <w:bookmarkEnd w:id="998"/>
      <w:bookmarkStart w:id="999" w:name="_Hlt520271212"/>
      <w:bookmarkEnd w:id="999"/>
      <w:bookmarkStart w:id="1000" w:name="_Hlt520274121"/>
      <w:bookmarkEnd w:id="1000"/>
      <w:bookmarkStart w:id="1001" w:name="_Toc480942349"/>
      <w:bookmarkStart w:id="1002" w:name="_Ref467988698"/>
      <w:bookmarkStart w:id="1003" w:name="_Toc226965746"/>
      <w:bookmarkStart w:id="1004" w:name="_Toc150774761"/>
      <w:bookmarkStart w:id="1005" w:name="_Toc127151556"/>
      <w:bookmarkStart w:id="1006" w:name="_Toc142311058"/>
      <w:bookmarkStart w:id="1007" w:name="_Toc226965829"/>
      <w:bookmarkStart w:id="1008" w:name="_Toc226337252"/>
      <w:bookmarkStart w:id="1009" w:name="_Toc195842921"/>
      <w:bookmarkStart w:id="1010" w:name="_Toc520356217"/>
      <w:bookmarkStart w:id="1011" w:name="_Toc226309800"/>
      <w:bookmarkStart w:id="1012" w:name="_Toc150480794"/>
      <w:r>
        <w:rPr>
          <w:rFonts w:hint="eastAsia" w:ascii="宋体" w:hAnsi="宋体" w:eastAsia="宋体" w:cs="宋体"/>
          <w:i w:val="0"/>
          <w:iCs w:val="0"/>
          <w:color w:val="auto"/>
          <w:spacing w:val="0"/>
          <w:position w:val="0"/>
          <w:sz w:val="24"/>
          <w:highlight w:val="none"/>
        </w:rPr>
        <w:t>投标</w:t>
      </w:r>
      <w:bookmarkEnd w:id="1001"/>
      <w:bookmarkEnd w:id="1002"/>
      <w:r>
        <w:rPr>
          <w:rFonts w:hint="eastAsia" w:ascii="宋体" w:hAnsi="宋体" w:eastAsia="宋体" w:cs="宋体"/>
          <w:i w:val="0"/>
          <w:iCs w:val="0"/>
          <w:color w:val="auto"/>
          <w:spacing w:val="0"/>
          <w:position w:val="0"/>
          <w:sz w:val="24"/>
          <w:highlight w:val="none"/>
        </w:rPr>
        <w:t>书</w:t>
      </w:r>
      <w:bookmarkEnd w:id="1003"/>
      <w:bookmarkEnd w:id="1004"/>
      <w:bookmarkEnd w:id="1005"/>
      <w:bookmarkEnd w:id="1006"/>
      <w:bookmarkEnd w:id="1007"/>
      <w:bookmarkEnd w:id="1008"/>
      <w:bookmarkEnd w:id="1009"/>
      <w:bookmarkEnd w:id="1010"/>
      <w:bookmarkEnd w:id="1011"/>
      <w:bookmarkEnd w:id="1012"/>
      <w:r>
        <w:rPr>
          <w:rFonts w:hint="eastAsia" w:ascii="宋体" w:hAnsi="宋体" w:eastAsia="宋体" w:cs="宋体"/>
          <w:i w:val="0"/>
          <w:iCs w:val="0"/>
          <w:color w:val="auto"/>
          <w:spacing w:val="0"/>
          <w:position w:val="0"/>
          <w:sz w:val="24"/>
          <w:szCs w:val="20"/>
          <w:highlight w:val="none"/>
        </w:rPr>
        <w:t>（实质性格式）</w:t>
      </w:r>
    </w:p>
    <w:p w14:paraId="15EDA79A">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p>
    <w:p w14:paraId="321C16E6">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投标书</w:t>
      </w:r>
    </w:p>
    <w:p w14:paraId="2C7676A6">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1B175586">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40B0860A">
      <w:pPr>
        <w:pageBreakBefore w:val="0"/>
        <w:tabs>
          <w:tab w:val="left" w:pos="5580"/>
        </w:tabs>
        <w:wordWrap/>
        <w:topLinePunct w:val="0"/>
        <w:bidi w:val="0"/>
        <w:spacing w:line="360" w:lineRule="auto"/>
        <w:ind w:firstLine="408"/>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我方参加你方就___________（项目名称，项目编号/包号）组织的招标活动，并对此项目进行投标。</w:t>
      </w:r>
    </w:p>
    <w:p w14:paraId="2943E252">
      <w:pPr>
        <w:pageBreakBefore w:val="0"/>
        <w:tabs>
          <w:tab w:val="left" w:pos="5580"/>
        </w:tabs>
        <w:wordWrap/>
        <w:topLinePunct w:val="0"/>
        <w:bidi w:val="0"/>
        <w:spacing w:line="360" w:lineRule="auto"/>
        <w:ind w:firstLine="408"/>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 我方</w:t>
      </w:r>
      <w:r>
        <w:rPr>
          <w:rFonts w:hint="eastAsia" w:ascii="宋体" w:hAnsi="宋体" w:eastAsia="宋体" w:cs="宋体"/>
          <w:i w:val="0"/>
          <w:iCs w:val="0"/>
          <w:color w:val="auto"/>
          <w:spacing w:val="0"/>
          <w:position w:val="0"/>
          <w:sz w:val="24"/>
          <w:highlight w:val="none"/>
        </w:rPr>
        <w:t>已详细审查全部招标文件</w:t>
      </w:r>
      <w:r>
        <w:rPr>
          <w:rFonts w:hint="eastAsia" w:ascii="宋体" w:hAnsi="宋体" w:eastAsia="宋体" w:cs="宋体"/>
          <w:i w:val="0"/>
          <w:iCs w:val="0"/>
          <w:color w:val="auto"/>
          <w:spacing w:val="0"/>
          <w:position w:val="0"/>
          <w:sz w:val="24"/>
          <w:szCs w:val="20"/>
          <w:highlight w:val="none"/>
        </w:rPr>
        <w:t>，自愿参与投标并承诺如下：</w:t>
      </w:r>
    </w:p>
    <w:p w14:paraId="302E1B1F">
      <w:pPr>
        <w:pageBreakBefore w:val="0"/>
        <w:tabs>
          <w:tab w:val="left" w:pos="720"/>
          <w:tab w:val="left" w:pos="900"/>
        </w:tabs>
        <w:wordWrap/>
        <w:topLinePunct w:val="0"/>
        <w:bidi w:val="0"/>
        <w:spacing w:line="360" w:lineRule="auto"/>
        <w:ind w:left="360" w:firstLine="72" w:firstLineChars="3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（1）本投标有效期为自提交投标文件的截止之日起</w:t>
      </w:r>
      <w:r>
        <w:rPr>
          <w:rFonts w:hint="eastAsia" w:ascii="宋体" w:hAnsi="宋体" w:cs="宋体"/>
          <w:i w:val="0"/>
          <w:iCs w:val="0"/>
          <w:color w:val="auto"/>
          <w:spacing w:val="0"/>
          <w:position w:val="0"/>
          <w:sz w:val="24"/>
          <w:highlight w:val="none"/>
          <w:u w:val="single"/>
          <w:lang w:val="en-US" w:eastAsia="zh-CN"/>
        </w:rPr>
        <w:t>90</w:t>
      </w:r>
      <w:r>
        <w:rPr>
          <w:rFonts w:hint="eastAsia" w:ascii="宋体" w:hAnsi="宋体" w:eastAsia="宋体" w:cs="宋体"/>
          <w:i w:val="0"/>
          <w:iCs w:val="0"/>
          <w:color w:val="auto"/>
          <w:spacing w:val="0"/>
          <w:position w:val="0"/>
          <w:sz w:val="24"/>
          <w:szCs w:val="20"/>
          <w:highlight w:val="none"/>
        </w:rPr>
        <w:t>日历日。</w:t>
      </w:r>
    </w:p>
    <w:p w14:paraId="3121DA16">
      <w:pPr>
        <w:pageBreakBefore w:val="0"/>
        <w:tabs>
          <w:tab w:val="left" w:pos="720"/>
          <w:tab w:val="left" w:pos="900"/>
        </w:tabs>
        <w:wordWrap/>
        <w:topLinePunct w:val="0"/>
        <w:bidi w:val="0"/>
        <w:spacing w:line="360" w:lineRule="auto"/>
        <w:ind w:left="360" w:firstLine="72" w:firstLineChars="3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（2）除合同条款及采购需求偏离表列出的偏离外，我方响应招标文件的全部要求。</w:t>
      </w:r>
    </w:p>
    <w:p w14:paraId="6508067F">
      <w:pPr>
        <w:pageBreakBefore w:val="0"/>
        <w:tabs>
          <w:tab w:val="left" w:pos="5580"/>
        </w:tabs>
        <w:wordWrap/>
        <w:topLinePunct w:val="0"/>
        <w:bidi w:val="0"/>
        <w:spacing w:line="360" w:lineRule="auto"/>
        <w:ind w:firstLine="420" w:firstLineChars="175"/>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（3）我方已提供的全部文件资料是真实、准确的，并对此承担一切法律后果。</w:t>
      </w:r>
    </w:p>
    <w:p w14:paraId="1F666B3D">
      <w:pPr>
        <w:pageBreakBefore w:val="0"/>
        <w:tabs>
          <w:tab w:val="left" w:pos="5580"/>
        </w:tabs>
        <w:wordWrap/>
        <w:topLinePunct w:val="0"/>
        <w:bidi w:val="0"/>
        <w:spacing w:line="360" w:lineRule="auto"/>
        <w:ind w:firstLine="420" w:firstLineChars="17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0"/>
          <w:highlight w:val="none"/>
        </w:rPr>
        <w:t>（4）如我方中标，我方将在法律规定的期限内与你方签订合同，按照招标文件要求提交履约保证金，并在合同约定的期限内完成合同规定的全部义务。</w:t>
      </w:r>
    </w:p>
    <w:p w14:paraId="2A551D61">
      <w:pPr>
        <w:pageBreakBefore w:val="0"/>
        <w:wordWrap/>
        <w:topLinePunct w:val="0"/>
        <w:bidi w:val="0"/>
        <w:spacing w:line="360" w:lineRule="auto"/>
        <w:ind w:left="4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 其他补充条款（如有）：</w:t>
      </w:r>
      <w:r>
        <w:rPr>
          <w:rFonts w:hint="eastAsia" w:ascii="宋体" w:hAnsi="宋体" w:eastAsia="宋体" w:cs="宋体"/>
          <w:i w:val="0"/>
          <w:iCs w:val="0"/>
          <w:color w:val="auto"/>
          <w:spacing w:val="0"/>
          <w:position w:val="0"/>
          <w:sz w:val="24"/>
          <w:szCs w:val="20"/>
          <w:highlight w:val="none"/>
        </w:rPr>
        <w:t>___________</w:t>
      </w:r>
      <w:r>
        <w:rPr>
          <w:rFonts w:hint="eastAsia" w:ascii="宋体" w:hAnsi="宋体" w:eastAsia="宋体" w:cs="宋体"/>
          <w:i w:val="0"/>
          <w:iCs w:val="0"/>
          <w:color w:val="auto"/>
          <w:spacing w:val="0"/>
          <w:position w:val="0"/>
          <w:sz w:val="24"/>
          <w:highlight w:val="none"/>
        </w:rPr>
        <w:t>。</w:t>
      </w:r>
    </w:p>
    <w:p w14:paraId="7AB7D5DB">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与本投标有关的一切正式往来信函请寄：</w:t>
      </w:r>
    </w:p>
    <w:p w14:paraId="5C3120FB">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p>
    <w:p w14:paraId="1564FB4B">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地址_________________________     传真____________________________</w:t>
      </w:r>
    </w:p>
    <w:p w14:paraId="0BD0379A">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电话_________________________     电子函件________________________</w:t>
      </w:r>
    </w:p>
    <w:p w14:paraId="4D3F6E21">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p>
    <w:p w14:paraId="5727994A">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投标人名称（加盖公章） ___________</w:t>
      </w:r>
    </w:p>
    <w:p w14:paraId="47BB604D">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 xml:space="preserve">日期：_____年______月______日    </w:t>
      </w:r>
    </w:p>
    <w:p w14:paraId="752CFDE8">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u w:val="single"/>
        </w:rPr>
      </w:pPr>
    </w:p>
    <w:p w14:paraId="74594989">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bookmarkStart w:id="1013" w:name="_Hlt520356243"/>
      <w:bookmarkEnd w:id="1013"/>
      <w:bookmarkStart w:id="1014" w:name="_Hlt520355938"/>
      <w:bookmarkEnd w:id="1014"/>
      <w:bookmarkStart w:id="1015" w:name="_Toc226309801"/>
      <w:bookmarkStart w:id="1016" w:name="_Toc264969247"/>
      <w:bookmarkStart w:id="1017" w:name="_Toc142311059"/>
      <w:bookmarkStart w:id="1018" w:name="_Toc480942350"/>
      <w:bookmarkStart w:id="1019" w:name="_Toc305158899"/>
      <w:bookmarkStart w:id="1020" w:name="_Toc265228395"/>
      <w:bookmarkStart w:id="1021" w:name="_Toc127151557"/>
      <w:bookmarkStart w:id="1022" w:name="_Toc195842922"/>
      <w:bookmarkStart w:id="1023" w:name="_Toc150774762"/>
      <w:bookmarkStart w:id="1024" w:name="_Toc226965830"/>
      <w:bookmarkStart w:id="1025" w:name="_Ref467988705"/>
      <w:bookmarkStart w:id="1026" w:name="_Toc226965747"/>
      <w:bookmarkStart w:id="1027" w:name="_Toc305158825"/>
      <w:bookmarkStart w:id="1028" w:name="_Toc226337253"/>
      <w:bookmarkStart w:id="1029" w:name="_Toc150480795"/>
      <w:bookmarkStart w:id="1030" w:name="_Toc520356218"/>
      <w:r>
        <w:rPr>
          <w:rFonts w:hint="eastAsia" w:ascii="宋体" w:hAnsi="宋体" w:eastAsia="宋体" w:cs="宋体"/>
          <w:i w:val="0"/>
          <w:iCs w:val="0"/>
          <w:color w:val="auto"/>
          <w:spacing w:val="0"/>
          <w:position w:val="0"/>
          <w:sz w:val="24"/>
          <w:highlight w:val="none"/>
        </w:rPr>
        <w:br w:type="page"/>
      </w:r>
    </w:p>
    <w:p w14:paraId="4ADD251F">
      <w:pPr>
        <w:pageBreakBefore w:val="0"/>
        <w:numPr>
          <w:ilvl w:val="0"/>
          <w:numId w:val="2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授权委托书（实质性格式）</w:t>
      </w:r>
    </w:p>
    <w:p w14:paraId="2265A3FA">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授权委托书</w:t>
      </w:r>
    </w:p>
    <w:p w14:paraId="1111D690">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p>
    <w:p w14:paraId="14F3DFFB">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本人</w:t>
      </w:r>
      <w:r>
        <w:rPr>
          <w:rFonts w:hint="eastAsia" w:ascii="宋体" w:hAnsi="宋体" w:eastAsia="宋体" w:cs="宋体"/>
          <w:i w:val="0"/>
          <w:iCs w:val="0"/>
          <w:color w:val="auto"/>
          <w:spacing w:val="0"/>
          <w:position w:val="0"/>
          <w:sz w:val="24"/>
          <w:highlight w:val="none"/>
          <w:lang w:val="zh-CN"/>
        </w:rPr>
        <w:t>_______</w:t>
      </w:r>
      <w:r>
        <w:rPr>
          <w:rFonts w:hint="eastAsia" w:ascii="宋体" w:hAnsi="宋体" w:eastAsia="宋体" w:cs="宋体"/>
          <w:i w:val="0"/>
          <w:iCs w:val="0"/>
          <w:color w:val="auto"/>
          <w:spacing w:val="0"/>
          <w:position w:val="0"/>
          <w:sz w:val="24"/>
          <w:szCs w:val="20"/>
          <w:highlight w:val="none"/>
        </w:rPr>
        <w:t>（姓名）系</w:t>
      </w:r>
      <w:r>
        <w:rPr>
          <w:rFonts w:hint="eastAsia" w:ascii="宋体" w:hAnsi="宋体" w:eastAsia="宋体" w:cs="宋体"/>
          <w:i w:val="0"/>
          <w:iCs w:val="0"/>
          <w:color w:val="auto"/>
          <w:spacing w:val="0"/>
          <w:position w:val="0"/>
          <w:sz w:val="24"/>
          <w:highlight w:val="none"/>
          <w:lang w:val="zh-CN"/>
        </w:rPr>
        <w:t>________________</w:t>
      </w:r>
      <w:r>
        <w:rPr>
          <w:rFonts w:hint="eastAsia" w:ascii="宋体" w:hAnsi="宋体" w:eastAsia="宋体" w:cs="宋体"/>
          <w:i w:val="0"/>
          <w:iCs w:val="0"/>
          <w:color w:val="auto"/>
          <w:spacing w:val="0"/>
          <w:position w:val="0"/>
          <w:sz w:val="24"/>
          <w:szCs w:val="20"/>
          <w:highlight w:val="none"/>
        </w:rPr>
        <w:t>（投标人名称）的法定代表人（单位负责人），现委托</w:t>
      </w:r>
      <w:r>
        <w:rPr>
          <w:rFonts w:hint="eastAsia" w:ascii="宋体" w:hAnsi="宋体" w:eastAsia="宋体" w:cs="宋体"/>
          <w:i w:val="0"/>
          <w:iCs w:val="0"/>
          <w:color w:val="auto"/>
          <w:spacing w:val="0"/>
          <w:position w:val="0"/>
          <w:sz w:val="24"/>
          <w:highlight w:val="none"/>
          <w:lang w:val="zh-CN"/>
        </w:rPr>
        <w:t>_______</w:t>
      </w:r>
      <w:r>
        <w:rPr>
          <w:rFonts w:hint="eastAsia" w:ascii="宋体" w:hAnsi="宋体" w:eastAsia="宋体" w:cs="宋体"/>
          <w:i w:val="0"/>
          <w:iCs w:val="0"/>
          <w:color w:val="auto"/>
          <w:spacing w:val="0"/>
          <w:position w:val="0"/>
          <w:sz w:val="24"/>
          <w:szCs w:val="20"/>
          <w:highlight w:val="none"/>
        </w:rPr>
        <w:t>（姓名）为我方代理人。代理人根据授权，以我方名义签署、澄清确认、提交、撤回、修改</w:t>
      </w:r>
      <w:r>
        <w:rPr>
          <w:rFonts w:hint="eastAsia" w:ascii="宋体" w:hAnsi="宋体" w:eastAsia="宋体" w:cs="宋体"/>
          <w:i w:val="0"/>
          <w:iCs w:val="0"/>
          <w:color w:val="auto"/>
          <w:spacing w:val="0"/>
          <w:position w:val="0"/>
          <w:sz w:val="24"/>
          <w:highlight w:val="none"/>
          <w:lang w:val="zh-CN"/>
        </w:rPr>
        <w:t>________________</w:t>
      </w:r>
      <w:r>
        <w:rPr>
          <w:rFonts w:hint="eastAsia" w:ascii="宋体" w:hAnsi="宋体" w:eastAsia="宋体" w:cs="宋体"/>
          <w:i w:val="0"/>
          <w:iCs w:val="0"/>
          <w:color w:val="auto"/>
          <w:spacing w:val="0"/>
          <w:position w:val="0"/>
          <w:sz w:val="24"/>
          <w:szCs w:val="20"/>
          <w:highlight w:val="none"/>
        </w:rPr>
        <w:t>（项目名称）投标文件和处理有关事宜，其法律后果由我方承担。</w:t>
      </w:r>
    </w:p>
    <w:p w14:paraId="34D223E1">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委托期限：自本授权委托书签署之日起至投标有效期届满之日止。</w:t>
      </w:r>
    </w:p>
    <w:p w14:paraId="2A81AD24">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代理人无转委托权。</w:t>
      </w:r>
      <w:r>
        <w:rPr>
          <w:rFonts w:hint="eastAsia" w:ascii="宋体" w:hAnsi="宋体" w:eastAsia="宋体" w:cs="宋体"/>
          <w:i w:val="0"/>
          <w:iCs w:val="0"/>
          <w:color w:val="auto"/>
          <w:spacing w:val="0"/>
          <w:position w:val="0"/>
          <w:sz w:val="24"/>
          <w:szCs w:val="20"/>
          <w:highlight w:val="none"/>
        </w:rPr>
        <w:cr/>
      </w:r>
    </w:p>
    <w:p w14:paraId="679FBD41">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：________________</w:t>
      </w:r>
    </w:p>
    <w:p w14:paraId="7B3534B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法定代表人（单位负责人）（签字或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sz w:val="24"/>
          <w:szCs w:val="20"/>
          <w:highlight w:val="none"/>
        </w:rPr>
        <w:t>）：</w:t>
      </w:r>
      <w:r>
        <w:rPr>
          <w:rFonts w:hint="eastAsia" w:ascii="宋体" w:hAnsi="宋体" w:eastAsia="宋体" w:cs="宋体"/>
          <w:i w:val="0"/>
          <w:iCs w:val="0"/>
          <w:color w:val="auto"/>
          <w:spacing w:val="0"/>
          <w:position w:val="0"/>
          <w:sz w:val="24"/>
          <w:highlight w:val="none"/>
          <w:lang w:val="zh-CN"/>
        </w:rPr>
        <w:t>________________</w:t>
      </w:r>
    </w:p>
    <w:p w14:paraId="6510C77C">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委托代理人（签字或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highlight w:val="none"/>
          <w:lang w:val="zh-CN"/>
        </w:rPr>
        <w:t>________________</w:t>
      </w:r>
    </w:p>
    <w:p w14:paraId="321BAE97">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日期：_____年______月______日</w:t>
      </w:r>
    </w:p>
    <w:p w14:paraId="330075C2">
      <w:pPr>
        <w:pageBreakBefore w:val="0"/>
        <w:tabs>
          <w:tab w:val="left" w:pos="5580"/>
        </w:tabs>
        <w:wordWrap/>
        <w:topLinePunct w:val="0"/>
        <w:bidi w:val="0"/>
        <w:spacing w:line="360" w:lineRule="auto"/>
        <w:ind w:firstLine="480" w:firstLineChars="200"/>
        <w:rPr>
          <w:rFonts w:hint="eastAsia" w:ascii="宋体" w:hAnsi="宋体" w:eastAsia="宋体" w:cs="宋体"/>
          <w:i w:val="0"/>
          <w:iCs w:val="0"/>
          <w:color w:val="auto"/>
          <w:spacing w:val="0"/>
          <w:position w:val="0"/>
          <w:sz w:val="24"/>
          <w:szCs w:val="20"/>
          <w:highlight w:val="none"/>
        </w:rPr>
      </w:pPr>
    </w:p>
    <w:p w14:paraId="6F46227A">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附：法定代表人（单位负责人）及委托代理人身份证明文件电子件：</w:t>
      </w:r>
    </w:p>
    <w:p w14:paraId="7E2F20D2">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75BB6FC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1CE3C8F5">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55A4240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说明：</w:t>
      </w:r>
    </w:p>
    <w:p w14:paraId="390B1C30">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1.若供应商为事业单位或其他组织或分支机构，则法定代表人（单位负责人）处的签署人可为单位负责人。</w:t>
      </w:r>
    </w:p>
    <w:p w14:paraId="303F0AD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373AF79A">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3.供应商为自然人的情形，可不提供本《授权委托书》。</w:t>
      </w:r>
    </w:p>
    <w:p w14:paraId="36B518ED">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30"/>
          <w:szCs w:val="30"/>
          <w:highlight w:val="none"/>
        </w:rPr>
      </w:pPr>
      <w:r>
        <w:rPr>
          <w:rFonts w:hint="eastAsia" w:ascii="宋体" w:hAnsi="宋体" w:eastAsia="宋体" w:cs="宋体"/>
          <w:i w:val="0"/>
          <w:iCs w:val="0"/>
          <w:color w:val="auto"/>
          <w:spacing w:val="0"/>
          <w:position w:val="0"/>
          <w:sz w:val="24"/>
          <w:szCs w:val="20"/>
          <w:highlight w:val="none"/>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i w:val="0"/>
          <w:iCs w:val="0"/>
          <w:color w:val="auto"/>
          <w:spacing w:val="0"/>
          <w:position w:val="0"/>
          <w:sz w:val="24"/>
          <w:szCs w:val="20"/>
          <w:highlight w:val="none"/>
        </w:rPr>
        <w:t>双面</w:t>
      </w:r>
      <w:r>
        <w:rPr>
          <w:rFonts w:hint="eastAsia" w:ascii="宋体" w:hAnsi="宋体" w:eastAsia="宋体" w:cs="宋体"/>
          <w:i w:val="0"/>
          <w:iCs w:val="0"/>
          <w:color w:val="auto"/>
          <w:spacing w:val="0"/>
          <w:position w:val="0"/>
          <w:sz w:val="24"/>
          <w:szCs w:val="20"/>
          <w:highlight w:val="none"/>
        </w:rPr>
        <w:t>电子件。</w:t>
      </w:r>
      <w:r>
        <w:rPr>
          <w:rFonts w:hint="eastAsia" w:ascii="宋体" w:hAnsi="宋体" w:eastAsia="宋体" w:cs="宋体"/>
          <w:i w:val="0"/>
          <w:iCs w:val="0"/>
          <w:color w:val="auto"/>
          <w:spacing w:val="0"/>
          <w:position w:val="0"/>
          <w:sz w:val="30"/>
          <w:szCs w:val="30"/>
          <w:highlight w:val="none"/>
        </w:rPr>
        <w:br w:type="page"/>
      </w:r>
    </w:p>
    <w:p w14:paraId="2EA8B514">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法定代表人（单位负责人）身份证明</w:t>
      </w:r>
    </w:p>
    <w:p w14:paraId="5AB2DE88">
      <w:pPr>
        <w:pageBreakBefore w:val="0"/>
        <w:kinsoku w:val="0"/>
        <w:wordWrap/>
        <w:overflowPunct w:val="0"/>
        <w:topLinePunct w:val="0"/>
        <w:bidi w:val="0"/>
        <w:spacing w:line="360" w:lineRule="auto"/>
        <w:rPr>
          <w:rFonts w:hint="eastAsia" w:ascii="宋体" w:hAnsi="宋体" w:eastAsia="宋体" w:cs="宋体"/>
          <w:i w:val="0"/>
          <w:iCs w:val="0"/>
          <w:color w:val="auto"/>
          <w:spacing w:val="0"/>
          <w:position w:val="0"/>
          <w:sz w:val="20"/>
          <w:szCs w:val="20"/>
          <w:highlight w:val="none"/>
        </w:rPr>
      </w:pPr>
    </w:p>
    <w:p w14:paraId="7B9284EE">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191065E8">
      <w:pPr>
        <w:pStyle w:val="17"/>
        <w:pageBreakBefore w:val="0"/>
        <w:tabs>
          <w:tab w:val="left" w:pos="2412"/>
          <w:tab w:val="left" w:pos="3883"/>
          <w:tab w:val="left" w:pos="5352"/>
          <w:tab w:val="left" w:pos="6821"/>
        </w:tabs>
        <w:kinsoku w:val="0"/>
        <w:wordWrap/>
        <w:overflowPunct w:val="0"/>
        <w:topLinePunct w:val="0"/>
        <w:bidi w:val="0"/>
        <w:spacing w:line="360" w:lineRule="auto"/>
        <w:ind w:firstLine="480" w:firstLineChars="200"/>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兹证明，</w:t>
      </w:r>
    </w:p>
    <w:p w14:paraId="33F3796A">
      <w:pPr>
        <w:pStyle w:val="17"/>
        <w:pageBreakBefore w:val="0"/>
        <w:tabs>
          <w:tab w:val="left" w:pos="1690"/>
          <w:tab w:val="left" w:pos="3400"/>
          <w:tab w:val="left" w:pos="5110"/>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姓名：____性别：____年龄：____职务：____</w:t>
      </w:r>
    </w:p>
    <w:p w14:paraId="06B08866">
      <w:pPr>
        <w:pStyle w:val="17"/>
        <w:pageBreakBefore w:val="0"/>
        <w:tabs>
          <w:tab w:val="left" w:pos="2412"/>
          <w:tab w:val="left" w:pos="3883"/>
          <w:tab w:val="left" w:pos="5352"/>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p>
    <w:p w14:paraId="7950614E">
      <w:pPr>
        <w:pStyle w:val="17"/>
        <w:pageBreakBefore w:val="0"/>
        <w:tabs>
          <w:tab w:val="left" w:pos="2250"/>
          <w:tab w:val="left" w:pos="2412"/>
          <w:tab w:val="left" w:pos="3883"/>
          <w:tab w:val="left" w:pos="5352"/>
          <w:tab w:val="left" w:pos="6821"/>
          <w:tab w:val="clear" w:pos="567"/>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系</w:t>
      </w:r>
      <w:r>
        <w:rPr>
          <w:rFonts w:hint="eastAsia" w:ascii="宋体" w:hAnsi="宋体" w:eastAsia="宋体" w:cs="宋体"/>
          <w:i w:val="0"/>
          <w:iCs w:val="0"/>
          <w:color w:val="auto"/>
          <w:spacing w:val="0"/>
          <w:position w:val="0"/>
          <w:highlight w:val="none"/>
          <w:u w:val="single"/>
        </w:rPr>
        <w:tab/>
      </w:r>
      <w:r>
        <w:rPr>
          <w:rFonts w:hint="eastAsia" w:ascii="宋体" w:hAnsi="宋体" w:eastAsia="宋体" w:cs="宋体"/>
          <w:i w:val="0"/>
          <w:iCs w:val="0"/>
          <w:color w:val="auto"/>
          <w:spacing w:val="0"/>
          <w:position w:val="0"/>
          <w:highlight w:val="none"/>
        </w:rPr>
        <w:t>（投标人名称）的法定代表人（单位负责人）。</w:t>
      </w:r>
    </w:p>
    <w:p w14:paraId="13496844">
      <w:pPr>
        <w:pStyle w:val="17"/>
        <w:pageBreakBefore w:val="0"/>
        <w:tabs>
          <w:tab w:val="left" w:pos="2412"/>
          <w:tab w:val="left" w:pos="3883"/>
          <w:tab w:val="left" w:pos="5352"/>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p>
    <w:p w14:paraId="14675B34">
      <w:pPr>
        <w:pStyle w:val="17"/>
        <w:pageBreakBefore w:val="0"/>
        <w:kinsoku w:val="0"/>
        <w:wordWrap/>
        <w:overflowPunct w:val="0"/>
        <w:topLinePunct w:val="0"/>
        <w:bidi w:val="0"/>
        <w:spacing w:line="360" w:lineRule="auto"/>
        <w:ind w:right="-46"/>
        <w:rPr>
          <w:rFonts w:hint="eastAsia" w:ascii="宋体" w:hAnsi="宋体" w:eastAsia="宋体" w:cs="宋体"/>
          <w:i w:val="0"/>
          <w:iCs w:val="0"/>
          <w:color w:val="auto"/>
          <w:spacing w:val="0"/>
          <w:position w:val="0"/>
          <w:szCs w:val="20"/>
          <w:highlight w:val="none"/>
        </w:rPr>
      </w:pPr>
      <w:r>
        <w:rPr>
          <w:rFonts w:hint="eastAsia" w:ascii="宋体" w:hAnsi="宋体" w:eastAsia="宋体" w:cs="宋体"/>
          <w:i w:val="0"/>
          <w:iCs w:val="0"/>
          <w:color w:val="auto"/>
          <w:spacing w:val="0"/>
          <w:position w:val="0"/>
          <w:szCs w:val="20"/>
          <w:highlight w:val="none"/>
        </w:rPr>
        <w:t>附：法定代表人（单位负责人）身份证或护照等身份证明文件电子件：</w:t>
      </w:r>
    </w:p>
    <w:p w14:paraId="5276D944">
      <w:pPr>
        <w:pStyle w:val="17"/>
        <w:pageBreakBefore w:val="0"/>
        <w:kinsoku w:val="0"/>
        <w:wordWrap/>
        <w:overflowPunct w:val="0"/>
        <w:topLinePunct w:val="0"/>
        <w:bidi w:val="0"/>
        <w:spacing w:line="360" w:lineRule="auto"/>
        <w:ind w:right="4305"/>
        <w:rPr>
          <w:rFonts w:hint="eastAsia" w:ascii="宋体" w:hAnsi="宋体" w:eastAsia="宋体" w:cs="宋体"/>
          <w:i w:val="0"/>
          <w:iCs w:val="0"/>
          <w:color w:val="auto"/>
          <w:spacing w:val="0"/>
          <w:position w:val="0"/>
          <w:highlight w:val="none"/>
        </w:rPr>
      </w:pPr>
    </w:p>
    <w:p w14:paraId="5C0FCA56">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：________________</w:t>
      </w:r>
    </w:p>
    <w:p w14:paraId="6E5D3D02">
      <w:pPr>
        <w:pStyle w:val="17"/>
        <w:pageBreakBefore w:val="0"/>
        <w:kinsoku w:val="0"/>
        <w:wordWrap/>
        <w:overflowPunct w:val="0"/>
        <w:topLinePunct w:val="0"/>
        <w:bidi w:val="0"/>
        <w:spacing w:line="360" w:lineRule="auto"/>
        <w:ind w:right="95"/>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法定代表人（单位负责人）（签字或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highlight w:val="none"/>
        </w:rPr>
        <w:t>）：_______</w:t>
      </w:r>
    </w:p>
    <w:p w14:paraId="2DCBC77B">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rPr>
      </w:pPr>
    </w:p>
    <w:p w14:paraId="7C710C1F">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日期：_____年______月______日</w:t>
      </w:r>
    </w:p>
    <w:p w14:paraId="74CD8EEC">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u w:val="single"/>
        </w:rPr>
      </w:pPr>
    </w:p>
    <w:p w14:paraId="475CAE75">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4C2CF16">
      <w:pPr>
        <w:pageBreakBefore w:val="0"/>
        <w:numPr>
          <w:ilvl w:val="0"/>
          <w:numId w:val="2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开标一览表</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Fonts w:hint="eastAsia" w:ascii="宋体" w:hAnsi="宋体" w:eastAsia="宋体" w:cs="宋体"/>
          <w:i w:val="0"/>
          <w:iCs w:val="0"/>
          <w:color w:val="auto"/>
          <w:spacing w:val="0"/>
          <w:position w:val="0"/>
          <w:sz w:val="24"/>
          <w:szCs w:val="20"/>
          <w:highlight w:val="none"/>
        </w:rPr>
        <w:t>（实质性格式）</w:t>
      </w:r>
    </w:p>
    <w:p w14:paraId="7836335C">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bookmarkStart w:id="1031" w:name="_Toc305158900"/>
      <w:bookmarkStart w:id="1032" w:name="_Toc264969248"/>
      <w:bookmarkStart w:id="1033" w:name="_Toc164608672"/>
      <w:bookmarkStart w:id="1034" w:name="_Toc164608827"/>
      <w:bookmarkStart w:id="1035" w:name="_Toc305158826"/>
      <w:bookmarkStart w:id="1036" w:name="_Toc265228396"/>
      <w:bookmarkStart w:id="1037" w:name="_Toc226309802"/>
      <w:bookmarkStart w:id="1038" w:name="_Toc226337254"/>
      <w:bookmarkStart w:id="1039" w:name="_Toc195842923"/>
      <w:bookmarkStart w:id="1040" w:name="_Toc226965831"/>
      <w:bookmarkStart w:id="1041" w:name="_Toc226965748"/>
      <w:r>
        <w:rPr>
          <w:rFonts w:hint="eastAsia" w:ascii="宋体" w:hAnsi="宋体" w:eastAsia="宋体" w:cs="宋体"/>
          <w:b/>
          <w:i w:val="0"/>
          <w:iCs w:val="0"/>
          <w:color w:val="auto"/>
          <w:spacing w:val="0"/>
          <w:position w:val="0"/>
          <w:sz w:val="36"/>
          <w:szCs w:val="36"/>
          <w:highlight w:val="none"/>
        </w:rPr>
        <w:t>开标一览表</w:t>
      </w:r>
      <w:bookmarkEnd w:id="1031"/>
      <w:bookmarkEnd w:id="1032"/>
      <w:bookmarkEnd w:id="1033"/>
      <w:bookmarkEnd w:id="1034"/>
      <w:bookmarkEnd w:id="1035"/>
      <w:bookmarkEnd w:id="1036"/>
      <w:bookmarkEnd w:id="1037"/>
      <w:bookmarkEnd w:id="1038"/>
      <w:bookmarkEnd w:id="1039"/>
      <w:bookmarkEnd w:id="1040"/>
      <w:bookmarkEnd w:id="1041"/>
    </w:p>
    <w:p w14:paraId="5007964C">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0B77C385">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FC32E4A">
      <w:pPr>
        <w:pageBreakBefore w:val="0"/>
        <w:tabs>
          <w:tab w:val="left" w:pos="1800"/>
          <w:tab w:val="left" w:pos="5580"/>
        </w:tabs>
        <w:wordWrap/>
        <w:topLinePunct w:val="0"/>
        <w:bidi w:val="0"/>
        <w:spacing w:line="360" w:lineRule="auto"/>
        <w:ind w:firstLine="240" w:firstLineChars="100"/>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项目编号：_____________________     项目名称：____________</w:t>
      </w:r>
    </w:p>
    <w:tbl>
      <w:tblPr>
        <w:tblStyle w:val="44"/>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3"/>
        <w:gridCol w:w="4009"/>
        <w:gridCol w:w="2148"/>
        <w:gridCol w:w="2145"/>
      </w:tblGrid>
      <w:tr w14:paraId="7708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jc w:val="center"/>
        </w:trPr>
        <w:tc>
          <w:tcPr>
            <w:tcW w:w="411" w:type="pct"/>
            <w:vMerge w:val="restart"/>
            <w:vAlign w:val="center"/>
          </w:tcPr>
          <w:p w14:paraId="5086E31D">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包号</w:t>
            </w:r>
          </w:p>
        </w:tc>
        <w:tc>
          <w:tcPr>
            <w:tcW w:w="2215" w:type="pct"/>
            <w:vMerge w:val="restart"/>
            <w:vAlign w:val="center"/>
          </w:tcPr>
          <w:p w14:paraId="138FB72C">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投标人名称</w:t>
            </w:r>
          </w:p>
        </w:tc>
        <w:tc>
          <w:tcPr>
            <w:tcW w:w="2372" w:type="pct"/>
            <w:gridSpan w:val="2"/>
            <w:vAlign w:val="center"/>
          </w:tcPr>
          <w:p w14:paraId="2F5067E6">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default" w:ascii="宋体" w:hAnsi="宋体" w:eastAsia="宋体" w:cs="宋体"/>
                <w:b/>
                <w:i w:val="0"/>
                <w:iCs w:val="0"/>
                <w:color w:val="auto"/>
                <w:spacing w:val="0"/>
                <w:position w:val="0"/>
                <w:sz w:val="24"/>
                <w:highlight w:val="none"/>
                <w:lang w:val="en-US" w:eastAsia="zh-CN"/>
              </w:rPr>
            </w:pPr>
            <w:r>
              <w:rPr>
                <w:rFonts w:hint="eastAsia" w:ascii="宋体" w:hAnsi="宋体" w:eastAsia="宋体" w:cs="宋体"/>
                <w:b/>
                <w:i w:val="0"/>
                <w:iCs w:val="0"/>
                <w:color w:val="auto"/>
                <w:spacing w:val="0"/>
                <w:position w:val="0"/>
                <w:sz w:val="24"/>
                <w:highlight w:val="none"/>
              </w:rPr>
              <w:t>投标报价</w:t>
            </w:r>
            <w:r>
              <w:rPr>
                <w:rFonts w:hint="eastAsia" w:ascii="宋体" w:hAnsi="宋体" w:eastAsia="宋体" w:cs="宋体"/>
                <w:b/>
                <w:i w:val="0"/>
                <w:iCs w:val="0"/>
                <w:color w:val="auto"/>
                <w:spacing w:val="0"/>
                <w:position w:val="0"/>
                <w:sz w:val="24"/>
                <w:highlight w:val="none"/>
                <w:lang w:eastAsia="zh-CN"/>
              </w:rPr>
              <w:t>（</w:t>
            </w:r>
            <w:r>
              <w:rPr>
                <w:rFonts w:hint="eastAsia" w:ascii="宋体" w:hAnsi="宋体" w:eastAsia="宋体" w:cs="宋体"/>
                <w:b/>
                <w:i w:val="0"/>
                <w:iCs w:val="0"/>
                <w:color w:val="auto"/>
                <w:spacing w:val="0"/>
                <w:position w:val="0"/>
                <w:sz w:val="24"/>
                <w:highlight w:val="none"/>
                <w:lang w:val="en-US" w:eastAsia="zh-CN"/>
              </w:rPr>
              <w:t>元）</w:t>
            </w:r>
          </w:p>
        </w:tc>
      </w:tr>
      <w:tr w14:paraId="1422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411" w:type="pct"/>
            <w:vMerge w:val="continue"/>
            <w:vAlign w:val="center"/>
          </w:tcPr>
          <w:p w14:paraId="7AAB2139">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2215" w:type="pct"/>
            <w:vMerge w:val="continue"/>
            <w:vAlign w:val="center"/>
          </w:tcPr>
          <w:p w14:paraId="63617D78">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7" w:type="pct"/>
            <w:vAlign w:val="center"/>
          </w:tcPr>
          <w:p w14:paraId="298C5363">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大写</w:t>
            </w:r>
          </w:p>
        </w:tc>
        <w:tc>
          <w:tcPr>
            <w:tcW w:w="1185" w:type="pct"/>
            <w:vAlign w:val="center"/>
          </w:tcPr>
          <w:p w14:paraId="357E2F37">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小写</w:t>
            </w:r>
          </w:p>
        </w:tc>
      </w:tr>
      <w:tr w14:paraId="4503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atLeast"/>
          <w:jc w:val="center"/>
        </w:trPr>
        <w:tc>
          <w:tcPr>
            <w:tcW w:w="411" w:type="pct"/>
            <w:vAlign w:val="center"/>
          </w:tcPr>
          <w:p w14:paraId="6BBB74F2">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2215" w:type="pct"/>
            <w:vAlign w:val="center"/>
          </w:tcPr>
          <w:p w14:paraId="6E444E4D">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7" w:type="pct"/>
            <w:vAlign w:val="center"/>
          </w:tcPr>
          <w:p w14:paraId="58A41DC1">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5" w:type="pct"/>
            <w:vAlign w:val="center"/>
          </w:tcPr>
          <w:p w14:paraId="329A0354">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bl>
    <w:p w14:paraId="668AD622">
      <w:pPr>
        <w:pageBreakBefore w:val="0"/>
        <w:wordWrap/>
        <w:topLinePunct w:val="0"/>
        <w:autoSpaceDE w:val="0"/>
        <w:autoSpaceDN w:val="0"/>
        <w:bidi w:val="0"/>
        <w:adjustRightInd w:val="0"/>
        <w:spacing w:line="360" w:lineRule="auto"/>
        <w:jc w:val="left"/>
        <w:rPr>
          <w:rFonts w:hint="eastAsia" w:ascii="宋体" w:hAnsi="宋体" w:eastAsia="宋体" w:cs="宋体"/>
          <w:i w:val="0"/>
          <w:iCs w:val="0"/>
          <w:color w:val="auto"/>
          <w:spacing w:val="0"/>
          <w:kern w:val="0"/>
          <w:position w:val="0"/>
          <w:sz w:val="24"/>
          <w:highlight w:val="none"/>
        </w:rPr>
      </w:pPr>
    </w:p>
    <w:p w14:paraId="34830E44">
      <w:pPr>
        <w:pageBreakBefore w:val="0"/>
        <w:wordWrap/>
        <w:topLinePunct w:val="0"/>
        <w:autoSpaceDE w:val="0"/>
        <w:autoSpaceDN w:val="0"/>
        <w:bidi w:val="0"/>
        <w:adjustRightInd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kern w:val="0"/>
          <w:position w:val="0"/>
          <w:sz w:val="24"/>
          <w:highlight w:val="none"/>
        </w:rPr>
        <w:t>注：1</w:t>
      </w:r>
      <w:r>
        <w:rPr>
          <w:rFonts w:hint="eastAsia" w:ascii="宋体" w:hAnsi="宋体" w:eastAsia="宋体" w:cs="宋体"/>
          <w:i w:val="0"/>
          <w:iCs w:val="0"/>
          <w:color w:val="auto"/>
          <w:spacing w:val="0"/>
          <w:position w:val="0"/>
          <w:sz w:val="24"/>
          <w:szCs w:val="20"/>
          <w:highlight w:val="none"/>
        </w:rPr>
        <w:t>.此表中，每包的投标报价应和《投标分项报价表》中的总价相一致。</w:t>
      </w:r>
    </w:p>
    <w:p w14:paraId="7F07C4C8">
      <w:pPr>
        <w:pageBreakBefore w:val="0"/>
        <w:tabs>
          <w:tab w:val="left" w:pos="5580"/>
        </w:tabs>
        <w:wordWrap/>
        <w:topLinePunct w:val="0"/>
        <w:bidi w:val="0"/>
        <w:spacing w:line="360" w:lineRule="auto"/>
        <w:ind w:firstLine="480" w:firstLineChars="20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2.本表必须按包分别填写。</w:t>
      </w:r>
    </w:p>
    <w:p w14:paraId="5B8D1562">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3BE5AFC4">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49E8B2E4">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5501CDCD">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日期：_____年______月______日</w:t>
      </w:r>
    </w:p>
    <w:p w14:paraId="628FA640">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szCs w:val="20"/>
          <w:highlight w:val="none"/>
          <w:lang w:val="zh-CN"/>
        </w:rPr>
      </w:pPr>
    </w:p>
    <w:p w14:paraId="1A45EA3E">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sectPr>
          <w:headerReference r:id="rId13" w:type="first"/>
          <w:footerReference r:id="rId15" w:type="first"/>
          <w:headerReference r:id="rId12" w:type="default"/>
          <w:footerReference r:id="rId14" w:type="default"/>
          <w:pgSz w:w="11907" w:h="16840"/>
          <w:pgMar w:top="1417" w:right="1417" w:bottom="1417" w:left="1417" w:header="1134" w:footer="1134" w:gutter="0"/>
          <w:pgNumType w:fmt="decimal"/>
          <w:cols w:space="0" w:num="1"/>
          <w:titlePg/>
          <w:rtlGutter w:val="0"/>
          <w:docGrid w:linePitch="462" w:charSpace="0"/>
        </w:sectPr>
      </w:pPr>
      <w:bookmarkStart w:id="1042" w:name="_Toc264969249"/>
      <w:bookmarkStart w:id="1043" w:name="_Toc226309803"/>
      <w:bookmarkStart w:id="1044" w:name="_Toc150774763"/>
      <w:bookmarkStart w:id="1045" w:name="_Toc226965749"/>
      <w:bookmarkStart w:id="1046" w:name="_Toc226337255"/>
      <w:bookmarkStart w:id="1047" w:name="_Toc195842924"/>
      <w:bookmarkStart w:id="1048" w:name="_Toc150480796"/>
      <w:bookmarkStart w:id="1049" w:name="_Toc305158901"/>
      <w:bookmarkStart w:id="1050" w:name="_Toc142311060"/>
      <w:bookmarkStart w:id="1051" w:name="_Toc226965832"/>
      <w:bookmarkStart w:id="1052" w:name="_Toc305158827"/>
      <w:bookmarkStart w:id="1053" w:name="_Toc127151558"/>
      <w:bookmarkStart w:id="1054" w:name="_Toc265228397"/>
    </w:p>
    <w:bookmarkEnd w:id="1042"/>
    <w:bookmarkEnd w:id="1043"/>
    <w:bookmarkEnd w:id="1044"/>
    <w:bookmarkEnd w:id="1045"/>
    <w:bookmarkEnd w:id="1046"/>
    <w:bookmarkEnd w:id="1047"/>
    <w:bookmarkEnd w:id="1048"/>
    <w:bookmarkEnd w:id="1049"/>
    <w:bookmarkEnd w:id="1050"/>
    <w:bookmarkEnd w:id="1051"/>
    <w:bookmarkEnd w:id="1052"/>
    <w:bookmarkEnd w:id="1053"/>
    <w:bookmarkEnd w:id="1054"/>
    <w:p w14:paraId="562FF804">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投标分项报价表（实质性格式）</w:t>
      </w:r>
    </w:p>
    <w:p w14:paraId="5A13EEC8">
      <w:pPr>
        <w:spacing w:line="360" w:lineRule="exact"/>
        <w:jc w:val="center"/>
        <w:rPr>
          <w:color w:val="000000"/>
          <w:sz w:val="36"/>
          <w:szCs w:val="36"/>
          <w:highlight w:val="none"/>
        </w:rPr>
      </w:pPr>
    </w:p>
    <w:p w14:paraId="663B8C1E">
      <w:pPr>
        <w:spacing w:line="360" w:lineRule="exact"/>
        <w:jc w:val="center"/>
        <w:rPr>
          <w:b/>
          <w:color w:val="000000"/>
          <w:sz w:val="36"/>
          <w:szCs w:val="36"/>
          <w:highlight w:val="none"/>
        </w:rPr>
      </w:pPr>
      <w:r>
        <w:rPr>
          <w:b/>
          <w:color w:val="000000"/>
          <w:sz w:val="36"/>
          <w:szCs w:val="36"/>
          <w:highlight w:val="none"/>
        </w:rPr>
        <w:t>投标分项报价表</w:t>
      </w:r>
    </w:p>
    <w:p w14:paraId="17BDE8D5">
      <w:pPr>
        <w:spacing w:line="260" w:lineRule="exact"/>
        <w:jc w:val="center"/>
        <w:rPr>
          <w:color w:val="000000"/>
          <w:sz w:val="36"/>
          <w:szCs w:val="36"/>
          <w:highlight w:val="none"/>
        </w:rPr>
      </w:pPr>
    </w:p>
    <w:p w14:paraId="47DAAE31">
      <w:pPr>
        <w:adjustRightInd w:val="0"/>
        <w:snapToGrid w:val="0"/>
        <w:spacing w:before="240" w:beforeLines="100" w:after="240" w:afterLines="100"/>
        <w:jc w:val="left"/>
        <w:rPr>
          <w:b/>
          <w:i/>
          <w:color w:val="FF0000"/>
          <w:sz w:val="24"/>
          <w:highlight w:val="none"/>
        </w:rPr>
      </w:pPr>
      <w:bookmarkStart w:id="1055" w:name="_Hlk217395562"/>
      <w:r>
        <w:rPr>
          <w:b/>
          <w:i/>
          <w:color w:val="FF0000"/>
          <w:sz w:val="24"/>
          <w:highlight w:val="none"/>
        </w:rPr>
        <w:t>（</w:t>
      </w:r>
      <w:bookmarkStart w:id="1056" w:name="_Hlk217395541"/>
      <w:r>
        <w:rPr>
          <w:b/>
          <w:i/>
          <w:color w:val="FF0000"/>
          <w:sz w:val="24"/>
          <w:highlight w:val="none"/>
        </w:rPr>
        <w:t>格式示例一，适用于设备采购）</w:t>
      </w:r>
    </w:p>
    <w:p w14:paraId="4C962B2B">
      <w:pPr>
        <w:tabs>
          <w:tab w:val="left" w:pos="1800"/>
          <w:tab w:val="left" w:pos="5580"/>
        </w:tabs>
        <w:rPr>
          <w:color w:val="000000"/>
          <w:sz w:val="24"/>
          <w:highlight w:val="none"/>
        </w:rPr>
      </w:pPr>
      <w:r>
        <w:rPr>
          <w:color w:val="000000"/>
          <w:sz w:val="24"/>
          <w:highlight w:val="none"/>
        </w:rPr>
        <w:t>项目编号/包号：________ 项目名称：__________报价单位：人民币元</w:t>
      </w:r>
    </w:p>
    <w:tbl>
      <w:tblPr>
        <w:tblStyle w:val="44"/>
        <w:tblW w:w="4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549"/>
        <w:gridCol w:w="714"/>
        <w:gridCol w:w="487"/>
        <w:gridCol w:w="956"/>
        <w:gridCol w:w="670"/>
        <w:gridCol w:w="670"/>
        <w:gridCol w:w="670"/>
        <w:gridCol w:w="670"/>
        <w:gridCol w:w="695"/>
        <w:gridCol w:w="937"/>
        <w:gridCol w:w="457"/>
        <w:gridCol w:w="949"/>
        <w:gridCol w:w="5"/>
      </w:tblGrid>
      <w:tr w14:paraId="2832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94" w:hRule="atLeast"/>
          <w:jc w:val="center"/>
        </w:trPr>
        <w:tc>
          <w:tcPr>
            <w:tcW w:w="255" w:type="pct"/>
            <w:vAlign w:val="center"/>
          </w:tcPr>
          <w:p w14:paraId="39B2FA86">
            <w:pPr>
              <w:adjustRightInd w:val="0"/>
              <w:snapToGrid w:val="0"/>
              <w:jc w:val="center"/>
              <w:rPr>
                <w:b/>
                <w:color w:val="000000"/>
                <w:sz w:val="24"/>
                <w:highlight w:val="none"/>
              </w:rPr>
            </w:pPr>
            <w:r>
              <w:rPr>
                <w:b/>
                <w:color w:val="000000"/>
                <w:sz w:val="24"/>
                <w:highlight w:val="none"/>
              </w:rPr>
              <w:t>序号</w:t>
            </w:r>
          </w:p>
        </w:tc>
        <w:tc>
          <w:tcPr>
            <w:tcW w:w="309" w:type="pct"/>
            <w:vAlign w:val="center"/>
          </w:tcPr>
          <w:p w14:paraId="0BBA608A">
            <w:pPr>
              <w:adjustRightInd w:val="0"/>
              <w:snapToGrid w:val="0"/>
              <w:jc w:val="center"/>
              <w:rPr>
                <w:b/>
                <w:color w:val="000000"/>
                <w:sz w:val="24"/>
                <w:highlight w:val="none"/>
              </w:rPr>
            </w:pPr>
            <w:r>
              <w:rPr>
                <w:b/>
                <w:color w:val="000000"/>
                <w:sz w:val="24"/>
                <w:highlight w:val="none"/>
              </w:rPr>
              <w:t>分项名称</w:t>
            </w:r>
          </w:p>
        </w:tc>
        <w:tc>
          <w:tcPr>
            <w:tcW w:w="401" w:type="pct"/>
            <w:vAlign w:val="center"/>
          </w:tcPr>
          <w:p w14:paraId="582D900C">
            <w:pPr>
              <w:adjustRightInd w:val="0"/>
              <w:snapToGrid w:val="0"/>
              <w:jc w:val="center"/>
              <w:rPr>
                <w:b/>
                <w:color w:val="000000"/>
                <w:sz w:val="24"/>
                <w:highlight w:val="none"/>
              </w:rPr>
            </w:pPr>
            <w:r>
              <w:rPr>
                <w:b/>
                <w:color w:val="000000"/>
                <w:sz w:val="24"/>
                <w:highlight w:val="none"/>
              </w:rPr>
              <w:t>制造商</w:t>
            </w:r>
          </w:p>
        </w:tc>
        <w:tc>
          <w:tcPr>
            <w:tcW w:w="274" w:type="pct"/>
            <w:vAlign w:val="center"/>
          </w:tcPr>
          <w:p w14:paraId="047EC570">
            <w:pPr>
              <w:adjustRightInd w:val="0"/>
              <w:snapToGrid w:val="0"/>
              <w:jc w:val="center"/>
              <w:rPr>
                <w:b/>
                <w:color w:val="000000"/>
                <w:sz w:val="24"/>
                <w:highlight w:val="none"/>
              </w:rPr>
            </w:pPr>
            <w:r>
              <w:rPr>
                <w:b/>
                <w:color w:val="000000"/>
                <w:sz w:val="24"/>
                <w:highlight w:val="none"/>
              </w:rPr>
              <w:t>产地/国别</w:t>
            </w:r>
          </w:p>
        </w:tc>
        <w:tc>
          <w:tcPr>
            <w:tcW w:w="537" w:type="pct"/>
            <w:vAlign w:val="center"/>
          </w:tcPr>
          <w:p w14:paraId="00404AC3">
            <w:pPr>
              <w:jc w:val="center"/>
              <w:rPr>
                <w:b/>
                <w:color w:val="000000"/>
                <w:sz w:val="24"/>
                <w:highlight w:val="none"/>
              </w:rPr>
            </w:pPr>
            <w:r>
              <w:rPr>
                <w:b/>
                <w:color w:val="000000"/>
                <w:sz w:val="24"/>
                <w:highlight w:val="none"/>
              </w:rPr>
              <w:t>制造商</w:t>
            </w:r>
          </w:p>
          <w:p w14:paraId="05486DB8">
            <w:pPr>
              <w:adjustRightInd w:val="0"/>
              <w:snapToGrid w:val="0"/>
              <w:jc w:val="center"/>
              <w:rPr>
                <w:b/>
                <w:color w:val="000000"/>
                <w:sz w:val="24"/>
                <w:highlight w:val="none"/>
              </w:rPr>
            </w:pPr>
            <w:r>
              <w:rPr>
                <w:b/>
                <w:color w:val="000000"/>
                <w:sz w:val="24"/>
                <w:highlight w:val="none"/>
              </w:rPr>
              <w:t>统一</w:t>
            </w:r>
            <w:r>
              <w:rPr>
                <w:rFonts w:hint="eastAsia"/>
                <w:b/>
                <w:color w:val="000000"/>
                <w:sz w:val="24"/>
                <w:highlight w:val="none"/>
              </w:rPr>
              <w:t>社会</w:t>
            </w:r>
            <w:r>
              <w:rPr>
                <w:b/>
                <w:color w:val="000000"/>
                <w:sz w:val="24"/>
                <w:highlight w:val="none"/>
              </w:rPr>
              <w:t>信用代码</w:t>
            </w:r>
          </w:p>
        </w:tc>
        <w:tc>
          <w:tcPr>
            <w:tcW w:w="377" w:type="pct"/>
            <w:vAlign w:val="center"/>
          </w:tcPr>
          <w:p w14:paraId="762EA182">
            <w:pPr>
              <w:jc w:val="center"/>
              <w:rPr>
                <w:b/>
                <w:color w:val="000000"/>
                <w:sz w:val="24"/>
                <w:highlight w:val="none"/>
              </w:rPr>
            </w:pPr>
            <w:r>
              <w:rPr>
                <w:b/>
                <w:color w:val="000000"/>
                <w:sz w:val="24"/>
                <w:highlight w:val="none"/>
              </w:rPr>
              <w:t>制造商</w:t>
            </w:r>
          </w:p>
          <w:p w14:paraId="5F78582A">
            <w:pPr>
              <w:adjustRightInd w:val="0"/>
              <w:snapToGrid w:val="0"/>
              <w:jc w:val="center"/>
              <w:rPr>
                <w:b/>
                <w:color w:val="000000"/>
                <w:sz w:val="24"/>
                <w:highlight w:val="none"/>
              </w:rPr>
            </w:pPr>
            <w:r>
              <w:rPr>
                <w:b/>
                <w:color w:val="000000"/>
                <w:sz w:val="24"/>
                <w:highlight w:val="none"/>
              </w:rPr>
              <w:t>规模</w:t>
            </w:r>
          </w:p>
        </w:tc>
        <w:tc>
          <w:tcPr>
            <w:tcW w:w="377" w:type="pct"/>
            <w:vAlign w:val="center"/>
          </w:tcPr>
          <w:p w14:paraId="66134806">
            <w:pPr>
              <w:adjustRightInd w:val="0"/>
              <w:snapToGrid w:val="0"/>
              <w:jc w:val="center"/>
              <w:rPr>
                <w:b/>
                <w:color w:val="000000"/>
                <w:sz w:val="24"/>
                <w:highlight w:val="none"/>
              </w:rPr>
            </w:pPr>
            <w:r>
              <w:rPr>
                <w:b/>
                <w:color w:val="000000"/>
                <w:sz w:val="24"/>
                <w:highlight w:val="none"/>
              </w:rPr>
              <w:t>制造商所属性别</w:t>
            </w:r>
          </w:p>
        </w:tc>
        <w:tc>
          <w:tcPr>
            <w:tcW w:w="377" w:type="pct"/>
            <w:vAlign w:val="center"/>
          </w:tcPr>
          <w:p w14:paraId="261539AC">
            <w:pPr>
              <w:adjustRightInd w:val="0"/>
              <w:snapToGrid w:val="0"/>
              <w:jc w:val="center"/>
              <w:rPr>
                <w:b/>
                <w:color w:val="000000"/>
                <w:sz w:val="24"/>
                <w:highlight w:val="none"/>
              </w:rPr>
            </w:pPr>
            <w:r>
              <w:rPr>
                <w:b/>
                <w:color w:val="000000"/>
                <w:sz w:val="24"/>
                <w:highlight w:val="none"/>
              </w:rPr>
              <w:t>外商投资类型</w:t>
            </w:r>
          </w:p>
        </w:tc>
        <w:tc>
          <w:tcPr>
            <w:tcW w:w="377" w:type="pct"/>
            <w:vAlign w:val="center"/>
          </w:tcPr>
          <w:p w14:paraId="541EA843">
            <w:pPr>
              <w:adjustRightInd w:val="0"/>
              <w:snapToGrid w:val="0"/>
              <w:jc w:val="center"/>
              <w:rPr>
                <w:b/>
                <w:color w:val="000000"/>
                <w:sz w:val="24"/>
                <w:highlight w:val="none"/>
              </w:rPr>
            </w:pPr>
            <w:r>
              <w:rPr>
                <w:b/>
                <w:color w:val="000000"/>
                <w:sz w:val="24"/>
                <w:highlight w:val="none"/>
              </w:rPr>
              <w:t>品牌</w:t>
            </w:r>
          </w:p>
        </w:tc>
        <w:tc>
          <w:tcPr>
            <w:tcW w:w="391" w:type="pct"/>
            <w:vAlign w:val="center"/>
          </w:tcPr>
          <w:p w14:paraId="080A7DFE">
            <w:pPr>
              <w:adjustRightInd w:val="0"/>
              <w:snapToGrid w:val="0"/>
              <w:jc w:val="center"/>
              <w:rPr>
                <w:b/>
                <w:color w:val="000000"/>
                <w:sz w:val="24"/>
                <w:highlight w:val="none"/>
              </w:rPr>
            </w:pPr>
            <w:r>
              <w:rPr>
                <w:b/>
                <w:color w:val="000000"/>
                <w:sz w:val="24"/>
                <w:highlight w:val="none"/>
              </w:rPr>
              <w:t>规格、型号</w:t>
            </w:r>
          </w:p>
        </w:tc>
        <w:tc>
          <w:tcPr>
            <w:tcW w:w="527" w:type="pct"/>
            <w:vAlign w:val="center"/>
          </w:tcPr>
          <w:p w14:paraId="46073AA8">
            <w:pPr>
              <w:adjustRightInd w:val="0"/>
              <w:snapToGrid w:val="0"/>
              <w:jc w:val="center"/>
              <w:rPr>
                <w:b/>
                <w:color w:val="000000"/>
                <w:sz w:val="24"/>
                <w:highlight w:val="none"/>
              </w:rPr>
            </w:pPr>
            <w:r>
              <w:rPr>
                <w:b/>
                <w:color w:val="000000"/>
                <w:sz w:val="24"/>
                <w:highlight w:val="none"/>
              </w:rPr>
              <w:t>单价（元）</w:t>
            </w:r>
          </w:p>
        </w:tc>
        <w:tc>
          <w:tcPr>
            <w:tcW w:w="257" w:type="pct"/>
            <w:vAlign w:val="center"/>
          </w:tcPr>
          <w:p w14:paraId="73AAA7EF">
            <w:pPr>
              <w:adjustRightInd w:val="0"/>
              <w:snapToGrid w:val="0"/>
              <w:jc w:val="center"/>
              <w:rPr>
                <w:b/>
                <w:color w:val="000000"/>
                <w:sz w:val="24"/>
                <w:highlight w:val="none"/>
              </w:rPr>
            </w:pPr>
            <w:r>
              <w:rPr>
                <w:b/>
                <w:color w:val="000000"/>
                <w:sz w:val="24"/>
                <w:highlight w:val="none"/>
              </w:rPr>
              <w:t>数量</w:t>
            </w:r>
          </w:p>
        </w:tc>
        <w:tc>
          <w:tcPr>
            <w:tcW w:w="533" w:type="pct"/>
            <w:vAlign w:val="center"/>
          </w:tcPr>
          <w:p w14:paraId="7625712B">
            <w:pPr>
              <w:adjustRightInd w:val="0"/>
              <w:snapToGrid w:val="0"/>
              <w:jc w:val="center"/>
              <w:rPr>
                <w:b/>
                <w:color w:val="000000"/>
                <w:sz w:val="24"/>
                <w:highlight w:val="none"/>
              </w:rPr>
            </w:pPr>
            <w:r>
              <w:rPr>
                <w:b/>
                <w:color w:val="000000"/>
                <w:sz w:val="24"/>
                <w:highlight w:val="none"/>
              </w:rPr>
              <w:t>合价（元）</w:t>
            </w:r>
          </w:p>
        </w:tc>
      </w:tr>
      <w:tr w14:paraId="5F4B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255" w:type="pct"/>
            <w:vAlign w:val="center"/>
          </w:tcPr>
          <w:p w14:paraId="553F398B">
            <w:pPr>
              <w:adjustRightInd w:val="0"/>
              <w:snapToGrid w:val="0"/>
              <w:jc w:val="left"/>
              <w:rPr>
                <w:color w:val="000000"/>
                <w:sz w:val="24"/>
                <w:highlight w:val="none"/>
              </w:rPr>
            </w:pPr>
            <w:r>
              <w:rPr>
                <w:color w:val="000000"/>
                <w:sz w:val="24"/>
                <w:highlight w:val="none"/>
              </w:rPr>
              <w:t>1</w:t>
            </w:r>
          </w:p>
        </w:tc>
        <w:tc>
          <w:tcPr>
            <w:tcW w:w="309" w:type="pct"/>
            <w:vAlign w:val="center"/>
          </w:tcPr>
          <w:p w14:paraId="282AD115">
            <w:pPr>
              <w:adjustRightInd w:val="0"/>
              <w:snapToGrid w:val="0"/>
              <w:jc w:val="left"/>
              <w:rPr>
                <w:color w:val="000000"/>
                <w:sz w:val="24"/>
                <w:highlight w:val="none"/>
              </w:rPr>
            </w:pPr>
          </w:p>
        </w:tc>
        <w:tc>
          <w:tcPr>
            <w:tcW w:w="401" w:type="pct"/>
            <w:vAlign w:val="center"/>
          </w:tcPr>
          <w:p w14:paraId="6F34D267">
            <w:pPr>
              <w:adjustRightInd w:val="0"/>
              <w:snapToGrid w:val="0"/>
              <w:jc w:val="left"/>
              <w:rPr>
                <w:color w:val="000000"/>
                <w:sz w:val="24"/>
                <w:highlight w:val="none"/>
              </w:rPr>
            </w:pPr>
          </w:p>
        </w:tc>
        <w:tc>
          <w:tcPr>
            <w:tcW w:w="274" w:type="pct"/>
          </w:tcPr>
          <w:p w14:paraId="7A1607ED">
            <w:pPr>
              <w:adjustRightInd w:val="0"/>
              <w:snapToGrid w:val="0"/>
              <w:jc w:val="left"/>
              <w:rPr>
                <w:color w:val="000000"/>
                <w:sz w:val="24"/>
                <w:highlight w:val="none"/>
              </w:rPr>
            </w:pPr>
          </w:p>
        </w:tc>
        <w:tc>
          <w:tcPr>
            <w:tcW w:w="537" w:type="pct"/>
            <w:vAlign w:val="center"/>
          </w:tcPr>
          <w:p w14:paraId="2A5BAE86">
            <w:pPr>
              <w:adjustRightInd w:val="0"/>
              <w:snapToGrid w:val="0"/>
              <w:jc w:val="center"/>
              <w:rPr>
                <w:color w:val="000000"/>
                <w:sz w:val="24"/>
                <w:highlight w:val="none"/>
              </w:rPr>
            </w:pPr>
          </w:p>
        </w:tc>
        <w:tc>
          <w:tcPr>
            <w:tcW w:w="377" w:type="pct"/>
            <w:vAlign w:val="center"/>
          </w:tcPr>
          <w:p w14:paraId="4A1FE43A">
            <w:pPr>
              <w:adjustRightInd w:val="0"/>
              <w:snapToGrid w:val="0"/>
              <w:jc w:val="center"/>
              <w:rPr>
                <w:color w:val="000000"/>
                <w:sz w:val="24"/>
                <w:highlight w:val="none"/>
              </w:rPr>
            </w:pPr>
          </w:p>
        </w:tc>
        <w:tc>
          <w:tcPr>
            <w:tcW w:w="377" w:type="pct"/>
          </w:tcPr>
          <w:p w14:paraId="7C241D4A">
            <w:pPr>
              <w:adjustRightInd w:val="0"/>
              <w:snapToGrid w:val="0"/>
              <w:jc w:val="center"/>
              <w:rPr>
                <w:color w:val="000000"/>
                <w:sz w:val="24"/>
                <w:highlight w:val="none"/>
              </w:rPr>
            </w:pPr>
          </w:p>
        </w:tc>
        <w:tc>
          <w:tcPr>
            <w:tcW w:w="377" w:type="pct"/>
          </w:tcPr>
          <w:p w14:paraId="6BA5BF0C">
            <w:pPr>
              <w:adjustRightInd w:val="0"/>
              <w:snapToGrid w:val="0"/>
              <w:jc w:val="center"/>
              <w:rPr>
                <w:color w:val="000000"/>
                <w:sz w:val="24"/>
                <w:highlight w:val="none"/>
              </w:rPr>
            </w:pPr>
          </w:p>
        </w:tc>
        <w:tc>
          <w:tcPr>
            <w:tcW w:w="377" w:type="pct"/>
            <w:vAlign w:val="center"/>
          </w:tcPr>
          <w:p w14:paraId="4032325B">
            <w:pPr>
              <w:adjustRightInd w:val="0"/>
              <w:snapToGrid w:val="0"/>
              <w:jc w:val="center"/>
              <w:rPr>
                <w:color w:val="000000"/>
                <w:sz w:val="24"/>
                <w:highlight w:val="none"/>
              </w:rPr>
            </w:pPr>
          </w:p>
        </w:tc>
        <w:tc>
          <w:tcPr>
            <w:tcW w:w="391" w:type="pct"/>
            <w:vAlign w:val="center"/>
          </w:tcPr>
          <w:p w14:paraId="6ABFE66A">
            <w:pPr>
              <w:adjustRightInd w:val="0"/>
              <w:snapToGrid w:val="0"/>
              <w:jc w:val="left"/>
              <w:rPr>
                <w:color w:val="000000"/>
                <w:sz w:val="24"/>
                <w:highlight w:val="none"/>
              </w:rPr>
            </w:pPr>
          </w:p>
        </w:tc>
        <w:tc>
          <w:tcPr>
            <w:tcW w:w="527" w:type="pct"/>
            <w:vAlign w:val="center"/>
          </w:tcPr>
          <w:p w14:paraId="1108C397">
            <w:pPr>
              <w:adjustRightInd w:val="0"/>
              <w:snapToGrid w:val="0"/>
              <w:jc w:val="left"/>
              <w:rPr>
                <w:color w:val="000000"/>
                <w:sz w:val="24"/>
                <w:highlight w:val="none"/>
              </w:rPr>
            </w:pPr>
          </w:p>
        </w:tc>
        <w:tc>
          <w:tcPr>
            <w:tcW w:w="257" w:type="pct"/>
            <w:vAlign w:val="center"/>
          </w:tcPr>
          <w:p w14:paraId="045CD631">
            <w:pPr>
              <w:adjustRightInd w:val="0"/>
              <w:snapToGrid w:val="0"/>
              <w:jc w:val="left"/>
              <w:rPr>
                <w:color w:val="000000"/>
                <w:sz w:val="24"/>
                <w:highlight w:val="none"/>
              </w:rPr>
            </w:pPr>
          </w:p>
        </w:tc>
        <w:tc>
          <w:tcPr>
            <w:tcW w:w="533" w:type="pct"/>
            <w:vAlign w:val="center"/>
          </w:tcPr>
          <w:p w14:paraId="169713F1">
            <w:pPr>
              <w:adjustRightInd w:val="0"/>
              <w:snapToGrid w:val="0"/>
              <w:jc w:val="left"/>
              <w:rPr>
                <w:color w:val="000000"/>
                <w:sz w:val="24"/>
                <w:highlight w:val="none"/>
              </w:rPr>
            </w:pPr>
          </w:p>
        </w:tc>
      </w:tr>
      <w:tr w14:paraId="5458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255" w:type="pct"/>
            <w:vAlign w:val="center"/>
          </w:tcPr>
          <w:p w14:paraId="4A4CC66B">
            <w:pPr>
              <w:adjustRightInd w:val="0"/>
              <w:snapToGrid w:val="0"/>
              <w:jc w:val="left"/>
              <w:rPr>
                <w:color w:val="000000"/>
                <w:sz w:val="24"/>
                <w:highlight w:val="none"/>
              </w:rPr>
            </w:pPr>
            <w:r>
              <w:rPr>
                <w:color w:val="000000"/>
                <w:sz w:val="24"/>
                <w:highlight w:val="none"/>
              </w:rPr>
              <w:t>2</w:t>
            </w:r>
          </w:p>
        </w:tc>
        <w:tc>
          <w:tcPr>
            <w:tcW w:w="309" w:type="pct"/>
            <w:vAlign w:val="center"/>
          </w:tcPr>
          <w:p w14:paraId="1097D041">
            <w:pPr>
              <w:adjustRightInd w:val="0"/>
              <w:snapToGrid w:val="0"/>
              <w:jc w:val="left"/>
              <w:rPr>
                <w:color w:val="000000"/>
                <w:sz w:val="24"/>
                <w:highlight w:val="none"/>
              </w:rPr>
            </w:pPr>
          </w:p>
        </w:tc>
        <w:tc>
          <w:tcPr>
            <w:tcW w:w="401" w:type="pct"/>
            <w:vAlign w:val="center"/>
          </w:tcPr>
          <w:p w14:paraId="3062E9B0">
            <w:pPr>
              <w:adjustRightInd w:val="0"/>
              <w:snapToGrid w:val="0"/>
              <w:jc w:val="left"/>
              <w:rPr>
                <w:color w:val="000000"/>
                <w:sz w:val="24"/>
                <w:highlight w:val="none"/>
              </w:rPr>
            </w:pPr>
          </w:p>
        </w:tc>
        <w:tc>
          <w:tcPr>
            <w:tcW w:w="274" w:type="pct"/>
          </w:tcPr>
          <w:p w14:paraId="28C67A50">
            <w:pPr>
              <w:adjustRightInd w:val="0"/>
              <w:snapToGrid w:val="0"/>
              <w:jc w:val="left"/>
              <w:rPr>
                <w:color w:val="000000"/>
                <w:sz w:val="24"/>
                <w:highlight w:val="none"/>
              </w:rPr>
            </w:pPr>
          </w:p>
        </w:tc>
        <w:tc>
          <w:tcPr>
            <w:tcW w:w="537" w:type="pct"/>
            <w:vAlign w:val="center"/>
          </w:tcPr>
          <w:p w14:paraId="29451B7D">
            <w:pPr>
              <w:adjustRightInd w:val="0"/>
              <w:snapToGrid w:val="0"/>
              <w:jc w:val="center"/>
              <w:rPr>
                <w:color w:val="000000"/>
                <w:sz w:val="24"/>
                <w:highlight w:val="none"/>
              </w:rPr>
            </w:pPr>
          </w:p>
        </w:tc>
        <w:tc>
          <w:tcPr>
            <w:tcW w:w="377" w:type="pct"/>
            <w:vAlign w:val="center"/>
          </w:tcPr>
          <w:p w14:paraId="5DAB16D9">
            <w:pPr>
              <w:adjustRightInd w:val="0"/>
              <w:snapToGrid w:val="0"/>
              <w:jc w:val="center"/>
              <w:rPr>
                <w:color w:val="000000"/>
                <w:sz w:val="24"/>
                <w:highlight w:val="none"/>
              </w:rPr>
            </w:pPr>
          </w:p>
        </w:tc>
        <w:tc>
          <w:tcPr>
            <w:tcW w:w="377" w:type="pct"/>
          </w:tcPr>
          <w:p w14:paraId="3E6D6E9F">
            <w:pPr>
              <w:adjustRightInd w:val="0"/>
              <w:snapToGrid w:val="0"/>
              <w:jc w:val="center"/>
              <w:rPr>
                <w:color w:val="000000"/>
                <w:sz w:val="24"/>
                <w:highlight w:val="none"/>
              </w:rPr>
            </w:pPr>
          </w:p>
        </w:tc>
        <w:tc>
          <w:tcPr>
            <w:tcW w:w="377" w:type="pct"/>
          </w:tcPr>
          <w:p w14:paraId="1304C13D">
            <w:pPr>
              <w:adjustRightInd w:val="0"/>
              <w:snapToGrid w:val="0"/>
              <w:jc w:val="center"/>
              <w:rPr>
                <w:color w:val="000000"/>
                <w:sz w:val="24"/>
                <w:highlight w:val="none"/>
              </w:rPr>
            </w:pPr>
          </w:p>
        </w:tc>
        <w:tc>
          <w:tcPr>
            <w:tcW w:w="377" w:type="pct"/>
            <w:vAlign w:val="center"/>
          </w:tcPr>
          <w:p w14:paraId="42DBF5E9">
            <w:pPr>
              <w:adjustRightInd w:val="0"/>
              <w:snapToGrid w:val="0"/>
              <w:jc w:val="center"/>
              <w:rPr>
                <w:color w:val="000000"/>
                <w:sz w:val="24"/>
                <w:highlight w:val="none"/>
              </w:rPr>
            </w:pPr>
          </w:p>
        </w:tc>
        <w:tc>
          <w:tcPr>
            <w:tcW w:w="391" w:type="pct"/>
            <w:vAlign w:val="center"/>
          </w:tcPr>
          <w:p w14:paraId="6C595F26">
            <w:pPr>
              <w:adjustRightInd w:val="0"/>
              <w:snapToGrid w:val="0"/>
              <w:jc w:val="left"/>
              <w:rPr>
                <w:color w:val="000000"/>
                <w:sz w:val="24"/>
                <w:highlight w:val="none"/>
              </w:rPr>
            </w:pPr>
          </w:p>
        </w:tc>
        <w:tc>
          <w:tcPr>
            <w:tcW w:w="527" w:type="pct"/>
            <w:vAlign w:val="center"/>
          </w:tcPr>
          <w:p w14:paraId="72FBD389">
            <w:pPr>
              <w:adjustRightInd w:val="0"/>
              <w:snapToGrid w:val="0"/>
              <w:jc w:val="left"/>
              <w:rPr>
                <w:color w:val="000000"/>
                <w:sz w:val="24"/>
                <w:highlight w:val="none"/>
              </w:rPr>
            </w:pPr>
          </w:p>
        </w:tc>
        <w:tc>
          <w:tcPr>
            <w:tcW w:w="257" w:type="pct"/>
            <w:vAlign w:val="center"/>
          </w:tcPr>
          <w:p w14:paraId="15F01E08">
            <w:pPr>
              <w:adjustRightInd w:val="0"/>
              <w:snapToGrid w:val="0"/>
              <w:jc w:val="left"/>
              <w:rPr>
                <w:color w:val="000000"/>
                <w:sz w:val="24"/>
                <w:highlight w:val="none"/>
              </w:rPr>
            </w:pPr>
          </w:p>
        </w:tc>
        <w:tc>
          <w:tcPr>
            <w:tcW w:w="533" w:type="pct"/>
            <w:vAlign w:val="center"/>
          </w:tcPr>
          <w:p w14:paraId="4E882CA4">
            <w:pPr>
              <w:adjustRightInd w:val="0"/>
              <w:snapToGrid w:val="0"/>
              <w:jc w:val="left"/>
              <w:rPr>
                <w:color w:val="000000"/>
                <w:sz w:val="24"/>
                <w:highlight w:val="none"/>
              </w:rPr>
            </w:pPr>
          </w:p>
        </w:tc>
      </w:tr>
      <w:tr w14:paraId="0817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255" w:type="pct"/>
            <w:vAlign w:val="center"/>
          </w:tcPr>
          <w:p w14:paraId="3EC7135E">
            <w:pPr>
              <w:adjustRightInd w:val="0"/>
              <w:snapToGrid w:val="0"/>
              <w:jc w:val="left"/>
              <w:rPr>
                <w:color w:val="000000"/>
                <w:sz w:val="24"/>
                <w:highlight w:val="none"/>
              </w:rPr>
            </w:pPr>
            <w:r>
              <w:rPr>
                <w:color w:val="000000"/>
                <w:sz w:val="24"/>
                <w:highlight w:val="none"/>
              </w:rPr>
              <w:t>3</w:t>
            </w:r>
          </w:p>
        </w:tc>
        <w:tc>
          <w:tcPr>
            <w:tcW w:w="309" w:type="pct"/>
            <w:vAlign w:val="center"/>
          </w:tcPr>
          <w:p w14:paraId="334FA3E5">
            <w:pPr>
              <w:adjustRightInd w:val="0"/>
              <w:snapToGrid w:val="0"/>
              <w:jc w:val="left"/>
              <w:rPr>
                <w:color w:val="000000"/>
                <w:sz w:val="24"/>
                <w:highlight w:val="none"/>
              </w:rPr>
            </w:pPr>
          </w:p>
        </w:tc>
        <w:tc>
          <w:tcPr>
            <w:tcW w:w="401" w:type="pct"/>
            <w:vAlign w:val="center"/>
          </w:tcPr>
          <w:p w14:paraId="653AA4F6">
            <w:pPr>
              <w:adjustRightInd w:val="0"/>
              <w:snapToGrid w:val="0"/>
              <w:jc w:val="left"/>
              <w:rPr>
                <w:color w:val="000000"/>
                <w:sz w:val="24"/>
                <w:highlight w:val="none"/>
              </w:rPr>
            </w:pPr>
          </w:p>
        </w:tc>
        <w:tc>
          <w:tcPr>
            <w:tcW w:w="274" w:type="pct"/>
          </w:tcPr>
          <w:p w14:paraId="4C642022">
            <w:pPr>
              <w:adjustRightInd w:val="0"/>
              <w:snapToGrid w:val="0"/>
              <w:jc w:val="left"/>
              <w:rPr>
                <w:color w:val="000000"/>
                <w:sz w:val="24"/>
                <w:highlight w:val="none"/>
              </w:rPr>
            </w:pPr>
          </w:p>
        </w:tc>
        <w:tc>
          <w:tcPr>
            <w:tcW w:w="537" w:type="pct"/>
            <w:vAlign w:val="center"/>
          </w:tcPr>
          <w:p w14:paraId="0AAC600B">
            <w:pPr>
              <w:adjustRightInd w:val="0"/>
              <w:snapToGrid w:val="0"/>
              <w:jc w:val="center"/>
              <w:rPr>
                <w:color w:val="000000"/>
                <w:sz w:val="24"/>
                <w:highlight w:val="none"/>
              </w:rPr>
            </w:pPr>
          </w:p>
        </w:tc>
        <w:tc>
          <w:tcPr>
            <w:tcW w:w="377" w:type="pct"/>
            <w:vAlign w:val="center"/>
          </w:tcPr>
          <w:p w14:paraId="570CBA3C">
            <w:pPr>
              <w:adjustRightInd w:val="0"/>
              <w:snapToGrid w:val="0"/>
              <w:jc w:val="center"/>
              <w:rPr>
                <w:color w:val="000000"/>
                <w:sz w:val="24"/>
                <w:highlight w:val="none"/>
              </w:rPr>
            </w:pPr>
          </w:p>
        </w:tc>
        <w:tc>
          <w:tcPr>
            <w:tcW w:w="377" w:type="pct"/>
          </w:tcPr>
          <w:p w14:paraId="1A9DEDE4">
            <w:pPr>
              <w:adjustRightInd w:val="0"/>
              <w:snapToGrid w:val="0"/>
              <w:jc w:val="center"/>
              <w:rPr>
                <w:color w:val="000000"/>
                <w:sz w:val="24"/>
                <w:highlight w:val="none"/>
              </w:rPr>
            </w:pPr>
          </w:p>
        </w:tc>
        <w:tc>
          <w:tcPr>
            <w:tcW w:w="377" w:type="pct"/>
          </w:tcPr>
          <w:p w14:paraId="4EECEF67">
            <w:pPr>
              <w:adjustRightInd w:val="0"/>
              <w:snapToGrid w:val="0"/>
              <w:jc w:val="center"/>
              <w:rPr>
                <w:color w:val="000000"/>
                <w:sz w:val="24"/>
                <w:highlight w:val="none"/>
              </w:rPr>
            </w:pPr>
          </w:p>
        </w:tc>
        <w:tc>
          <w:tcPr>
            <w:tcW w:w="377" w:type="pct"/>
            <w:vAlign w:val="center"/>
          </w:tcPr>
          <w:p w14:paraId="3B472CEB">
            <w:pPr>
              <w:adjustRightInd w:val="0"/>
              <w:snapToGrid w:val="0"/>
              <w:jc w:val="center"/>
              <w:rPr>
                <w:color w:val="000000"/>
                <w:sz w:val="24"/>
                <w:highlight w:val="none"/>
              </w:rPr>
            </w:pPr>
          </w:p>
        </w:tc>
        <w:tc>
          <w:tcPr>
            <w:tcW w:w="391" w:type="pct"/>
            <w:vAlign w:val="center"/>
          </w:tcPr>
          <w:p w14:paraId="4E921340">
            <w:pPr>
              <w:adjustRightInd w:val="0"/>
              <w:snapToGrid w:val="0"/>
              <w:jc w:val="left"/>
              <w:rPr>
                <w:color w:val="000000"/>
                <w:sz w:val="24"/>
                <w:highlight w:val="none"/>
              </w:rPr>
            </w:pPr>
          </w:p>
        </w:tc>
        <w:tc>
          <w:tcPr>
            <w:tcW w:w="527" w:type="pct"/>
            <w:vAlign w:val="center"/>
          </w:tcPr>
          <w:p w14:paraId="3A0B52A6">
            <w:pPr>
              <w:adjustRightInd w:val="0"/>
              <w:snapToGrid w:val="0"/>
              <w:jc w:val="left"/>
              <w:rPr>
                <w:color w:val="000000"/>
                <w:sz w:val="24"/>
                <w:highlight w:val="none"/>
              </w:rPr>
            </w:pPr>
          </w:p>
        </w:tc>
        <w:tc>
          <w:tcPr>
            <w:tcW w:w="257" w:type="pct"/>
            <w:vAlign w:val="center"/>
          </w:tcPr>
          <w:p w14:paraId="4566C8D8">
            <w:pPr>
              <w:adjustRightInd w:val="0"/>
              <w:snapToGrid w:val="0"/>
              <w:jc w:val="left"/>
              <w:rPr>
                <w:color w:val="000000"/>
                <w:sz w:val="24"/>
                <w:highlight w:val="none"/>
              </w:rPr>
            </w:pPr>
          </w:p>
        </w:tc>
        <w:tc>
          <w:tcPr>
            <w:tcW w:w="533" w:type="pct"/>
            <w:vAlign w:val="center"/>
          </w:tcPr>
          <w:p w14:paraId="571ED937">
            <w:pPr>
              <w:adjustRightInd w:val="0"/>
              <w:snapToGrid w:val="0"/>
              <w:jc w:val="left"/>
              <w:rPr>
                <w:color w:val="000000"/>
                <w:sz w:val="24"/>
                <w:highlight w:val="none"/>
              </w:rPr>
            </w:pPr>
          </w:p>
        </w:tc>
      </w:tr>
      <w:tr w14:paraId="2BA0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255" w:type="pct"/>
            <w:vAlign w:val="center"/>
          </w:tcPr>
          <w:p w14:paraId="6E116059">
            <w:pPr>
              <w:adjustRightInd w:val="0"/>
              <w:snapToGrid w:val="0"/>
              <w:jc w:val="left"/>
              <w:rPr>
                <w:color w:val="000000"/>
                <w:sz w:val="24"/>
                <w:highlight w:val="none"/>
              </w:rPr>
            </w:pPr>
            <w:r>
              <w:rPr>
                <w:color w:val="000000"/>
                <w:sz w:val="24"/>
                <w:highlight w:val="none"/>
              </w:rPr>
              <w:t>4</w:t>
            </w:r>
          </w:p>
        </w:tc>
        <w:tc>
          <w:tcPr>
            <w:tcW w:w="309" w:type="pct"/>
            <w:vAlign w:val="center"/>
          </w:tcPr>
          <w:p w14:paraId="7920A155">
            <w:pPr>
              <w:adjustRightInd w:val="0"/>
              <w:snapToGrid w:val="0"/>
              <w:jc w:val="left"/>
              <w:rPr>
                <w:color w:val="000000"/>
                <w:sz w:val="24"/>
                <w:highlight w:val="none"/>
              </w:rPr>
            </w:pPr>
          </w:p>
        </w:tc>
        <w:tc>
          <w:tcPr>
            <w:tcW w:w="401" w:type="pct"/>
            <w:vAlign w:val="center"/>
          </w:tcPr>
          <w:p w14:paraId="68BDD366">
            <w:pPr>
              <w:adjustRightInd w:val="0"/>
              <w:snapToGrid w:val="0"/>
              <w:jc w:val="left"/>
              <w:rPr>
                <w:color w:val="000000"/>
                <w:sz w:val="24"/>
                <w:highlight w:val="none"/>
              </w:rPr>
            </w:pPr>
          </w:p>
        </w:tc>
        <w:tc>
          <w:tcPr>
            <w:tcW w:w="274" w:type="pct"/>
          </w:tcPr>
          <w:p w14:paraId="432C6F03">
            <w:pPr>
              <w:adjustRightInd w:val="0"/>
              <w:snapToGrid w:val="0"/>
              <w:jc w:val="left"/>
              <w:rPr>
                <w:color w:val="000000"/>
                <w:sz w:val="24"/>
                <w:highlight w:val="none"/>
              </w:rPr>
            </w:pPr>
          </w:p>
        </w:tc>
        <w:tc>
          <w:tcPr>
            <w:tcW w:w="537" w:type="pct"/>
            <w:vAlign w:val="center"/>
          </w:tcPr>
          <w:p w14:paraId="0717B02C">
            <w:pPr>
              <w:adjustRightInd w:val="0"/>
              <w:snapToGrid w:val="0"/>
              <w:jc w:val="center"/>
              <w:rPr>
                <w:color w:val="000000"/>
                <w:sz w:val="24"/>
                <w:highlight w:val="none"/>
              </w:rPr>
            </w:pPr>
          </w:p>
        </w:tc>
        <w:tc>
          <w:tcPr>
            <w:tcW w:w="377" w:type="pct"/>
            <w:vAlign w:val="center"/>
          </w:tcPr>
          <w:p w14:paraId="2C5DBF04">
            <w:pPr>
              <w:adjustRightInd w:val="0"/>
              <w:snapToGrid w:val="0"/>
              <w:jc w:val="center"/>
              <w:rPr>
                <w:color w:val="000000"/>
                <w:sz w:val="24"/>
                <w:highlight w:val="none"/>
              </w:rPr>
            </w:pPr>
          </w:p>
        </w:tc>
        <w:tc>
          <w:tcPr>
            <w:tcW w:w="377" w:type="pct"/>
          </w:tcPr>
          <w:p w14:paraId="0811D32B">
            <w:pPr>
              <w:adjustRightInd w:val="0"/>
              <w:snapToGrid w:val="0"/>
              <w:jc w:val="center"/>
              <w:rPr>
                <w:color w:val="000000"/>
                <w:sz w:val="24"/>
                <w:highlight w:val="none"/>
              </w:rPr>
            </w:pPr>
          </w:p>
        </w:tc>
        <w:tc>
          <w:tcPr>
            <w:tcW w:w="377" w:type="pct"/>
          </w:tcPr>
          <w:p w14:paraId="25182789">
            <w:pPr>
              <w:adjustRightInd w:val="0"/>
              <w:snapToGrid w:val="0"/>
              <w:jc w:val="center"/>
              <w:rPr>
                <w:color w:val="000000"/>
                <w:sz w:val="24"/>
                <w:highlight w:val="none"/>
              </w:rPr>
            </w:pPr>
          </w:p>
        </w:tc>
        <w:tc>
          <w:tcPr>
            <w:tcW w:w="377" w:type="pct"/>
            <w:vAlign w:val="center"/>
          </w:tcPr>
          <w:p w14:paraId="1332BB35">
            <w:pPr>
              <w:adjustRightInd w:val="0"/>
              <w:snapToGrid w:val="0"/>
              <w:jc w:val="center"/>
              <w:rPr>
                <w:color w:val="000000"/>
                <w:sz w:val="24"/>
                <w:highlight w:val="none"/>
              </w:rPr>
            </w:pPr>
          </w:p>
        </w:tc>
        <w:tc>
          <w:tcPr>
            <w:tcW w:w="391" w:type="pct"/>
            <w:vAlign w:val="center"/>
          </w:tcPr>
          <w:p w14:paraId="27BBEFC5">
            <w:pPr>
              <w:adjustRightInd w:val="0"/>
              <w:snapToGrid w:val="0"/>
              <w:jc w:val="left"/>
              <w:rPr>
                <w:color w:val="000000"/>
                <w:sz w:val="24"/>
                <w:highlight w:val="none"/>
              </w:rPr>
            </w:pPr>
          </w:p>
        </w:tc>
        <w:tc>
          <w:tcPr>
            <w:tcW w:w="527" w:type="pct"/>
            <w:vAlign w:val="center"/>
          </w:tcPr>
          <w:p w14:paraId="06257AE2">
            <w:pPr>
              <w:adjustRightInd w:val="0"/>
              <w:snapToGrid w:val="0"/>
              <w:jc w:val="left"/>
              <w:rPr>
                <w:color w:val="000000"/>
                <w:sz w:val="24"/>
                <w:highlight w:val="none"/>
              </w:rPr>
            </w:pPr>
          </w:p>
        </w:tc>
        <w:tc>
          <w:tcPr>
            <w:tcW w:w="257" w:type="pct"/>
            <w:vAlign w:val="center"/>
          </w:tcPr>
          <w:p w14:paraId="78D60686">
            <w:pPr>
              <w:adjustRightInd w:val="0"/>
              <w:snapToGrid w:val="0"/>
              <w:jc w:val="left"/>
              <w:rPr>
                <w:color w:val="000000"/>
                <w:sz w:val="24"/>
                <w:highlight w:val="none"/>
              </w:rPr>
            </w:pPr>
          </w:p>
        </w:tc>
        <w:tc>
          <w:tcPr>
            <w:tcW w:w="533" w:type="pct"/>
            <w:vAlign w:val="center"/>
          </w:tcPr>
          <w:p w14:paraId="163655B5">
            <w:pPr>
              <w:adjustRightInd w:val="0"/>
              <w:snapToGrid w:val="0"/>
              <w:jc w:val="left"/>
              <w:rPr>
                <w:color w:val="000000"/>
                <w:sz w:val="24"/>
                <w:highlight w:val="none"/>
              </w:rPr>
            </w:pPr>
          </w:p>
        </w:tc>
      </w:tr>
      <w:tr w14:paraId="172F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255" w:type="pct"/>
            <w:vAlign w:val="center"/>
          </w:tcPr>
          <w:p w14:paraId="541801F6">
            <w:pPr>
              <w:adjustRightInd w:val="0"/>
              <w:snapToGrid w:val="0"/>
              <w:jc w:val="left"/>
              <w:rPr>
                <w:color w:val="000000"/>
                <w:sz w:val="24"/>
                <w:highlight w:val="none"/>
              </w:rPr>
            </w:pPr>
            <w:r>
              <w:rPr>
                <w:color w:val="000000"/>
                <w:sz w:val="24"/>
                <w:highlight w:val="none"/>
              </w:rPr>
              <w:t>…</w:t>
            </w:r>
          </w:p>
        </w:tc>
        <w:tc>
          <w:tcPr>
            <w:tcW w:w="309" w:type="pct"/>
            <w:vAlign w:val="center"/>
          </w:tcPr>
          <w:p w14:paraId="77D2B9DF">
            <w:pPr>
              <w:adjustRightInd w:val="0"/>
              <w:snapToGrid w:val="0"/>
              <w:jc w:val="left"/>
              <w:rPr>
                <w:color w:val="000000"/>
                <w:sz w:val="24"/>
                <w:highlight w:val="none"/>
              </w:rPr>
            </w:pPr>
          </w:p>
        </w:tc>
        <w:tc>
          <w:tcPr>
            <w:tcW w:w="401" w:type="pct"/>
            <w:vAlign w:val="center"/>
          </w:tcPr>
          <w:p w14:paraId="5576E0D1">
            <w:pPr>
              <w:adjustRightInd w:val="0"/>
              <w:snapToGrid w:val="0"/>
              <w:jc w:val="left"/>
              <w:rPr>
                <w:color w:val="000000"/>
                <w:sz w:val="24"/>
                <w:highlight w:val="none"/>
              </w:rPr>
            </w:pPr>
          </w:p>
        </w:tc>
        <w:tc>
          <w:tcPr>
            <w:tcW w:w="274" w:type="pct"/>
          </w:tcPr>
          <w:p w14:paraId="65714D83">
            <w:pPr>
              <w:adjustRightInd w:val="0"/>
              <w:snapToGrid w:val="0"/>
              <w:jc w:val="left"/>
              <w:rPr>
                <w:color w:val="000000"/>
                <w:sz w:val="24"/>
                <w:highlight w:val="none"/>
              </w:rPr>
            </w:pPr>
          </w:p>
        </w:tc>
        <w:tc>
          <w:tcPr>
            <w:tcW w:w="537" w:type="pct"/>
            <w:vAlign w:val="center"/>
          </w:tcPr>
          <w:p w14:paraId="59462D21">
            <w:pPr>
              <w:adjustRightInd w:val="0"/>
              <w:snapToGrid w:val="0"/>
              <w:jc w:val="center"/>
              <w:rPr>
                <w:color w:val="000000"/>
                <w:sz w:val="24"/>
                <w:highlight w:val="none"/>
              </w:rPr>
            </w:pPr>
          </w:p>
        </w:tc>
        <w:tc>
          <w:tcPr>
            <w:tcW w:w="377" w:type="pct"/>
            <w:vAlign w:val="center"/>
          </w:tcPr>
          <w:p w14:paraId="1FAA4AF8">
            <w:pPr>
              <w:adjustRightInd w:val="0"/>
              <w:snapToGrid w:val="0"/>
              <w:jc w:val="center"/>
              <w:rPr>
                <w:color w:val="000000"/>
                <w:sz w:val="24"/>
                <w:highlight w:val="none"/>
              </w:rPr>
            </w:pPr>
          </w:p>
        </w:tc>
        <w:tc>
          <w:tcPr>
            <w:tcW w:w="377" w:type="pct"/>
          </w:tcPr>
          <w:p w14:paraId="788EEF97">
            <w:pPr>
              <w:adjustRightInd w:val="0"/>
              <w:snapToGrid w:val="0"/>
              <w:jc w:val="center"/>
              <w:rPr>
                <w:color w:val="000000"/>
                <w:sz w:val="24"/>
                <w:highlight w:val="none"/>
              </w:rPr>
            </w:pPr>
          </w:p>
        </w:tc>
        <w:tc>
          <w:tcPr>
            <w:tcW w:w="377" w:type="pct"/>
          </w:tcPr>
          <w:p w14:paraId="3373D213">
            <w:pPr>
              <w:adjustRightInd w:val="0"/>
              <w:snapToGrid w:val="0"/>
              <w:jc w:val="center"/>
              <w:rPr>
                <w:color w:val="000000"/>
                <w:sz w:val="24"/>
                <w:highlight w:val="none"/>
              </w:rPr>
            </w:pPr>
          </w:p>
        </w:tc>
        <w:tc>
          <w:tcPr>
            <w:tcW w:w="377" w:type="pct"/>
            <w:vAlign w:val="center"/>
          </w:tcPr>
          <w:p w14:paraId="0962F16E">
            <w:pPr>
              <w:adjustRightInd w:val="0"/>
              <w:snapToGrid w:val="0"/>
              <w:jc w:val="center"/>
              <w:rPr>
                <w:color w:val="000000"/>
                <w:sz w:val="24"/>
                <w:highlight w:val="none"/>
              </w:rPr>
            </w:pPr>
          </w:p>
        </w:tc>
        <w:tc>
          <w:tcPr>
            <w:tcW w:w="391" w:type="pct"/>
            <w:vAlign w:val="center"/>
          </w:tcPr>
          <w:p w14:paraId="27D4C05B">
            <w:pPr>
              <w:adjustRightInd w:val="0"/>
              <w:snapToGrid w:val="0"/>
              <w:jc w:val="left"/>
              <w:rPr>
                <w:color w:val="000000"/>
                <w:sz w:val="24"/>
                <w:highlight w:val="none"/>
              </w:rPr>
            </w:pPr>
          </w:p>
        </w:tc>
        <w:tc>
          <w:tcPr>
            <w:tcW w:w="527" w:type="pct"/>
            <w:vAlign w:val="center"/>
          </w:tcPr>
          <w:p w14:paraId="679E5E7C">
            <w:pPr>
              <w:adjustRightInd w:val="0"/>
              <w:snapToGrid w:val="0"/>
              <w:jc w:val="left"/>
              <w:rPr>
                <w:color w:val="000000"/>
                <w:sz w:val="24"/>
                <w:highlight w:val="none"/>
              </w:rPr>
            </w:pPr>
          </w:p>
        </w:tc>
        <w:tc>
          <w:tcPr>
            <w:tcW w:w="257" w:type="pct"/>
            <w:vAlign w:val="center"/>
          </w:tcPr>
          <w:p w14:paraId="13828D28">
            <w:pPr>
              <w:adjustRightInd w:val="0"/>
              <w:snapToGrid w:val="0"/>
              <w:jc w:val="left"/>
              <w:rPr>
                <w:color w:val="000000"/>
                <w:sz w:val="24"/>
                <w:highlight w:val="none"/>
              </w:rPr>
            </w:pPr>
          </w:p>
        </w:tc>
        <w:tc>
          <w:tcPr>
            <w:tcW w:w="533" w:type="pct"/>
            <w:vAlign w:val="center"/>
          </w:tcPr>
          <w:p w14:paraId="32413DD1">
            <w:pPr>
              <w:adjustRightInd w:val="0"/>
              <w:snapToGrid w:val="0"/>
              <w:jc w:val="left"/>
              <w:rPr>
                <w:color w:val="000000"/>
                <w:sz w:val="24"/>
                <w:highlight w:val="none"/>
              </w:rPr>
            </w:pPr>
          </w:p>
        </w:tc>
      </w:tr>
      <w:tr w14:paraId="2FD3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5" w:type="pct"/>
            <w:gridSpan w:val="11"/>
            <w:vAlign w:val="center"/>
          </w:tcPr>
          <w:p w14:paraId="4BF66196">
            <w:pPr>
              <w:adjustRightInd w:val="0"/>
              <w:snapToGrid w:val="0"/>
              <w:jc w:val="right"/>
              <w:rPr>
                <w:b/>
                <w:bCs/>
                <w:color w:val="000000"/>
                <w:sz w:val="24"/>
                <w:highlight w:val="none"/>
              </w:rPr>
            </w:pPr>
            <w:r>
              <w:rPr>
                <w:rFonts w:hint="eastAsia"/>
                <w:b/>
                <w:bCs/>
                <w:color w:val="000000"/>
                <w:sz w:val="24"/>
                <w:highlight w:val="none"/>
              </w:rPr>
              <w:t>总价（元）</w:t>
            </w:r>
          </w:p>
        </w:tc>
        <w:tc>
          <w:tcPr>
            <w:tcW w:w="257" w:type="pct"/>
            <w:vAlign w:val="center"/>
          </w:tcPr>
          <w:p w14:paraId="1B20E9D8">
            <w:pPr>
              <w:adjustRightInd w:val="0"/>
              <w:snapToGrid w:val="0"/>
              <w:jc w:val="left"/>
              <w:rPr>
                <w:color w:val="000000"/>
                <w:sz w:val="24"/>
                <w:highlight w:val="none"/>
              </w:rPr>
            </w:pPr>
          </w:p>
        </w:tc>
        <w:tc>
          <w:tcPr>
            <w:tcW w:w="536" w:type="pct"/>
            <w:gridSpan w:val="2"/>
            <w:vAlign w:val="center"/>
          </w:tcPr>
          <w:p w14:paraId="65D93192">
            <w:pPr>
              <w:adjustRightInd w:val="0"/>
              <w:snapToGrid w:val="0"/>
              <w:jc w:val="left"/>
              <w:rPr>
                <w:color w:val="000000"/>
                <w:sz w:val="24"/>
                <w:highlight w:val="none"/>
              </w:rPr>
            </w:pPr>
          </w:p>
        </w:tc>
      </w:tr>
    </w:tbl>
    <w:p w14:paraId="459765EB">
      <w:pPr>
        <w:adjustRightInd w:val="0"/>
        <w:snapToGrid w:val="0"/>
        <w:jc w:val="left"/>
        <w:rPr>
          <w:b/>
          <w:i/>
          <w:color w:val="FF0000"/>
          <w:sz w:val="24"/>
          <w:highlight w:val="none"/>
        </w:rPr>
      </w:pPr>
      <w:r>
        <w:rPr>
          <w:b/>
          <w:i/>
          <w:color w:val="FF0000"/>
          <w:sz w:val="24"/>
          <w:highlight w:val="none"/>
        </w:rPr>
        <w:t>说明：制造商规模请填写</w:t>
      </w:r>
      <w:bookmarkStart w:id="1057"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1057"/>
      <w:r>
        <w:rPr>
          <w:b/>
          <w:i/>
          <w:color w:val="FF0000"/>
          <w:sz w:val="24"/>
          <w:highlight w:val="none"/>
        </w:rPr>
        <w:t>“中型”、“小型”、“微型”或“其他”，中小企业的定义见第二章《投标人须知》。</w:t>
      </w:r>
    </w:p>
    <w:p w14:paraId="1C7DDE84">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276C2A40">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1055"/>
      <w:bookmarkEnd w:id="1056"/>
    </w:p>
    <w:p w14:paraId="1000889E">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1D0D6D2D">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78DB3289">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szCs w:val="20"/>
          <w:highlight w:val="none"/>
        </w:rPr>
        <w:t>日期：_____年______月______日</w:t>
      </w:r>
    </w:p>
    <w:p w14:paraId="63D699E7">
      <w:pPr>
        <w:pageBreakBefore w:val="0"/>
        <w:numPr>
          <w:ilvl w:val="0"/>
          <w:numId w:val="2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bookmarkStart w:id="1058" w:name="_Toc150774765"/>
      <w:bookmarkStart w:id="1059" w:name="_Toc127151562"/>
      <w:bookmarkStart w:id="1060" w:name="_Toc305158830"/>
      <w:bookmarkStart w:id="1061" w:name="_Toc226309806"/>
      <w:bookmarkStart w:id="1062" w:name="_Toc264969252"/>
      <w:bookmarkStart w:id="1063" w:name="_Toc150480798"/>
      <w:bookmarkStart w:id="1064" w:name="_Toc142311062"/>
      <w:bookmarkStart w:id="1065" w:name="_Toc226337258"/>
      <w:bookmarkStart w:id="1066" w:name="_Toc226965752"/>
      <w:bookmarkStart w:id="1067" w:name="_Toc305158904"/>
      <w:bookmarkStart w:id="1068" w:name="_Toc265228400"/>
      <w:bookmarkStart w:id="1069" w:name="_Toc226965835"/>
      <w:bookmarkStart w:id="1070" w:name="_Toc195842927"/>
      <w:bookmarkStart w:id="1071" w:name="_Toc305158903"/>
      <w:bookmarkStart w:id="1072" w:name="_Toc127151561"/>
      <w:bookmarkStart w:id="1073" w:name="_Toc226309805"/>
      <w:bookmarkStart w:id="1074" w:name="_Toc226337257"/>
      <w:bookmarkStart w:id="1075" w:name="_Toc226965834"/>
      <w:bookmarkStart w:id="1076" w:name="_Toc226965751"/>
      <w:bookmarkStart w:id="1077" w:name="_Toc150480797"/>
      <w:bookmarkStart w:id="1078" w:name="_Toc264969251"/>
      <w:bookmarkStart w:id="1079" w:name="_Toc305158829"/>
      <w:bookmarkStart w:id="1080" w:name="_Toc265228399"/>
      <w:bookmarkStart w:id="1081" w:name="_Toc195842926"/>
      <w:bookmarkStart w:id="1082" w:name="_Toc142311061"/>
      <w:bookmarkStart w:id="1083" w:name="_Toc150774764"/>
      <w:r>
        <w:rPr>
          <w:rFonts w:hint="eastAsia" w:ascii="宋体" w:hAnsi="宋体" w:eastAsia="宋体" w:cs="宋体"/>
          <w:i w:val="0"/>
          <w:iCs w:val="0"/>
          <w:color w:val="auto"/>
          <w:spacing w:val="0"/>
          <w:position w:val="0"/>
          <w:sz w:val="24"/>
          <w:szCs w:val="20"/>
          <w:highlight w:val="none"/>
        </w:rPr>
        <w:br w:type="page"/>
      </w:r>
      <w:r>
        <w:rPr>
          <w:rFonts w:hint="eastAsia" w:ascii="宋体" w:hAnsi="宋体" w:eastAsia="宋体" w:cs="宋体"/>
          <w:i w:val="0"/>
          <w:iCs w:val="0"/>
          <w:color w:val="auto"/>
          <w:spacing w:val="0"/>
          <w:position w:val="0"/>
          <w:sz w:val="24"/>
          <w:szCs w:val="20"/>
          <w:highlight w:val="none"/>
        </w:rPr>
        <w:t>合同条款偏离表</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Fonts w:hint="eastAsia" w:ascii="宋体" w:hAnsi="宋体" w:eastAsia="宋体" w:cs="宋体"/>
          <w:i w:val="0"/>
          <w:iCs w:val="0"/>
          <w:color w:val="auto"/>
          <w:spacing w:val="0"/>
          <w:position w:val="0"/>
          <w:sz w:val="24"/>
          <w:szCs w:val="20"/>
          <w:highlight w:val="none"/>
        </w:rPr>
        <w:t>（实质性格式）</w:t>
      </w:r>
    </w:p>
    <w:p w14:paraId="21ACE3AD">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327BEB08">
      <w:pPr>
        <w:pageBreakBefore w:val="0"/>
        <w:tabs>
          <w:tab w:val="left" w:pos="2775"/>
          <w:tab w:val="center" w:pos="4153"/>
        </w:tabs>
        <w:wordWrap/>
        <w:topLinePunct w:val="0"/>
        <w:autoSpaceDE w:val="0"/>
        <w:autoSpaceDN w:val="0"/>
        <w:bidi w:val="0"/>
        <w:adjustRightInd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合同条款偏离表</w:t>
      </w:r>
    </w:p>
    <w:p w14:paraId="762A5404">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36"/>
        <w:gridCol w:w="1632"/>
        <w:gridCol w:w="1631"/>
        <w:gridCol w:w="1824"/>
        <w:gridCol w:w="1110"/>
      </w:tblGrid>
      <w:tr w14:paraId="2D14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BB1F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bookmarkStart w:id="1084" w:name="_Hlk144279231"/>
            <w:r>
              <w:rPr>
                <w:rFonts w:hint="eastAsia" w:ascii="宋体" w:hAnsi="宋体" w:eastAsia="宋体" w:cs="宋体"/>
                <w:i w:val="0"/>
                <w:iCs w:val="0"/>
                <w:color w:val="auto"/>
                <w:spacing w:val="0"/>
                <w:position w:val="0"/>
                <w:sz w:val="24"/>
                <w:highlight w:val="none"/>
              </w:rPr>
              <w:t>序号</w:t>
            </w:r>
          </w:p>
        </w:tc>
        <w:tc>
          <w:tcPr>
            <w:tcW w:w="1646" w:type="dxa"/>
            <w:vAlign w:val="center"/>
          </w:tcPr>
          <w:p w14:paraId="6B25BF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1"/>
                <w:highlight w:val="none"/>
              </w:rPr>
              <w:t>招标文件</w:t>
            </w:r>
            <w:r>
              <w:rPr>
                <w:rFonts w:hint="eastAsia" w:ascii="宋体" w:hAnsi="宋体" w:eastAsia="宋体" w:cs="宋体"/>
                <w:i w:val="0"/>
                <w:iCs w:val="0"/>
                <w:color w:val="auto"/>
                <w:spacing w:val="0"/>
                <w:position w:val="0"/>
                <w:sz w:val="24"/>
                <w:highlight w:val="none"/>
              </w:rPr>
              <w:t>条目号（页码）</w:t>
            </w:r>
          </w:p>
        </w:tc>
        <w:tc>
          <w:tcPr>
            <w:tcW w:w="1688" w:type="dxa"/>
            <w:vAlign w:val="center"/>
          </w:tcPr>
          <w:p w14:paraId="0FD298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1"/>
                <w:highlight w:val="none"/>
              </w:rPr>
              <w:t>招标文件</w:t>
            </w:r>
            <w:r>
              <w:rPr>
                <w:rFonts w:hint="eastAsia" w:ascii="宋体" w:hAnsi="宋体" w:eastAsia="宋体" w:cs="宋体"/>
                <w:i w:val="0"/>
                <w:iCs w:val="0"/>
                <w:color w:val="auto"/>
                <w:spacing w:val="0"/>
                <w:position w:val="0"/>
                <w:sz w:val="24"/>
                <w:highlight w:val="none"/>
              </w:rPr>
              <w:t>要求</w:t>
            </w:r>
          </w:p>
        </w:tc>
        <w:tc>
          <w:tcPr>
            <w:tcW w:w="1688" w:type="dxa"/>
            <w:vAlign w:val="center"/>
          </w:tcPr>
          <w:p w14:paraId="572DC8D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投标文件内容</w:t>
            </w:r>
          </w:p>
        </w:tc>
        <w:tc>
          <w:tcPr>
            <w:tcW w:w="1925" w:type="dxa"/>
            <w:vAlign w:val="center"/>
          </w:tcPr>
          <w:p w14:paraId="27FAE1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偏离情况</w:t>
            </w:r>
          </w:p>
        </w:tc>
        <w:tc>
          <w:tcPr>
            <w:tcW w:w="1045" w:type="dxa"/>
            <w:vAlign w:val="center"/>
          </w:tcPr>
          <w:p w14:paraId="4DA35C5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tc>
      </w:tr>
      <w:tr w14:paraId="5DF2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3ADEC3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Cs/>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对本项目合同条款的偏离情况</w:t>
            </w:r>
            <w:r>
              <w:rPr>
                <w:rFonts w:hint="eastAsia" w:ascii="宋体" w:hAnsi="宋体" w:eastAsia="宋体" w:cs="宋体"/>
                <w:bCs/>
                <w:i w:val="0"/>
                <w:iCs w:val="0"/>
                <w:color w:val="auto"/>
                <w:spacing w:val="0"/>
                <w:position w:val="0"/>
                <w:sz w:val="24"/>
                <w:highlight w:val="none"/>
              </w:rPr>
              <w:t>（应进行选择，未选择</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bCs/>
                <w:i w:val="0"/>
                <w:iCs w:val="0"/>
                <w:color w:val="auto"/>
                <w:spacing w:val="0"/>
                <w:position w:val="0"/>
                <w:sz w:val="24"/>
                <w:highlight w:val="none"/>
              </w:rPr>
              <w:t>）：</w:t>
            </w:r>
          </w:p>
          <w:p w14:paraId="68CFAEF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无偏离</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szCs w:val="21"/>
                <w:highlight w:val="none"/>
              </w:rPr>
              <w:t>如无偏离，仅选择无偏离即可；</w:t>
            </w:r>
            <w:r>
              <w:rPr>
                <w:rFonts w:hint="eastAsia" w:ascii="宋体" w:hAnsi="宋体" w:eastAsia="宋体" w:cs="宋体"/>
                <w:bCs/>
                <w:i w:val="0"/>
                <w:iCs w:val="0"/>
                <w:color w:val="auto"/>
                <w:spacing w:val="0"/>
                <w:position w:val="0"/>
                <w:sz w:val="24"/>
                <w:highlight w:val="none"/>
              </w:rPr>
              <w:t>无偏离即为</w:t>
            </w:r>
            <w:r>
              <w:rPr>
                <w:rFonts w:hint="eastAsia" w:ascii="宋体" w:hAnsi="宋体" w:eastAsia="宋体" w:cs="宋体"/>
                <w:i w:val="0"/>
                <w:iCs w:val="0"/>
                <w:color w:val="auto"/>
                <w:spacing w:val="0"/>
                <w:position w:val="0"/>
                <w:sz w:val="24"/>
                <w:highlight w:val="none"/>
              </w:rPr>
              <w:t>对合同条款中的所有要求，均视作供应商已对之理解和响应。）</w:t>
            </w:r>
          </w:p>
          <w:p w14:paraId="7B3507D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有偏离</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szCs w:val="21"/>
                <w:highlight w:val="none"/>
              </w:rPr>
              <w:t>如有偏离，</w:t>
            </w:r>
            <w:r>
              <w:rPr>
                <w:rFonts w:hint="eastAsia" w:ascii="宋体" w:hAnsi="宋体" w:eastAsia="宋体" w:cs="宋体"/>
                <w:i w:val="0"/>
                <w:iCs w:val="0"/>
                <w:color w:val="auto"/>
                <w:spacing w:val="0"/>
                <w:position w:val="0"/>
                <w:sz w:val="24"/>
                <w:highlight w:val="none"/>
              </w:rPr>
              <w:t>则应在本表中对负偏离项逐一列明，否则</w:t>
            </w:r>
            <w:r>
              <w:rPr>
                <w:rFonts w:hint="eastAsia" w:ascii="宋体" w:hAnsi="宋体" w:eastAsia="宋体" w:cs="宋体"/>
                <w:b/>
                <w:bCs/>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；对合同条款中的所有要求，除本表列明的偏离外，均视作供应商已对之理解和响应。）</w:t>
            </w:r>
          </w:p>
        </w:tc>
      </w:tr>
      <w:tr w14:paraId="5013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1EF9E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213FCD4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6305D2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6F8FC46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58AC889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2B15FA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7AC0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ADF1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2302F7E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3A7958A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53460BB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7B40AE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035C4A7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5A11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6DA04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55516DE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13FA60F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4CE02C4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5F501F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29BF2FE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6CFA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FE8A4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73DB0B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1237AF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0874875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739514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6B1F2BD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bookmarkEnd w:id="1084"/>
    </w:tbl>
    <w:p w14:paraId="4F854D89">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642ECD0C">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注：“偏离情况”列应据实填写“正偏离”或“负偏离”。</w:t>
      </w:r>
    </w:p>
    <w:p w14:paraId="27E56281">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289B8A42">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118A987E">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    ____________</w:t>
      </w:r>
    </w:p>
    <w:p w14:paraId="742FDFA9">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szCs w:val="20"/>
          <w:highlight w:val="none"/>
        </w:rPr>
        <w:t>日期：_____年______月______日</w:t>
      </w:r>
    </w:p>
    <w:p w14:paraId="4176EA62">
      <w:pPr>
        <w:pageBreakBefore w:val="0"/>
        <w:numPr>
          <w:ilvl w:val="0"/>
          <w:numId w:val="2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Fonts w:hint="eastAsia" w:ascii="宋体" w:hAnsi="宋体" w:eastAsia="宋体" w:cs="宋体"/>
          <w:i w:val="0"/>
          <w:iCs w:val="0"/>
          <w:color w:val="auto"/>
          <w:spacing w:val="0"/>
          <w:position w:val="0"/>
          <w:sz w:val="24"/>
          <w:szCs w:val="20"/>
          <w:highlight w:val="none"/>
        </w:rPr>
        <w:t>采购需求偏离表（实质性格式）</w:t>
      </w:r>
    </w:p>
    <w:p w14:paraId="55F8A3ED">
      <w:pPr>
        <w:pageBreakBefore w:val="0"/>
        <w:wordWrap/>
        <w:topLinePunct w:val="0"/>
        <w:autoSpaceDE w:val="0"/>
        <w:autoSpaceDN w:val="0"/>
        <w:bidi w:val="0"/>
        <w:adjustRightInd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采购需求偏离表</w:t>
      </w:r>
    </w:p>
    <w:p w14:paraId="0F324512">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项目编号/包号：_____________________     项目名称：____________</w:t>
      </w:r>
    </w:p>
    <w:tbl>
      <w:tblPr>
        <w:tblStyle w:val="44"/>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12"/>
        <w:gridCol w:w="2272"/>
        <w:gridCol w:w="2026"/>
        <w:gridCol w:w="1787"/>
        <w:gridCol w:w="961"/>
      </w:tblGrid>
      <w:tr w14:paraId="0B0F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38" w:type="dxa"/>
            <w:vAlign w:val="center"/>
          </w:tcPr>
          <w:p w14:paraId="6DDC2EB9">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序号</w:t>
            </w:r>
          </w:p>
        </w:tc>
        <w:tc>
          <w:tcPr>
            <w:tcW w:w="1412" w:type="dxa"/>
            <w:vAlign w:val="center"/>
          </w:tcPr>
          <w:p w14:paraId="6A13CFE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招标文件条目号(页码)</w:t>
            </w:r>
          </w:p>
        </w:tc>
        <w:tc>
          <w:tcPr>
            <w:tcW w:w="2272" w:type="dxa"/>
            <w:vAlign w:val="center"/>
          </w:tcPr>
          <w:p w14:paraId="7D0E9173">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招标文件要求</w:t>
            </w:r>
          </w:p>
        </w:tc>
        <w:tc>
          <w:tcPr>
            <w:tcW w:w="2026" w:type="dxa"/>
            <w:vAlign w:val="center"/>
          </w:tcPr>
          <w:p w14:paraId="2CD8F0C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投标响应内容</w:t>
            </w:r>
          </w:p>
        </w:tc>
        <w:tc>
          <w:tcPr>
            <w:tcW w:w="1787" w:type="dxa"/>
            <w:vAlign w:val="center"/>
          </w:tcPr>
          <w:p w14:paraId="55333C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偏离情况</w:t>
            </w:r>
          </w:p>
        </w:tc>
        <w:tc>
          <w:tcPr>
            <w:tcW w:w="961" w:type="dxa"/>
            <w:vAlign w:val="center"/>
          </w:tcPr>
          <w:p w14:paraId="6E2744F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tc>
      </w:tr>
      <w:tr w14:paraId="0315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10AA6F0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4325503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2488568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6524FA5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51F6926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7F588CCA">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0F0D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4F52737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747995D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57EC3C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5E47751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7717B72C">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4A75D60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0515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7B42FA5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7F77FAE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095F1D4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2D43DCF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77F6C7FE">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416010E4">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4610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33C24404">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452A19E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14C5244C">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63C2F5C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16B9B9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3954BCD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1596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209EC14B">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331B5C4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624A6B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79B0266D">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42F20ABA">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11FE1EC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5CED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37185C2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1E89D7B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78437F9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34502A1B">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22A334A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72AA703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bl>
    <w:p w14:paraId="0DBE2AB4">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u w:val="single"/>
        </w:rPr>
      </w:pPr>
    </w:p>
    <w:p w14:paraId="724E19D0">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w:t>
      </w:r>
    </w:p>
    <w:p w14:paraId="6D5BFED6">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 对招标文件中的所有商务、技术要求，除本表所列明的所有偏离外，均视作供应商已对之理解和响应。此表中若无任何文字说明，内容为空白的，</w:t>
      </w:r>
      <w:r>
        <w:rPr>
          <w:rFonts w:hint="eastAsia" w:ascii="宋体" w:hAnsi="宋体" w:eastAsia="宋体" w:cs="宋体"/>
          <w:b/>
          <w:i w:val="0"/>
          <w:iCs w:val="0"/>
          <w:color w:val="auto"/>
          <w:spacing w:val="0"/>
          <w:position w:val="0"/>
          <w:sz w:val="24"/>
          <w:highlight w:val="none"/>
        </w:rPr>
        <w:t>投标无效。</w:t>
      </w:r>
    </w:p>
    <w:p w14:paraId="3C601960">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2.“偏离情况”列应据实填写“无偏离”、“正偏离”或“负偏离”。</w:t>
      </w:r>
    </w:p>
    <w:p w14:paraId="4077BC2A">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D5E1493">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DB7DC3D">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7562433">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324BC285">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    ____________</w:t>
      </w:r>
    </w:p>
    <w:p w14:paraId="5FB17127">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szCs w:val="20"/>
          <w:highlight w:val="none"/>
        </w:rPr>
        <w:t>日期：_____年______月______日</w:t>
      </w:r>
    </w:p>
    <w:p w14:paraId="131D27A9">
      <w:pPr>
        <w:pageBreakBefore w:val="0"/>
        <w:numPr>
          <w:ilvl w:val="0"/>
          <w:numId w:val="22"/>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r>
        <w:rPr>
          <w:rFonts w:hint="eastAsia" w:ascii="宋体" w:hAnsi="宋体" w:eastAsia="宋体" w:cs="宋体"/>
          <w:i w:val="0"/>
          <w:iCs w:val="0"/>
          <w:color w:val="auto"/>
          <w:spacing w:val="0"/>
          <w:position w:val="0"/>
          <w:sz w:val="24"/>
          <w:szCs w:val="20"/>
          <w:highlight w:val="none"/>
        </w:rPr>
        <w:t>本国产品标准证明文件</w:t>
      </w:r>
    </w:p>
    <w:p w14:paraId="6E223E73">
      <w:pPr>
        <w:pStyle w:val="38"/>
        <w:shd w:val="clear" w:color="auto" w:fill="FFFFFF"/>
        <w:spacing w:before="30" w:beforeAutospacing="0" w:after="30" w:afterAutospacing="0"/>
        <w:jc w:val="center"/>
        <w:rPr>
          <w:color w:val="333333"/>
          <w:sz w:val="36"/>
          <w:szCs w:val="36"/>
          <w:highlight w:val="none"/>
        </w:rPr>
      </w:pPr>
      <w:r>
        <w:rPr>
          <w:rStyle w:val="48"/>
          <w:rFonts w:hint="eastAsia"/>
          <w:color w:val="333333"/>
          <w:sz w:val="36"/>
          <w:szCs w:val="36"/>
          <w:highlight w:val="none"/>
          <w:shd w:val="clear" w:color="auto" w:fill="FFFFFF"/>
        </w:rPr>
        <w:t>关于符合本国产品标准的声明函</w:t>
      </w:r>
    </w:p>
    <w:p w14:paraId="2EA0FC79">
      <w:pPr>
        <w:pStyle w:val="38"/>
        <w:shd w:val="clear" w:color="auto" w:fill="FFFFFF"/>
        <w:spacing w:before="30" w:beforeAutospacing="0" w:after="30" w:afterAutospacing="0"/>
        <w:ind w:firstLine="420"/>
        <w:rPr>
          <w:color w:val="333333"/>
          <w:highlight w:val="none"/>
        </w:rPr>
      </w:pPr>
    </w:p>
    <w:p w14:paraId="05213B5A">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DCF0749">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1"/>
          <w:rFonts w:hint="eastAsia"/>
          <w:color w:val="333333"/>
          <w:highlight w:val="none"/>
          <w:u w:val="single"/>
          <w:shd w:val="clear" w:color="auto" w:fill="FFFFFF"/>
        </w:rPr>
        <w:t>（产品名称1）</w:t>
      </w:r>
      <w:r>
        <w:rPr>
          <w:rStyle w:val="51"/>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1"/>
          <w:rFonts w:hint="eastAsia"/>
          <w:color w:val="333333"/>
          <w:highlight w:val="none"/>
          <w:u w:val="single"/>
          <w:shd w:val="clear" w:color="auto" w:fill="FFFFFF"/>
        </w:rPr>
        <w:t>（厂名）</w:t>
      </w:r>
      <w:r>
        <w:rPr>
          <w:rStyle w:val="51"/>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1"/>
          <w:rFonts w:hint="eastAsia"/>
          <w:color w:val="333333"/>
          <w:highlight w:val="none"/>
          <w:u w:val="single"/>
          <w:shd w:val="clear" w:color="auto" w:fill="FFFFFF"/>
        </w:rPr>
        <w:t>（生产厂址）</w:t>
      </w:r>
      <w:r>
        <w:rPr>
          <w:rFonts w:hint="eastAsia"/>
          <w:color w:val="333333"/>
          <w:highlight w:val="none"/>
          <w:shd w:val="clear" w:color="auto" w:fill="FFFFFF"/>
        </w:rPr>
        <w:t>。</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1"/>
          <w:rFonts w:hint="eastAsia"/>
          <w:color w:val="333333"/>
          <w:highlight w:val="none"/>
          <w:u w:val="single"/>
          <w:shd w:val="clear" w:color="auto" w:fill="FFFFFF"/>
        </w:rPr>
        <w:t>（规定比例）</w:t>
      </w:r>
      <w:r>
        <w:rPr>
          <w:rStyle w:val="51"/>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1"/>
          <w:rFonts w:hint="eastAsia"/>
          <w:color w:val="333333"/>
          <w:highlight w:val="none"/>
          <w:u w:val="single"/>
          <w:shd w:val="clear" w:color="auto" w:fill="FFFFFF"/>
        </w:rPr>
        <w:t>（关键组件）</w:t>
      </w:r>
      <w:r>
        <w:rPr>
          <w:rStyle w:val="51"/>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1"/>
          <w:rFonts w:hint="eastAsia"/>
          <w:color w:val="333333"/>
          <w:highlight w:val="none"/>
          <w:u w:val="single"/>
          <w:shd w:val="clear" w:color="auto" w:fill="FFFFFF"/>
        </w:rPr>
        <w:t>（关键工序）</w:t>
      </w:r>
      <w:r>
        <w:rPr>
          <w:rStyle w:val="51"/>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49FA307A">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1"/>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1"/>
          <w:rFonts w:hint="eastAsia"/>
          <w:color w:val="333333"/>
          <w:highlight w:val="none"/>
          <w:u w:val="single"/>
          <w:shd w:val="clear" w:color="auto" w:fill="FFFFFF"/>
        </w:rPr>
        <w:t>（生产厂址）</w:t>
      </w:r>
      <w:r>
        <w:rPr>
          <w:rFonts w:hint="eastAsia"/>
          <w:color w:val="333333"/>
          <w:highlight w:val="none"/>
          <w:shd w:val="clear" w:color="auto" w:fill="FFFFFF"/>
        </w:rPr>
        <w:t>。</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1"/>
          <w:rFonts w:hint="eastAsia"/>
          <w:color w:val="333333"/>
          <w:highlight w:val="none"/>
          <w:u w:val="single"/>
          <w:shd w:val="clear" w:color="auto" w:fill="FFFFFF"/>
        </w:rPr>
        <w:t>（规定比例）</w:t>
      </w:r>
      <w:r>
        <w:rPr>
          <w:rFonts w:hint="eastAsia"/>
          <w:color w:val="333333"/>
          <w:highlight w:val="none"/>
          <w:shd w:val="clear" w:color="auto" w:fill="FFFFFF"/>
        </w:rPr>
        <w:t>。</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1"/>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1"/>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6973BE5D">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7754ED47">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E4F2104">
      <w:pPr>
        <w:pStyle w:val="38"/>
        <w:shd w:val="clear" w:color="auto" w:fill="FFFFFF"/>
        <w:spacing w:before="0" w:beforeAutospacing="0" w:after="0" w:afterAutospacing="0" w:line="360" w:lineRule="auto"/>
        <w:rPr>
          <w:color w:val="333333"/>
          <w:highlight w:val="none"/>
        </w:rPr>
      </w:pPr>
    </w:p>
    <w:p w14:paraId="07DC0E1A">
      <w:pPr>
        <w:pStyle w:val="38"/>
        <w:shd w:val="clear" w:color="auto" w:fill="FFFFFF"/>
        <w:spacing w:before="0" w:beforeAutospacing="0" w:after="0" w:afterAutospacing="0" w:line="360" w:lineRule="auto"/>
        <w:jc w:val="right"/>
        <w:rPr>
          <w:color w:val="333333"/>
          <w:highlight w:val="none"/>
          <w:shd w:val="clear" w:color="auto" w:fill="FFFFFF"/>
        </w:rPr>
      </w:pPr>
    </w:p>
    <w:p w14:paraId="0E37BFD4">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BC7A54">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5244251B">
      <w:pPr>
        <w:pStyle w:val="38"/>
        <w:shd w:val="clear" w:color="auto" w:fill="FFFFFF"/>
        <w:spacing w:before="0" w:beforeAutospacing="0" w:after="0" w:afterAutospacing="0" w:line="360" w:lineRule="auto"/>
        <w:rPr>
          <w:color w:val="333333"/>
          <w:highlight w:val="none"/>
          <w:shd w:val="clear" w:color="auto" w:fill="FFFFFF"/>
        </w:rPr>
      </w:pPr>
    </w:p>
    <w:p w14:paraId="5CF6B0DF">
      <w:pPr>
        <w:pStyle w:val="38"/>
        <w:shd w:val="clear" w:color="auto" w:fill="FFFFFF"/>
        <w:spacing w:before="0" w:beforeAutospacing="0" w:after="0" w:afterAutospacing="0" w:line="360" w:lineRule="auto"/>
        <w:rPr>
          <w:color w:val="333333"/>
          <w:highlight w:val="none"/>
          <w:shd w:val="clear" w:color="auto" w:fill="FFFFFF"/>
        </w:rPr>
      </w:pPr>
    </w:p>
    <w:p w14:paraId="576A300F">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0259EA4B">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58B7DB2">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11234F87">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7079E0D1">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4431609C">
      <w:pPr>
        <w:widowControl/>
        <w:jc w:val="left"/>
        <w:rPr>
          <w:color w:val="333333"/>
          <w:szCs w:val="21"/>
          <w:highlight w:val="none"/>
          <w:shd w:val="clear" w:color="auto" w:fill="FFFFFF"/>
        </w:rPr>
      </w:pPr>
      <w:r>
        <w:rPr>
          <w:color w:val="333333"/>
          <w:szCs w:val="21"/>
          <w:highlight w:val="none"/>
          <w:shd w:val="clear" w:color="auto" w:fill="FFFFFF"/>
        </w:rPr>
        <w:br w:type="page"/>
      </w:r>
    </w:p>
    <w:p w14:paraId="78A56D29">
      <w:pPr>
        <w:pStyle w:val="38"/>
        <w:shd w:val="clear" w:color="auto" w:fill="FFFFFF"/>
        <w:spacing w:before="30" w:beforeAutospacing="0" w:after="30" w:afterAutospacing="0"/>
        <w:jc w:val="center"/>
        <w:rPr>
          <w:rStyle w:val="48"/>
          <w:sz w:val="36"/>
          <w:szCs w:val="36"/>
          <w:highlight w:val="none"/>
        </w:rPr>
      </w:pPr>
      <w:r>
        <w:rPr>
          <w:rStyle w:val="48"/>
          <w:rFonts w:hint="eastAsia"/>
          <w:sz w:val="36"/>
          <w:szCs w:val="36"/>
          <w:highlight w:val="none"/>
        </w:rPr>
        <w:t>产品成本占比承诺函</w:t>
      </w:r>
    </w:p>
    <w:p w14:paraId="27D1972B">
      <w:pPr>
        <w:pStyle w:val="38"/>
        <w:shd w:val="clear" w:color="auto" w:fill="FFFFFF"/>
        <w:spacing w:before="30" w:beforeAutospacing="0" w:after="30" w:afterAutospacing="0"/>
        <w:rPr>
          <w:rStyle w:val="48"/>
          <w:sz w:val="36"/>
          <w:szCs w:val="36"/>
          <w:highlight w:val="none"/>
        </w:rPr>
      </w:pPr>
    </w:p>
    <w:p w14:paraId="4FC2E928">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6826A15">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1ADD6FED">
      <w:pPr>
        <w:widowControl/>
        <w:spacing w:line="360" w:lineRule="auto"/>
        <w:ind w:firstLine="480" w:firstLineChars="200"/>
        <w:jc w:val="left"/>
        <w:rPr>
          <w:color w:val="000000"/>
          <w:sz w:val="24"/>
          <w:highlight w:val="none"/>
        </w:rPr>
      </w:pPr>
    </w:p>
    <w:p w14:paraId="6AEF986E">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2F35236B">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28CE6CC1">
      <w:pPr>
        <w:widowControl/>
        <w:spacing w:line="360" w:lineRule="auto"/>
        <w:jc w:val="left"/>
        <w:rPr>
          <w:color w:val="000000"/>
          <w:sz w:val="24"/>
          <w:highlight w:val="none"/>
        </w:rPr>
      </w:pPr>
    </w:p>
    <w:p w14:paraId="60D790BF">
      <w:pPr>
        <w:widowControl/>
        <w:spacing w:line="360" w:lineRule="auto"/>
        <w:jc w:val="left"/>
        <w:rPr>
          <w:color w:val="000000"/>
          <w:sz w:val="24"/>
          <w:highlight w:val="none"/>
        </w:rPr>
      </w:pPr>
    </w:p>
    <w:p w14:paraId="1FF48981">
      <w:pPr>
        <w:spacing w:line="360" w:lineRule="auto"/>
        <w:rPr>
          <w:color w:val="000000"/>
          <w:sz w:val="22"/>
          <w:szCs w:val="22"/>
          <w:highlight w:val="none"/>
        </w:rPr>
      </w:pPr>
      <w:r>
        <w:rPr>
          <w:rFonts w:hint="eastAsia"/>
          <w:color w:val="000000"/>
          <w:sz w:val="22"/>
          <w:szCs w:val="22"/>
          <w:highlight w:val="none"/>
        </w:rPr>
        <w:t>注：</w:t>
      </w:r>
    </w:p>
    <w:p w14:paraId="2AACF5CA">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4A37E7F0">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51EA9118">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24B7693">
      <w:pPr>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984604F">
      <w:pPr>
        <w:pageBreakBefore w:val="0"/>
        <w:numPr>
          <w:ilvl w:val="0"/>
          <w:numId w:val="23"/>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中小企业证明文件</w:t>
      </w:r>
    </w:p>
    <w:p w14:paraId="473610CC">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3FBC5FFF">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A8AA62">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2E2FF70">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3）对于多标的采购项目，投标人应充分、准确地了解所提供货物的制造企业、提供服务的承接企业信息。对相关情况了解不清楚的，不建议填报本声明函。</w:t>
      </w:r>
    </w:p>
    <w:p w14:paraId="5B99604F">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FB8E2E5">
      <w:pPr>
        <w:spacing w:before="240" w:beforeLines="100" w:after="240" w:afterLines="100" w:line="360" w:lineRule="auto"/>
        <w:jc w:val="center"/>
        <w:rPr>
          <w:b/>
          <w:color w:val="000000"/>
          <w:sz w:val="36"/>
          <w:szCs w:val="36"/>
          <w:highlight w:val="none"/>
        </w:rPr>
      </w:pPr>
      <w:r>
        <w:rPr>
          <w:rFonts w:hint="eastAsia" w:ascii="宋体" w:hAnsi="宋体" w:eastAsia="宋体" w:cs="宋体"/>
          <w:i w:val="0"/>
          <w:iCs w:val="0"/>
          <w:color w:val="auto"/>
          <w:spacing w:val="0"/>
          <w:position w:val="0"/>
          <w:sz w:val="24"/>
          <w:highlight w:val="none"/>
        </w:rPr>
        <w:br w:type="page"/>
      </w:r>
      <w:r>
        <w:rPr>
          <w:b/>
          <w:bCs/>
          <w:color w:val="000000"/>
          <w:sz w:val="36"/>
          <w:szCs w:val="36"/>
          <w:highlight w:val="none"/>
        </w:rPr>
        <w:t>中小企业声明函（货物）格式</w:t>
      </w:r>
    </w:p>
    <w:p w14:paraId="5F9F0D9C">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591296FF">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6693AD2F">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E60A610">
      <w:pPr>
        <w:autoSpaceDE w:val="0"/>
        <w:autoSpaceDN w:val="0"/>
        <w:spacing w:line="360" w:lineRule="auto"/>
        <w:ind w:left="860"/>
        <w:jc w:val="left"/>
        <w:rPr>
          <w:kern w:val="0"/>
          <w:sz w:val="24"/>
          <w:highlight w:val="none"/>
        </w:rPr>
      </w:pPr>
      <w:r>
        <w:rPr>
          <w:kern w:val="0"/>
          <w:sz w:val="24"/>
          <w:highlight w:val="none"/>
        </w:rPr>
        <w:t>……</w:t>
      </w:r>
    </w:p>
    <w:p w14:paraId="166D8989">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37CF67A7">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1C5B6EE3">
      <w:pPr>
        <w:spacing w:line="360" w:lineRule="auto"/>
        <w:ind w:firstLine="504"/>
        <w:rPr>
          <w:spacing w:val="6"/>
          <w:sz w:val="24"/>
          <w:highlight w:val="none"/>
        </w:rPr>
      </w:pPr>
    </w:p>
    <w:p w14:paraId="5953626A">
      <w:pPr>
        <w:spacing w:line="360" w:lineRule="auto"/>
        <w:ind w:firstLine="504"/>
        <w:rPr>
          <w:spacing w:val="6"/>
          <w:sz w:val="24"/>
          <w:highlight w:val="none"/>
        </w:rPr>
      </w:pPr>
    </w:p>
    <w:p w14:paraId="3B71A38C">
      <w:pPr>
        <w:spacing w:line="360" w:lineRule="auto"/>
        <w:ind w:right="360" w:firstLine="480"/>
        <w:jc w:val="right"/>
        <w:rPr>
          <w:color w:val="000000"/>
          <w:sz w:val="24"/>
          <w:highlight w:val="none"/>
        </w:rPr>
      </w:pPr>
      <w:r>
        <w:rPr>
          <w:color w:val="000000"/>
          <w:sz w:val="24"/>
          <w:highlight w:val="none"/>
        </w:rPr>
        <w:t>企业名称（盖章）：________</w:t>
      </w:r>
    </w:p>
    <w:p w14:paraId="2F1EDFA4">
      <w:pPr>
        <w:spacing w:line="360" w:lineRule="auto"/>
        <w:ind w:right="360" w:firstLine="480"/>
        <w:jc w:val="right"/>
        <w:rPr>
          <w:color w:val="000000"/>
          <w:sz w:val="24"/>
          <w:highlight w:val="none"/>
        </w:rPr>
      </w:pPr>
      <w:r>
        <w:rPr>
          <w:color w:val="000000"/>
          <w:sz w:val="24"/>
          <w:highlight w:val="none"/>
        </w:rPr>
        <w:t>日 期：________</w:t>
      </w:r>
    </w:p>
    <w:p w14:paraId="3F169917">
      <w:pPr>
        <w:spacing w:line="360" w:lineRule="auto"/>
        <w:ind w:right="360" w:firstLine="480"/>
        <w:jc w:val="right"/>
        <w:rPr>
          <w:color w:val="000000"/>
          <w:sz w:val="24"/>
          <w:highlight w:val="none"/>
        </w:rPr>
      </w:pPr>
    </w:p>
    <w:p w14:paraId="7A921E70">
      <w:pPr>
        <w:spacing w:line="360" w:lineRule="auto"/>
        <w:ind w:right="360" w:firstLine="480"/>
        <w:jc w:val="right"/>
        <w:rPr>
          <w:color w:val="000000"/>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8C5A4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33399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782440ED">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vertAlign w:val="superscript"/>
        </w:rPr>
      </w:pPr>
    </w:p>
    <w:p w14:paraId="3E3CFE55">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4C5F1DE5">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531EBF3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8815F8F">
      <w:pPr>
        <w:pageBreakBefore w:val="0"/>
        <w:wordWrap/>
        <w:topLinePunct w:val="0"/>
        <w:bidi w:val="0"/>
        <w:spacing w:before="240" w:beforeLines="100" w:after="240" w:afterLines="100" w:line="360" w:lineRule="auto"/>
        <w:jc w:val="center"/>
        <w:rPr>
          <w:rFonts w:hint="eastAsia" w:ascii="宋体" w:hAnsi="宋体" w:eastAsia="宋体" w:cs="宋体"/>
          <w:i w:val="0"/>
          <w:iCs w:val="0"/>
          <w:color w:val="auto"/>
          <w:spacing w:val="0"/>
          <w:position w:val="0"/>
          <w:sz w:val="36"/>
          <w:szCs w:val="36"/>
          <w:highlight w:val="none"/>
        </w:rPr>
      </w:pPr>
      <w:r>
        <w:rPr>
          <w:rFonts w:hint="eastAsia" w:ascii="宋体" w:hAnsi="宋体" w:eastAsia="宋体" w:cs="宋体"/>
          <w:b/>
          <w:bCs/>
          <w:i w:val="0"/>
          <w:iCs w:val="0"/>
          <w:color w:val="auto"/>
          <w:spacing w:val="0"/>
          <w:position w:val="0"/>
          <w:sz w:val="36"/>
          <w:szCs w:val="36"/>
          <w:highlight w:val="none"/>
        </w:rPr>
        <w:t>残疾人福利性单位声明函格式</w:t>
      </w:r>
      <w:r>
        <w:rPr>
          <w:rFonts w:hint="eastAsia" w:ascii="宋体" w:hAnsi="宋体" w:eastAsia="宋体" w:cs="宋体"/>
          <w:i w:val="0"/>
          <w:iCs w:val="0"/>
          <w:color w:val="auto"/>
          <w:spacing w:val="0"/>
          <w:position w:val="0"/>
          <w:sz w:val="36"/>
          <w:szCs w:val="36"/>
          <w:highlight w:val="none"/>
        </w:rPr>
        <w:t xml:space="preserve"> </w:t>
      </w:r>
    </w:p>
    <w:p w14:paraId="4312D65A">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本单位郑重声明，根据《财政部 民政部 中国残疾人联合会关于促进残疾人就业政府采购政策的通知》（财库〔2017〕141号）的规定，本单位</w:t>
      </w:r>
      <w:r>
        <w:rPr>
          <w:rFonts w:hint="eastAsia" w:ascii="宋体" w:hAnsi="宋体" w:eastAsia="宋体" w:cs="宋体"/>
          <w:b/>
          <w:i w:val="0"/>
          <w:iCs w:val="0"/>
          <w:color w:val="auto"/>
          <w:spacing w:val="0"/>
          <w:position w:val="0"/>
          <w:sz w:val="24"/>
          <w:highlight w:val="none"/>
        </w:rPr>
        <w:t>（请进行选择）</w:t>
      </w:r>
      <w:r>
        <w:rPr>
          <w:rFonts w:hint="eastAsia" w:ascii="宋体" w:hAnsi="宋体" w:eastAsia="宋体" w:cs="宋体"/>
          <w:i w:val="0"/>
          <w:iCs w:val="0"/>
          <w:color w:val="auto"/>
          <w:spacing w:val="0"/>
          <w:position w:val="0"/>
          <w:sz w:val="24"/>
          <w:highlight w:val="none"/>
        </w:rPr>
        <w:t>：</w:t>
      </w:r>
    </w:p>
    <w:p w14:paraId="70A1AFEC">
      <w:pPr>
        <w:pageBreakBefore w:val="0"/>
        <w:wordWrap/>
        <w:topLinePunct w:val="0"/>
        <w:bidi w:val="0"/>
        <w:spacing w:line="360" w:lineRule="auto"/>
        <w:ind w:firstLine="482"/>
        <w:rPr>
          <w:rFonts w:hint="eastAsia" w:ascii="宋体" w:hAnsi="宋体" w:eastAsia="宋体" w:cs="宋体"/>
          <w:b/>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不属于符合条件的残疾人福利性单位。</w:t>
      </w:r>
    </w:p>
    <w:p w14:paraId="73934EB1">
      <w:pPr>
        <w:pageBreakBefore w:val="0"/>
        <w:wordWrap/>
        <w:topLinePunct w:val="0"/>
        <w:bidi w:val="0"/>
        <w:spacing w:line="360" w:lineRule="auto"/>
        <w:ind w:firstLine="482"/>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属于符合条件的残疾人福利性单位，</w:t>
      </w:r>
      <w:r>
        <w:rPr>
          <w:rFonts w:hint="eastAsia" w:ascii="宋体" w:hAnsi="宋体" w:eastAsia="宋体" w:cs="宋体"/>
          <w:i w:val="0"/>
          <w:iCs w:val="0"/>
          <w:color w:val="auto"/>
          <w:spacing w:val="0"/>
          <w:position w:val="0"/>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C33AB2E">
      <w:pPr>
        <w:pageBreakBefore w:val="0"/>
        <w:wordWrap/>
        <w:topLinePunct w:val="0"/>
        <w:bidi w:val="0"/>
        <w:spacing w:line="360" w:lineRule="auto"/>
        <w:ind w:firstLine="482"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本单位对上述声明的真实性负责。如有虚假，将依法承担相应责任。</w:t>
      </w:r>
    </w:p>
    <w:p w14:paraId="1EC2886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35DEBD04">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080010B0">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单位名称（盖章）：</w:t>
      </w:r>
    </w:p>
    <w:p w14:paraId="6EA3B62A">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日  期：</w:t>
      </w:r>
    </w:p>
    <w:p w14:paraId="36A516A6">
      <w:pPr>
        <w:pageBreakBefore w:val="0"/>
        <w:numPr>
          <w:ilvl w:val="0"/>
          <w:numId w:val="23"/>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Cs w:val="20"/>
          <w:highlight w:val="none"/>
        </w:rPr>
        <w:br w:type="page"/>
      </w:r>
      <w:r>
        <w:rPr>
          <w:rFonts w:hint="eastAsia" w:ascii="宋体" w:hAnsi="宋体" w:eastAsia="宋体" w:cs="宋体"/>
          <w:i w:val="0"/>
          <w:iCs w:val="0"/>
          <w:color w:val="auto"/>
          <w:spacing w:val="0"/>
          <w:position w:val="0"/>
          <w:sz w:val="24"/>
          <w:szCs w:val="20"/>
          <w:highlight w:val="none"/>
        </w:rPr>
        <w:t>拟分包情况说明</w:t>
      </w:r>
      <w:r>
        <w:rPr>
          <w:rFonts w:hint="eastAsia" w:ascii="宋体" w:hAnsi="宋体" w:cs="宋体"/>
          <w:i w:val="0"/>
          <w:iCs w:val="0"/>
          <w:color w:val="auto"/>
          <w:spacing w:val="0"/>
          <w:position w:val="0"/>
          <w:sz w:val="24"/>
          <w:szCs w:val="20"/>
          <w:highlight w:val="none"/>
          <w:lang w:eastAsia="zh-CN"/>
        </w:rPr>
        <w:t>（</w:t>
      </w:r>
      <w:r>
        <w:rPr>
          <w:rFonts w:hint="eastAsia" w:ascii="宋体" w:hAnsi="宋体" w:cs="宋体"/>
          <w:i w:val="0"/>
          <w:iCs w:val="0"/>
          <w:color w:val="auto"/>
          <w:spacing w:val="0"/>
          <w:position w:val="0"/>
          <w:sz w:val="24"/>
          <w:szCs w:val="20"/>
          <w:highlight w:val="none"/>
          <w:lang w:val="en-US" w:eastAsia="zh-CN"/>
        </w:rPr>
        <w:t>不适用）</w:t>
      </w:r>
    </w:p>
    <w:p w14:paraId="0403A0E6">
      <w:pPr>
        <w:pageBreakBefore w:val="0"/>
        <w:numPr>
          <w:ilvl w:val="0"/>
          <w:numId w:val="23"/>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r>
        <w:rPr>
          <w:rFonts w:hint="eastAsia" w:ascii="宋体" w:hAnsi="宋体" w:eastAsia="宋体" w:cs="宋体"/>
          <w:i w:val="0"/>
          <w:iCs w:val="0"/>
          <w:color w:val="auto"/>
          <w:spacing w:val="0"/>
          <w:position w:val="0"/>
          <w:sz w:val="24"/>
          <w:szCs w:val="20"/>
          <w:highlight w:val="none"/>
        </w:rPr>
        <w:t>招标文件要求提供或投标人认为应附的其他材料</w:t>
      </w:r>
    </w:p>
    <w:p w14:paraId="70443309">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10-1供应商信息采集表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2"/>
        <w:gridCol w:w="3020"/>
      </w:tblGrid>
      <w:tr w14:paraId="3A74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A6A0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供应商名称</w:t>
            </w:r>
          </w:p>
        </w:tc>
        <w:tc>
          <w:tcPr>
            <w:tcW w:w="1667" w:type="pct"/>
          </w:tcPr>
          <w:p w14:paraId="0A2527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供应商所属性别</w:t>
            </w:r>
          </w:p>
        </w:tc>
        <w:tc>
          <w:tcPr>
            <w:tcW w:w="1667" w:type="pct"/>
          </w:tcPr>
          <w:p w14:paraId="3919CC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外商投资类型</w:t>
            </w:r>
          </w:p>
        </w:tc>
      </w:tr>
      <w:tr w14:paraId="27507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51EC8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883B0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570BB7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4D02B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1ABBC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34AF7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6B33C2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724E8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E3C01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2A9B3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3432C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38226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266BA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24C46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537FFE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bl>
    <w:p w14:paraId="779BACD1">
      <w:pPr>
        <w:keepNext w:val="0"/>
        <w:keepLines w:val="0"/>
        <w:pageBreakBefore w:val="0"/>
        <w:widowControl w:val="0"/>
        <w:tabs>
          <w:tab w:val="left" w:pos="1800"/>
          <w:tab w:val="left" w:pos="5580"/>
        </w:tabs>
        <w:kinsoku/>
        <w:wordWrap/>
        <w:overflowPunct/>
        <w:topLinePunct w:val="0"/>
        <w:autoSpaceDE/>
        <w:autoSpaceDN/>
        <w:bidi w:val="0"/>
        <w:adjustRightInd/>
        <w:snapToGrid/>
        <w:spacing w:before="464" w:beforeLines="100"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注：1.供应商如为联合体，则应填写联合体各成员信息。</w:t>
      </w:r>
    </w:p>
    <w:p w14:paraId="2D13FF58">
      <w:pPr>
        <w:pageBreakBefore w:val="0"/>
        <w:tabs>
          <w:tab w:val="left" w:pos="1800"/>
          <w:tab w:val="left" w:pos="5580"/>
        </w:tabs>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2.供应商所属性别请填写“男”或“女”，指拥有供应商51%以上绝对所有权的性别；绝对所有权拥有者可以是一个人，也可以是多人合计计算。</w:t>
      </w:r>
    </w:p>
    <w:p w14:paraId="3EEA84E2">
      <w:pPr>
        <w:pageBreakBefore w:val="0"/>
        <w:tabs>
          <w:tab w:val="left" w:pos="1800"/>
          <w:tab w:val="left" w:pos="5580"/>
        </w:tabs>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3.外商投资类型请填写“外商单独投资”、“外商部分投资”或“内资”。</w:t>
      </w:r>
    </w:p>
    <w:p w14:paraId="04A25CE1">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36"/>
          <w:szCs w:val="36"/>
          <w:highlight w:val="none"/>
        </w:rPr>
      </w:pPr>
    </w:p>
    <w:sectPr>
      <w:pgSz w:w="11907" w:h="16840"/>
      <w:pgMar w:top="1417" w:right="1417" w:bottom="1417" w:left="1417" w:header="1134" w:footer="1134" w:gutter="0"/>
      <w:pgNumType w:fmt="decimal"/>
      <w:cols w:space="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6494">
    <w:pPr>
      <w:pStyle w:val="29"/>
      <w:ind w:right="360"/>
      <w:rPr>
        <w:rStyle w:val="49"/>
      </w:rPr>
    </w:pPr>
  </w:p>
  <w:p w14:paraId="440E58A9">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473D">
    <w:pPr>
      <w:pStyle w:val="29"/>
      <w:framePr w:wrap="around" w:vAnchor="text" w:hAnchor="margin" w:xAlign="center" w:y="1"/>
      <w:rPr>
        <w:rStyle w:val="49"/>
      </w:rPr>
    </w:pPr>
    <w:r>
      <w:fldChar w:fldCharType="begin"/>
    </w:r>
    <w:r>
      <w:rPr>
        <w:rStyle w:val="49"/>
      </w:rPr>
      <w:instrText xml:space="preserve">PAGE  </w:instrText>
    </w:r>
    <w:r>
      <w:fldChar w:fldCharType="end"/>
    </w:r>
  </w:p>
  <w:p w14:paraId="7C09810F">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9AC1">
    <w:pPr>
      <w:pStyle w:val="29"/>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5F5E6">
    <w:pPr>
      <w:pStyle w:val="29"/>
      <w:tabs>
        <w:tab w:val="center" w:pos="4337"/>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D930B">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2ED930B">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0A583">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187BA">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E9187BA">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22571">
    <w:pPr>
      <w:pStyle w:val="29"/>
      <w:tabs>
        <w:tab w:val="center" w:pos="4337"/>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32B80">
                          <w:pPr>
                            <w:pStyle w:val="29"/>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F32B80">
                    <w:pPr>
                      <w:pStyle w:val="29"/>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B4FB">
    <w:pPr>
      <w:pStyle w:val="2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BA1A3">
                          <w:pPr>
                            <w:pStyle w:val="2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34BA1A3">
                    <w:pPr>
                      <w:pStyle w:val="2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D680">
    <w:pPr>
      <w:pStyle w:val="30"/>
      <w:pBdr>
        <w:top w:val="none" w:color="auto" w:sz="0" w:space="0"/>
        <w:left w:val="none" w:color="auto" w:sz="0" w:space="0"/>
        <w:bottom w:val="none" w:color="auto" w:sz="0" w:space="1"/>
        <w:right w:val="none" w:color="auto" w:sz="0" w:space="0"/>
        <w:between w:val="none" w:color="auto" w:sz="0" w:space="0"/>
      </w:pBdr>
      <w:jc w:val="left"/>
    </w:pPr>
    <w:r>
      <w:rPr>
        <w:rFonts w:hint="eastAsia" w:ascii="宋体" w:hAnsi="宋体" w:eastAsia="宋体" w:cs="宋体"/>
        <w:color w:val="auto"/>
        <w:kern w:val="0"/>
        <w:sz w:val="60"/>
        <w:szCs w:val="60"/>
        <w:highlight w:val="none"/>
        <w:lang w:val="zh-CN" w:eastAsia="zh-CN" w:bidi="zh-CN"/>
      </w:rPr>
      <w:drawing>
        <wp:inline distT="0" distB="0" distL="114300" distR="114300">
          <wp:extent cx="961390" cy="1015365"/>
          <wp:effectExtent l="0" t="0" r="3810" b="635"/>
          <wp:docPr id="9" name="图片 1"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中规咨询竖式logo"/>
                  <pic:cNvPicPr>
                    <a:picLocks noChangeAspect="1"/>
                  </pic:cNvPicPr>
                </pic:nvPicPr>
                <pic:blipFill>
                  <a:blip r:embed="rId1"/>
                  <a:srcRect l="11173" t="9302" r="12285" b="9858"/>
                  <a:stretch>
                    <a:fillRect/>
                  </a:stretch>
                </pic:blipFill>
                <pic:spPr>
                  <a:xfrm>
                    <a:off x="0" y="0"/>
                    <a:ext cx="961390" cy="10153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82AA">
    <w:pPr>
      <w:pStyle w:val="30"/>
      <w:pBdr>
        <w:bottom w:val="none" w:color="auto" w:sz="0" w:space="0"/>
      </w:pBdr>
      <w:jc w:val="left"/>
    </w:pPr>
    <w:r>
      <w:rPr>
        <w:rFonts w:hint="eastAsia" w:ascii="宋体" w:hAnsi="宋体" w:eastAsia="宋体" w:cs="宋体"/>
        <w:color w:val="auto"/>
        <w:kern w:val="0"/>
        <w:sz w:val="60"/>
        <w:szCs w:val="60"/>
        <w:highlight w:val="none"/>
        <w:lang w:val="zh-CN" w:eastAsia="zh-CN" w:bidi="zh-CN"/>
      </w:rPr>
      <w:drawing>
        <wp:inline distT="0" distB="0" distL="114300" distR="114300">
          <wp:extent cx="961390" cy="1015365"/>
          <wp:effectExtent l="0" t="0" r="3810" b="635"/>
          <wp:docPr id="2" name="图片 1"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中规咨询竖式logo"/>
                  <pic:cNvPicPr>
                    <a:picLocks noChangeAspect="1"/>
                  </pic:cNvPicPr>
                </pic:nvPicPr>
                <pic:blipFill>
                  <a:blip r:embed="rId1"/>
                  <a:srcRect l="11173" t="9302" r="12285" b="9858"/>
                  <a:stretch>
                    <a:fillRect/>
                  </a:stretch>
                </pic:blipFill>
                <pic:spPr>
                  <a:xfrm>
                    <a:off x="0" y="0"/>
                    <a:ext cx="961390" cy="101536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B3EF6">
    <w:pPr>
      <w:pStyle w:val="30"/>
      <w:pBdr>
        <w:top w:val="none" w:color="auto" w:sz="0" w:space="0"/>
        <w:left w:val="none" w:color="auto" w:sz="0" w:space="0"/>
        <w:bottom w:val="none" w:color="auto" w:sz="0" w:space="1"/>
        <w:right w:val="none" w:color="auto" w:sz="0" w:space="0"/>
        <w:between w:val="none" w:color="auto" w:sz="0" w:space="0"/>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A6AE">
    <w:pPr>
      <w:pStyle w:val="30"/>
      <w:pBdr>
        <w:top w:val="none" w:color="auto" w:sz="0" w:space="0"/>
        <w:left w:val="none" w:color="auto" w:sz="0" w:space="0"/>
        <w:bottom w:val="none" w:color="auto" w:sz="0" w:space="1"/>
        <w:right w:val="none" w:color="auto" w:sz="0" w:space="0"/>
        <w:between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5D844">
    <w:pPr>
      <w:pStyle w:val="30"/>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4EA2D">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AF7F7"/>
    <w:multiLevelType w:val="singleLevel"/>
    <w:tmpl w:val="C12AF7F7"/>
    <w:lvl w:ilvl="0" w:tentative="0">
      <w:start w:val="2"/>
      <w:numFmt w:val="decimal"/>
      <w:suff w:val="nothing"/>
      <w:lvlText w:val="%1、"/>
      <w:lvlJc w:val="left"/>
    </w:lvl>
  </w:abstractNum>
  <w:abstractNum w:abstractNumId="1">
    <w:nsid w:val="DC720F21"/>
    <w:multiLevelType w:val="singleLevel"/>
    <w:tmpl w:val="DC720F21"/>
    <w:lvl w:ilvl="0" w:tentative="0">
      <w:start w:val="1"/>
      <w:numFmt w:val="decimal"/>
      <w:lvlText w:val="%1."/>
      <w:lvlJc w:val="left"/>
      <w:pPr>
        <w:tabs>
          <w:tab w:val="left" w:pos="312"/>
        </w:tabs>
      </w:pPr>
    </w:lvl>
  </w:abstractNum>
  <w:abstractNum w:abstractNumId="2">
    <w:nsid w:val="E0A55289"/>
    <w:multiLevelType w:val="singleLevel"/>
    <w:tmpl w:val="E0A55289"/>
    <w:lvl w:ilvl="0" w:tentative="0">
      <w:start w:val="2"/>
      <w:numFmt w:val="chineseCounting"/>
      <w:suff w:val="nothing"/>
      <w:lvlText w:val="%1、"/>
      <w:lvlJc w:val="left"/>
      <w:rPr>
        <w:rFonts w:hint="eastAsia"/>
      </w:rPr>
    </w:lvl>
  </w:abstractNum>
  <w:abstractNum w:abstractNumId="3">
    <w:nsid w:val="E5FAE217"/>
    <w:multiLevelType w:val="singleLevel"/>
    <w:tmpl w:val="E5FAE217"/>
    <w:lvl w:ilvl="0" w:tentative="0">
      <w:start w:val="1"/>
      <w:numFmt w:val="decimal"/>
      <w:suff w:val="nothing"/>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heme="majorEastAsia" w:hAnsiTheme="majorEastAsia" w:eastAsiaTheme="majorEastAsia" w:cstheme="majorEastAsia"/>
        <w:sz w:val="24"/>
        <w:szCs w:val="24"/>
      </w:rPr>
    </w:lvl>
    <w:lvl w:ilvl="2" w:tentative="0">
      <w:start w:val="1"/>
      <w:numFmt w:val="decimal"/>
      <w:lvlText w:val="%1.%2.%3"/>
      <w:lvlJc w:val="left"/>
      <w:pPr>
        <w:tabs>
          <w:tab w:val="left" w:pos="1980"/>
        </w:tabs>
        <w:ind w:left="1980" w:hanging="900"/>
      </w:pPr>
      <w:rPr>
        <w:rFonts w:hint="default" w:asciiTheme="majorEastAsia" w:hAnsiTheme="majorEastAsia" w:eastAsiaTheme="majorEastAsia" w:cstheme="major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2307F73"/>
    <w:multiLevelType w:val="singleLevel"/>
    <w:tmpl w:val="12307F73"/>
    <w:lvl w:ilvl="0" w:tentative="0">
      <w:start w:val="1"/>
      <w:numFmt w:val="decimal"/>
      <w:suff w:val="nothing"/>
      <w:lvlText w:val="%1、"/>
      <w:lvlJc w:val="left"/>
    </w:lvl>
  </w:abstractNum>
  <w:abstractNum w:abstractNumId="15">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8CE3547"/>
    <w:multiLevelType w:val="singleLevel"/>
    <w:tmpl w:val="78CE3547"/>
    <w:lvl w:ilvl="0" w:tentative="0">
      <w:start w:val="1"/>
      <w:numFmt w:val="decimal"/>
      <w:suff w:val="space"/>
      <w:lvlText w:val="%1."/>
      <w:lvlJc w:val="left"/>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2"/>
  </w:num>
  <w:num w:numId="8">
    <w:abstractNumId w:val="10"/>
  </w:num>
  <w:num w:numId="9">
    <w:abstractNumId w:val="4"/>
  </w:num>
  <w:num w:numId="10">
    <w:abstractNumId w:val="19"/>
  </w:num>
  <w:num w:numId="11">
    <w:abstractNumId w:val="13"/>
  </w:num>
  <w:num w:numId="12">
    <w:abstractNumId w:val="2"/>
  </w:num>
  <w:num w:numId="13">
    <w:abstractNumId w:val="0"/>
  </w:num>
  <w:num w:numId="14">
    <w:abstractNumId w:val="15"/>
  </w:num>
  <w:num w:numId="15">
    <w:abstractNumId w:val="23"/>
  </w:num>
  <w:num w:numId="16">
    <w:abstractNumId w:val="14"/>
  </w:num>
  <w:num w:numId="17">
    <w:abstractNumId w:val="3"/>
  </w:num>
  <w:num w:numId="18">
    <w:abstractNumId w:val="1"/>
  </w:num>
  <w:num w:numId="19">
    <w:abstractNumId w:val="21"/>
  </w:num>
  <w:num w:numId="20">
    <w:abstractNumId w:val="17"/>
  </w:num>
  <w:num w:numId="21">
    <w:abstractNumId w:val="18"/>
  </w:num>
  <w:num w:numId="22">
    <w:abstractNumId w:val="16"/>
  </w:num>
  <w:num w:numId="23">
    <w:abstractNumId w:val="2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formatting="1" w:enforcement="0"/>
  <w:defaultTabStop w:val="420"/>
  <w:drawingGridHorizontalSpacing w:val="95"/>
  <w:drawingGridVerticalSpacing w:val="1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26"/>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9C"/>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793"/>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57"/>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16D"/>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D6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88A"/>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0F3"/>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6D3"/>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04D"/>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43"/>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CDB"/>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4FE"/>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993"/>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AD0"/>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07A"/>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B26"/>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75B"/>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4CA"/>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2D"/>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160"/>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779"/>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8C"/>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A2"/>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81DD9"/>
    <w:rsid w:val="014B07F6"/>
    <w:rsid w:val="015B3238"/>
    <w:rsid w:val="016F05E9"/>
    <w:rsid w:val="016F4726"/>
    <w:rsid w:val="01773477"/>
    <w:rsid w:val="01785B98"/>
    <w:rsid w:val="017D7CB0"/>
    <w:rsid w:val="017E6F26"/>
    <w:rsid w:val="01AC5842"/>
    <w:rsid w:val="01B841E6"/>
    <w:rsid w:val="01BB5A85"/>
    <w:rsid w:val="01C532E9"/>
    <w:rsid w:val="01C74429"/>
    <w:rsid w:val="01DE4F25"/>
    <w:rsid w:val="02056D00"/>
    <w:rsid w:val="02226DE7"/>
    <w:rsid w:val="025A34EF"/>
    <w:rsid w:val="026C4FD1"/>
    <w:rsid w:val="027D2D3A"/>
    <w:rsid w:val="02820350"/>
    <w:rsid w:val="029F7154"/>
    <w:rsid w:val="02A14EBF"/>
    <w:rsid w:val="02A36C44"/>
    <w:rsid w:val="02BA21E0"/>
    <w:rsid w:val="02D74B40"/>
    <w:rsid w:val="02E92054"/>
    <w:rsid w:val="02F019DF"/>
    <w:rsid w:val="02FF5E45"/>
    <w:rsid w:val="030A0A72"/>
    <w:rsid w:val="031A4A2D"/>
    <w:rsid w:val="034E1F6F"/>
    <w:rsid w:val="035B4EB4"/>
    <w:rsid w:val="036F6B27"/>
    <w:rsid w:val="03822CFE"/>
    <w:rsid w:val="03975670"/>
    <w:rsid w:val="03993BA4"/>
    <w:rsid w:val="039A36A3"/>
    <w:rsid w:val="03B05E7E"/>
    <w:rsid w:val="03B42563"/>
    <w:rsid w:val="03B7227C"/>
    <w:rsid w:val="03C03826"/>
    <w:rsid w:val="03E5328D"/>
    <w:rsid w:val="03FD4132"/>
    <w:rsid w:val="04003C23"/>
    <w:rsid w:val="041B6CAE"/>
    <w:rsid w:val="041C00E5"/>
    <w:rsid w:val="041D2A27"/>
    <w:rsid w:val="04296264"/>
    <w:rsid w:val="0433224A"/>
    <w:rsid w:val="043F0BEF"/>
    <w:rsid w:val="046248DD"/>
    <w:rsid w:val="046917C8"/>
    <w:rsid w:val="04714B20"/>
    <w:rsid w:val="04926F71"/>
    <w:rsid w:val="0495080F"/>
    <w:rsid w:val="04BA0275"/>
    <w:rsid w:val="04E145D0"/>
    <w:rsid w:val="05123C0E"/>
    <w:rsid w:val="052102F4"/>
    <w:rsid w:val="052A53FB"/>
    <w:rsid w:val="052B1309"/>
    <w:rsid w:val="05557F9E"/>
    <w:rsid w:val="056D178C"/>
    <w:rsid w:val="05700CD7"/>
    <w:rsid w:val="05852631"/>
    <w:rsid w:val="059709C8"/>
    <w:rsid w:val="05C84C14"/>
    <w:rsid w:val="05D1471C"/>
    <w:rsid w:val="05DD246D"/>
    <w:rsid w:val="05ED6429"/>
    <w:rsid w:val="05F11A75"/>
    <w:rsid w:val="06053772"/>
    <w:rsid w:val="06175254"/>
    <w:rsid w:val="061D0A80"/>
    <w:rsid w:val="063D115E"/>
    <w:rsid w:val="065117FD"/>
    <w:rsid w:val="065546FA"/>
    <w:rsid w:val="0676641E"/>
    <w:rsid w:val="06B64A6C"/>
    <w:rsid w:val="06C07699"/>
    <w:rsid w:val="06D01FD2"/>
    <w:rsid w:val="06DF3FC3"/>
    <w:rsid w:val="06E20753"/>
    <w:rsid w:val="06E25862"/>
    <w:rsid w:val="06E4782C"/>
    <w:rsid w:val="06E8731C"/>
    <w:rsid w:val="06F85085"/>
    <w:rsid w:val="071C6FC5"/>
    <w:rsid w:val="07245E7A"/>
    <w:rsid w:val="07397B77"/>
    <w:rsid w:val="07524795"/>
    <w:rsid w:val="07697D31"/>
    <w:rsid w:val="078B5EF9"/>
    <w:rsid w:val="079E5C2C"/>
    <w:rsid w:val="07A87985"/>
    <w:rsid w:val="07B611C8"/>
    <w:rsid w:val="07C35693"/>
    <w:rsid w:val="07E5385B"/>
    <w:rsid w:val="08061963"/>
    <w:rsid w:val="08104776"/>
    <w:rsid w:val="08163A15"/>
    <w:rsid w:val="081710BE"/>
    <w:rsid w:val="08362309"/>
    <w:rsid w:val="08444A26"/>
    <w:rsid w:val="084C5688"/>
    <w:rsid w:val="08513CCE"/>
    <w:rsid w:val="08597DA5"/>
    <w:rsid w:val="085D7C9A"/>
    <w:rsid w:val="0874408C"/>
    <w:rsid w:val="087C32C1"/>
    <w:rsid w:val="087F489B"/>
    <w:rsid w:val="088968DD"/>
    <w:rsid w:val="089B216C"/>
    <w:rsid w:val="08AF0BCB"/>
    <w:rsid w:val="08AF5C17"/>
    <w:rsid w:val="08BC3764"/>
    <w:rsid w:val="08C43471"/>
    <w:rsid w:val="08DF474E"/>
    <w:rsid w:val="08ED6E6B"/>
    <w:rsid w:val="08F448A1"/>
    <w:rsid w:val="08FC0E5C"/>
    <w:rsid w:val="08FE60FF"/>
    <w:rsid w:val="092D54BA"/>
    <w:rsid w:val="093F51ED"/>
    <w:rsid w:val="094E5430"/>
    <w:rsid w:val="094E71DE"/>
    <w:rsid w:val="095073FA"/>
    <w:rsid w:val="095A2027"/>
    <w:rsid w:val="09954E0D"/>
    <w:rsid w:val="09AB63DF"/>
    <w:rsid w:val="09C6602A"/>
    <w:rsid w:val="09CD0728"/>
    <w:rsid w:val="09D516AE"/>
    <w:rsid w:val="09DC0ADB"/>
    <w:rsid w:val="09EB0ED1"/>
    <w:rsid w:val="0A0D0E47"/>
    <w:rsid w:val="0A2368BD"/>
    <w:rsid w:val="0A342878"/>
    <w:rsid w:val="0A3D172D"/>
    <w:rsid w:val="0A3E36F7"/>
    <w:rsid w:val="0A410AF1"/>
    <w:rsid w:val="0A481E7F"/>
    <w:rsid w:val="0A4A209B"/>
    <w:rsid w:val="0A856C30"/>
    <w:rsid w:val="0A8A2498"/>
    <w:rsid w:val="0ABA2D7D"/>
    <w:rsid w:val="0AF142C5"/>
    <w:rsid w:val="0AF618DB"/>
    <w:rsid w:val="0B2529AE"/>
    <w:rsid w:val="0B350656"/>
    <w:rsid w:val="0B404839"/>
    <w:rsid w:val="0B5807E8"/>
    <w:rsid w:val="0B660C1A"/>
    <w:rsid w:val="0B6902FF"/>
    <w:rsid w:val="0B6C7DF0"/>
    <w:rsid w:val="0B81776F"/>
    <w:rsid w:val="0B832F18"/>
    <w:rsid w:val="0B860EB1"/>
    <w:rsid w:val="0B9176F8"/>
    <w:rsid w:val="0BA37CB5"/>
    <w:rsid w:val="0BC814CA"/>
    <w:rsid w:val="0BC83278"/>
    <w:rsid w:val="0BCD4D32"/>
    <w:rsid w:val="0BED2CDE"/>
    <w:rsid w:val="0BF7590B"/>
    <w:rsid w:val="0C061FF2"/>
    <w:rsid w:val="0C0B13B7"/>
    <w:rsid w:val="0C0F0EA7"/>
    <w:rsid w:val="0C4072B2"/>
    <w:rsid w:val="0C4D19CF"/>
    <w:rsid w:val="0C5732FD"/>
    <w:rsid w:val="0C5B0590"/>
    <w:rsid w:val="0C5F38DA"/>
    <w:rsid w:val="0C6C0B64"/>
    <w:rsid w:val="0CA35A93"/>
    <w:rsid w:val="0CAA0BCF"/>
    <w:rsid w:val="0CAF61E6"/>
    <w:rsid w:val="0CDA2386"/>
    <w:rsid w:val="0CEF0CD8"/>
    <w:rsid w:val="0D0429D6"/>
    <w:rsid w:val="0D0C6305"/>
    <w:rsid w:val="0D242541"/>
    <w:rsid w:val="0D2E2BDA"/>
    <w:rsid w:val="0D374B59"/>
    <w:rsid w:val="0D763DC7"/>
    <w:rsid w:val="0D904269"/>
    <w:rsid w:val="0D9378B6"/>
    <w:rsid w:val="0DA43871"/>
    <w:rsid w:val="0DAD0977"/>
    <w:rsid w:val="0DAF0B93"/>
    <w:rsid w:val="0DB461AA"/>
    <w:rsid w:val="0DC65EDD"/>
    <w:rsid w:val="0DCC3FC5"/>
    <w:rsid w:val="0DD203DE"/>
    <w:rsid w:val="0DDA7292"/>
    <w:rsid w:val="0DF04D08"/>
    <w:rsid w:val="0E0D58BA"/>
    <w:rsid w:val="0E0E7D9E"/>
    <w:rsid w:val="0E172295"/>
    <w:rsid w:val="0E2A1FC8"/>
    <w:rsid w:val="0E462B7A"/>
    <w:rsid w:val="0E4806A0"/>
    <w:rsid w:val="0E4F4C06"/>
    <w:rsid w:val="0E6059EA"/>
    <w:rsid w:val="0E657B2F"/>
    <w:rsid w:val="0E6C2BD1"/>
    <w:rsid w:val="0E6D45AA"/>
    <w:rsid w:val="0E6F0323"/>
    <w:rsid w:val="0E76345F"/>
    <w:rsid w:val="0E76520D"/>
    <w:rsid w:val="0E884F40"/>
    <w:rsid w:val="0E8957CE"/>
    <w:rsid w:val="0EA64893"/>
    <w:rsid w:val="0EC00B7E"/>
    <w:rsid w:val="0EC341CA"/>
    <w:rsid w:val="0EC51CF1"/>
    <w:rsid w:val="0ED257E8"/>
    <w:rsid w:val="0ED91C40"/>
    <w:rsid w:val="0EDE1004"/>
    <w:rsid w:val="0EF0290F"/>
    <w:rsid w:val="0F00541F"/>
    <w:rsid w:val="0F0C3DC3"/>
    <w:rsid w:val="0F0C5B71"/>
    <w:rsid w:val="0F2729AB"/>
    <w:rsid w:val="0F3D3F7D"/>
    <w:rsid w:val="0F3F1AA3"/>
    <w:rsid w:val="0F3F7CF5"/>
    <w:rsid w:val="0F6239E3"/>
    <w:rsid w:val="0F625791"/>
    <w:rsid w:val="0F847DFE"/>
    <w:rsid w:val="0F8959CB"/>
    <w:rsid w:val="0FB104C7"/>
    <w:rsid w:val="0FB748D6"/>
    <w:rsid w:val="0FC920BA"/>
    <w:rsid w:val="0FD22917"/>
    <w:rsid w:val="0FD7617F"/>
    <w:rsid w:val="0FDF0019"/>
    <w:rsid w:val="0FE34B24"/>
    <w:rsid w:val="0FE91A0F"/>
    <w:rsid w:val="101051ED"/>
    <w:rsid w:val="101271B8"/>
    <w:rsid w:val="10246EEB"/>
    <w:rsid w:val="103A226A"/>
    <w:rsid w:val="105570A4"/>
    <w:rsid w:val="106D2640"/>
    <w:rsid w:val="107734BE"/>
    <w:rsid w:val="10802373"/>
    <w:rsid w:val="108A31F2"/>
    <w:rsid w:val="108D2888"/>
    <w:rsid w:val="109619EC"/>
    <w:rsid w:val="109B53FF"/>
    <w:rsid w:val="10C14D88"/>
    <w:rsid w:val="10CC380A"/>
    <w:rsid w:val="10CF32FA"/>
    <w:rsid w:val="10D75D0B"/>
    <w:rsid w:val="10E741A0"/>
    <w:rsid w:val="10F468BD"/>
    <w:rsid w:val="10FD1C16"/>
    <w:rsid w:val="11085182"/>
    <w:rsid w:val="111D2270"/>
    <w:rsid w:val="114A472F"/>
    <w:rsid w:val="1164580F"/>
    <w:rsid w:val="11651569"/>
    <w:rsid w:val="117532E4"/>
    <w:rsid w:val="117F087D"/>
    <w:rsid w:val="11902A8A"/>
    <w:rsid w:val="11A04D7E"/>
    <w:rsid w:val="11B85B3D"/>
    <w:rsid w:val="11C127F8"/>
    <w:rsid w:val="11D129C7"/>
    <w:rsid w:val="11D87DD3"/>
    <w:rsid w:val="11E14EB1"/>
    <w:rsid w:val="11E626AA"/>
    <w:rsid w:val="12273ACE"/>
    <w:rsid w:val="122E5DFF"/>
    <w:rsid w:val="12723F3D"/>
    <w:rsid w:val="12767ED2"/>
    <w:rsid w:val="127952CC"/>
    <w:rsid w:val="127F665A"/>
    <w:rsid w:val="128B14A3"/>
    <w:rsid w:val="128F2D41"/>
    <w:rsid w:val="12AB56A1"/>
    <w:rsid w:val="12D270D2"/>
    <w:rsid w:val="12F13861"/>
    <w:rsid w:val="12F87E57"/>
    <w:rsid w:val="12FB03D7"/>
    <w:rsid w:val="1303728B"/>
    <w:rsid w:val="1323348A"/>
    <w:rsid w:val="13255454"/>
    <w:rsid w:val="134753CA"/>
    <w:rsid w:val="134D0507"/>
    <w:rsid w:val="136715C8"/>
    <w:rsid w:val="13693592"/>
    <w:rsid w:val="137A57A0"/>
    <w:rsid w:val="137B1518"/>
    <w:rsid w:val="138E1CF5"/>
    <w:rsid w:val="13987DB4"/>
    <w:rsid w:val="13B3480E"/>
    <w:rsid w:val="13B72BE8"/>
    <w:rsid w:val="13C22CA3"/>
    <w:rsid w:val="13D1738A"/>
    <w:rsid w:val="13E17F4C"/>
    <w:rsid w:val="14024910"/>
    <w:rsid w:val="14131750"/>
    <w:rsid w:val="142851FC"/>
    <w:rsid w:val="14310739"/>
    <w:rsid w:val="143F6008"/>
    <w:rsid w:val="144D6A10"/>
    <w:rsid w:val="145C30F7"/>
    <w:rsid w:val="146944C2"/>
    <w:rsid w:val="1493417A"/>
    <w:rsid w:val="14A34882"/>
    <w:rsid w:val="14AB3737"/>
    <w:rsid w:val="14C01F6E"/>
    <w:rsid w:val="14C30A80"/>
    <w:rsid w:val="14C96177"/>
    <w:rsid w:val="14DF603C"/>
    <w:rsid w:val="14ED3D4F"/>
    <w:rsid w:val="14FE5F5C"/>
    <w:rsid w:val="15086DDB"/>
    <w:rsid w:val="151B08BC"/>
    <w:rsid w:val="1525173B"/>
    <w:rsid w:val="152D239E"/>
    <w:rsid w:val="153B0F5F"/>
    <w:rsid w:val="154716B1"/>
    <w:rsid w:val="15597D95"/>
    <w:rsid w:val="156F29B6"/>
    <w:rsid w:val="15714980"/>
    <w:rsid w:val="1575054D"/>
    <w:rsid w:val="15823158"/>
    <w:rsid w:val="15891CCA"/>
    <w:rsid w:val="159A3ED7"/>
    <w:rsid w:val="159E329B"/>
    <w:rsid w:val="15A05265"/>
    <w:rsid w:val="15AA23B2"/>
    <w:rsid w:val="15D45246"/>
    <w:rsid w:val="15ED3C44"/>
    <w:rsid w:val="15EE4223"/>
    <w:rsid w:val="16077093"/>
    <w:rsid w:val="160E21CF"/>
    <w:rsid w:val="161C0D90"/>
    <w:rsid w:val="162163A6"/>
    <w:rsid w:val="162E6AF4"/>
    <w:rsid w:val="1651030E"/>
    <w:rsid w:val="16571DC8"/>
    <w:rsid w:val="16663DB9"/>
    <w:rsid w:val="166B13D0"/>
    <w:rsid w:val="16884C04"/>
    <w:rsid w:val="169326D4"/>
    <w:rsid w:val="16995FBA"/>
    <w:rsid w:val="169A1CB5"/>
    <w:rsid w:val="16B56AEF"/>
    <w:rsid w:val="16B73C96"/>
    <w:rsid w:val="16D2144F"/>
    <w:rsid w:val="16DA5D65"/>
    <w:rsid w:val="16FC471D"/>
    <w:rsid w:val="17101F77"/>
    <w:rsid w:val="17105A3A"/>
    <w:rsid w:val="171750B3"/>
    <w:rsid w:val="17312619"/>
    <w:rsid w:val="1735378C"/>
    <w:rsid w:val="17400531"/>
    <w:rsid w:val="17481711"/>
    <w:rsid w:val="174A36DB"/>
    <w:rsid w:val="1767603B"/>
    <w:rsid w:val="176E5DD1"/>
    <w:rsid w:val="177644D0"/>
    <w:rsid w:val="177B0D14"/>
    <w:rsid w:val="17836BED"/>
    <w:rsid w:val="17AE3C6A"/>
    <w:rsid w:val="17C57205"/>
    <w:rsid w:val="17CC2342"/>
    <w:rsid w:val="17F93E0B"/>
    <w:rsid w:val="17FF5486"/>
    <w:rsid w:val="18047D2E"/>
    <w:rsid w:val="18133ACD"/>
    <w:rsid w:val="18226406"/>
    <w:rsid w:val="186B1B5B"/>
    <w:rsid w:val="186D58D3"/>
    <w:rsid w:val="18B21538"/>
    <w:rsid w:val="18B24DA0"/>
    <w:rsid w:val="18B95787"/>
    <w:rsid w:val="18C13529"/>
    <w:rsid w:val="18C662FD"/>
    <w:rsid w:val="18C66D91"/>
    <w:rsid w:val="18CB084B"/>
    <w:rsid w:val="18D23988"/>
    <w:rsid w:val="18D72D4C"/>
    <w:rsid w:val="18E54BB3"/>
    <w:rsid w:val="18ED5373"/>
    <w:rsid w:val="18FA6A3B"/>
    <w:rsid w:val="19044F98"/>
    <w:rsid w:val="190D676E"/>
    <w:rsid w:val="191A4F3D"/>
    <w:rsid w:val="19383B62"/>
    <w:rsid w:val="193E726F"/>
    <w:rsid w:val="19472589"/>
    <w:rsid w:val="1977008B"/>
    <w:rsid w:val="197902A7"/>
    <w:rsid w:val="19882298"/>
    <w:rsid w:val="199B1FCC"/>
    <w:rsid w:val="19BD4746"/>
    <w:rsid w:val="19C552C9"/>
    <w:rsid w:val="19CF11E5"/>
    <w:rsid w:val="19EB6E5E"/>
    <w:rsid w:val="19F85670"/>
    <w:rsid w:val="1A082804"/>
    <w:rsid w:val="1A165AF6"/>
    <w:rsid w:val="1A345F7C"/>
    <w:rsid w:val="1A491A28"/>
    <w:rsid w:val="1A676352"/>
    <w:rsid w:val="1A6A7BF0"/>
    <w:rsid w:val="1A7F18ED"/>
    <w:rsid w:val="1A8962C8"/>
    <w:rsid w:val="1A9C249F"/>
    <w:rsid w:val="1A9C424D"/>
    <w:rsid w:val="1AA650CC"/>
    <w:rsid w:val="1AB04E2D"/>
    <w:rsid w:val="1AC45552"/>
    <w:rsid w:val="1AC6190E"/>
    <w:rsid w:val="1AC77420"/>
    <w:rsid w:val="1AF06347"/>
    <w:rsid w:val="1AF30369"/>
    <w:rsid w:val="1B09565B"/>
    <w:rsid w:val="1B177D78"/>
    <w:rsid w:val="1B1D623E"/>
    <w:rsid w:val="1B397CEE"/>
    <w:rsid w:val="1B414DF5"/>
    <w:rsid w:val="1B445364"/>
    <w:rsid w:val="1B4B5C73"/>
    <w:rsid w:val="1B682381"/>
    <w:rsid w:val="1B724FAE"/>
    <w:rsid w:val="1B834DCF"/>
    <w:rsid w:val="1B866CAC"/>
    <w:rsid w:val="1B904D56"/>
    <w:rsid w:val="1B970EB9"/>
    <w:rsid w:val="1B9D0393"/>
    <w:rsid w:val="1BCC2910"/>
    <w:rsid w:val="1BD23C9F"/>
    <w:rsid w:val="1BD95505"/>
    <w:rsid w:val="1BDC68CC"/>
    <w:rsid w:val="1BDD4B1E"/>
    <w:rsid w:val="1C054074"/>
    <w:rsid w:val="1C06203D"/>
    <w:rsid w:val="1C0A451F"/>
    <w:rsid w:val="1C0E117B"/>
    <w:rsid w:val="1C27223D"/>
    <w:rsid w:val="1C35495A"/>
    <w:rsid w:val="1C455CA5"/>
    <w:rsid w:val="1C7237A6"/>
    <w:rsid w:val="1C730FDE"/>
    <w:rsid w:val="1C76287C"/>
    <w:rsid w:val="1C962F1E"/>
    <w:rsid w:val="1C9D605B"/>
    <w:rsid w:val="1CA70C88"/>
    <w:rsid w:val="1CB3762C"/>
    <w:rsid w:val="1CD5095A"/>
    <w:rsid w:val="1CE05C7B"/>
    <w:rsid w:val="1CE7377A"/>
    <w:rsid w:val="1CFE17B2"/>
    <w:rsid w:val="1D0165EA"/>
    <w:rsid w:val="1D0C4F8F"/>
    <w:rsid w:val="1D175E0D"/>
    <w:rsid w:val="1D2C69D2"/>
    <w:rsid w:val="1D2E5635"/>
    <w:rsid w:val="1D322C47"/>
    <w:rsid w:val="1D3369BF"/>
    <w:rsid w:val="1D41732E"/>
    <w:rsid w:val="1D444728"/>
    <w:rsid w:val="1D4D5CD3"/>
    <w:rsid w:val="1D923E12"/>
    <w:rsid w:val="1DA11B7B"/>
    <w:rsid w:val="1DB16262"/>
    <w:rsid w:val="1DC00253"/>
    <w:rsid w:val="1DC6338F"/>
    <w:rsid w:val="1DCF493A"/>
    <w:rsid w:val="1DF47E29"/>
    <w:rsid w:val="1E25455A"/>
    <w:rsid w:val="1E3E1D2D"/>
    <w:rsid w:val="1E5170FD"/>
    <w:rsid w:val="1E71154D"/>
    <w:rsid w:val="1E957931"/>
    <w:rsid w:val="1EA41923"/>
    <w:rsid w:val="1EA96F39"/>
    <w:rsid w:val="1EAC07D7"/>
    <w:rsid w:val="1EAE454F"/>
    <w:rsid w:val="1ED3045A"/>
    <w:rsid w:val="1EE937D9"/>
    <w:rsid w:val="1EEB57A3"/>
    <w:rsid w:val="1EEE0DF0"/>
    <w:rsid w:val="1EF5217E"/>
    <w:rsid w:val="1EFA7794"/>
    <w:rsid w:val="1EFB5963"/>
    <w:rsid w:val="1F010B23"/>
    <w:rsid w:val="1F0B3750"/>
    <w:rsid w:val="1F10520A"/>
    <w:rsid w:val="1F144534"/>
    <w:rsid w:val="1F1F369F"/>
    <w:rsid w:val="1F205C1D"/>
    <w:rsid w:val="1F3A4035"/>
    <w:rsid w:val="1F4153C3"/>
    <w:rsid w:val="1F42113B"/>
    <w:rsid w:val="1F4B6242"/>
    <w:rsid w:val="1F4D3D68"/>
    <w:rsid w:val="1F4E1B6A"/>
    <w:rsid w:val="1F501AAA"/>
    <w:rsid w:val="1F542BBF"/>
    <w:rsid w:val="1F681363"/>
    <w:rsid w:val="1F751511"/>
    <w:rsid w:val="1F797D51"/>
    <w:rsid w:val="1FB02549"/>
    <w:rsid w:val="1FC14756"/>
    <w:rsid w:val="1FDE2C12"/>
    <w:rsid w:val="1FEA0867"/>
    <w:rsid w:val="1FEF6BCD"/>
    <w:rsid w:val="1FF13E14"/>
    <w:rsid w:val="1FFB1A16"/>
    <w:rsid w:val="20085EE1"/>
    <w:rsid w:val="200B3AEE"/>
    <w:rsid w:val="200F7270"/>
    <w:rsid w:val="202D5948"/>
    <w:rsid w:val="202F346E"/>
    <w:rsid w:val="203E1903"/>
    <w:rsid w:val="20484530"/>
    <w:rsid w:val="205729C5"/>
    <w:rsid w:val="205C7FDB"/>
    <w:rsid w:val="206C4540"/>
    <w:rsid w:val="206F41B2"/>
    <w:rsid w:val="206F7D0E"/>
    <w:rsid w:val="20784E15"/>
    <w:rsid w:val="20857532"/>
    <w:rsid w:val="208714FC"/>
    <w:rsid w:val="20943C19"/>
    <w:rsid w:val="20A200E4"/>
    <w:rsid w:val="20A36C18"/>
    <w:rsid w:val="20A53730"/>
    <w:rsid w:val="20A57BD4"/>
    <w:rsid w:val="20B147CB"/>
    <w:rsid w:val="20D52267"/>
    <w:rsid w:val="20DA1129"/>
    <w:rsid w:val="20DB1848"/>
    <w:rsid w:val="21026DD4"/>
    <w:rsid w:val="210466A8"/>
    <w:rsid w:val="21091F11"/>
    <w:rsid w:val="21117017"/>
    <w:rsid w:val="21134B3E"/>
    <w:rsid w:val="21143A54"/>
    <w:rsid w:val="2119509B"/>
    <w:rsid w:val="211F34E2"/>
    <w:rsid w:val="213C22E6"/>
    <w:rsid w:val="217355DC"/>
    <w:rsid w:val="21771570"/>
    <w:rsid w:val="2181419D"/>
    <w:rsid w:val="21823A71"/>
    <w:rsid w:val="21867A05"/>
    <w:rsid w:val="21AD2593"/>
    <w:rsid w:val="21AF5EE0"/>
    <w:rsid w:val="21B36D0B"/>
    <w:rsid w:val="21C347B6"/>
    <w:rsid w:val="21C35326"/>
    <w:rsid w:val="21D97B35"/>
    <w:rsid w:val="21E604A4"/>
    <w:rsid w:val="221E19EC"/>
    <w:rsid w:val="221E379A"/>
    <w:rsid w:val="222F59A7"/>
    <w:rsid w:val="224376A4"/>
    <w:rsid w:val="22456F79"/>
    <w:rsid w:val="22552F34"/>
    <w:rsid w:val="225B6BAF"/>
    <w:rsid w:val="226A69DF"/>
    <w:rsid w:val="22772D02"/>
    <w:rsid w:val="22916662"/>
    <w:rsid w:val="22A243CB"/>
    <w:rsid w:val="22B12860"/>
    <w:rsid w:val="22D020C8"/>
    <w:rsid w:val="22ED5A82"/>
    <w:rsid w:val="22F015DA"/>
    <w:rsid w:val="22F46F43"/>
    <w:rsid w:val="23152DEF"/>
    <w:rsid w:val="233174FD"/>
    <w:rsid w:val="233B65CE"/>
    <w:rsid w:val="2351194D"/>
    <w:rsid w:val="236C49D9"/>
    <w:rsid w:val="236E24FF"/>
    <w:rsid w:val="23843AD1"/>
    <w:rsid w:val="23867D22"/>
    <w:rsid w:val="239E00B4"/>
    <w:rsid w:val="23A203FB"/>
    <w:rsid w:val="23CD24BD"/>
    <w:rsid w:val="23D136E6"/>
    <w:rsid w:val="23D51C4A"/>
    <w:rsid w:val="23E10F23"/>
    <w:rsid w:val="23EA2A3D"/>
    <w:rsid w:val="23F30C56"/>
    <w:rsid w:val="23FB085C"/>
    <w:rsid w:val="24003BFB"/>
    <w:rsid w:val="24084702"/>
    <w:rsid w:val="240E783E"/>
    <w:rsid w:val="24172B97"/>
    <w:rsid w:val="241E535C"/>
    <w:rsid w:val="241F37F9"/>
    <w:rsid w:val="242A0B1C"/>
    <w:rsid w:val="242F281A"/>
    <w:rsid w:val="24387A79"/>
    <w:rsid w:val="2466767A"/>
    <w:rsid w:val="248A0A7D"/>
    <w:rsid w:val="249917FE"/>
    <w:rsid w:val="24BB1774"/>
    <w:rsid w:val="24C22B02"/>
    <w:rsid w:val="24C34ACD"/>
    <w:rsid w:val="24D34421"/>
    <w:rsid w:val="24FA6C68"/>
    <w:rsid w:val="24FD7FDE"/>
    <w:rsid w:val="250C0222"/>
    <w:rsid w:val="251E74A4"/>
    <w:rsid w:val="25253091"/>
    <w:rsid w:val="252C2672"/>
    <w:rsid w:val="255E59A9"/>
    <w:rsid w:val="25714529"/>
    <w:rsid w:val="25805811"/>
    <w:rsid w:val="25B368EF"/>
    <w:rsid w:val="25CB2C46"/>
    <w:rsid w:val="25CC3712"/>
    <w:rsid w:val="25D6438C"/>
    <w:rsid w:val="25D80104"/>
    <w:rsid w:val="25E22D30"/>
    <w:rsid w:val="25F63DD5"/>
    <w:rsid w:val="25FA2770"/>
    <w:rsid w:val="2605484F"/>
    <w:rsid w:val="260D5FFF"/>
    <w:rsid w:val="26193812"/>
    <w:rsid w:val="262275D1"/>
    <w:rsid w:val="262F241A"/>
    <w:rsid w:val="2633160E"/>
    <w:rsid w:val="26541209"/>
    <w:rsid w:val="26555BF8"/>
    <w:rsid w:val="26597496"/>
    <w:rsid w:val="267047E0"/>
    <w:rsid w:val="267642A7"/>
    <w:rsid w:val="26834513"/>
    <w:rsid w:val="26AA5F44"/>
    <w:rsid w:val="26AF5308"/>
    <w:rsid w:val="26CA0394"/>
    <w:rsid w:val="27007912"/>
    <w:rsid w:val="271649AE"/>
    <w:rsid w:val="272950BB"/>
    <w:rsid w:val="27315D1D"/>
    <w:rsid w:val="273F48DE"/>
    <w:rsid w:val="27482BFF"/>
    <w:rsid w:val="274C2B57"/>
    <w:rsid w:val="275F0ADD"/>
    <w:rsid w:val="276500BD"/>
    <w:rsid w:val="277E00FB"/>
    <w:rsid w:val="27843CE5"/>
    <w:rsid w:val="27870033"/>
    <w:rsid w:val="278C73F8"/>
    <w:rsid w:val="279B588D"/>
    <w:rsid w:val="27B457B1"/>
    <w:rsid w:val="27C13545"/>
    <w:rsid w:val="27CC5A46"/>
    <w:rsid w:val="27D17500"/>
    <w:rsid w:val="27D25752"/>
    <w:rsid w:val="27D824EE"/>
    <w:rsid w:val="27E234BC"/>
    <w:rsid w:val="27E50F81"/>
    <w:rsid w:val="27E72880"/>
    <w:rsid w:val="27F31225"/>
    <w:rsid w:val="27F8683B"/>
    <w:rsid w:val="281178FD"/>
    <w:rsid w:val="28185258"/>
    <w:rsid w:val="281C0984"/>
    <w:rsid w:val="28373807"/>
    <w:rsid w:val="28577A06"/>
    <w:rsid w:val="28687E65"/>
    <w:rsid w:val="287B7B98"/>
    <w:rsid w:val="287D0A7D"/>
    <w:rsid w:val="2886198F"/>
    <w:rsid w:val="288D78CB"/>
    <w:rsid w:val="28996270"/>
    <w:rsid w:val="28B210E0"/>
    <w:rsid w:val="28CA642A"/>
    <w:rsid w:val="28E107A2"/>
    <w:rsid w:val="28E3573D"/>
    <w:rsid w:val="290B259E"/>
    <w:rsid w:val="291476A5"/>
    <w:rsid w:val="294E705B"/>
    <w:rsid w:val="29600B3C"/>
    <w:rsid w:val="296C5885"/>
    <w:rsid w:val="297840D8"/>
    <w:rsid w:val="29841FED"/>
    <w:rsid w:val="2987256D"/>
    <w:rsid w:val="29A94291"/>
    <w:rsid w:val="29B30AFA"/>
    <w:rsid w:val="29C410CB"/>
    <w:rsid w:val="29CA4207"/>
    <w:rsid w:val="29FC6AB7"/>
    <w:rsid w:val="29FF0355"/>
    <w:rsid w:val="2A0B4F4C"/>
    <w:rsid w:val="2A2B2EF8"/>
    <w:rsid w:val="2A2D63B5"/>
    <w:rsid w:val="2A522B7B"/>
    <w:rsid w:val="2A524929"/>
    <w:rsid w:val="2A570191"/>
    <w:rsid w:val="2A58372E"/>
    <w:rsid w:val="2A5A558B"/>
    <w:rsid w:val="2A612DBE"/>
    <w:rsid w:val="2AB23619"/>
    <w:rsid w:val="2AC63914"/>
    <w:rsid w:val="2ACE4132"/>
    <w:rsid w:val="2AD4533E"/>
    <w:rsid w:val="2AEF03C9"/>
    <w:rsid w:val="2AFA300F"/>
    <w:rsid w:val="2B0379D1"/>
    <w:rsid w:val="2B057BED"/>
    <w:rsid w:val="2B125E66"/>
    <w:rsid w:val="2B400742"/>
    <w:rsid w:val="2B62173A"/>
    <w:rsid w:val="2B77216D"/>
    <w:rsid w:val="2B8925CC"/>
    <w:rsid w:val="2B964CE9"/>
    <w:rsid w:val="2BA016C4"/>
    <w:rsid w:val="2BA54F2C"/>
    <w:rsid w:val="2BC453B2"/>
    <w:rsid w:val="2BD55811"/>
    <w:rsid w:val="2BEA293F"/>
    <w:rsid w:val="2C025EDA"/>
    <w:rsid w:val="2C13380B"/>
    <w:rsid w:val="2C29790B"/>
    <w:rsid w:val="2C3C1CCE"/>
    <w:rsid w:val="2C3D01A4"/>
    <w:rsid w:val="2C4D2D8A"/>
    <w:rsid w:val="2C8C73B1"/>
    <w:rsid w:val="2C9761F4"/>
    <w:rsid w:val="2CA13945"/>
    <w:rsid w:val="2CA35285"/>
    <w:rsid w:val="2CAD5E46"/>
    <w:rsid w:val="2CCB2770"/>
    <w:rsid w:val="2CDA5934"/>
    <w:rsid w:val="2CDE06F5"/>
    <w:rsid w:val="2CDF7FCA"/>
    <w:rsid w:val="2CE11F94"/>
    <w:rsid w:val="2CF03F85"/>
    <w:rsid w:val="2CFE48F4"/>
    <w:rsid w:val="2D095047"/>
    <w:rsid w:val="2D251F02"/>
    <w:rsid w:val="2D2D1661"/>
    <w:rsid w:val="2D340315"/>
    <w:rsid w:val="2D3F0ECE"/>
    <w:rsid w:val="2D455153"/>
    <w:rsid w:val="2D5C786C"/>
    <w:rsid w:val="2DA32A8E"/>
    <w:rsid w:val="2DA940F3"/>
    <w:rsid w:val="2DAC4ED7"/>
    <w:rsid w:val="2DD85145"/>
    <w:rsid w:val="2DEE1567"/>
    <w:rsid w:val="2DEE20E8"/>
    <w:rsid w:val="2DF61A6F"/>
    <w:rsid w:val="2E20089A"/>
    <w:rsid w:val="2E2627B5"/>
    <w:rsid w:val="2E536EC1"/>
    <w:rsid w:val="2E7A61FC"/>
    <w:rsid w:val="2E9657E0"/>
    <w:rsid w:val="2E980D78"/>
    <w:rsid w:val="2E9B04A6"/>
    <w:rsid w:val="2E9F5C62"/>
    <w:rsid w:val="2EC15BD9"/>
    <w:rsid w:val="2EC36CB4"/>
    <w:rsid w:val="2EE6487F"/>
    <w:rsid w:val="2EE91DEC"/>
    <w:rsid w:val="2EEB0EA8"/>
    <w:rsid w:val="2EEB534C"/>
    <w:rsid w:val="2EEB70FA"/>
    <w:rsid w:val="2EF02962"/>
    <w:rsid w:val="2EF57F78"/>
    <w:rsid w:val="2EF7784D"/>
    <w:rsid w:val="2F00423A"/>
    <w:rsid w:val="2F146650"/>
    <w:rsid w:val="2F300FB0"/>
    <w:rsid w:val="2F37233F"/>
    <w:rsid w:val="2F3C7955"/>
    <w:rsid w:val="2F3F11F4"/>
    <w:rsid w:val="2F40361B"/>
    <w:rsid w:val="2FA03738"/>
    <w:rsid w:val="2FA86D99"/>
    <w:rsid w:val="2FD95EB5"/>
    <w:rsid w:val="300246FB"/>
    <w:rsid w:val="300F506A"/>
    <w:rsid w:val="301277B1"/>
    <w:rsid w:val="301601A6"/>
    <w:rsid w:val="301D7787"/>
    <w:rsid w:val="3043156F"/>
    <w:rsid w:val="307F3F9D"/>
    <w:rsid w:val="30896BCA"/>
    <w:rsid w:val="30973596"/>
    <w:rsid w:val="30973E22"/>
    <w:rsid w:val="30B360F4"/>
    <w:rsid w:val="30C85944"/>
    <w:rsid w:val="30D836AE"/>
    <w:rsid w:val="30DA5678"/>
    <w:rsid w:val="30E6401D"/>
    <w:rsid w:val="30EE67A3"/>
    <w:rsid w:val="31191C5C"/>
    <w:rsid w:val="311B7355"/>
    <w:rsid w:val="311E5564"/>
    <w:rsid w:val="313703D4"/>
    <w:rsid w:val="313E79B5"/>
    <w:rsid w:val="31492A48"/>
    <w:rsid w:val="316247AA"/>
    <w:rsid w:val="31745184"/>
    <w:rsid w:val="317E6003"/>
    <w:rsid w:val="318A49A8"/>
    <w:rsid w:val="318D4498"/>
    <w:rsid w:val="319566E7"/>
    <w:rsid w:val="31967CDB"/>
    <w:rsid w:val="319F103E"/>
    <w:rsid w:val="31E54D56"/>
    <w:rsid w:val="31EE13DB"/>
    <w:rsid w:val="31EF6F01"/>
    <w:rsid w:val="32106030"/>
    <w:rsid w:val="322C1F03"/>
    <w:rsid w:val="324B1ED4"/>
    <w:rsid w:val="32694FCA"/>
    <w:rsid w:val="327A2C6E"/>
    <w:rsid w:val="327B2096"/>
    <w:rsid w:val="32805DAB"/>
    <w:rsid w:val="32827D75"/>
    <w:rsid w:val="3283369C"/>
    <w:rsid w:val="328E671A"/>
    <w:rsid w:val="329A43A7"/>
    <w:rsid w:val="32A40394"/>
    <w:rsid w:val="32B75C71"/>
    <w:rsid w:val="32EB653A"/>
    <w:rsid w:val="32F32A21"/>
    <w:rsid w:val="332C1A8F"/>
    <w:rsid w:val="33411D32"/>
    <w:rsid w:val="33423060"/>
    <w:rsid w:val="334F40FB"/>
    <w:rsid w:val="335C05C6"/>
    <w:rsid w:val="33664FA1"/>
    <w:rsid w:val="3369683F"/>
    <w:rsid w:val="33775400"/>
    <w:rsid w:val="33997107"/>
    <w:rsid w:val="33A04957"/>
    <w:rsid w:val="33AE4708"/>
    <w:rsid w:val="33B72A4E"/>
    <w:rsid w:val="33D740F0"/>
    <w:rsid w:val="33DB773D"/>
    <w:rsid w:val="33E365F1"/>
    <w:rsid w:val="33F24A86"/>
    <w:rsid w:val="33FC76B3"/>
    <w:rsid w:val="34052A0C"/>
    <w:rsid w:val="340B635C"/>
    <w:rsid w:val="342235BE"/>
    <w:rsid w:val="34325348"/>
    <w:rsid w:val="34384B8F"/>
    <w:rsid w:val="343D03F7"/>
    <w:rsid w:val="344828F8"/>
    <w:rsid w:val="34496D9C"/>
    <w:rsid w:val="34607E7E"/>
    <w:rsid w:val="34627AFE"/>
    <w:rsid w:val="34637732"/>
    <w:rsid w:val="347170C3"/>
    <w:rsid w:val="34813A56"/>
    <w:rsid w:val="349A2DF2"/>
    <w:rsid w:val="349C35B5"/>
    <w:rsid w:val="34CE2DFE"/>
    <w:rsid w:val="34D67F04"/>
    <w:rsid w:val="34E73EBF"/>
    <w:rsid w:val="34EF0FC6"/>
    <w:rsid w:val="34F5482E"/>
    <w:rsid w:val="34F65359"/>
    <w:rsid w:val="34FB796B"/>
    <w:rsid w:val="350B22A4"/>
    <w:rsid w:val="354632DC"/>
    <w:rsid w:val="35594813"/>
    <w:rsid w:val="355F451E"/>
    <w:rsid w:val="35636CD1"/>
    <w:rsid w:val="3579545F"/>
    <w:rsid w:val="358E6A31"/>
    <w:rsid w:val="359027A9"/>
    <w:rsid w:val="35942299"/>
    <w:rsid w:val="35956011"/>
    <w:rsid w:val="359B7EF2"/>
    <w:rsid w:val="35A818A1"/>
    <w:rsid w:val="35AF70D3"/>
    <w:rsid w:val="35BE7316"/>
    <w:rsid w:val="35C30488"/>
    <w:rsid w:val="35DB7EC8"/>
    <w:rsid w:val="35DE3514"/>
    <w:rsid w:val="35EA7E72"/>
    <w:rsid w:val="35F25212"/>
    <w:rsid w:val="362D624A"/>
    <w:rsid w:val="362D7FF8"/>
    <w:rsid w:val="364041CF"/>
    <w:rsid w:val="36463828"/>
    <w:rsid w:val="36525CB0"/>
    <w:rsid w:val="36554EEE"/>
    <w:rsid w:val="36575075"/>
    <w:rsid w:val="365E4655"/>
    <w:rsid w:val="36653C36"/>
    <w:rsid w:val="36794FEB"/>
    <w:rsid w:val="36A209E6"/>
    <w:rsid w:val="36B44275"/>
    <w:rsid w:val="36C73FA8"/>
    <w:rsid w:val="36E0506A"/>
    <w:rsid w:val="372B2789"/>
    <w:rsid w:val="372E5DD5"/>
    <w:rsid w:val="374101FF"/>
    <w:rsid w:val="377C1237"/>
    <w:rsid w:val="378404AE"/>
    <w:rsid w:val="37847F8D"/>
    <w:rsid w:val="378B3228"/>
    <w:rsid w:val="378B76CC"/>
    <w:rsid w:val="37A13D0C"/>
    <w:rsid w:val="37A442EA"/>
    <w:rsid w:val="37DA7D0B"/>
    <w:rsid w:val="37DB62C5"/>
    <w:rsid w:val="37FE7E9E"/>
    <w:rsid w:val="38012DCB"/>
    <w:rsid w:val="380F20AB"/>
    <w:rsid w:val="38163439"/>
    <w:rsid w:val="382A0C93"/>
    <w:rsid w:val="38653A79"/>
    <w:rsid w:val="386E46AB"/>
    <w:rsid w:val="388303A3"/>
    <w:rsid w:val="38887767"/>
    <w:rsid w:val="38961E84"/>
    <w:rsid w:val="38AF1198"/>
    <w:rsid w:val="38B30C88"/>
    <w:rsid w:val="38B7004D"/>
    <w:rsid w:val="38C764E2"/>
    <w:rsid w:val="38CC0229"/>
    <w:rsid w:val="38CD2426"/>
    <w:rsid w:val="38D26C34"/>
    <w:rsid w:val="38EB6C68"/>
    <w:rsid w:val="38EC7F72"/>
    <w:rsid w:val="38F66DC7"/>
    <w:rsid w:val="38F8669B"/>
    <w:rsid w:val="39014694"/>
    <w:rsid w:val="390F1C37"/>
    <w:rsid w:val="39111E53"/>
    <w:rsid w:val="39186D3D"/>
    <w:rsid w:val="391F00CC"/>
    <w:rsid w:val="39290F4A"/>
    <w:rsid w:val="39363667"/>
    <w:rsid w:val="39396CB4"/>
    <w:rsid w:val="393F076E"/>
    <w:rsid w:val="396C0E37"/>
    <w:rsid w:val="397D4DF2"/>
    <w:rsid w:val="3982065B"/>
    <w:rsid w:val="3995038E"/>
    <w:rsid w:val="39B5458C"/>
    <w:rsid w:val="39D4535A"/>
    <w:rsid w:val="39D75DA5"/>
    <w:rsid w:val="39D76BF8"/>
    <w:rsid w:val="39E3734B"/>
    <w:rsid w:val="39FE23D7"/>
    <w:rsid w:val="3A1C0AAF"/>
    <w:rsid w:val="3A2A31CC"/>
    <w:rsid w:val="3A301503"/>
    <w:rsid w:val="3A4233A8"/>
    <w:rsid w:val="3A490B50"/>
    <w:rsid w:val="3A595F4B"/>
    <w:rsid w:val="3A63685A"/>
    <w:rsid w:val="3A6A7A6C"/>
    <w:rsid w:val="3A7A7584"/>
    <w:rsid w:val="3A8D3E1B"/>
    <w:rsid w:val="3A8F1281"/>
    <w:rsid w:val="3A970136"/>
    <w:rsid w:val="3A9E14C4"/>
    <w:rsid w:val="3AA36ADA"/>
    <w:rsid w:val="3AB900AC"/>
    <w:rsid w:val="3AC32CD9"/>
    <w:rsid w:val="3AD76784"/>
    <w:rsid w:val="3AF37A62"/>
    <w:rsid w:val="3AF45588"/>
    <w:rsid w:val="3AFB2473"/>
    <w:rsid w:val="3AFD443D"/>
    <w:rsid w:val="3AFE3AA8"/>
    <w:rsid w:val="3B057795"/>
    <w:rsid w:val="3B07350D"/>
    <w:rsid w:val="3B0D3370"/>
    <w:rsid w:val="3B0E664A"/>
    <w:rsid w:val="3B286FE0"/>
    <w:rsid w:val="3B2D45F6"/>
    <w:rsid w:val="3B5D137F"/>
    <w:rsid w:val="3B642813"/>
    <w:rsid w:val="3B6E2210"/>
    <w:rsid w:val="3B702E61"/>
    <w:rsid w:val="3B9C637B"/>
    <w:rsid w:val="3B9D5C20"/>
    <w:rsid w:val="3BA945C4"/>
    <w:rsid w:val="3BB15227"/>
    <w:rsid w:val="3BB7326E"/>
    <w:rsid w:val="3BC62A80"/>
    <w:rsid w:val="3BCB6780"/>
    <w:rsid w:val="3BD333EF"/>
    <w:rsid w:val="3BEB0739"/>
    <w:rsid w:val="3BF82E56"/>
    <w:rsid w:val="3C090BBF"/>
    <w:rsid w:val="3C137C90"/>
    <w:rsid w:val="3C1A7270"/>
    <w:rsid w:val="3C1F4887"/>
    <w:rsid w:val="3C29300F"/>
    <w:rsid w:val="3C2E55CC"/>
    <w:rsid w:val="3C3814A4"/>
    <w:rsid w:val="3C430575"/>
    <w:rsid w:val="3C6E4EC6"/>
    <w:rsid w:val="3C94492D"/>
    <w:rsid w:val="3C94542C"/>
    <w:rsid w:val="3C97441D"/>
    <w:rsid w:val="3CA53AD7"/>
    <w:rsid w:val="3CA64660"/>
    <w:rsid w:val="3CC350C0"/>
    <w:rsid w:val="3CCA65A0"/>
    <w:rsid w:val="3CCF30D1"/>
    <w:rsid w:val="3CE04016"/>
    <w:rsid w:val="3CE120F1"/>
    <w:rsid w:val="3CE138EA"/>
    <w:rsid w:val="3CF03B2D"/>
    <w:rsid w:val="3CFC0724"/>
    <w:rsid w:val="3CFE624A"/>
    <w:rsid w:val="3D0C6BB9"/>
    <w:rsid w:val="3D0E0B83"/>
    <w:rsid w:val="3D0F66A9"/>
    <w:rsid w:val="3D545E2B"/>
    <w:rsid w:val="3D55260B"/>
    <w:rsid w:val="3D6562C9"/>
    <w:rsid w:val="3D712EC0"/>
    <w:rsid w:val="3D7604D6"/>
    <w:rsid w:val="3D96660D"/>
    <w:rsid w:val="3D995F73"/>
    <w:rsid w:val="3DC456E6"/>
    <w:rsid w:val="3DDB658B"/>
    <w:rsid w:val="3DDD2303"/>
    <w:rsid w:val="3DE23C97"/>
    <w:rsid w:val="3E03620E"/>
    <w:rsid w:val="3E18158D"/>
    <w:rsid w:val="3E2717D1"/>
    <w:rsid w:val="3E2E7003"/>
    <w:rsid w:val="3E385A19"/>
    <w:rsid w:val="3E3A7756"/>
    <w:rsid w:val="3E4B1963"/>
    <w:rsid w:val="3E5720B6"/>
    <w:rsid w:val="3E575950"/>
    <w:rsid w:val="3E7B365E"/>
    <w:rsid w:val="3E8B5005"/>
    <w:rsid w:val="3E9C23C7"/>
    <w:rsid w:val="3EB05C6A"/>
    <w:rsid w:val="3EB92D70"/>
    <w:rsid w:val="3EC80C8D"/>
    <w:rsid w:val="3ECC7453"/>
    <w:rsid w:val="3ED731F7"/>
    <w:rsid w:val="3EDC6A5F"/>
    <w:rsid w:val="3EEE4BCF"/>
    <w:rsid w:val="3F010273"/>
    <w:rsid w:val="3F073ADC"/>
    <w:rsid w:val="3F081602"/>
    <w:rsid w:val="3F115748"/>
    <w:rsid w:val="3F185CE9"/>
    <w:rsid w:val="3F19736B"/>
    <w:rsid w:val="3F3146B5"/>
    <w:rsid w:val="3F4563B2"/>
    <w:rsid w:val="3F46408F"/>
    <w:rsid w:val="3F520ACF"/>
    <w:rsid w:val="3F6C1B91"/>
    <w:rsid w:val="3F780536"/>
    <w:rsid w:val="3F7942AE"/>
    <w:rsid w:val="3F830C89"/>
    <w:rsid w:val="3FDF2363"/>
    <w:rsid w:val="3FEC2CD2"/>
    <w:rsid w:val="3FFA719D"/>
    <w:rsid w:val="401D2E8B"/>
    <w:rsid w:val="40275AB8"/>
    <w:rsid w:val="40354679"/>
    <w:rsid w:val="40373D90"/>
    <w:rsid w:val="403F2E01"/>
    <w:rsid w:val="404843AC"/>
    <w:rsid w:val="405A40DF"/>
    <w:rsid w:val="405D1D2A"/>
    <w:rsid w:val="4065146E"/>
    <w:rsid w:val="40662CB8"/>
    <w:rsid w:val="407B38F6"/>
    <w:rsid w:val="4084115C"/>
    <w:rsid w:val="408B24EB"/>
    <w:rsid w:val="409F5F96"/>
    <w:rsid w:val="40B06A01"/>
    <w:rsid w:val="40C63523"/>
    <w:rsid w:val="40DE0554"/>
    <w:rsid w:val="40E37C31"/>
    <w:rsid w:val="40EB11DB"/>
    <w:rsid w:val="40EC2B1F"/>
    <w:rsid w:val="40F31392"/>
    <w:rsid w:val="40F40090"/>
    <w:rsid w:val="40FB141E"/>
    <w:rsid w:val="41151A6D"/>
    <w:rsid w:val="4119303E"/>
    <w:rsid w:val="411C1395"/>
    <w:rsid w:val="4142704D"/>
    <w:rsid w:val="41456B3D"/>
    <w:rsid w:val="414B422F"/>
    <w:rsid w:val="4151103E"/>
    <w:rsid w:val="415B7967"/>
    <w:rsid w:val="41766CF7"/>
    <w:rsid w:val="4194717D"/>
    <w:rsid w:val="41A02373"/>
    <w:rsid w:val="41A5138A"/>
    <w:rsid w:val="41A82C28"/>
    <w:rsid w:val="41B33D57"/>
    <w:rsid w:val="41C55588"/>
    <w:rsid w:val="41E2438C"/>
    <w:rsid w:val="41FF0A9A"/>
    <w:rsid w:val="42390634"/>
    <w:rsid w:val="4242307D"/>
    <w:rsid w:val="427D5E63"/>
    <w:rsid w:val="428C42F8"/>
    <w:rsid w:val="429576C9"/>
    <w:rsid w:val="42A45AE6"/>
    <w:rsid w:val="42A930FC"/>
    <w:rsid w:val="42AB29D0"/>
    <w:rsid w:val="42BE0955"/>
    <w:rsid w:val="42CD0A98"/>
    <w:rsid w:val="42D263AC"/>
    <w:rsid w:val="42E63A08"/>
    <w:rsid w:val="42FC322C"/>
    <w:rsid w:val="43002288"/>
    <w:rsid w:val="430640AA"/>
    <w:rsid w:val="431A0C09"/>
    <w:rsid w:val="432F3601"/>
    <w:rsid w:val="43362BE2"/>
    <w:rsid w:val="43463E1A"/>
    <w:rsid w:val="43482915"/>
    <w:rsid w:val="436F39FE"/>
    <w:rsid w:val="43787237"/>
    <w:rsid w:val="43812344"/>
    <w:rsid w:val="43951D96"/>
    <w:rsid w:val="439E377F"/>
    <w:rsid w:val="43B65AD0"/>
    <w:rsid w:val="43B9111D"/>
    <w:rsid w:val="43CC3AB9"/>
    <w:rsid w:val="43DB72E5"/>
    <w:rsid w:val="43DD305D"/>
    <w:rsid w:val="43EA577A"/>
    <w:rsid w:val="44095C00"/>
    <w:rsid w:val="441403C0"/>
    <w:rsid w:val="4416656F"/>
    <w:rsid w:val="4420119C"/>
    <w:rsid w:val="44254A04"/>
    <w:rsid w:val="442A3DC9"/>
    <w:rsid w:val="44315157"/>
    <w:rsid w:val="44330ECF"/>
    <w:rsid w:val="445C6678"/>
    <w:rsid w:val="44654E01"/>
    <w:rsid w:val="44754A2D"/>
    <w:rsid w:val="447C2876"/>
    <w:rsid w:val="447F2366"/>
    <w:rsid w:val="44A75419"/>
    <w:rsid w:val="44B00772"/>
    <w:rsid w:val="44B017C8"/>
    <w:rsid w:val="44B6565C"/>
    <w:rsid w:val="44BD4C3D"/>
    <w:rsid w:val="44C157DB"/>
    <w:rsid w:val="44FF7003"/>
    <w:rsid w:val="45010FCD"/>
    <w:rsid w:val="450E7246"/>
    <w:rsid w:val="45284B01"/>
    <w:rsid w:val="45294080"/>
    <w:rsid w:val="452D1DC2"/>
    <w:rsid w:val="453C2005"/>
    <w:rsid w:val="456B6447"/>
    <w:rsid w:val="45790B64"/>
    <w:rsid w:val="457E617A"/>
    <w:rsid w:val="45886FF9"/>
    <w:rsid w:val="4597723C"/>
    <w:rsid w:val="45A04342"/>
    <w:rsid w:val="45B1505C"/>
    <w:rsid w:val="45C75D73"/>
    <w:rsid w:val="45CA13BF"/>
    <w:rsid w:val="45F34DBA"/>
    <w:rsid w:val="46144188"/>
    <w:rsid w:val="46250CEB"/>
    <w:rsid w:val="4629258A"/>
    <w:rsid w:val="462A6302"/>
    <w:rsid w:val="462C182F"/>
    <w:rsid w:val="462F1C33"/>
    <w:rsid w:val="463F7FFF"/>
    <w:rsid w:val="46401681"/>
    <w:rsid w:val="46413375"/>
    <w:rsid w:val="46456C98"/>
    <w:rsid w:val="46470C62"/>
    <w:rsid w:val="464E0242"/>
    <w:rsid w:val="464E3D9E"/>
    <w:rsid w:val="466C06C8"/>
    <w:rsid w:val="467D2532"/>
    <w:rsid w:val="46902609"/>
    <w:rsid w:val="4691012F"/>
    <w:rsid w:val="46DF12D2"/>
    <w:rsid w:val="46E464B1"/>
    <w:rsid w:val="46FD57C4"/>
    <w:rsid w:val="470628CB"/>
    <w:rsid w:val="470703F1"/>
    <w:rsid w:val="470D1EAB"/>
    <w:rsid w:val="4710374A"/>
    <w:rsid w:val="471A1ED2"/>
    <w:rsid w:val="47205D81"/>
    <w:rsid w:val="472C7DEF"/>
    <w:rsid w:val="473016F6"/>
    <w:rsid w:val="47665118"/>
    <w:rsid w:val="47721D0E"/>
    <w:rsid w:val="478A34FC"/>
    <w:rsid w:val="478F0B12"/>
    <w:rsid w:val="479954ED"/>
    <w:rsid w:val="4799729B"/>
    <w:rsid w:val="47AD64A7"/>
    <w:rsid w:val="47BB1907"/>
    <w:rsid w:val="47D31AAF"/>
    <w:rsid w:val="47E250E6"/>
    <w:rsid w:val="47EF7803"/>
    <w:rsid w:val="480C5CBF"/>
    <w:rsid w:val="480E2158"/>
    <w:rsid w:val="48113E7C"/>
    <w:rsid w:val="481D5E6A"/>
    <w:rsid w:val="4820176A"/>
    <w:rsid w:val="48217EC1"/>
    <w:rsid w:val="483831BA"/>
    <w:rsid w:val="48623B31"/>
    <w:rsid w:val="486D24D6"/>
    <w:rsid w:val="487675DC"/>
    <w:rsid w:val="489C15DB"/>
    <w:rsid w:val="48AE4FC8"/>
    <w:rsid w:val="48CB3DCC"/>
    <w:rsid w:val="48CD6E00"/>
    <w:rsid w:val="48D03190"/>
    <w:rsid w:val="48D42CC1"/>
    <w:rsid w:val="48F75C9D"/>
    <w:rsid w:val="48FD384B"/>
    <w:rsid w:val="491E1EB4"/>
    <w:rsid w:val="492B486B"/>
    <w:rsid w:val="492E435B"/>
    <w:rsid w:val="49310822"/>
    <w:rsid w:val="493D634C"/>
    <w:rsid w:val="49551CDB"/>
    <w:rsid w:val="49753D38"/>
    <w:rsid w:val="49861AA1"/>
    <w:rsid w:val="49BE7DC6"/>
    <w:rsid w:val="49C820BA"/>
    <w:rsid w:val="49D61A36"/>
    <w:rsid w:val="49EC3FFA"/>
    <w:rsid w:val="49F70BF1"/>
    <w:rsid w:val="4A084BAC"/>
    <w:rsid w:val="4A0C644A"/>
    <w:rsid w:val="4A2319E6"/>
    <w:rsid w:val="4A3414FD"/>
    <w:rsid w:val="4A4060F4"/>
    <w:rsid w:val="4A4A6F73"/>
    <w:rsid w:val="4A606796"/>
    <w:rsid w:val="4A6A3171"/>
    <w:rsid w:val="4A6E33F7"/>
    <w:rsid w:val="4A743FEF"/>
    <w:rsid w:val="4A8204BA"/>
    <w:rsid w:val="4A946440"/>
    <w:rsid w:val="4AA76173"/>
    <w:rsid w:val="4AA85A47"/>
    <w:rsid w:val="4AAC19DB"/>
    <w:rsid w:val="4ACA3C0F"/>
    <w:rsid w:val="4AD11442"/>
    <w:rsid w:val="4AD30D16"/>
    <w:rsid w:val="4B1732F9"/>
    <w:rsid w:val="4B182BCD"/>
    <w:rsid w:val="4B1B26BD"/>
    <w:rsid w:val="4B412124"/>
    <w:rsid w:val="4B43686F"/>
    <w:rsid w:val="4B4F76A7"/>
    <w:rsid w:val="4B65373A"/>
    <w:rsid w:val="4B6B53F2"/>
    <w:rsid w:val="4B7668BA"/>
    <w:rsid w:val="4B775B45"/>
    <w:rsid w:val="4B9C37FE"/>
    <w:rsid w:val="4BB723E6"/>
    <w:rsid w:val="4BBD5522"/>
    <w:rsid w:val="4BC04353"/>
    <w:rsid w:val="4BC863A1"/>
    <w:rsid w:val="4BCF3BD3"/>
    <w:rsid w:val="4BDB78EF"/>
    <w:rsid w:val="4C033F52"/>
    <w:rsid w:val="4C101AF6"/>
    <w:rsid w:val="4C4F3FC2"/>
    <w:rsid w:val="4C5C5856"/>
    <w:rsid w:val="4C602A7D"/>
    <w:rsid w:val="4C60482B"/>
    <w:rsid w:val="4C612351"/>
    <w:rsid w:val="4C7E73A7"/>
    <w:rsid w:val="4C7F348C"/>
    <w:rsid w:val="4C87625C"/>
    <w:rsid w:val="4C8A2FFB"/>
    <w:rsid w:val="4CB132D9"/>
    <w:rsid w:val="4CBF4276"/>
    <w:rsid w:val="4CBF59F6"/>
    <w:rsid w:val="4CCE3E8B"/>
    <w:rsid w:val="4CDE39A2"/>
    <w:rsid w:val="4CEE62DB"/>
    <w:rsid w:val="4D00163A"/>
    <w:rsid w:val="4D183358"/>
    <w:rsid w:val="4D203FBB"/>
    <w:rsid w:val="4D6B3488"/>
    <w:rsid w:val="4D6C5694"/>
    <w:rsid w:val="4D8D78A2"/>
    <w:rsid w:val="4D9724CF"/>
    <w:rsid w:val="4DA8648A"/>
    <w:rsid w:val="4DB90697"/>
    <w:rsid w:val="4DCE1C69"/>
    <w:rsid w:val="4DD80ABA"/>
    <w:rsid w:val="4DDE00FE"/>
    <w:rsid w:val="4DDF79D2"/>
    <w:rsid w:val="4E035DB6"/>
    <w:rsid w:val="4E067654"/>
    <w:rsid w:val="4E121B55"/>
    <w:rsid w:val="4E1C4782"/>
    <w:rsid w:val="4E1F4272"/>
    <w:rsid w:val="4E201A58"/>
    <w:rsid w:val="4E21623C"/>
    <w:rsid w:val="4E2377EB"/>
    <w:rsid w:val="4E3F66C2"/>
    <w:rsid w:val="4E4C150B"/>
    <w:rsid w:val="4E4D2ADE"/>
    <w:rsid w:val="4E5B79A0"/>
    <w:rsid w:val="4E676345"/>
    <w:rsid w:val="4E6D3230"/>
    <w:rsid w:val="4E74636C"/>
    <w:rsid w:val="4E850579"/>
    <w:rsid w:val="4E8F13F8"/>
    <w:rsid w:val="4E95707A"/>
    <w:rsid w:val="4E960E86"/>
    <w:rsid w:val="4E9D1D67"/>
    <w:rsid w:val="4E9E163B"/>
    <w:rsid w:val="4EAB722A"/>
    <w:rsid w:val="4EC2357B"/>
    <w:rsid w:val="4EC45545"/>
    <w:rsid w:val="4ECC61A8"/>
    <w:rsid w:val="4ECF3EEA"/>
    <w:rsid w:val="4ED43D8A"/>
    <w:rsid w:val="4ED96B17"/>
    <w:rsid w:val="4EE03A01"/>
    <w:rsid w:val="4EF61477"/>
    <w:rsid w:val="4F027E1C"/>
    <w:rsid w:val="4F075432"/>
    <w:rsid w:val="4F0F5BE3"/>
    <w:rsid w:val="4F12421F"/>
    <w:rsid w:val="4F196F13"/>
    <w:rsid w:val="4F231B40"/>
    <w:rsid w:val="4F3325B6"/>
    <w:rsid w:val="4F3A75B6"/>
    <w:rsid w:val="4F493C9D"/>
    <w:rsid w:val="4F4C1097"/>
    <w:rsid w:val="4F4E3061"/>
    <w:rsid w:val="4F532425"/>
    <w:rsid w:val="4F5F0DCA"/>
    <w:rsid w:val="4F710AFD"/>
    <w:rsid w:val="4F860A4D"/>
    <w:rsid w:val="4F8922EB"/>
    <w:rsid w:val="4F936CC6"/>
    <w:rsid w:val="4FA72771"/>
    <w:rsid w:val="4FAE3B00"/>
    <w:rsid w:val="4FB214FE"/>
    <w:rsid w:val="4FC27D66"/>
    <w:rsid w:val="4FC60E49"/>
    <w:rsid w:val="4FD25E02"/>
    <w:rsid w:val="50055358"/>
    <w:rsid w:val="501F4569"/>
    <w:rsid w:val="50320027"/>
    <w:rsid w:val="506F328F"/>
    <w:rsid w:val="506F7733"/>
    <w:rsid w:val="50770396"/>
    <w:rsid w:val="508A1E77"/>
    <w:rsid w:val="5095081C"/>
    <w:rsid w:val="50A05B3E"/>
    <w:rsid w:val="50D2381E"/>
    <w:rsid w:val="50DD469C"/>
    <w:rsid w:val="50E152D5"/>
    <w:rsid w:val="50E21CB3"/>
    <w:rsid w:val="5100038B"/>
    <w:rsid w:val="51002139"/>
    <w:rsid w:val="511107EA"/>
    <w:rsid w:val="513F5914"/>
    <w:rsid w:val="514E10F6"/>
    <w:rsid w:val="514E7348"/>
    <w:rsid w:val="51532A7B"/>
    <w:rsid w:val="518A5EA7"/>
    <w:rsid w:val="518C1C1F"/>
    <w:rsid w:val="51984A67"/>
    <w:rsid w:val="51B01DB1"/>
    <w:rsid w:val="51C4760A"/>
    <w:rsid w:val="51C770FB"/>
    <w:rsid w:val="51CE0489"/>
    <w:rsid w:val="520E792B"/>
    <w:rsid w:val="521C46C2"/>
    <w:rsid w:val="522340F0"/>
    <w:rsid w:val="523D116B"/>
    <w:rsid w:val="52422029"/>
    <w:rsid w:val="52592449"/>
    <w:rsid w:val="52630BD1"/>
    <w:rsid w:val="52666914"/>
    <w:rsid w:val="5273385E"/>
    <w:rsid w:val="527E3C5D"/>
    <w:rsid w:val="528C45CC"/>
    <w:rsid w:val="52B3150C"/>
    <w:rsid w:val="52B92EE7"/>
    <w:rsid w:val="52EF46BE"/>
    <w:rsid w:val="530C1269"/>
    <w:rsid w:val="531719BC"/>
    <w:rsid w:val="532145E9"/>
    <w:rsid w:val="53277E51"/>
    <w:rsid w:val="5334431C"/>
    <w:rsid w:val="533D58C6"/>
    <w:rsid w:val="533E33EC"/>
    <w:rsid w:val="533F47B1"/>
    <w:rsid w:val="53472121"/>
    <w:rsid w:val="535B5D4C"/>
    <w:rsid w:val="536C1D08"/>
    <w:rsid w:val="537312E8"/>
    <w:rsid w:val="5373753A"/>
    <w:rsid w:val="53786DFC"/>
    <w:rsid w:val="53876B42"/>
    <w:rsid w:val="5391176E"/>
    <w:rsid w:val="53B13BBE"/>
    <w:rsid w:val="53B65679"/>
    <w:rsid w:val="53B813F1"/>
    <w:rsid w:val="53E21FCA"/>
    <w:rsid w:val="53E47AF0"/>
    <w:rsid w:val="53EC109A"/>
    <w:rsid w:val="53F1220D"/>
    <w:rsid w:val="53F65A75"/>
    <w:rsid w:val="541F321E"/>
    <w:rsid w:val="542362A5"/>
    <w:rsid w:val="54273E81"/>
    <w:rsid w:val="545253A1"/>
    <w:rsid w:val="5463310B"/>
    <w:rsid w:val="54694499"/>
    <w:rsid w:val="546D21DB"/>
    <w:rsid w:val="54752E3E"/>
    <w:rsid w:val="54880DC3"/>
    <w:rsid w:val="549A5EE9"/>
    <w:rsid w:val="54A11E85"/>
    <w:rsid w:val="54B0031A"/>
    <w:rsid w:val="54E63D3C"/>
    <w:rsid w:val="54FA3343"/>
    <w:rsid w:val="55040901"/>
    <w:rsid w:val="5512068D"/>
    <w:rsid w:val="554115DE"/>
    <w:rsid w:val="5560764A"/>
    <w:rsid w:val="55713605"/>
    <w:rsid w:val="55855303"/>
    <w:rsid w:val="55886BA1"/>
    <w:rsid w:val="55A0038E"/>
    <w:rsid w:val="55AD03B6"/>
    <w:rsid w:val="55AF05D2"/>
    <w:rsid w:val="55B55BE8"/>
    <w:rsid w:val="55D122F6"/>
    <w:rsid w:val="55D65B5E"/>
    <w:rsid w:val="55DA38A0"/>
    <w:rsid w:val="55E464CD"/>
    <w:rsid w:val="560C4938"/>
    <w:rsid w:val="561072C2"/>
    <w:rsid w:val="561B7A15"/>
    <w:rsid w:val="56244B1C"/>
    <w:rsid w:val="56270168"/>
    <w:rsid w:val="56290384"/>
    <w:rsid w:val="5630526E"/>
    <w:rsid w:val="56327239"/>
    <w:rsid w:val="564B20A8"/>
    <w:rsid w:val="567A298E"/>
    <w:rsid w:val="567F7FA4"/>
    <w:rsid w:val="56903F5F"/>
    <w:rsid w:val="569357FD"/>
    <w:rsid w:val="56A77ED4"/>
    <w:rsid w:val="56BA5480"/>
    <w:rsid w:val="56CD6F61"/>
    <w:rsid w:val="56DF05DE"/>
    <w:rsid w:val="56E66275"/>
    <w:rsid w:val="570566FB"/>
    <w:rsid w:val="57340FAF"/>
    <w:rsid w:val="57387FCA"/>
    <w:rsid w:val="57572CCF"/>
    <w:rsid w:val="57596A47"/>
    <w:rsid w:val="575E5E0B"/>
    <w:rsid w:val="576C0528"/>
    <w:rsid w:val="578F06BB"/>
    <w:rsid w:val="5790570A"/>
    <w:rsid w:val="57B04FE9"/>
    <w:rsid w:val="57D460CD"/>
    <w:rsid w:val="57D52571"/>
    <w:rsid w:val="57E26A3C"/>
    <w:rsid w:val="57FC6189"/>
    <w:rsid w:val="57FD3876"/>
    <w:rsid w:val="580746F5"/>
    <w:rsid w:val="5853793A"/>
    <w:rsid w:val="585A4825"/>
    <w:rsid w:val="585C4CB9"/>
    <w:rsid w:val="587358E6"/>
    <w:rsid w:val="587C0C3F"/>
    <w:rsid w:val="587D49B7"/>
    <w:rsid w:val="587D6765"/>
    <w:rsid w:val="58845D45"/>
    <w:rsid w:val="58953AAF"/>
    <w:rsid w:val="58975A79"/>
    <w:rsid w:val="58B34C17"/>
    <w:rsid w:val="58B55EFF"/>
    <w:rsid w:val="58BF0B2C"/>
    <w:rsid w:val="58CF5213"/>
    <w:rsid w:val="58D740C7"/>
    <w:rsid w:val="58DF4D2A"/>
    <w:rsid w:val="58FB73D6"/>
    <w:rsid w:val="5900361E"/>
    <w:rsid w:val="59030A18"/>
    <w:rsid w:val="59073C90"/>
    <w:rsid w:val="592117E6"/>
    <w:rsid w:val="592A2449"/>
    <w:rsid w:val="593037D7"/>
    <w:rsid w:val="5934041B"/>
    <w:rsid w:val="596811C3"/>
    <w:rsid w:val="598D0C2A"/>
    <w:rsid w:val="598F1658"/>
    <w:rsid w:val="59995821"/>
    <w:rsid w:val="59B44408"/>
    <w:rsid w:val="59CA59DA"/>
    <w:rsid w:val="59D95C1D"/>
    <w:rsid w:val="59D979CB"/>
    <w:rsid w:val="59E24AD2"/>
    <w:rsid w:val="59E720E8"/>
    <w:rsid w:val="59F8589C"/>
    <w:rsid w:val="5A2055FA"/>
    <w:rsid w:val="5A292701"/>
    <w:rsid w:val="5A380B96"/>
    <w:rsid w:val="5A382944"/>
    <w:rsid w:val="5A3D43FE"/>
    <w:rsid w:val="5A533C21"/>
    <w:rsid w:val="5A5F4374"/>
    <w:rsid w:val="5A601E9A"/>
    <w:rsid w:val="5A6B0F6B"/>
    <w:rsid w:val="5A6E45B7"/>
    <w:rsid w:val="5A8550FA"/>
    <w:rsid w:val="5A8B6F17"/>
    <w:rsid w:val="5A9A1850"/>
    <w:rsid w:val="5AA81FF6"/>
    <w:rsid w:val="5AD52888"/>
    <w:rsid w:val="5AE40D1D"/>
    <w:rsid w:val="5AEB2B2A"/>
    <w:rsid w:val="5AF0599B"/>
    <w:rsid w:val="5AF2343A"/>
    <w:rsid w:val="5B136F0D"/>
    <w:rsid w:val="5B1F3B03"/>
    <w:rsid w:val="5B264E92"/>
    <w:rsid w:val="5B295620"/>
    <w:rsid w:val="5B370E4D"/>
    <w:rsid w:val="5B4A6DD2"/>
    <w:rsid w:val="5B4D0671"/>
    <w:rsid w:val="5B5E07F4"/>
    <w:rsid w:val="5B61411C"/>
    <w:rsid w:val="5B661732"/>
    <w:rsid w:val="5B726F99"/>
    <w:rsid w:val="5B7B3430"/>
    <w:rsid w:val="5B9261ED"/>
    <w:rsid w:val="5B9D6A58"/>
    <w:rsid w:val="5BAC183B"/>
    <w:rsid w:val="5BBE5A8E"/>
    <w:rsid w:val="5BC30933"/>
    <w:rsid w:val="5BD3501A"/>
    <w:rsid w:val="5BD57CB7"/>
    <w:rsid w:val="5BDB5C7C"/>
    <w:rsid w:val="5BF00094"/>
    <w:rsid w:val="5C061CDF"/>
    <w:rsid w:val="5C164F06"/>
    <w:rsid w:val="5C2515ED"/>
    <w:rsid w:val="5C277114"/>
    <w:rsid w:val="5C384E7D"/>
    <w:rsid w:val="5C3D6937"/>
    <w:rsid w:val="5C5872CD"/>
    <w:rsid w:val="5C6A0DAE"/>
    <w:rsid w:val="5C725B62"/>
    <w:rsid w:val="5C7559A0"/>
    <w:rsid w:val="5C8356CE"/>
    <w:rsid w:val="5C9F314E"/>
    <w:rsid w:val="5CB12E81"/>
    <w:rsid w:val="5CB5471F"/>
    <w:rsid w:val="5CBA7F88"/>
    <w:rsid w:val="5CC757CC"/>
    <w:rsid w:val="5CD10E2D"/>
    <w:rsid w:val="5CF0029A"/>
    <w:rsid w:val="5D041203"/>
    <w:rsid w:val="5D207CD9"/>
    <w:rsid w:val="5D301FF8"/>
    <w:rsid w:val="5D5F468B"/>
    <w:rsid w:val="5D704AEA"/>
    <w:rsid w:val="5D730D16"/>
    <w:rsid w:val="5D755C5D"/>
    <w:rsid w:val="5D7A3273"/>
    <w:rsid w:val="5D8440F2"/>
    <w:rsid w:val="5D902A97"/>
    <w:rsid w:val="5D9B1B67"/>
    <w:rsid w:val="5DA36C6E"/>
    <w:rsid w:val="5DA402F0"/>
    <w:rsid w:val="5DCD5A99"/>
    <w:rsid w:val="5DE05293"/>
    <w:rsid w:val="5DED1C97"/>
    <w:rsid w:val="5E082F75"/>
    <w:rsid w:val="5E27164D"/>
    <w:rsid w:val="5E280F21"/>
    <w:rsid w:val="5E343D6A"/>
    <w:rsid w:val="5E4C10B3"/>
    <w:rsid w:val="5E785A05"/>
    <w:rsid w:val="5E7D301B"/>
    <w:rsid w:val="5E8720EC"/>
    <w:rsid w:val="5E9F01D7"/>
    <w:rsid w:val="5EBF1885"/>
    <w:rsid w:val="5ED2780B"/>
    <w:rsid w:val="5EDF5A84"/>
    <w:rsid w:val="5EF13A09"/>
    <w:rsid w:val="5F073306"/>
    <w:rsid w:val="5F096FA4"/>
    <w:rsid w:val="5F100333"/>
    <w:rsid w:val="5F265461"/>
    <w:rsid w:val="5F27114E"/>
    <w:rsid w:val="5F296CFF"/>
    <w:rsid w:val="5F41229A"/>
    <w:rsid w:val="5F585836"/>
    <w:rsid w:val="5F5D2E4C"/>
    <w:rsid w:val="5F5F73B9"/>
    <w:rsid w:val="5F6047B3"/>
    <w:rsid w:val="5F8959EF"/>
    <w:rsid w:val="5F8B1768"/>
    <w:rsid w:val="5FA8056B"/>
    <w:rsid w:val="5FB05672"/>
    <w:rsid w:val="5FB23198"/>
    <w:rsid w:val="5FC15E5A"/>
    <w:rsid w:val="5FC94327"/>
    <w:rsid w:val="5FCC24AC"/>
    <w:rsid w:val="5FED41D0"/>
    <w:rsid w:val="60251BBC"/>
    <w:rsid w:val="602A0F80"/>
    <w:rsid w:val="602A2D2E"/>
    <w:rsid w:val="60327E35"/>
    <w:rsid w:val="60551956"/>
    <w:rsid w:val="60602BF4"/>
    <w:rsid w:val="60624BBE"/>
    <w:rsid w:val="606A00FF"/>
    <w:rsid w:val="606A59D9"/>
    <w:rsid w:val="608B31A3"/>
    <w:rsid w:val="609B1E7E"/>
    <w:rsid w:val="60B13450"/>
    <w:rsid w:val="60B430B8"/>
    <w:rsid w:val="60D809DC"/>
    <w:rsid w:val="60E802AD"/>
    <w:rsid w:val="60F4333C"/>
    <w:rsid w:val="60F8107F"/>
    <w:rsid w:val="610619ED"/>
    <w:rsid w:val="610726FE"/>
    <w:rsid w:val="61241E74"/>
    <w:rsid w:val="612B4FB0"/>
    <w:rsid w:val="612E2CF2"/>
    <w:rsid w:val="612E4AA0"/>
    <w:rsid w:val="614C4F26"/>
    <w:rsid w:val="61502C69"/>
    <w:rsid w:val="6166248C"/>
    <w:rsid w:val="61730705"/>
    <w:rsid w:val="619736AB"/>
    <w:rsid w:val="619758A9"/>
    <w:rsid w:val="61A92379"/>
    <w:rsid w:val="61AB4343"/>
    <w:rsid w:val="61B74A96"/>
    <w:rsid w:val="61BC46E9"/>
    <w:rsid w:val="61CB22EF"/>
    <w:rsid w:val="61D92239"/>
    <w:rsid w:val="61F71146"/>
    <w:rsid w:val="61F86BC7"/>
    <w:rsid w:val="62045801"/>
    <w:rsid w:val="62065A1D"/>
    <w:rsid w:val="6208709F"/>
    <w:rsid w:val="620C3034"/>
    <w:rsid w:val="620D46B6"/>
    <w:rsid w:val="62143C96"/>
    <w:rsid w:val="621C2B4B"/>
    <w:rsid w:val="622D6B06"/>
    <w:rsid w:val="622F7EFB"/>
    <w:rsid w:val="62361E5F"/>
    <w:rsid w:val="624A3B5C"/>
    <w:rsid w:val="62713A30"/>
    <w:rsid w:val="627E3805"/>
    <w:rsid w:val="62A72D5C"/>
    <w:rsid w:val="62BD4E12"/>
    <w:rsid w:val="62C21944"/>
    <w:rsid w:val="62C3746A"/>
    <w:rsid w:val="62C93AA5"/>
    <w:rsid w:val="62D376AD"/>
    <w:rsid w:val="62D3782F"/>
    <w:rsid w:val="62E713AB"/>
    <w:rsid w:val="62ED5559"/>
    <w:rsid w:val="62F45876"/>
    <w:rsid w:val="62FB6C04"/>
    <w:rsid w:val="62FF4946"/>
    <w:rsid w:val="63185A08"/>
    <w:rsid w:val="6320666B"/>
    <w:rsid w:val="632223E3"/>
    <w:rsid w:val="632B573B"/>
    <w:rsid w:val="633B16F7"/>
    <w:rsid w:val="63416D0D"/>
    <w:rsid w:val="63575F86"/>
    <w:rsid w:val="635F7193"/>
    <w:rsid w:val="636E605C"/>
    <w:rsid w:val="637532C0"/>
    <w:rsid w:val="638E1826"/>
    <w:rsid w:val="638E7A78"/>
    <w:rsid w:val="639C03E7"/>
    <w:rsid w:val="639F1C85"/>
    <w:rsid w:val="63AC7EFE"/>
    <w:rsid w:val="63C96D1D"/>
    <w:rsid w:val="63CE6779"/>
    <w:rsid w:val="63D86F45"/>
    <w:rsid w:val="63DD630A"/>
    <w:rsid w:val="64033FC2"/>
    <w:rsid w:val="64055F8C"/>
    <w:rsid w:val="640B2E77"/>
    <w:rsid w:val="64195594"/>
    <w:rsid w:val="64300B2F"/>
    <w:rsid w:val="64356146"/>
    <w:rsid w:val="643B19AE"/>
    <w:rsid w:val="644665A5"/>
    <w:rsid w:val="64477904"/>
    <w:rsid w:val="644F0FB6"/>
    <w:rsid w:val="64520AA6"/>
    <w:rsid w:val="64596D04"/>
    <w:rsid w:val="645A64FF"/>
    <w:rsid w:val="646627A3"/>
    <w:rsid w:val="646A4041"/>
    <w:rsid w:val="64803865"/>
    <w:rsid w:val="64872E45"/>
    <w:rsid w:val="648F5856"/>
    <w:rsid w:val="64990483"/>
    <w:rsid w:val="649C7F73"/>
    <w:rsid w:val="64BC23C3"/>
    <w:rsid w:val="64C73242"/>
    <w:rsid w:val="65046244"/>
    <w:rsid w:val="65085608"/>
    <w:rsid w:val="65130235"/>
    <w:rsid w:val="6526661E"/>
    <w:rsid w:val="653D760D"/>
    <w:rsid w:val="654523B9"/>
    <w:rsid w:val="655062D6"/>
    <w:rsid w:val="656211BC"/>
    <w:rsid w:val="657809E0"/>
    <w:rsid w:val="65BA2DA7"/>
    <w:rsid w:val="65BD2897"/>
    <w:rsid w:val="65C94D98"/>
    <w:rsid w:val="65CE1B16"/>
    <w:rsid w:val="65F07C88"/>
    <w:rsid w:val="660758C0"/>
    <w:rsid w:val="66140709"/>
    <w:rsid w:val="661C61A8"/>
    <w:rsid w:val="662D5327"/>
    <w:rsid w:val="665E3732"/>
    <w:rsid w:val="66974E96"/>
    <w:rsid w:val="66A7157D"/>
    <w:rsid w:val="66DE2AC5"/>
    <w:rsid w:val="66EA1469"/>
    <w:rsid w:val="66EE5755"/>
    <w:rsid w:val="66FC2F4B"/>
    <w:rsid w:val="671B7875"/>
    <w:rsid w:val="672D1356"/>
    <w:rsid w:val="67423054"/>
    <w:rsid w:val="67580AC9"/>
    <w:rsid w:val="67695C49"/>
    <w:rsid w:val="67917B37"/>
    <w:rsid w:val="67A45EAE"/>
    <w:rsid w:val="67A4622C"/>
    <w:rsid w:val="67A535E2"/>
    <w:rsid w:val="67AE693B"/>
    <w:rsid w:val="67BA708E"/>
    <w:rsid w:val="67D6379C"/>
    <w:rsid w:val="67E73BFB"/>
    <w:rsid w:val="680B78E9"/>
    <w:rsid w:val="681744E0"/>
    <w:rsid w:val="681D13CB"/>
    <w:rsid w:val="6838144E"/>
    <w:rsid w:val="684F481F"/>
    <w:rsid w:val="6854109A"/>
    <w:rsid w:val="686314D3"/>
    <w:rsid w:val="6870599E"/>
    <w:rsid w:val="688558EE"/>
    <w:rsid w:val="689B5B56"/>
    <w:rsid w:val="68AA7398"/>
    <w:rsid w:val="68B4049D"/>
    <w:rsid w:val="68C83A2C"/>
    <w:rsid w:val="68D67EF7"/>
    <w:rsid w:val="68DC28D0"/>
    <w:rsid w:val="68F4037D"/>
    <w:rsid w:val="68FB170C"/>
    <w:rsid w:val="69006D22"/>
    <w:rsid w:val="69020CEC"/>
    <w:rsid w:val="69293B0C"/>
    <w:rsid w:val="693D7F76"/>
    <w:rsid w:val="694035C3"/>
    <w:rsid w:val="694A16A0"/>
    <w:rsid w:val="694A61EF"/>
    <w:rsid w:val="69670B4F"/>
    <w:rsid w:val="69717C20"/>
    <w:rsid w:val="6974326C"/>
    <w:rsid w:val="698200F7"/>
    <w:rsid w:val="6985191D"/>
    <w:rsid w:val="698A0CE2"/>
    <w:rsid w:val="69A73642"/>
    <w:rsid w:val="69D34437"/>
    <w:rsid w:val="69DD7064"/>
    <w:rsid w:val="69ED6F02"/>
    <w:rsid w:val="69EF02B7"/>
    <w:rsid w:val="6A0C7949"/>
    <w:rsid w:val="6A1A02B8"/>
    <w:rsid w:val="6A425119"/>
    <w:rsid w:val="6A4946F9"/>
    <w:rsid w:val="6A8B4890"/>
    <w:rsid w:val="6A8B6AC0"/>
    <w:rsid w:val="6A9C6F1F"/>
    <w:rsid w:val="6AC87D14"/>
    <w:rsid w:val="6AD4163C"/>
    <w:rsid w:val="6AEA0D00"/>
    <w:rsid w:val="6B1A47F0"/>
    <w:rsid w:val="6B1C3BBC"/>
    <w:rsid w:val="6B256F14"/>
    <w:rsid w:val="6B3042FF"/>
    <w:rsid w:val="6B625A72"/>
    <w:rsid w:val="6B6317EA"/>
    <w:rsid w:val="6B6B288D"/>
    <w:rsid w:val="6B7D526B"/>
    <w:rsid w:val="6B8E7776"/>
    <w:rsid w:val="6B99520C"/>
    <w:rsid w:val="6BA0173F"/>
    <w:rsid w:val="6BA918F3"/>
    <w:rsid w:val="6BBB33D4"/>
    <w:rsid w:val="6BCC7390"/>
    <w:rsid w:val="6BE02E3B"/>
    <w:rsid w:val="6BE24E05"/>
    <w:rsid w:val="6BF15048"/>
    <w:rsid w:val="6BF27EC6"/>
    <w:rsid w:val="6BFD1C3F"/>
    <w:rsid w:val="6C0578D5"/>
    <w:rsid w:val="6C0B435C"/>
    <w:rsid w:val="6C0E5BFA"/>
    <w:rsid w:val="6C1F3963"/>
    <w:rsid w:val="6C276CBC"/>
    <w:rsid w:val="6C303DC2"/>
    <w:rsid w:val="6C315445"/>
    <w:rsid w:val="6C4038DA"/>
    <w:rsid w:val="6C53185F"/>
    <w:rsid w:val="6C5A7A8C"/>
    <w:rsid w:val="6C77456B"/>
    <w:rsid w:val="6C9F6852"/>
    <w:rsid w:val="6CA572BA"/>
    <w:rsid w:val="6CC30793"/>
    <w:rsid w:val="6CC61B80"/>
    <w:rsid w:val="6CC85251"/>
    <w:rsid w:val="6CE1330F"/>
    <w:rsid w:val="6CF21078"/>
    <w:rsid w:val="6D036DE1"/>
    <w:rsid w:val="6D0E5786"/>
    <w:rsid w:val="6D152ED1"/>
    <w:rsid w:val="6D3B36F5"/>
    <w:rsid w:val="6D4F64CA"/>
    <w:rsid w:val="6D5533B5"/>
    <w:rsid w:val="6D5E495F"/>
    <w:rsid w:val="6D6535F8"/>
    <w:rsid w:val="6D6830E8"/>
    <w:rsid w:val="6D8819DC"/>
    <w:rsid w:val="6D9E4D5C"/>
    <w:rsid w:val="6DA32372"/>
    <w:rsid w:val="6DA51372"/>
    <w:rsid w:val="6DA73C10"/>
    <w:rsid w:val="6DAC56CB"/>
    <w:rsid w:val="6DC618A6"/>
    <w:rsid w:val="6DC9627D"/>
    <w:rsid w:val="6DE73EA1"/>
    <w:rsid w:val="6E0A3294"/>
    <w:rsid w:val="6E0F771C"/>
    <w:rsid w:val="6E14501E"/>
    <w:rsid w:val="6E301E58"/>
    <w:rsid w:val="6E361438"/>
    <w:rsid w:val="6E386F5E"/>
    <w:rsid w:val="6E671E2C"/>
    <w:rsid w:val="6E697118"/>
    <w:rsid w:val="6E8B3532"/>
    <w:rsid w:val="6E8E29A1"/>
    <w:rsid w:val="6EA1250E"/>
    <w:rsid w:val="6ED529FF"/>
    <w:rsid w:val="6EDB52E8"/>
    <w:rsid w:val="6EEF1D13"/>
    <w:rsid w:val="6F17502C"/>
    <w:rsid w:val="6F40683E"/>
    <w:rsid w:val="6F4A0956"/>
    <w:rsid w:val="6F5222A2"/>
    <w:rsid w:val="6F5B73A8"/>
    <w:rsid w:val="6F616041"/>
    <w:rsid w:val="6F6D49E6"/>
    <w:rsid w:val="6F9540A0"/>
    <w:rsid w:val="6FA80114"/>
    <w:rsid w:val="6FB22D40"/>
    <w:rsid w:val="6FCB6AF9"/>
    <w:rsid w:val="6FD9000D"/>
    <w:rsid w:val="6FE62BA6"/>
    <w:rsid w:val="6FED0D7C"/>
    <w:rsid w:val="6FF15617"/>
    <w:rsid w:val="6FF17B65"/>
    <w:rsid w:val="6FF43359"/>
    <w:rsid w:val="70115CB9"/>
    <w:rsid w:val="701B08E6"/>
    <w:rsid w:val="703B0F88"/>
    <w:rsid w:val="705604C3"/>
    <w:rsid w:val="7056191E"/>
    <w:rsid w:val="70AE6124"/>
    <w:rsid w:val="70CB2A08"/>
    <w:rsid w:val="70F353BF"/>
    <w:rsid w:val="7111358D"/>
    <w:rsid w:val="7112100E"/>
    <w:rsid w:val="71167A14"/>
    <w:rsid w:val="711C0290"/>
    <w:rsid w:val="7128150C"/>
    <w:rsid w:val="71291E2C"/>
    <w:rsid w:val="712F49A0"/>
    <w:rsid w:val="71493231"/>
    <w:rsid w:val="715F2A54"/>
    <w:rsid w:val="71687C83"/>
    <w:rsid w:val="716D6F1F"/>
    <w:rsid w:val="716F0EE9"/>
    <w:rsid w:val="71926986"/>
    <w:rsid w:val="71B2527A"/>
    <w:rsid w:val="71B47B68"/>
    <w:rsid w:val="71B544D8"/>
    <w:rsid w:val="71E76CD1"/>
    <w:rsid w:val="71F260FE"/>
    <w:rsid w:val="71F81A43"/>
    <w:rsid w:val="71FB09CF"/>
    <w:rsid w:val="720B2203"/>
    <w:rsid w:val="720F6228"/>
    <w:rsid w:val="72281098"/>
    <w:rsid w:val="723839D1"/>
    <w:rsid w:val="723D2D95"/>
    <w:rsid w:val="724760D2"/>
    <w:rsid w:val="724C122A"/>
    <w:rsid w:val="72536115"/>
    <w:rsid w:val="72617A36"/>
    <w:rsid w:val="726A16B0"/>
    <w:rsid w:val="72800ED4"/>
    <w:rsid w:val="72842772"/>
    <w:rsid w:val="728E35F1"/>
    <w:rsid w:val="729C2D68"/>
    <w:rsid w:val="729F57FE"/>
    <w:rsid w:val="72A72905"/>
    <w:rsid w:val="72B55021"/>
    <w:rsid w:val="72D67313"/>
    <w:rsid w:val="72EB0A43"/>
    <w:rsid w:val="72FF44EF"/>
    <w:rsid w:val="730613D9"/>
    <w:rsid w:val="731F693F"/>
    <w:rsid w:val="73261A7B"/>
    <w:rsid w:val="732B0E40"/>
    <w:rsid w:val="733817AF"/>
    <w:rsid w:val="73395F5A"/>
    <w:rsid w:val="73536A3B"/>
    <w:rsid w:val="735935F3"/>
    <w:rsid w:val="736675BE"/>
    <w:rsid w:val="737C78ED"/>
    <w:rsid w:val="73A016D5"/>
    <w:rsid w:val="73A07DC5"/>
    <w:rsid w:val="73A6496A"/>
    <w:rsid w:val="73AD7AA7"/>
    <w:rsid w:val="73B928EF"/>
    <w:rsid w:val="73C7661F"/>
    <w:rsid w:val="73D239B1"/>
    <w:rsid w:val="73E7745D"/>
    <w:rsid w:val="74147B26"/>
    <w:rsid w:val="741B5358"/>
    <w:rsid w:val="742C597A"/>
    <w:rsid w:val="743E1047"/>
    <w:rsid w:val="745D14CD"/>
    <w:rsid w:val="745F1A7B"/>
    <w:rsid w:val="746C0E4C"/>
    <w:rsid w:val="746F6492"/>
    <w:rsid w:val="747B1953"/>
    <w:rsid w:val="747B32BE"/>
    <w:rsid w:val="7481774B"/>
    <w:rsid w:val="74827185"/>
    <w:rsid w:val="74853EF3"/>
    <w:rsid w:val="749173C8"/>
    <w:rsid w:val="74B86703"/>
    <w:rsid w:val="74D65E5E"/>
    <w:rsid w:val="74EA366E"/>
    <w:rsid w:val="74ED1456"/>
    <w:rsid w:val="74FA4F6E"/>
    <w:rsid w:val="74FF07D6"/>
    <w:rsid w:val="74FF6B82"/>
    <w:rsid w:val="750951B1"/>
    <w:rsid w:val="75157FF9"/>
    <w:rsid w:val="75260EE2"/>
    <w:rsid w:val="752E2E69"/>
    <w:rsid w:val="753164B5"/>
    <w:rsid w:val="754B3A1B"/>
    <w:rsid w:val="754E7ED5"/>
    <w:rsid w:val="754F71E0"/>
    <w:rsid w:val="755F1275"/>
    <w:rsid w:val="755F74C6"/>
    <w:rsid w:val="75703482"/>
    <w:rsid w:val="75736ACE"/>
    <w:rsid w:val="75930F1E"/>
    <w:rsid w:val="75A562CE"/>
    <w:rsid w:val="75C17839"/>
    <w:rsid w:val="75C735CB"/>
    <w:rsid w:val="75D02172"/>
    <w:rsid w:val="75D91F21"/>
    <w:rsid w:val="75E8126A"/>
    <w:rsid w:val="75F27075"/>
    <w:rsid w:val="75F77B9F"/>
    <w:rsid w:val="761262E7"/>
    <w:rsid w:val="762027B2"/>
    <w:rsid w:val="762878B8"/>
    <w:rsid w:val="764B35A7"/>
    <w:rsid w:val="76636B42"/>
    <w:rsid w:val="766C3C49"/>
    <w:rsid w:val="76880357"/>
    <w:rsid w:val="768F16E6"/>
    <w:rsid w:val="76A95A38"/>
    <w:rsid w:val="76AA4771"/>
    <w:rsid w:val="76C70E7F"/>
    <w:rsid w:val="76F1414E"/>
    <w:rsid w:val="770E2F52"/>
    <w:rsid w:val="771D4F43"/>
    <w:rsid w:val="772D37F2"/>
    <w:rsid w:val="773D3837"/>
    <w:rsid w:val="77440722"/>
    <w:rsid w:val="77536BB7"/>
    <w:rsid w:val="776112D4"/>
    <w:rsid w:val="777F348A"/>
    <w:rsid w:val="77892370"/>
    <w:rsid w:val="77A92C7B"/>
    <w:rsid w:val="77AD276B"/>
    <w:rsid w:val="77B43AFA"/>
    <w:rsid w:val="77C67389"/>
    <w:rsid w:val="77C81353"/>
    <w:rsid w:val="77CE623E"/>
    <w:rsid w:val="77D20625"/>
    <w:rsid w:val="77D210A2"/>
    <w:rsid w:val="77D35B06"/>
    <w:rsid w:val="77D54725"/>
    <w:rsid w:val="77DC4DFE"/>
    <w:rsid w:val="77EF68E0"/>
    <w:rsid w:val="77F42148"/>
    <w:rsid w:val="78056103"/>
    <w:rsid w:val="78236589"/>
    <w:rsid w:val="78393FFF"/>
    <w:rsid w:val="784A7FBA"/>
    <w:rsid w:val="787212BF"/>
    <w:rsid w:val="78757AE0"/>
    <w:rsid w:val="787C3EEC"/>
    <w:rsid w:val="788B62D2"/>
    <w:rsid w:val="78911745"/>
    <w:rsid w:val="78992CEF"/>
    <w:rsid w:val="78AF3C78"/>
    <w:rsid w:val="78C31CAF"/>
    <w:rsid w:val="78CD2BDF"/>
    <w:rsid w:val="78EA354B"/>
    <w:rsid w:val="78F341AE"/>
    <w:rsid w:val="79142376"/>
    <w:rsid w:val="791B3704"/>
    <w:rsid w:val="791D122B"/>
    <w:rsid w:val="791F1447"/>
    <w:rsid w:val="791F31F5"/>
    <w:rsid w:val="79330A4E"/>
    <w:rsid w:val="79371246"/>
    <w:rsid w:val="794F33AE"/>
    <w:rsid w:val="79507852"/>
    <w:rsid w:val="795A0647"/>
    <w:rsid w:val="79782905"/>
    <w:rsid w:val="797B4A37"/>
    <w:rsid w:val="797C23F5"/>
    <w:rsid w:val="79865022"/>
    <w:rsid w:val="79984207"/>
    <w:rsid w:val="799A1262"/>
    <w:rsid w:val="799A6D1F"/>
    <w:rsid w:val="79A454A8"/>
    <w:rsid w:val="79A742C4"/>
    <w:rsid w:val="79B55907"/>
    <w:rsid w:val="79BE0C60"/>
    <w:rsid w:val="79BF0534"/>
    <w:rsid w:val="79DA711C"/>
    <w:rsid w:val="79DF4732"/>
    <w:rsid w:val="79F72FA5"/>
    <w:rsid w:val="7A0B5527"/>
    <w:rsid w:val="7A326F58"/>
    <w:rsid w:val="7A37456E"/>
    <w:rsid w:val="7A3E58FC"/>
    <w:rsid w:val="7A41719B"/>
    <w:rsid w:val="7A480529"/>
    <w:rsid w:val="7A5A200A"/>
    <w:rsid w:val="7A62237E"/>
    <w:rsid w:val="7A805F15"/>
    <w:rsid w:val="7A807CC3"/>
    <w:rsid w:val="7A884DCA"/>
    <w:rsid w:val="7A8D23E0"/>
    <w:rsid w:val="7A9D6AC7"/>
    <w:rsid w:val="7AA02113"/>
    <w:rsid w:val="7AA1145D"/>
    <w:rsid w:val="7AB23BF5"/>
    <w:rsid w:val="7AB756AF"/>
    <w:rsid w:val="7ACD0A2E"/>
    <w:rsid w:val="7AD1051F"/>
    <w:rsid w:val="7ADC6EC3"/>
    <w:rsid w:val="7AF20495"/>
    <w:rsid w:val="7B191C40"/>
    <w:rsid w:val="7B256ABC"/>
    <w:rsid w:val="7B486307"/>
    <w:rsid w:val="7B4C4049"/>
    <w:rsid w:val="7B851426"/>
    <w:rsid w:val="7B931C78"/>
    <w:rsid w:val="7B9559F0"/>
    <w:rsid w:val="7BB51BEE"/>
    <w:rsid w:val="7BB8348D"/>
    <w:rsid w:val="7BBB4D2B"/>
    <w:rsid w:val="7BCE7867"/>
    <w:rsid w:val="7BD469B6"/>
    <w:rsid w:val="7BDE0BC1"/>
    <w:rsid w:val="7BF2699E"/>
    <w:rsid w:val="7C077F70"/>
    <w:rsid w:val="7C1B7C6D"/>
    <w:rsid w:val="7C222820"/>
    <w:rsid w:val="7C240B22"/>
    <w:rsid w:val="7C3743CF"/>
    <w:rsid w:val="7C676761"/>
    <w:rsid w:val="7C765821"/>
    <w:rsid w:val="7C783964"/>
    <w:rsid w:val="7C7F3FAA"/>
    <w:rsid w:val="7C9537CE"/>
    <w:rsid w:val="7CA91E7F"/>
    <w:rsid w:val="7CC3033B"/>
    <w:rsid w:val="7D035D55"/>
    <w:rsid w:val="7D053E64"/>
    <w:rsid w:val="7D0746CC"/>
    <w:rsid w:val="7D0C7F34"/>
    <w:rsid w:val="7D15778E"/>
    <w:rsid w:val="7D731D61"/>
    <w:rsid w:val="7D7776E4"/>
    <w:rsid w:val="7D913F95"/>
    <w:rsid w:val="7D9B3066"/>
    <w:rsid w:val="7DA10D7A"/>
    <w:rsid w:val="7DAC5273"/>
    <w:rsid w:val="7DB55ED6"/>
    <w:rsid w:val="7DC3365B"/>
    <w:rsid w:val="7DDD367E"/>
    <w:rsid w:val="7DDD542C"/>
    <w:rsid w:val="7DDF73F6"/>
    <w:rsid w:val="7DFC3B04"/>
    <w:rsid w:val="7DFF1847"/>
    <w:rsid w:val="7E186D28"/>
    <w:rsid w:val="7E413C0D"/>
    <w:rsid w:val="7E4548B9"/>
    <w:rsid w:val="7E734445"/>
    <w:rsid w:val="7E7A0ECD"/>
    <w:rsid w:val="7E865AC4"/>
    <w:rsid w:val="7EA11CDF"/>
    <w:rsid w:val="7EA877E8"/>
    <w:rsid w:val="7ED24865"/>
    <w:rsid w:val="7EDB7BBE"/>
    <w:rsid w:val="7EDC687C"/>
    <w:rsid w:val="7EF0118F"/>
    <w:rsid w:val="7F0337A1"/>
    <w:rsid w:val="7F0D1E11"/>
    <w:rsid w:val="7F182BC0"/>
    <w:rsid w:val="7F525E81"/>
    <w:rsid w:val="7F732964"/>
    <w:rsid w:val="7F7D6EC7"/>
    <w:rsid w:val="7F8042C1"/>
    <w:rsid w:val="7F813619"/>
    <w:rsid w:val="7F8E71C1"/>
    <w:rsid w:val="7F9E0BEB"/>
    <w:rsid w:val="7FA73F44"/>
    <w:rsid w:val="7FB87EFF"/>
    <w:rsid w:val="7FC5602F"/>
    <w:rsid w:val="7FD0349B"/>
    <w:rsid w:val="7FDE2B69"/>
    <w:rsid w:val="7FDF6496"/>
    <w:rsid w:val="7FEA3E31"/>
    <w:rsid w:val="7FFF5B2E"/>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next w:val="18"/>
    <w:link w:val="239"/>
    <w:qFormat/>
    <w:uiPriority w:val="0"/>
    <w:pPr>
      <w:tabs>
        <w:tab w:val="left" w:pos="567"/>
      </w:tabs>
      <w:spacing w:before="120" w:line="22" w:lineRule="atLeast"/>
    </w:pPr>
    <w:rPr>
      <w:rFonts w:ascii="宋体" w:hAnsi="宋体"/>
      <w:sz w:val="24"/>
    </w:rPr>
  </w:style>
  <w:style w:type="paragraph" w:styleId="18">
    <w:name w:val="toc 2"/>
    <w:basedOn w:val="1"/>
    <w:next w:val="1"/>
    <w:qFormat/>
    <w:uiPriority w:val="39"/>
    <w:pPr>
      <w:tabs>
        <w:tab w:val="right" w:leader="dot" w:pos="8937"/>
      </w:tabs>
      <w:spacing w:line="312" w:lineRule="auto"/>
      <w:ind w:left="420" w:leftChars="200"/>
    </w:p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3"/>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0"/>
    <w:qFormat/>
    <w:uiPriority w:val="0"/>
    <w:pPr>
      <w:ind w:left="100" w:leftChars="2500"/>
    </w:pPr>
    <w:rPr>
      <w:rFonts w:ascii="仿宋_GB2312" w:hAnsi="宋体" w:eastAsia="仿宋_GB2312"/>
      <w:color w:val="000000"/>
      <w:sz w:val="24"/>
    </w:rPr>
  </w:style>
  <w:style w:type="paragraph" w:styleId="27">
    <w:name w:val="Body Text Indent 2"/>
    <w:basedOn w:val="1"/>
    <w:link w:val="241"/>
    <w:qFormat/>
    <w:uiPriority w:val="0"/>
    <w:pPr>
      <w:ind w:firstLine="480" w:firstLineChars="200"/>
    </w:pPr>
    <w:rPr>
      <w:rFonts w:ascii="仿宋_GB2312" w:eastAsia="仿宋_GB2312"/>
      <w:sz w:val="24"/>
    </w:rPr>
  </w:style>
  <w:style w:type="paragraph" w:styleId="28">
    <w:name w:val="Balloon Text"/>
    <w:basedOn w:val="1"/>
    <w:link w:val="242"/>
    <w:qFormat/>
    <w:uiPriority w:val="0"/>
    <w:rPr>
      <w:sz w:val="18"/>
      <w:szCs w:val="18"/>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9"/>
    <w:basedOn w:val="1"/>
    <w:next w:val="1"/>
    <w:qFormat/>
    <w:uiPriority w:val="0"/>
    <w:pPr>
      <w:ind w:left="3360" w:leftChars="1600"/>
    </w:pPr>
  </w:style>
  <w:style w:type="paragraph" w:styleId="36">
    <w:name w:val="Body Text 2"/>
    <w:basedOn w:val="1"/>
    <w:qFormat/>
    <w:uiPriority w:val="99"/>
    <w:pPr>
      <w:jc w:val="center"/>
    </w:pPr>
    <w:rPr>
      <w:rFonts w:eastAsia="黑体"/>
      <w:bCs/>
      <w:kern w:val="0"/>
      <w:sz w:val="24"/>
    </w:r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w:basedOn w:val="17"/>
    <w:next w:val="43"/>
    <w:qFormat/>
    <w:uiPriority w:val="0"/>
    <w:pPr>
      <w:spacing w:after="120" w:line="240" w:lineRule="auto"/>
      <w:ind w:firstLine="420" w:firstLineChars="100"/>
    </w:pPr>
    <w:rPr>
      <w:sz w:val="21"/>
    </w:rPr>
  </w:style>
  <w:style w:type="paragraph" w:styleId="43">
    <w:name w:val="Body Text First Indent 2"/>
    <w:basedOn w:val="19"/>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0"/>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12"/>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12"/>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4"/>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2"/>
    <w:qFormat/>
    <w:uiPriority w:val="0"/>
    <w:rPr>
      <w:rFonts w:ascii="宋体"/>
      <w:b/>
      <w:kern w:val="44"/>
      <w:sz w:val="32"/>
    </w:rPr>
  </w:style>
  <w:style w:type="character" w:customStyle="1" w:styleId="231">
    <w:name w:val="标题 4 字符"/>
    <w:basedOn w:val="47"/>
    <w:link w:val="5"/>
    <w:qFormat/>
    <w:uiPriority w:val="0"/>
    <w:rPr>
      <w:sz w:val="24"/>
    </w:rPr>
  </w:style>
  <w:style w:type="character" w:customStyle="1" w:styleId="232">
    <w:name w:val="标题 5 字符"/>
    <w:basedOn w:val="47"/>
    <w:link w:val="6"/>
    <w:qFormat/>
    <w:uiPriority w:val="0"/>
    <w:rPr>
      <w:b/>
      <w:sz w:val="28"/>
    </w:rPr>
  </w:style>
  <w:style w:type="character" w:customStyle="1" w:styleId="233">
    <w:name w:val="标题 6 字符"/>
    <w:basedOn w:val="47"/>
    <w:link w:val="7"/>
    <w:qFormat/>
    <w:uiPriority w:val="0"/>
    <w:rPr>
      <w:rFonts w:ascii="Arial" w:hAnsi="Arial" w:eastAsia="黑体"/>
      <w:b/>
      <w:sz w:val="24"/>
    </w:rPr>
  </w:style>
  <w:style w:type="character" w:customStyle="1" w:styleId="234">
    <w:name w:val="标题 7 字符"/>
    <w:basedOn w:val="47"/>
    <w:link w:val="8"/>
    <w:qFormat/>
    <w:uiPriority w:val="0"/>
    <w:rPr>
      <w:b/>
      <w:sz w:val="24"/>
    </w:rPr>
  </w:style>
  <w:style w:type="character" w:customStyle="1" w:styleId="235">
    <w:name w:val="标题 8 字符"/>
    <w:basedOn w:val="47"/>
    <w:link w:val="9"/>
    <w:qFormat/>
    <w:uiPriority w:val="0"/>
    <w:rPr>
      <w:rFonts w:ascii="Arial" w:hAnsi="Arial" w:eastAsia="黑体"/>
      <w:sz w:val="24"/>
    </w:rPr>
  </w:style>
  <w:style w:type="character" w:customStyle="1" w:styleId="236">
    <w:name w:val="标题 9 字符"/>
    <w:basedOn w:val="47"/>
    <w:link w:val="10"/>
    <w:qFormat/>
    <w:uiPriority w:val="0"/>
    <w:rPr>
      <w:rFonts w:ascii="Arial" w:hAnsi="Arial" w:eastAsia="黑体"/>
      <w:sz w:val="21"/>
    </w:rPr>
  </w:style>
  <w:style w:type="character" w:customStyle="1" w:styleId="237">
    <w:name w:val="文档结构图 字符"/>
    <w:basedOn w:val="47"/>
    <w:link w:val="14"/>
    <w:qFormat/>
    <w:uiPriority w:val="0"/>
    <w:rPr>
      <w:kern w:val="2"/>
      <w:sz w:val="21"/>
      <w:szCs w:val="24"/>
      <w:shd w:val="clear" w:color="auto" w:fill="000080"/>
    </w:rPr>
  </w:style>
  <w:style w:type="character" w:customStyle="1" w:styleId="238">
    <w:name w:val="正文文本 3 字符"/>
    <w:basedOn w:val="47"/>
    <w:link w:val="16"/>
    <w:qFormat/>
    <w:uiPriority w:val="0"/>
    <w:rPr>
      <w:kern w:val="2"/>
      <w:sz w:val="16"/>
      <w:szCs w:val="16"/>
    </w:rPr>
  </w:style>
  <w:style w:type="character" w:customStyle="1" w:styleId="239">
    <w:name w:val="正文文本 字符"/>
    <w:basedOn w:val="47"/>
    <w:link w:val="17"/>
    <w:qFormat/>
    <w:uiPriority w:val="0"/>
    <w:rPr>
      <w:rFonts w:ascii="宋体" w:hAnsi="宋体"/>
      <w:kern w:val="2"/>
      <w:sz w:val="24"/>
      <w:szCs w:val="24"/>
    </w:rPr>
  </w:style>
  <w:style w:type="character" w:customStyle="1" w:styleId="240">
    <w:name w:val="日期 字符"/>
    <w:basedOn w:val="47"/>
    <w:link w:val="26"/>
    <w:qFormat/>
    <w:uiPriority w:val="0"/>
    <w:rPr>
      <w:rFonts w:ascii="仿宋_GB2312" w:hAnsi="宋体" w:eastAsia="仿宋_GB2312"/>
      <w:color w:val="000000"/>
      <w:kern w:val="2"/>
      <w:sz w:val="24"/>
      <w:szCs w:val="24"/>
    </w:rPr>
  </w:style>
  <w:style w:type="character" w:customStyle="1" w:styleId="241">
    <w:name w:val="正文文本缩进 2 字符"/>
    <w:basedOn w:val="47"/>
    <w:link w:val="27"/>
    <w:qFormat/>
    <w:uiPriority w:val="0"/>
    <w:rPr>
      <w:rFonts w:ascii="仿宋_GB2312" w:eastAsia="仿宋_GB2312"/>
      <w:kern w:val="2"/>
      <w:sz w:val="24"/>
      <w:szCs w:val="24"/>
    </w:rPr>
  </w:style>
  <w:style w:type="character" w:customStyle="1" w:styleId="242">
    <w:name w:val="批注框文本 字符"/>
    <w:basedOn w:val="47"/>
    <w:link w:val="28"/>
    <w:qFormat/>
    <w:uiPriority w:val="0"/>
    <w:rPr>
      <w:kern w:val="2"/>
      <w:sz w:val="18"/>
      <w:szCs w:val="18"/>
    </w:rPr>
  </w:style>
  <w:style w:type="character" w:customStyle="1" w:styleId="243">
    <w:name w:val="正文文本缩进 3 字符"/>
    <w:basedOn w:val="47"/>
    <w:link w:val="34"/>
    <w:qFormat/>
    <w:uiPriority w:val="0"/>
    <w:rPr>
      <w:rFonts w:ascii="宋体"/>
      <w:sz w:val="24"/>
    </w:rPr>
  </w:style>
  <w:style w:type="character" w:customStyle="1" w:styleId="244">
    <w:name w:val="HTML 预设格式 字符"/>
    <w:basedOn w:val="47"/>
    <w:link w:val="37"/>
    <w:qFormat/>
    <w:uiPriority w:val="0"/>
    <w:rPr>
      <w:rFonts w:ascii="宋体" w:hAnsi="宋体" w:cs="宋体"/>
      <w:sz w:val="24"/>
      <w:szCs w:val="24"/>
    </w:rPr>
  </w:style>
  <w:style w:type="character" w:customStyle="1" w:styleId="245">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Table Text"/>
    <w:basedOn w:val="1"/>
    <w:semiHidden/>
    <w:qFormat/>
    <w:uiPriority w:val="0"/>
    <w:rPr>
      <w:rFonts w:ascii="宋体" w:hAnsi="宋体" w:eastAsia="宋体" w:cs="宋体"/>
      <w:sz w:val="24"/>
      <w:szCs w:val="24"/>
      <w:lang w:val="en-US" w:eastAsia="en-US" w:bidi="ar-SA"/>
    </w:rPr>
  </w:style>
  <w:style w:type="paragraph" w:customStyle="1" w:styleId="255">
    <w:name w:val="列出段落4"/>
    <w:basedOn w:val="1"/>
    <w:autoRedefine/>
    <w:qFormat/>
    <w:uiPriority w:val="34"/>
    <w:pPr>
      <w:ind w:firstLine="420" w:firstLineChars="200"/>
    </w:pPr>
    <w:rPr>
      <w:rFonts w:ascii="Calibri" w:hAnsi="Calibri"/>
      <w:color w:val="FF0000"/>
      <w:szCs w:val="22"/>
    </w:rPr>
  </w:style>
  <w:style w:type="paragraph" w:customStyle="1" w:styleId="256">
    <w:name w:val="无间隔1"/>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57">
    <w:name w:val="正文文本缩进 31"/>
    <w:basedOn w:val="1"/>
    <w:qFormat/>
    <w:uiPriority w:val="0"/>
    <w:pPr>
      <w:widowControl/>
      <w:kinsoku w:val="0"/>
      <w:autoSpaceDE w:val="0"/>
      <w:autoSpaceDN w:val="0"/>
      <w:adjustRightInd w:val="0"/>
      <w:snapToGrid w:val="0"/>
      <w:spacing w:before="120" w:line="22" w:lineRule="atLeast"/>
      <w:ind w:left="720" w:firstLine="480"/>
      <w:jc w:val="left"/>
      <w:textAlignment w:val="baseline"/>
    </w:pPr>
    <w:rPr>
      <w:rFonts w:ascii="Arial" w:hAnsi="Arial" w:eastAsia="Arial" w:cs="Arial"/>
      <w:snapToGrid w:val="0"/>
      <w:color w:val="000000"/>
      <w:sz w:val="16"/>
      <w:szCs w:val="16"/>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108</Pages>
  <Words>13273</Words>
  <Characters>14038</Characters>
  <Lines>1296</Lines>
  <Paragraphs>1101</Paragraphs>
  <TotalTime>0</TotalTime>
  <ScaleCrop>false</ScaleCrop>
  <LinksUpToDate>false</LinksUpToDate>
  <CharactersWithSpaces>14208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Lenovo</dc:creator>
  <cp:lastModifiedBy>wps</cp:lastModifiedBy>
  <cp:lastPrinted>2026-09-19T06:07:00Z</cp:lastPrinted>
  <dcterms:modified xsi:type="dcterms:W3CDTF">2026-09-29T13:31:19Z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675B71B33B2E40548755080B2957478E_13</vt:lpwstr>
  </property>
  <property fmtid="{D5CDD505-2E9C-101B-9397-08002B2CF9AE}" pid="4" name="KSOTemplateDocerSaveRecord">
    <vt:lpwstr>eyJoZGlkIjoiYWI4N2QyNjY1MzVhMTUwMzhlYmQzMDIzZTQwMTgwYWMiLCJ1c2VySWQiOiI1MjkyODQ2MTcifQ==</vt:lpwstr>
  </property>
</Properties>
</file>