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F22C0D1">
      <w:pPr>
        <w:spacing w:line="360" w:lineRule="auto"/>
        <w:rPr>
          <w:rFonts w:ascii="宋体" w:hAnsi="宋体"/>
          <w:sz w:val="60"/>
          <w:szCs w:val="60"/>
        </w:rPr>
      </w:pPr>
      <w:bookmarkStart w:id="892" w:name="_GoBack"/>
      <w:bookmarkEnd w:id="892"/>
    </w:p>
    <w:p w14:paraId="02B6F981">
      <w:pPr>
        <w:jc w:val="center"/>
        <w:rPr>
          <w:rFonts w:ascii="宋体" w:hAnsi="宋体"/>
          <w:b/>
          <w:bCs/>
          <w:sz w:val="60"/>
          <w:szCs w:val="60"/>
        </w:rPr>
      </w:pPr>
      <w:r>
        <w:rPr>
          <w:rFonts w:ascii="宋体" w:hAnsi="宋体"/>
          <w:b/>
          <w:bCs/>
          <w:sz w:val="60"/>
          <w:szCs w:val="60"/>
        </w:rPr>
        <w:t>北京市政府采购项目</w:t>
      </w:r>
    </w:p>
    <w:p w14:paraId="7213CBB1">
      <w:pPr>
        <w:jc w:val="center"/>
        <w:rPr>
          <w:rFonts w:ascii="宋体" w:hAnsi="宋体"/>
          <w:b/>
          <w:bCs/>
          <w:sz w:val="60"/>
          <w:szCs w:val="60"/>
        </w:rPr>
      </w:pPr>
      <w:r>
        <w:rPr>
          <w:rFonts w:hint="eastAsia" w:ascii="宋体" w:hAnsi="宋体"/>
          <w:b/>
          <w:bCs/>
          <w:sz w:val="60"/>
          <w:szCs w:val="60"/>
        </w:rPr>
        <w:t>公开</w:t>
      </w:r>
      <w:r>
        <w:rPr>
          <w:rFonts w:ascii="宋体" w:hAnsi="宋体"/>
          <w:b/>
          <w:bCs/>
          <w:sz w:val="60"/>
          <w:szCs w:val="60"/>
        </w:rPr>
        <w:t>招标文件</w:t>
      </w:r>
    </w:p>
    <w:p w14:paraId="089CF714">
      <w:pPr>
        <w:jc w:val="center"/>
        <w:rPr>
          <w:rFonts w:ascii="宋体" w:hAnsi="宋体"/>
          <w:b/>
          <w:bCs/>
          <w:sz w:val="60"/>
          <w:szCs w:val="60"/>
        </w:rPr>
      </w:pPr>
    </w:p>
    <w:p w14:paraId="13585583">
      <w:pPr>
        <w:spacing w:line="360" w:lineRule="auto"/>
        <w:jc w:val="center"/>
        <w:rPr>
          <w:rFonts w:ascii="宋体" w:hAnsi="宋体"/>
          <w:sz w:val="60"/>
          <w:szCs w:val="60"/>
        </w:rPr>
      </w:pPr>
    </w:p>
    <w:p w14:paraId="67E69C97">
      <w:pPr>
        <w:tabs>
          <w:tab w:val="left" w:pos="3240"/>
          <w:tab w:val="left" w:pos="3420"/>
        </w:tabs>
        <w:spacing w:line="360" w:lineRule="auto"/>
        <w:ind w:right="-197" w:rightChars="-94"/>
        <w:jc w:val="left"/>
        <w:rPr>
          <w:rFonts w:ascii="宋体" w:hAnsi="宋体" w:cs="宋体"/>
          <w:bCs/>
          <w:sz w:val="32"/>
          <w:szCs w:val="32"/>
        </w:rPr>
      </w:pPr>
      <w:r>
        <w:rPr>
          <w:rFonts w:ascii="宋体" w:hAnsi="宋体" w:cs="宋体"/>
          <w:bCs/>
          <w:sz w:val="32"/>
          <w:szCs w:val="32"/>
        </w:rPr>
        <w:t>项目名称</w:t>
      </w:r>
      <w:r>
        <w:rPr>
          <w:rFonts w:hint="eastAsia" w:ascii="宋体" w:hAnsi="宋体" w:cs="宋体"/>
          <w:bCs/>
          <w:sz w:val="32"/>
          <w:szCs w:val="32"/>
        </w:rPr>
        <w:t>：传染病四大症候群监测等央补项目试剂耗材购置</w:t>
      </w:r>
    </w:p>
    <w:p w14:paraId="55504FAF">
      <w:pPr>
        <w:tabs>
          <w:tab w:val="left" w:pos="3240"/>
          <w:tab w:val="left" w:pos="3420"/>
        </w:tabs>
        <w:spacing w:line="360" w:lineRule="auto"/>
        <w:jc w:val="left"/>
        <w:rPr>
          <w:rFonts w:ascii="宋体" w:hAnsi="宋体" w:cs="宋体"/>
          <w:bCs/>
          <w:sz w:val="32"/>
          <w:szCs w:val="32"/>
        </w:rPr>
      </w:pPr>
    </w:p>
    <w:p w14:paraId="645A0FE2">
      <w:pPr>
        <w:tabs>
          <w:tab w:val="left" w:pos="3240"/>
          <w:tab w:val="left" w:pos="3420"/>
        </w:tabs>
        <w:spacing w:line="360" w:lineRule="auto"/>
        <w:jc w:val="left"/>
        <w:rPr>
          <w:rFonts w:ascii="宋体" w:hAnsi="宋体" w:cs="宋体"/>
          <w:bCs/>
          <w:sz w:val="32"/>
          <w:szCs w:val="32"/>
        </w:rPr>
      </w:pPr>
      <w:r>
        <w:rPr>
          <w:rFonts w:ascii="宋体" w:hAnsi="宋体" w:cs="宋体"/>
          <w:bCs/>
          <w:sz w:val="32"/>
          <w:szCs w:val="32"/>
        </w:rPr>
        <w:t>项目编号：</w:t>
      </w:r>
      <w:r>
        <w:rPr>
          <w:rFonts w:hint="eastAsia" w:ascii="宋体" w:hAnsi="宋体" w:cs="宋体"/>
          <w:bCs/>
          <w:sz w:val="32"/>
          <w:szCs w:val="32"/>
        </w:rPr>
        <w:t>ZXHD26316</w:t>
      </w:r>
    </w:p>
    <w:p w14:paraId="5B363EFE">
      <w:pPr>
        <w:tabs>
          <w:tab w:val="left" w:pos="3240"/>
          <w:tab w:val="left" w:pos="3420"/>
        </w:tabs>
        <w:spacing w:line="360" w:lineRule="auto"/>
        <w:jc w:val="left"/>
        <w:rPr>
          <w:rFonts w:ascii="宋体" w:hAnsi="宋体" w:cs="宋体"/>
          <w:bCs/>
          <w:sz w:val="32"/>
          <w:szCs w:val="32"/>
        </w:rPr>
      </w:pPr>
    </w:p>
    <w:p w14:paraId="28A461A0">
      <w:pPr>
        <w:tabs>
          <w:tab w:val="left" w:pos="3240"/>
          <w:tab w:val="left" w:pos="3420"/>
        </w:tabs>
        <w:spacing w:line="360" w:lineRule="auto"/>
        <w:jc w:val="left"/>
        <w:rPr>
          <w:rFonts w:ascii="宋体" w:hAnsi="宋体" w:cs="宋体"/>
          <w:bCs/>
          <w:sz w:val="32"/>
          <w:szCs w:val="32"/>
        </w:rPr>
      </w:pPr>
    </w:p>
    <w:p w14:paraId="487F2DD1">
      <w:pPr>
        <w:tabs>
          <w:tab w:val="left" w:pos="3240"/>
          <w:tab w:val="left" w:pos="3420"/>
        </w:tabs>
        <w:spacing w:line="360" w:lineRule="auto"/>
        <w:jc w:val="left"/>
        <w:rPr>
          <w:rFonts w:ascii="宋体" w:hAnsi="宋体" w:cs="宋体"/>
          <w:bCs/>
          <w:sz w:val="32"/>
          <w:szCs w:val="32"/>
        </w:rPr>
      </w:pPr>
    </w:p>
    <w:p w14:paraId="4DF18343">
      <w:pPr>
        <w:tabs>
          <w:tab w:val="left" w:pos="3240"/>
          <w:tab w:val="left" w:pos="3420"/>
        </w:tabs>
        <w:spacing w:line="360" w:lineRule="auto"/>
        <w:jc w:val="left"/>
        <w:rPr>
          <w:rFonts w:ascii="宋体" w:hAnsi="宋体" w:cs="宋体"/>
          <w:bCs/>
          <w:sz w:val="32"/>
          <w:szCs w:val="32"/>
        </w:rPr>
      </w:pPr>
    </w:p>
    <w:p w14:paraId="6E348EC7">
      <w:pPr>
        <w:tabs>
          <w:tab w:val="left" w:pos="3240"/>
          <w:tab w:val="left" w:pos="3420"/>
        </w:tabs>
        <w:spacing w:line="360" w:lineRule="auto"/>
        <w:jc w:val="left"/>
        <w:rPr>
          <w:rFonts w:ascii="宋体" w:hAnsi="宋体" w:cs="宋体"/>
          <w:bCs/>
          <w:sz w:val="32"/>
          <w:szCs w:val="32"/>
        </w:rPr>
      </w:pPr>
    </w:p>
    <w:p w14:paraId="37094E44">
      <w:pPr>
        <w:tabs>
          <w:tab w:val="left" w:pos="3240"/>
          <w:tab w:val="left" w:pos="3420"/>
        </w:tabs>
        <w:spacing w:line="360" w:lineRule="auto"/>
        <w:jc w:val="left"/>
        <w:rPr>
          <w:rFonts w:ascii="宋体" w:hAnsi="宋体" w:cs="宋体"/>
          <w:bCs/>
          <w:sz w:val="32"/>
          <w:szCs w:val="32"/>
        </w:rPr>
      </w:pPr>
    </w:p>
    <w:p w14:paraId="12E0EA46">
      <w:pPr>
        <w:tabs>
          <w:tab w:val="left" w:pos="3240"/>
          <w:tab w:val="left" w:pos="3420"/>
        </w:tabs>
        <w:spacing w:line="360" w:lineRule="auto"/>
        <w:ind w:left="2832" w:leftChars="444" w:hanging="1900" w:hangingChars="528"/>
        <w:jc w:val="left"/>
        <w:rPr>
          <w:rFonts w:ascii="宋体" w:hAnsi="宋体"/>
          <w:bCs/>
          <w:sz w:val="36"/>
          <w:szCs w:val="36"/>
        </w:rPr>
      </w:pPr>
      <w:r>
        <w:rPr>
          <w:rFonts w:ascii="宋体" w:hAnsi="宋体"/>
          <w:bCs/>
          <w:sz w:val="36"/>
          <w:szCs w:val="36"/>
        </w:rPr>
        <w:t>采购人：</w:t>
      </w:r>
      <w:r>
        <w:rPr>
          <w:rFonts w:hint="eastAsia" w:ascii="宋体" w:hAnsi="宋体"/>
          <w:bCs/>
          <w:sz w:val="36"/>
          <w:szCs w:val="36"/>
        </w:rPr>
        <w:t>北京市西城区疾病预防控制中心</w:t>
      </w:r>
    </w:p>
    <w:p w14:paraId="725D8EBD">
      <w:pPr>
        <w:tabs>
          <w:tab w:val="left" w:pos="3240"/>
          <w:tab w:val="left" w:pos="3420"/>
        </w:tabs>
        <w:spacing w:line="360" w:lineRule="auto"/>
        <w:ind w:left="2832" w:leftChars="444" w:hanging="1900" w:hangingChars="528"/>
        <w:jc w:val="left"/>
        <w:rPr>
          <w:rFonts w:ascii="宋体" w:hAnsi="宋体"/>
          <w:bCs/>
          <w:sz w:val="36"/>
          <w:szCs w:val="36"/>
        </w:rPr>
      </w:pPr>
      <w:r>
        <w:rPr>
          <w:rFonts w:hint="eastAsia" w:ascii="宋体" w:hAnsi="宋体"/>
          <w:bCs/>
          <w:sz w:val="36"/>
          <w:szCs w:val="36"/>
        </w:rPr>
        <w:t>采购</w:t>
      </w:r>
      <w:r>
        <w:rPr>
          <w:rFonts w:ascii="宋体" w:hAnsi="宋体"/>
          <w:bCs/>
          <w:sz w:val="36"/>
          <w:szCs w:val="36"/>
        </w:rPr>
        <w:t>代理机构：</w:t>
      </w:r>
      <w:r>
        <w:rPr>
          <w:rFonts w:hint="eastAsia" w:ascii="宋体" w:hAnsi="宋体"/>
          <w:bCs/>
          <w:sz w:val="36"/>
          <w:szCs w:val="36"/>
        </w:rPr>
        <w:t>北京中兴恒达招标有限公司</w:t>
      </w:r>
    </w:p>
    <w:p w14:paraId="56508E31">
      <w:pPr>
        <w:tabs>
          <w:tab w:val="left" w:pos="3240"/>
          <w:tab w:val="left" w:pos="3420"/>
        </w:tabs>
        <w:spacing w:line="360" w:lineRule="auto"/>
        <w:ind w:left="2831" w:leftChars="1" w:hanging="2829" w:hangingChars="786"/>
        <w:jc w:val="center"/>
        <w:rPr>
          <w:rFonts w:ascii="宋体" w:hAnsi="宋体"/>
          <w:bCs/>
          <w:sz w:val="36"/>
          <w:szCs w:val="36"/>
        </w:rPr>
      </w:pPr>
      <w:r>
        <w:rPr>
          <w:rFonts w:hint="eastAsia" w:ascii="宋体" w:hAnsi="宋体"/>
          <w:bCs/>
          <w:sz w:val="36"/>
          <w:szCs w:val="36"/>
        </w:rPr>
        <w:t>2026年9月</w:t>
      </w:r>
    </w:p>
    <w:p w14:paraId="7619B496">
      <w:pPr>
        <w:spacing w:line="360" w:lineRule="auto"/>
        <w:jc w:val="center"/>
        <w:outlineLvl w:val="0"/>
        <w:rPr>
          <w:rFonts w:ascii="宋体" w:hAnsi="宋体"/>
          <w:b/>
          <w:sz w:val="36"/>
          <w:szCs w:val="36"/>
        </w:rPr>
        <w:sectPr>
          <w:headerReference r:id="rId4" w:type="first"/>
          <w:footerReference r:id="rId6" w:type="first"/>
          <w:headerReference r:id="rId3" w:type="default"/>
          <w:footerReference r:id="rId5" w:type="default"/>
          <w:pgSz w:w="11907" w:h="16840"/>
          <w:pgMar w:top="1440" w:right="1800" w:bottom="1440" w:left="1800" w:header="851" w:footer="851" w:gutter="0"/>
          <w:pgNumType w:start="0"/>
          <w:cols w:space="720" w:num="1"/>
          <w:titlePg/>
          <w:docGrid w:linePitch="462" w:charSpace="0"/>
        </w:sectPr>
      </w:pPr>
      <w:bookmarkStart w:id="0" w:name="_Toc124165429"/>
      <w:bookmarkStart w:id="1" w:name="_Toc99301418"/>
      <w:bookmarkStart w:id="2" w:name="_Toc28920"/>
    </w:p>
    <w:p w14:paraId="65B037F3">
      <w:pPr>
        <w:jc w:val="center"/>
        <w:rPr>
          <w:rFonts w:ascii="宋体" w:hAnsi="宋体"/>
          <w:b/>
          <w:bCs/>
          <w:sz w:val="40"/>
          <w:szCs w:val="48"/>
        </w:rPr>
      </w:pPr>
      <w:bookmarkStart w:id="3" w:name="_Toc5905"/>
      <w:bookmarkStart w:id="4" w:name="_Toc22491"/>
    </w:p>
    <w:p w14:paraId="37F1E714">
      <w:pPr>
        <w:jc w:val="center"/>
        <w:rPr>
          <w:rFonts w:ascii="宋体" w:hAnsi="宋体"/>
          <w:b/>
          <w:bCs/>
          <w:sz w:val="36"/>
          <w:szCs w:val="44"/>
        </w:rPr>
      </w:pPr>
      <w:r>
        <w:rPr>
          <w:rFonts w:ascii="宋体" w:hAnsi="宋体"/>
          <w:b/>
          <w:bCs/>
          <w:sz w:val="40"/>
          <w:szCs w:val="48"/>
        </w:rPr>
        <w:t>目</w:t>
      </w:r>
      <w:r>
        <w:rPr>
          <w:rFonts w:hint="eastAsia" w:ascii="宋体" w:hAnsi="宋体"/>
          <w:b/>
          <w:bCs/>
          <w:sz w:val="40"/>
          <w:szCs w:val="48"/>
        </w:rPr>
        <w:t xml:space="preserve"> </w:t>
      </w:r>
      <w:r>
        <w:rPr>
          <w:rFonts w:ascii="宋体" w:hAnsi="宋体"/>
          <w:b/>
          <w:bCs/>
          <w:sz w:val="40"/>
          <w:szCs w:val="48"/>
        </w:rPr>
        <w:t>录</w:t>
      </w:r>
      <w:bookmarkEnd w:id="0"/>
      <w:bookmarkEnd w:id="1"/>
      <w:bookmarkEnd w:id="2"/>
      <w:bookmarkEnd w:id="3"/>
      <w:bookmarkEnd w:id="4"/>
    </w:p>
    <w:p w14:paraId="50E26261">
      <w:pPr>
        <w:spacing w:line="360" w:lineRule="auto"/>
        <w:rPr>
          <w:rFonts w:ascii="宋体" w:hAnsi="宋体"/>
          <w:sz w:val="28"/>
          <w:szCs w:val="28"/>
        </w:rPr>
      </w:pPr>
    </w:p>
    <w:p w14:paraId="5F87001B">
      <w:pPr>
        <w:pStyle w:val="18"/>
        <w:tabs>
          <w:tab w:val="right" w:leader="dot" w:pos="8307"/>
          <w:tab w:val="clear" w:pos="1050"/>
          <w:tab w:val="clear" w:pos="8937"/>
        </w:tabs>
        <w:spacing w:line="360" w:lineRule="auto"/>
        <w:rPr>
          <w:b w:val="0"/>
          <w:sz w:val="28"/>
          <w:szCs w:val="28"/>
        </w:rPr>
      </w:pPr>
      <w:r>
        <w:rPr>
          <w:b w:val="0"/>
          <w:sz w:val="28"/>
          <w:szCs w:val="28"/>
        </w:rPr>
        <w:fldChar w:fldCharType="begin"/>
      </w:r>
      <w:r>
        <w:rPr>
          <w:b w:val="0"/>
          <w:sz w:val="28"/>
          <w:szCs w:val="28"/>
        </w:rPr>
        <w:instrText xml:space="preserve"> TOC \o "1-1" \h \z \u </w:instrText>
      </w:r>
      <w:r>
        <w:rPr>
          <w:b w:val="0"/>
          <w:sz w:val="28"/>
          <w:szCs w:val="28"/>
        </w:rPr>
        <w:fldChar w:fldCharType="separate"/>
      </w:r>
      <w:r>
        <w:fldChar w:fldCharType="begin"/>
      </w:r>
      <w:r>
        <w:instrText xml:space="preserve"> HYPERLINK \l "_Toc7478" </w:instrText>
      </w:r>
      <w:r>
        <w:fldChar w:fldCharType="separate"/>
      </w:r>
      <w:r>
        <w:rPr>
          <w:b w:val="0"/>
          <w:sz w:val="28"/>
          <w:szCs w:val="28"/>
        </w:rPr>
        <w:t>第一章</w:t>
      </w:r>
      <w:r>
        <w:rPr>
          <w:rFonts w:hint="eastAsia"/>
          <w:b w:val="0"/>
          <w:sz w:val="28"/>
          <w:szCs w:val="28"/>
        </w:rPr>
        <w:t xml:space="preserve">  </w:t>
      </w:r>
      <w:r>
        <w:rPr>
          <w:b w:val="0"/>
          <w:sz w:val="28"/>
          <w:szCs w:val="28"/>
        </w:rPr>
        <w:t>投标邀请</w:t>
      </w:r>
      <w:r>
        <w:rPr>
          <w:b w:val="0"/>
          <w:sz w:val="28"/>
          <w:szCs w:val="28"/>
        </w:rPr>
        <w:tab/>
      </w:r>
      <w:r>
        <w:rPr>
          <w:b w:val="0"/>
          <w:sz w:val="28"/>
          <w:szCs w:val="28"/>
        </w:rPr>
        <w:fldChar w:fldCharType="begin"/>
      </w:r>
      <w:r>
        <w:rPr>
          <w:b w:val="0"/>
          <w:sz w:val="28"/>
          <w:szCs w:val="28"/>
        </w:rPr>
        <w:instrText xml:space="preserve"> PAGEREF _Toc7478 \h </w:instrText>
      </w:r>
      <w:r>
        <w:rPr>
          <w:b w:val="0"/>
          <w:sz w:val="28"/>
          <w:szCs w:val="28"/>
        </w:rPr>
        <w:fldChar w:fldCharType="separate"/>
      </w:r>
      <w:r>
        <w:rPr>
          <w:b w:val="0"/>
          <w:sz w:val="28"/>
          <w:szCs w:val="28"/>
        </w:rPr>
        <w:t>1</w:t>
      </w:r>
      <w:r>
        <w:rPr>
          <w:b w:val="0"/>
          <w:sz w:val="28"/>
          <w:szCs w:val="28"/>
        </w:rPr>
        <w:fldChar w:fldCharType="end"/>
      </w:r>
      <w:r>
        <w:rPr>
          <w:b w:val="0"/>
          <w:sz w:val="28"/>
          <w:szCs w:val="28"/>
        </w:rPr>
        <w:fldChar w:fldCharType="end"/>
      </w:r>
    </w:p>
    <w:p w14:paraId="174B9304">
      <w:pPr>
        <w:pStyle w:val="18"/>
        <w:tabs>
          <w:tab w:val="right" w:leader="dot" w:pos="8307"/>
          <w:tab w:val="clear" w:pos="1050"/>
          <w:tab w:val="clear" w:pos="8937"/>
        </w:tabs>
        <w:spacing w:line="360" w:lineRule="auto"/>
        <w:rPr>
          <w:b w:val="0"/>
          <w:sz w:val="28"/>
          <w:szCs w:val="28"/>
        </w:rPr>
      </w:pPr>
      <w:r>
        <w:fldChar w:fldCharType="begin"/>
      </w:r>
      <w:r>
        <w:instrText xml:space="preserve"> HYPERLINK \l "_Toc25381" </w:instrText>
      </w:r>
      <w:r>
        <w:fldChar w:fldCharType="separate"/>
      </w:r>
      <w:r>
        <w:rPr>
          <w:b w:val="0"/>
          <w:sz w:val="28"/>
          <w:szCs w:val="28"/>
        </w:rPr>
        <w:t>第二章</w:t>
      </w:r>
      <w:r>
        <w:rPr>
          <w:rFonts w:hint="eastAsia"/>
          <w:b w:val="0"/>
          <w:sz w:val="28"/>
          <w:szCs w:val="28"/>
        </w:rPr>
        <w:t xml:space="preserve">  </w:t>
      </w:r>
      <w:r>
        <w:rPr>
          <w:b w:val="0"/>
          <w:sz w:val="28"/>
          <w:szCs w:val="28"/>
        </w:rPr>
        <w:t>投标人须知</w:t>
      </w:r>
      <w:r>
        <w:rPr>
          <w:b w:val="0"/>
          <w:sz w:val="28"/>
          <w:szCs w:val="28"/>
        </w:rPr>
        <w:tab/>
      </w:r>
      <w:r>
        <w:rPr>
          <w:b w:val="0"/>
          <w:sz w:val="28"/>
          <w:szCs w:val="28"/>
        </w:rPr>
        <w:fldChar w:fldCharType="begin"/>
      </w:r>
      <w:r>
        <w:rPr>
          <w:b w:val="0"/>
          <w:sz w:val="28"/>
          <w:szCs w:val="28"/>
        </w:rPr>
        <w:instrText xml:space="preserve"> PAGEREF _Toc25381 \h </w:instrText>
      </w:r>
      <w:r>
        <w:rPr>
          <w:b w:val="0"/>
          <w:sz w:val="28"/>
          <w:szCs w:val="28"/>
        </w:rPr>
        <w:fldChar w:fldCharType="separate"/>
      </w:r>
      <w:r>
        <w:rPr>
          <w:b w:val="0"/>
          <w:sz w:val="28"/>
          <w:szCs w:val="28"/>
        </w:rPr>
        <w:t>6</w:t>
      </w:r>
      <w:r>
        <w:rPr>
          <w:b w:val="0"/>
          <w:sz w:val="28"/>
          <w:szCs w:val="28"/>
        </w:rPr>
        <w:fldChar w:fldCharType="end"/>
      </w:r>
      <w:r>
        <w:rPr>
          <w:b w:val="0"/>
          <w:sz w:val="28"/>
          <w:szCs w:val="28"/>
        </w:rPr>
        <w:fldChar w:fldCharType="end"/>
      </w:r>
    </w:p>
    <w:p w14:paraId="29B1C08D">
      <w:pPr>
        <w:pStyle w:val="18"/>
        <w:tabs>
          <w:tab w:val="right" w:leader="dot" w:pos="8307"/>
          <w:tab w:val="clear" w:pos="1050"/>
          <w:tab w:val="clear" w:pos="8937"/>
        </w:tabs>
        <w:spacing w:line="360" w:lineRule="auto"/>
        <w:rPr>
          <w:b w:val="0"/>
          <w:sz w:val="28"/>
          <w:szCs w:val="28"/>
        </w:rPr>
      </w:pPr>
      <w:r>
        <w:fldChar w:fldCharType="begin"/>
      </w:r>
      <w:r>
        <w:instrText xml:space="preserve"> HYPERLINK \l "_Toc20465" </w:instrText>
      </w:r>
      <w:r>
        <w:fldChar w:fldCharType="separate"/>
      </w:r>
      <w:r>
        <w:rPr>
          <w:b w:val="0"/>
          <w:sz w:val="28"/>
          <w:szCs w:val="28"/>
        </w:rPr>
        <w:t>第三章</w:t>
      </w:r>
      <w:r>
        <w:rPr>
          <w:rFonts w:hint="eastAsia"/>
          <w:b w:val="0"/>
          <w:sz w:val="28"/>
          <w:szCs w:val="28"/>
        </w:rPr>
        <w:t xml:space="preserve">  </w:t>
      </w:r>
      <w:r>
        <w:rPr>
          <w:b w:val="0"/>
          <w:sz w:val="28"/>
          <w:szCs w:val="28"/>
        </w:rPr>
        <w:t>资格审查</w:t>
      </w:r>
      <w:r>
        <w:rPr>
          <w:b w:val="0"/>
          <w:sz w:val="28"/>
          <w:szCs w:val="28"/>
        </w:rPr>
        <w:tab/>
      </w:r>
      <w:r>
        <w:rPr>
          <w:b w:val="0"/>
          <w:sz w:val="28"/>
          <w:szCs w:val="28"/>
        </w:rPr>
        <w:fldChar w:fldCharType="begin"/>
      </w:r>
      <w:r>
        <w:rPr>
          <w:b w:val="0"/>
          <w:sz w:val="28"/>
          <w:szCs w:val="28"/>
        </w:rPr>
        <w:instrText xml:space="preserve"> PAGEREF _Toc20465 \h </w:instrText>
      </w:r>
      <w:r>
        <w:rPr>
          <w:b w:val="0"/>
          <w:sz w:val="28"/>
          <w:szCs w:val="28"/>
        </w:rPr>
        <w:fldChar w:fldCharType="separate"/>
      </w:r>
      <w:r>
        <w:rPr>
          <w:b w:val="0"/>
          <w:sz w:val="28"/>
          <w:szCs w:val="28"/>
        </w:rPr>
        <w:t>23</w:t>
      </w:r>
      <w:r>
        <w:rPr>
          <w:b w:val="0"/>
          <w:sz w:val="28"/>
          <w:szCs w:val="28"/>
        </w:rPr>
        <w:fldChar w:fldCharType="end"/>
      </w:r>
      <w:r>
        <w:rPr>
          <w:b w:val="0"/>
          <w:sz w:val="28"/>
          <w:szCs w:val="28"/>
        </w:rPr>
        <w:fldChar w:fldCharType="end"/>
      </w:r>
    </w:p>
    <w:p w14:paraId="585B94DE">
      <w:pPr>
        <w:pStyle w:val="18"/>
        <w:tabs>
          <w:tab w:val="right" w:leader="dot" w:pos="8307"/>
          <w:tab w:val="clear" w:pos="1050"/>
          <w:tab w:val="clear" w:pos="8937"/>
        </w:tabs>
        <w:spacing w:line="360" w:lineRule="auto"/>
        <w:rPr>
          <w:b w:val="0"/>
          <w:sz w:val="28"/>
          <w:szCs w:val="28"/>
        </w:rPr>
      </w:pPr>
      <w:r>
        <w:fldChar w:fldCharType="begin"/>
      </w:r>
      <w:r>
        <w:instrText xml:space="preserve"> HYPERLINK \l "_Toc19763" </w:instrText>
      </w:r>
      <w:r>
        <w:fldChar w:fldCharType="separate"/>
      </w:r>
      <w:r>
        <w:rPr>
          <w:b w:val="0"/>
          <w:sz w:val="28"/>
          <w:szCs w:val="28"/>
        </w:rPr>
        <w:t>第四章</w:t>
      </w:r>
      <w:r>
        <w:rPr>
          <w:rFonts w:hint="eastAsia"/>
          <w:b w:val="0"/>
          <w:sz w:val="28"/>
          <w:szCs w:val="28"/>
        </w:rPr>
        <w:t xml:space="preserve">  </w:t>
      </w:r>
      <w:r>
        <w:rPr>
          <w:b w:val="0"/>
          <w:sz w:val="28"/>
          <w:szCs w:val="28"/>
        </w:rPr>
        <w:t>评标程序、评标方法和评标标准</w:t>
      </w:r>
      <w:r>
        <w:rPr>
          <w:b w:val="0"/>
          <w:sz w:val="28"/>
          <w:szCs w:val="28"/>
        </w:rPr>
        <w:tab/>
      </w:r>
      <w:r>
        <w:rPr>
          <w:b w:val="0"/>
          <w:sz w:val="28"/>
          <w:szCs w:val="28"/>
        </w:rPr>
        <w:fldChar w:fldCharType="begin"/>
      </w:r>
      <w:r>
        <w:rPr>
          <w:b w:val="0"/>
          <w:sz w:val="28"/>
          <w:szCs w:val="28"/>
        </w:rPr>
        <w:instrText xml:space="preserve"> PAGEREF _Toc19763 \h </w:instrText>
      </w:r>
      <w:r>
        <w:rPr>
          <w:b w:val="0"/>
          <w:sz w:val="28"/>
          <w:szCs w:val="28"/>
        </w:rPr>
        <w:fldChar w:fldCharType="separate"/>
      </w:r>
      <w:r>
        <w:rPr>
          <w:b w:val="0"/>
          <w:sz w:val="28"/>
          <w:szCs w:val="28"/>
        </w:rPr>
        <w:t>26</w:t>
      </w:r>
      <w:r>
        <w:rPr>
          <w:b w:val="0"/>
          <w:sz w:val="28"/>
          <w:szCs w:val="28"/>
        </w:rPr>
        <w:fldChar w:fldCharType="end"/>
      </w:r>
      <w:r>
        <w:rPr>
          <w:b w:val="0"/>
          <w:sz w:val="28"/>
          <w:szCs w:val="28"/>
        </w:rPr>
        <w:fldChar w:fldCharType="end"/>
      </w:r>
    </w:p>
    <w:p w14:paraId="3C9A92B8">
      <w:pPr>
        <w:pStyle w:val="18"/>
        <w:tabs>
          <w:tab w:val="right" w:leader="dot" w:pos="8307"/>
          <w:tab w:val="clear" w:pos="1050"/>
          <w:tab w:val="clear" w:pos="8937"/>
        </w:tabs>
        <w:spacing w:line="360" w:lineRule="auto"/>
        <w:rPr>
          <w:b w:val="0"/>
          <w:sz w:val="28"/>
          <w:szCs w:val="28"/>
        </w:rPr>
      </w:pPr>
      <w:r>
        <w:fldChar w:fldCharType="begin"/>
      </w:r>
      <w:r>
        <w:instrText xml:space="preserve"> HYPERLINK \l "_Toc19502" </w:instrText>
      </w:r>
      <w:r>
        <w:fldChar w:fldCharType="separate"/>
      </w:r>
      <w:r>
        <w:rPr>
          <w:b w:val="0"/>
          <w:sz w:val="28"/>
          <w:szCs w:val="28"/>
        </w:rPr>
        <w:t>第五章</w:t>
      </w:r>
      <w:r>
        <w:rPr>
          <w:rFonts w:hint="eastAsia"/>
          <w:b w:val="0"/>
          <w:sz w:val="28"/>
          <w:szCs w:val="28"/>
        </w:rPr>
        <w:t xml:space="preserve">  </w:t>
      </w:r>
      <w:r>
        <w:rPr>
          <w:b w:val="0"/>
          <w:sz w:val="28"/>
          <w:szCs w:val="28"/>
        </w:rPr>
        <w:t>采购需求</w:t>
      </w:r>
      <w:r>
        <w:rPr>
          <w:b w:val="0"/>
          <w:sz w:val="28"/>
          <w:szCs w:val="28"/>
        </w:rPr>
        <w:tab/>
      </w:r>
      <w:r>
        <w:rPr>
          <w:b w:val="0"/>
          <w:sz w:val="28"/>
          <w:szCs w:val="28"/>
        </w:rPr>
        <w:fldChar w:fldCharType="begin"/>
      </w:r>
      <w:r>
        <w:rPr>
          <w:b w:val="0"/>
          <w:sz w:val="28"/>
          <w:szCs w:val="28"/>
        </w:rPr>
        <w:instrText xml:space="preserve"> PAGEREF _Toc19502 \h </w:instrText>
      </w:r>
      <w:r>
        <w:rPr>
          <w:b w:val="0"/>
          <w:sz w:val="28"/>
          <w:szCs w:val="28"/>
        </w:rPr>
        <w:fldChar w:fldCharType="separate"/>
      </w:r>
      <w:r>
        <w:rPr>
          <w:b w:val="0"/>
          <w:sz w:val="28"/>
          <w:szCs w:val="28"/>
        </w:rPr>
        <w:t>39</w:t>
      </w:r>
      <w:r>
        <w:rPr>
          <w:b w:val="0"/>
          <w:sz w:val="28"/>
          <w:szCs w:val="28"/>
        </w:rPr>
        <w:fldChar w:fldCharType="end"/>
      </w:r>
      <w:r>
        <w:rPr>
          <w:b w:val="0"/>
          <w:sz w:val="28"/>
          <w:szCs w:val="28"/>
        </w:rPr>
        <w:fldChar w:fldCharType="end"/>
      </w:r>
    </w:p>
    <w:p w14:paraId="35FDFAB7">
      <w:pPr>
        <w:pStyle w:val="18"/>
        <w:tabs>
          <w:tab w:val="right" w:leader="dot" w:pos="8307"/>
          <w:tab w:val="clear" w:pos="1050"/>
          <w:tab w:val="clear" w:pos="8937"/>
        </w:tabs>
        <w:spacing w:line="360" w:lineRule="auto"/>
        <w:rPr>
          <w:b w:val="0"/>
          <w:sz w:val="28"/>
          <w:szCs w:val="28"/>
        </w:rPr>
      </w:pPr>
      <w:r>
        <w:fldChar w:fldCharType="begin"/>
      </w:r>
      <w:r>
        <w:instrText xml:space="preserve"> HYPERLINK \l "_Toc26088" </w:instrText>
      </w:r>
      <w:r>
        <w:fldChar w:fldCharType="separate"/>
      </w:r>
      <w:r>
        <w:rPr>
          <w:b w:val="0"/>
          <w:sz w:val="28"/>
          <w:szCs w:val="28"/>
        </w:rPr>
        <w:t>第六章</w:t>
      </w:r>
      <w:r>
        <w:rPr>
          <w:rFonts w:hint="eastAsia"/>
          <w:b w:val="0"/>
          <w:sz w:val="28"/>
          <w:szCs w:val="28"/>
        </w:rPr>
        <w:t xml:space="preserve">  </w:t>
      </w:r>
      <w:r>
        <w:rPr>
          <w:b w:val="0"/>
          <w:sz w:val="28"/>
          <w:szCs w:val="28"/>
        </w:rPr>
        <w:t>拟签订的合同文本</w:t>
      </w:r>
      <w:r>
        <w:rPr>
          <w:b w:val="0"/>
          <w:sz w:val="28"/>
          <w:szCs w:val="28"/>
        </w:rPr>
        <w:tab/>
      </w:r>
      <w:r>
        <w:rPr>
          <w:b w:val="0"/>
          <w:sz w:val="28"/>
          <w:szCs w:val="28"/>
        </w:rPr>
        <w:fldChar w:fldCharType="begin"/>
      </w:r>
      <w:r>
        <w:rPr>
          <w:b w:val="0"/>
          <w:sz w:val="28"/>
          <w:szCs w:val="28"/>
        </w:rPr>
        <w:instrText xml:space="preserve"> PAGEREF _Toc26088 \h </w:instrText>
      </w:r>
      <w:r>
        <w:rPr>
          <w:b w:val="0"/>
          <w:sz w:val="28"/>
          <w:szCs w:val="28"/>
        </w:rPr>
        <w:fldChar w:fldCharType="separate"/>
      </w:r>
      <w:r>
        <w:rPr>
          <w:b w:val="0"/>
          <w:sz w:val="28"/>
          <w:szCs w:val="28"/>
        </w:rPr>
        <w:t>105</w:t>
      </w:r>
      <w:r>
        <w:rPr>
          <w:b w:val="0"/>
          <w:sz w:val="28"/>
          <w:szCs w:val="28"/>
        </w:rPr>
        <w:fldChar w:fldCharType="end"/>
      </w:r>
      <w:r>
        <w:rPr>
          <w:b w:val="0"/>
          <w:sz w:val="28"/>
          <w:szCs w:val="28"/>
        </w:rPr>
        <w:fldChar w:fldCharType="end"/>
      </w:r>
    </w:p>
    <w:p w14:paraId="472A0CCA">
      <w:pPr>
        <w:pStyle w:val="18"/>
        <w:tabs>
          <w:tab w:val="right" w:leader="dot" w:pos="8307"/>
          <w:tab w:val="clear" w:pos="1050"/>
          <w:tab w:val="clear" w:pos="8937"/>
        </w:tabs>
        <w:spacing w:line="360" w:lineRule="auto"/>
        <w:rPr>
          <w:b w:val="0"/>
          <w:sz w:val="28"/>
          <w:szCs w:val="28"/>
        </w:rPr>
      </w:pPr>
      <w:r>
        <w:fldChar w:fldCharType="begin"/>
      </w:r>
      <w:r>
        <w:instrText xml:space="preserve"> HYPERLINK \l "_Toc9196" </w:instrText>
      </w:r>
      <w:r>
        <w:fldChar w:fldCharType="separate"/>
      </w:r>
      <w:r>
        <w:rPr>
          <w:b w:val="0"/>
          <w:sz w:val="28"/>
          <w:szCs w:val="28"/>
        </w:rPr>
        <w:t>第七章</w:t>
      </w:r>
      <w:r>
        <w:rPr>
          <w:rFonts w:hint="eastAsia"/>
          <w:b w:val="0"/>
          <w:sz w:val="28"/>
          <w:szCs w:val="28"/>
        </w:rPr>
        <w:t xml:space="preserve">  </w:t>
      </w:r>
      <w:r>
        <w:rPr>
          <w:b w:val="0"/>
          <w:sz w:val="28"/>
          <w:szCs w:val="28"/>
        </w:rPr>
        <w:t>投标文件格式</w:t>
      </w:r>
      <w:r>
        <w:rPr>
          <w:b w:val="0"/>
          <w:sz w:val="28"/>
          <w:szCs w:val="28"/>
        </w:rPr>
        <w:tab/>
      </w:r>
      <w:r>
        <w:rPr>
          <w:b w:val="0"/>
          <w:sz w:val="28"/>
          <w:szCs w:val="28"/>
        </w:rPr>
        <w:fldChar w:fldCharType="begin"/>
      </w:r>
      <w:r>
        <w:rPr>
          <w:b w:val="0"/>
          <w:sz w:val="28"/>
          <w:szCs w:val="28"/>
        </w:rPr>
        <w:instrText xml:space="preserve"> PAGEREF _Toc9196 \h </w:instrText>
      </w:r>
      <w:r>
        <w:rPr>
          <w:b w:val="0"/>
          <w:sz w:val="28"/>
          <w:szCs w:val="28"/>
        </w:rPr>
        <w:fldChar w:fldCharType="separate"/>
      </w:r>
      <w:r>
        <w:rPr>
          <w:b w:val="0"/>
          <w:sz w:val="28"/>
          <w:szCs w:val="28"/>
        </w:rPr>
        <w:t>111</w:t>
      </w:r>
      <w:r>
        <w:rPr>
          <w:b w:val="0"/>
          <w:sz w:val="28"/>
          <w:szCs w:val="28"/>
        </w:rPr>
        <w:fldChar w:fldCharType="end"/>
      </w:r>
      <w:r>
        <w:rPr>
          <w:b w:val="0"/>
          <w:sz w:val="28"/>
          <w:szCs w:val="28"/>
        </w:rPr>
        <w:fldChar w:fldCharType="end"/>
      </w:r>
    </w:p>
    <w:p w14:paraId="0E029365">
      <w:pPr>
        <w:pStyle w:val="18"/>
        <w:spacing w:line="360" w:lineRule="auto"/>
        <w:rPr>
          <w:b w:val="0"/>
        </w:rPr>
      </w:pPr>
      <w:r>
        <w:rPr>
          <w:b w:val="0"/>
          <w:sz w:val="28"/>
          <w:szCs w:val="28"/>
        </w:rPr>
        <w:fldChar w:fldCharType="end"/>
      </w:r>
    </w:p>
    <w:p w14:paraId="657D9F01">
      <w:pPr>
        <w:spacing w:line="360" w:lineRule="auto"/>
        <w:jc w:val="center"/>
        <w:outlineLvl w:val="0"/>
        <w:rPr>
          <w:rFonts w:ascii="宋体" w:hAnsi="宋体"/>
          <w:b/>
          <w:sz w:val="36"/>
          <w:szCs w:val="36"/>
        </w:rPr>
        <w:sectPr>
          <w:footerReference r:id="rId8" w:type="first"/>
          <w:footerReference r:id="rId7" w:type="default"/>
          <w:pgSz w:w="11907" w:h="16840"/>
          <w:pgMar w:top="1440" w:right="1800" w:bottom="1440" w:left="1800" w:header="851" w:footer="851" w:gutter="0"/>
          <w:pgNumType w:start="0"/>
          <w:cols w:space="720" w:num="1"/>
          <w:titlePg/>
          <w:docGrid w:linePitch="462" w:charSpace="0"/>
        </w:sectPr>
      </w:pPr>
    </w:p>
    <w:p w14:paraId="4F12FBE3">
      <w:pPr>
        <w:spacing w:line="360" w:lineRule="auto"/>
        <w:jc w:val="center"/>
        <w:outlineLvl w:val="0"/>
        <w:rPr>
          <w:rFonts w:ascii="宋体" w:hAnsi="宋体"/>
          <w:b/>
          <w:sz w:val="36"/>
          <w:szCs w:val="36"/>
        </w:rPr>
      </w:pPr>
      <w:bookmarkStart w:id="5" w:name="_Toc7478"/>
      <w:r>
        <w:rPr>
          <w:rFonts w:ascii="宋体" w:hAnsi="宋体"/>
          <w:b/>
          <w:sz w:val="36"/>
          <w:szCs w:val="36"/>
        </w:rPr>
        <w:t>第一章</w:t>
      </w:r>
      <w:r>
        <w:rPr>
          <w:rFonts w:hint="eastAsia" w:ascii="宋体" w:hAnsi="宋体"/>
          <w:b/>
          <w:sz w:val="36"/>
          <w:szCs w:val="36"/>
        </w:rPr>
        <w:t xml:space="preserve">  </w:t>
      </w:r>
      <w:r>
        <w:rPr>
          <w:rFonts w:ascii="宋体" w:hAnsi="宋体"/>
          <w:b/>
          <w:sz w:val="36"/>
          <w:szCs w:val="36"/>
        </w:rPr>
        <w:t>投标邀请</w:t>
      </w:r>
      <w:bookmarkEnd w:id="5"/>
    </w:p>
    <w:p w14:paraId="365B2F10">
      <w:pPr>
        <w:pStyle w:val="5"/>
        <w:spacing w:before="0" w:line="360" w:lineRule="auto"/>
        <w:jc w:val="left"/>
        <w:rPr>
          <w:rFonts w:ascii="宋体" w:hAnsi="宋体" w:eastAsia="宋体"/>
          <w:sz w:val="24"/>
          <w:szCs w:val="24"/>
        </w:rPr>
      </w:pPr>
      <w:bookmarkStart w:id="6" w:name="_Toc28359079"/>
      <w:bookmarkStart w:id="7" w:name="_Toc35393621"/>
      <w:bookmarkStart w:id="8" w:name="_Toc35393790"/>
      <w:bookmarkStart w:id="9" w:name="_Toc28359002"/>
      <w:bookmarkStart w:id="10" w:name="_Hlk24379207"/>
      <w:r>
        <w:rPr>
          <w:rFonts w:ascii="宋体" w:hAnsi="宋体" w:eastAsia="宋体"/>
          <w:sz w:val="24"/>
          <w:szCs w:val="24"/>
        </w:rPr>
        <w:t>一、项目基本情况</w:t>
      </w:r>
      <w:bookmarkEnd w:id="6"/>
      <w:bookmarkEnd w:id="7"/>
      <w:bookmarkEnd w:id="8"/>
      <w:bookmarkEnd w:id="9"/>
    </w:p>
    <w:bookmarkEnd w:id="10"/>
    <w:p w14:paraId="23A97FC7">
      <w:pPr>
        <w:spacing w:line="360" w:lineRule="auto"/>
        <w:ind w:firstLine="480" w:firstLineChars="200"/>
        <w:rPr>
          <w:rFonts w:ascii="宋体" w:hAnsi="宋体"/>
          <w:sz w:val="24"/>
          <w:u w:val="single"/>
        </w:rPr>
      </w:pPr>
      <w:r>
        <w:rPr>
          <w:rFonts w:ascii="宋体" w:hAnsi="宋体"/>
          <w:sz w:val="24"/>
        </w:rPr>
        <w:t>1.项目编号：</w:t>
      </w:r>
      <w:r>
        <w:rPr>
          <w:rFonts w:hint="eastAsia" w:ascii="宋体" w:hAnsi="宋体"/>
          <w:sz w:val="24"/>
          <w:u w:val="single"/>
        </w:rPr>
        <w:t>ZXHD26316</w:t>
      </w:r>
    </w:p>
    <w:p w14:paraId="525FB89A">
      <w:pPr>
        <w:spacing w:line="360" w:lineRule="auto"/>
        <w:ind w:firstLine="480" w:firstLineChars="200"/>
        <w:rPr>
          <w:rFonts w:ascii="宋体" w:hAnsi="宋体"/>
          <w:sz w:val="24"/>
          <w:u w:val="single"/>
        </w:rPr>
      </w:pPr>
      <w:r>
        <w:rPr>
          <w:rFonts w:ascii="宋体" w:hAnsi="宋体"/>
          <w:sz w:val="24"/>
        </w:rPr>
        <w:t>2.项目名称：</w:t>
      </w:r>
      <w:r>
        <w:rPr>
          <w:rFonts w:hint="eastAsia" w:ascii="宋体" w:hAnsi="宋体"/>
          <w:sz w:val="24"/>
          <w:u w:val="single"/>
        </w:rPr>
        <w:t>传染病四大症候群监测等央补项目试剂耗材购置</w:t>
      </w:r>
    </w:p>
    <w:p w14:paraId="7CA39A34">
      <w:pPr>
        <w:spacing w:line="360" w:lineRule="auto"/>
        <w:ind w:firstLine="480" w:firstLineChars="200"/>
        <w:rPr>
          <w:rFonts w:ascii="宋体" w:hAnsi="宋体"/>
          <w:sz w:val="24"/>
        </w:rPr>
      </w:pPr>
      <w:r>
        <w:rPr>
          <w:rFonts w:ascii="宋体" w:hAnsi="宋体"/>
          <w:sz w:val="24"/>
        </w:rPr>
        <w:t>3.项目预算金额：</w:t>
      </w:r>
      <w:r>
        <w:rPr>
          <w:rFonts w:hint="eastAsia" w:ascii="宋体" w:hAnsi="宋体" w:cs="仿宋"/>
          <w:sz w:val="24"/>
          <w:u w:val="single"/>
        </w:rPr>
        <w:t>209.663865</w:t>
      </w:r>
      <w:r>
        <w:rPr>
          <w:rFonts w:hint="eastAsia" w:ascii="宋体" w:hAnsi="宋体"/>
          <w:sz w:val="24"/>
        </w:rPr>
        <w:t>万元，项目最高限价：</w:t>
      </w:r>
      <w:r>
        <w:rPr>
          <w:rFonts w:hint="eastAsia" w:ascii="宋体" w:hAnsi="宋体" w:cs="仿宋"/>
          <w:sz w:val="24"/>
          <w:u w:val="single"/>
        </w:rPr>
        <w:t>209.663865</w:t>
      </w:r>
      <w:r>
        <w:rPr>
          <w:rFonts w:hint="eastAsia" w:ascii="宋体" w:hAnsi="宋体"/>
          <w:sz w:val="24"/>
        </w:rPr>
        <w:t>万元</w:t>
      </w:r>
    </w:p>
    <w:p w14:paraId="3606D5CF">
      <w:pPr>
        <w:spacing w:line="360" w:lineRule="auto"/>
        <w:ind w:firstLine="480" w:firstLineChars="200"/>
        <w:rPr>
          <w:rFonts w:ascii="宋体" w:hAnsi="宋体"/>
          <w:sz w:val="24"/>
        </w:rPr>
      </w:pPr>
      <w:r>
        <w:rPr>
          <w:rFonts w:ascii="宋体" w:hAnsi="宋体"/>
          <w:sz w:val="24"/>
        </w:rPr>
        <w:t>4.采购需求：</w:t>
      </w:r>
      <w:r>
        <w:rPr>
          <w:rFonts w:hint="eastAsia" w:ascii="宋体" w:hAnsi="宋体"/>
          <w:sz w:val="24"/>
        </w:rPr>
        <w:t>具体内容详见第五章《采购需求》</w:t>
      </w:r>
    </w:p>
    <w:p w14:paraId="58BFC226">
      <w:pPr>
        <w:numPr>
          <w:ilvl w:val="255"/>
          <w:numId w:val="0"/>
        </w:numPr>
        <w:spacing w:line="360" w:lineRule="auto"/>
        <w:ind w:firstLine="480" w:firstLineChars="200"/>
        <w:rPr>
          <w:rFonts w:ascii="宋体" w:hAnsi="宋体" w:cs="宋体"/>
          <w:bCs/>
          <w:sz w:val="24"/>
        </w:rPr>
      </w:pPr>
      <w:r>
        <w:rPr>
          <w:rFonts w:hint="eastAsia" w:ascii="宋体" w:hAnsi="宋体"/>
          <w:sz w:val="24"/>
        </w:rPr>
        <w:t>5.合同履行期限：合同生效后至2026年12月31日前完成全部供货</w:t>
      </w:r>
    </w:p>
    <w:p w14:paraId="4F4C12E2">
      <w:pPr>
        <w:spacing w:line="360" w:lineRule="auto"/>
        <w:ind w:firstLine="480" w:firstLineChars="200"/>
        <w:rPr>
          <w:rFonts w:ascii="宋体" w:hAnsi="宋体"/>
          <w:sz w:val="24"/>
        </w:rPr>
      </w:pPr>
      <w:r>
        <w:rPr>
          <w:rFonts w:ascii="宋体" w:hAnsi="宋体"/>
          <w:sz w:val="24"/>
        </w:rPr>
        <w:t>6.本项目是否接受联合体投标：</w:t>
      </w:r>
      <w:r>
        <w:rPr>
          <w:rFonts w:hint="eastAsia" w:ascii="宋体" w:hAnsi="宋体"/>
          <w:sz w:val="24"/>
        </w:rPr>
        <w:t>□</w:t>
      </w:r>
      <w:r>
        <w:rPr>
          <w:rFonts w:ascii="宋体" w:hAnsi="宋体"/>
          <w:sz w:val="24"/>
        </w:rPr>
        <w:t>是  ■否。</w:t>
      </w:r>
    </w:p>
    <w:p w14:paraId="0754221F">
      <w:pPr>
        <w:spacing w:line="360" w:lineRule="auto"/>
        <w:ind w:firstLine="480" w:firstLineChars="200"/>
        <w:rPr>
          <w:rFonts w:ascii="宋体" w:hAnsi="宋体"/>
          <w:sz w:val="24"/>
        </w:rPr>
      </w:pPr>
      <w:bookmarkStart w:id="11" w:name="_Toc28359080"/>
      <w:bookmarkStart w:id="12" w:name="_Toc35393791"/>
      <w:bookmarkStart w:id="13" w:name="_Toc28359003"/>
      <w:bookmarkStart w:id="14" w:name="_Toc35393622"/>
      <w:r>
        <w:rPr>
          <w:rFonts w:hint="eastAsia" w:ascii="宋体" w:hAnsi="宋体"/>
          <w:sz w:val="24"/>
        </w:rPr>
        <w:t>7</w:t>
      </w:r>
      <w:r>
        <w:rPr>
          <w:rFonts w:ascii="宋体" w:hAnsi="宋体"/>
          <w:sz w:val="24"/>
        </w:rPr>
        <w:t>.本项目是否</w:t>
      </w:r>
      <w:r>
        <w:rPr>
          <w:rFonts w:hint="eastAsia" w:ascii="宋体" w:hAnsi="宋体"/>
          <w:sz w:val="24"/>
        </w:rPr>
        <w:t>允许</w:t>
      </w:r>
      <w:r>
        <w:rPr>
          <w:rFonts w:ascii="宋体" w:hAnsi="宋体"/>
          <w:sz w:val="24"/>
        </w:rPr>
        <w:t>进口产品投标：</w:t>
      </w:r>
      <w:r>
        <w:rPr>
          <w:rFonts w:hint="eastAsia" w:ascii="宋体" w:hAnsi="宋体"/>
          <w:sz w:val="24"/>
        </w:rPr>
        <w:t>□</w:t>
      </w:r>
      <w:r>
        <w:rPr>
          <w:rFonts w:ascii="宋体" w:hAnsi="宋体"/>
          <w:sz w:val="24"/>
        </w:rPr>
        <w:t>是  ■否。</w:t>
      </w:r>
    </w:p>
    <w:p w14:paraId="6FCE58D6">
      <w:pPr>
        <w:pStyle w:val="5"/>
        <w:spacing w:before="0" w:line="360" w:lineRule="auto"/>
        <w:jc w:val="left"/>
        <w:rPr>
          <w:rFonts w:ascii="宋体" w:hAnsi="宋体" w:eastAsia="宋体"/>
          <w:sz w:val="24"/>
          <w:szCs w:val="24"/>
        </w:rPr>
      </w:pPr>
      <w:r>
        <w:rPr>
          <w:rFonts w:ascii="宋体" w:hAnsi="宋体" w:eastAsia="宋体"/>
          <w:sz w:val="24"/>
          <w:szCs w:val="24"/>
        </w:rPr>
        <w:t>二、申请人的资格要求（须同时满足）</w:t>
      </w:r>
      <w:bookmarkEnd w:id="11"/>
      <w:bookmarkEnd w:id="12"/>
      <w:bookmarkEnd w:id="13"/>
      <w:bookmarkEnd w:id="14"/>
    </w:p>
    <w:p w14:paraId="465E3BB0">
      <w:pPr>
        <w:spacing w:line="360" w:lineRule="auto"/>
        <w:ind w:firstLine="480" w:firstLineChars="200"/>
        <w:rPr>
          <w:rFonts w:ascii="宋体" w:hAnsi="宋体"/>
          <w:sz w:val="24"/>
        </w:rPr>
      </w:pPr>
      <w:r>
        <w:rPr>
          <w:rFonts w:ascii="宋体" w:hAnsi="宋体"/>
          <w:sz w:val="24"/>
        </w:rPr>
        <w:t>1.满足《中华人民共和国政府采购法》第二十二条规定；</w:t>
      </w:r>
    </w:p>
    <w:p w14:paraId="65AB903D">
      <w:pPr>
        <w:spacing w:line="360" w:lineRule="auto"/>
        <w:ind w:firstLine="480" w:firstLineChars="200"/>
        <w:rPr>
          <w:rFonts w:ascii="宋体" w:hAnsi="宋体"/>
          <w:sz w:val="24"/>
        </w:rPr>
      </w:pPr>
      <w:bookmarkStart w:id="15" w:name="_Toc28359004"/>
      <w:bookmarkStart w:id="16" w:name="_Toc28359081"/>
      <w:r>
        <w:rPr>
          <w:rFonts w:ascii="宋体" w:hAnsi="宋体"/>
          <w:sz w:val="24"/>
        </w:rPr>
        <w:t>2.落实政府采购政策需满足的资格要求：</w:t>
      </w:r>
    </w:p>
    <w:p w14:paraId="24456C3C">
      <w:pPr>
        <w:spacing w:line="360" w:lineRule="auto"/>
        <w:ind w:firstLine="480" w:firstLineChars="200"/>
        <w:rPr>
          <w:rFonts w:ascii="宋体" w:hAnsi="宋体"/>
          <w:sz w:val="24"/>
        </w:rPr>
      </w:pPr>
      <w:r>
        <w:rPr>
          <w:rFonts w:ascii="宋体" w:hAnsi="宋体"/>
          <w:sz w:val="24"/>
        </w:rPr>
        <w:t>2.1 中小企业政策</w:t>
      </w:r>
    </w:p>
    <w:p w14:paraId="7316EC4A">
      <w:pPr>
        <w:spacing w:line="360" w:lineRule="auto"/>
        <w:ind w:firstLine="480" w:firstLineChars="200"/>
        <w:rPr>
          <w:rFonts w:ascii="宋体" w:hAnsi="宋体"/>
          <w:sz w:val="24"/>
        </w:rPr>
      </w:pPr>
      <w:r>
        <w:rPr>
          <w:rFonts w:ascii="宋体" w:hAnsi="宋体"/>
          <w:sz w:val="24"/>
        </w:rPr>
        <w:t>□</w:t>
      </w:r>
      <w:r>
        <w:rPr>
          <w:rFonts w:hint="eastAsia" w:ascii="宋体" w:hAnsi="宋体"/>
          <w:sz w:val="24"/>
        </w:rPr>
        <w:t>本项目不专门面向中小企业预留采购份额。</w:t>
      </w:r>
    </w:p>
    <w:p w14:paraId="400393EB">
      <w:pPr>
        <w:spacing w:line="360" w:lineRule="auto"/>
        <w:ind w:firstLine="480" w:firstLineChars="200"/>
        <w:rPr>
          <w:rFonts w:ascii="宋体" w:hAnsi="宋体"/>
          <w:sz w:val="24"/>
        </w:rPr>
      </w:pPr>
      <w:r>
        <w:rPr>
          <w:rFonts w:ascii="宋体" w:hAnsi="宋体"/>
          <w:sz w:val="24"/>
        </w:rPr>
        <w:t>□</w:t>
      </w:r>
      <w:r>
        <w:rPr>
          <w:rFonts w:hint="eastAsia" w:ascii="宋体" w:hAnsi="宋体"/>
          <w:sz w:val="24"/>
        </w:rPr>
        <w:t>本项目专门面向 □中小 □小微企业 采购。即：提供的货物全部由符合政策要求的中小/小微企业制造、服务全部由符合政策要求的中小/小微企业承接。</w:t>
      </w:r>
    </w:p>
    <w:p w14:paraId="4227293F">
      <w:pPr>
        <w:spacing w:line="360" w:lineRule="auto"/>
        <w:ind w:firstLine="480" w:firstLineChars="200"/>
        <w:rPr>
          <w:rFonts w:ascii="宋体" w:hAnsi="宋体"/>
          <w:sz w:val="24"/>
          <w:u w:val="single"/>
        </w:rPr>
      </w:pPr>
      <w:r>
        <w:rPr>
          <w:rFonts w:ascii="宋体" w:hAnsi="宋体"/>
          <w:sz w:val="24"/>
        </w:rPr>
        <w:t>■本项目预留部分采购项目预算专门面向中小企业采购。</w:t>
      </w:r>
      <w:r>
        <w:rPr>
          <w:rFonts w:hint="eastAsia" w:ascii="宋体" w:hAnsi="宋体"/>
          <w:sz w:val="24"/>
        </w:rPr>
        <w:t>对于预留份额，提供的货物由符合政策要求的中小企业制造。预留份额通过以下措施进行：</w:t>
      </w:r>
      <w:r>
        <w:rPr>
          <w:rFonts w:hint="eastAsia" w:ascii="宋体" w:hAnsi="宋体"/>
          <w:sz w:val="24"/>
          <w:u w:val="single"/>
        </w:rPr>
        <w:t>预留中小企业份额60%，其中预留小微企业份额占预留中小企业份额75.00%</w:t>
      </w:r>
      <w:r>
        <w:rPr>
          <w:rFonts w:hint="eastAsia" w:ascii="宋体" w:hAnsi="宋体"/>
          <w:sz w:val="24"/>
        </w:rPr>
        <w:t>。</w:t>
      </w:r>
    </w:p>
    <w:p w14:paraId="120CEE2F">
      <w:pPr>
        <w:spacing w:line="360" w:lineRule="auto"/>
        <w:ind w:firstLine="480" w:firstLineChars="200"/>
        <w:rPr>
          <w:rFonts w:ascii="宋体" w:hAnsi="宋体"/>
          <w:sz w:val="24"/>
        </w:rPr>
      </w:pPr>
      <w:r>
        <w:rPr>
          <w:rFonts w:ascii="宋体" w:hAnsi="宋体"/>
          <w:sz w:val="24"/>
        </w:rPr>
        <w:t xml:space="preserve">2.2 </w:t>
      </w:r>
      <w:r>
        <w:rPr>
          <w:rFonts w:hint="eastAsia" w:ascii="宋体" w:hAnsi="宋体"/>
          <w:sz w:val="24"/>
        </w:rPr>
        <w:t>其他</w:t>
      </w:r>
      <w:r>
        <w:rPr>
          <w:rFonts w:ascii="宋体" w:hAnsi="宋体"/>
          <w:sz w:val="24"/>
        </w:rPr>
        <w:t>落实政府采购政策的资格要求（如有）：</w:t>
      </w:r>
      <w:r>
        <w:rPr>
          <w:rFonts w:hint="eastAsia" w:ascii="宋体" w:hAnsi="宋体"/>
          <w:sz w:val="24"/>
          <w:u w:val="single"/>
        </w:rPr>
        <w:t xml:space="preserve">   /   </w:t>
      </w:r>
      <w:r>
        <w:rPr>
          <w:rFonts w:hint="eastAsia" w:ascii="宋体" w:hAnsi="宋体"/>
          <w:sz w:val="24"/>
        </w:rPr>
        <w:t>。</w:t>
      </w:r>
    </w:p>
    <w:p w14:paraId="1983C95C">
      <w:pPr>
        <w:spacing w:line="360" w:lineRule="auto"/>
        <w:ind w:firstLine="480" w:firstLineChars="200"/>
        <w:rPr>
          <w:rFonts w:ascii="宋体" w:hAnsi="宋体"/>
          <w:i/>
          <w:iCs/>
          <w:sz w:val="24"/>
          <w:u w:val="single"/>
        </w:rPr>
      </w:pPr>
      <w:r>
        <w:rPr>
          <w:rFonts w:ascii="宋体" w:hAnsi="宋体"/>
          <w:sz w:val="24"/>
        </w:rPr>
        <w:t>3.本项目的特定资格要求：</w:t>
      </w:r>
    </w:p>
    <w:p w14:paraId="7CE625CB">
      <w:pPr>
        <w:tabs>
          <w:tab w:val="left" w:pos="900"/>
          <w:tab w:val="left" w:pos="1134"/>
          <w:tab w:val="left" w:pos="1589"/>
          <w:tab w:val="left" w:pos="5521"/>
        </w:tabs>
        <w:snapToGrid w:val="0"/>
        <w:spacing w:line="360" w:lineRule="auto"/>
        <w:ind w:firstLine="480" w:firstLineChars="200"/>
        <w:rPr>
          <w:rFonts w:ascii="宋体" w:hAnsi="宋体"/>
          <w:sz w:val="24"/>
        </w:rPr>
      </w:pPr>
      <w:r>
        <w:rPr>
          <w:rFonts w:ascii="宋体" w:hAnsi="宋体"/>
          <w:sz w:val="24"/>
        </w:rPr>
        <w:t>3.</w:t>
      </w:r>
      <w:r>
        <w:rPr>
          <w:rFonts w:hint="eastAsia" w:ascii="宋体" w:hAnsi="宋体"/>
          <w:sz w:val="24"/>
        </w:rPr>
        <w:t>1</w:t>
      </w:r>
      <w:r>
        <w:rPr>
          <w:rFonts w:ascii="宋体" w:hAnsi="宋体"/>
          <w:sz w:val="24"/>
        </w:rPr>
        <w:t>本项目是否属于政府购买服务：</w:t>
      </w:r>
    </w:p>
    <w:p w14:paraId="72338096">
      <w:pPr>
        <w:tabs>
          <w:tab w:val="left" w:pos="900"/>
          <w:tab w:val="left" w:pos="1134"/>
          <w:tab w:val="left" w:pos="1589"/>
          <w:tab w:val="left" w:pos="5521"/>
        </w:tabs>
        <w:snapToGrid w:val="0"/>
        <w:spacing w:line="360" w:lineRule="auto"/>
        <w:ind w:left="2398" w:leftChars="456" w:hanging="1440" w:hangingChars="600"/>
        <w:rPr>
          <w:rFonts w:ascii="宋体" w:hAnsi="宋体"/>
          <w:sz w:val="24"/>
        </w:rPr>
      </w:pPr>
      <w:r>
        <w:rPr>
          <w:rFonts w:ascii="宋体" w:hAnsi="宋体"/>
          <w:sz w:val="24"/>
        </w:rPr>
        <w:t>■</w:t>
      </w:r>
      <w:r>
        <w:rPr>
          <w:rFonts w:hint="eastAsia" w:ascii="宋体" w:hAnsi="宋体"/>
          <w:sz w:val="24"/>
        </w:rPr>
        <w:t xml:space="preserve"> </w:t>
      </w:r>
      <w:r>
        <w:rPr>
          <w:rFonts w:ascii="宋体" w:hAnsi="宋体"/>
          <w:sz w:val="24"/>
        </w:rPr>
        <w:t>否</w:t>
      </w:r>
    </w:p>
    <w:p w14:paraId="69A5559D">
      <w:pPr>
        <w:tabs>
          <w:tab w:val="left" w:pos="900"/>
          <w:tab w:val="left" w:pos="1134"/>
          <w:tab w:val="left" w:pos="1589"/>
          <w:tab w:val="left" w:pos="5521"/>
        </w:tabs>
        <w:snapToGrid w:val="0"/>
        <w:spacing w:line="360" w:lineRule="auto"/>
        <w:ind w:left="1838" w:leftChars="455" w:hanging="883" w:hangingChars="368"/>
        <w:rPr>
          <w:rFonts w:ascii="宋体" w:hAnsi="宋体"/>
          <w:sz w:val="24"/>
        </w:rPr>
      </w:pPr>
      <w:bookmarkStart w:id="17" w:name="OLE_LINK2"/>
      <w:bookmarkStart w:id="18" w:name="OLE_LINK3"/>
      <w:r>
        <w:rPr>
          <w:rFonts w:ascii="宋体" w:hAnsi="宋体"/>
          <w:sz w:val="24"/>
        </w:rPr>
        <w:t>□</w:t>
      </w:r>
      <w:bookmarkEnd w:id="17"/>
      <w:bookmarkEnd w:id="18"/>
      <w:r>
        <w:rPr>
          <w:rFonts w:hint="eastAsia" w:ascii="宋体" w:hAnsi="宋体"/>
          <w:sz w:val="24"/>
        </w:rPr>
        <w:t xml:space="preserve"> </w:t>
      </w:r>
      <w:r>
        <w:rPr>
          <w:rFonts w:ascii="宋体" w:hAnsi="宋体"/>
          <w:sz w:val="24"/>
        </w:rPr>
        <w:t>是，公益一类事业单位、使用事业编制且由财政拨款保障的群团组织，不得作为承接主体；</w:t>
      </w:r>
    </w:p>
    <w:p w14:paraId="50706AEA">
      <w:pPr>
        <w:pStyle w:val="10"/>
        <w:tabs>
          <w:tab w:val="left" w:pos="499"/>
          <w:tab w:val="clear" w:pos="567"/>
        </w:tabs>
        <w:spacing w:before="1" w:line="360" w:lineRule="auto"/>
        <w:ind w:firstLine="480" w:firstLineChars="200"/>
      </w:pPr>
      <w:r>
        <w:t>3.</w:t>
      </w:r>
      <w:r>
        <w:rPr>
          <w:rFonts w:hint="eastAsia"/>
        </w:rPr>
        <w:t>2</w:t>
      </w:r>
      <w:r>
        <w:t>其他特定资格要求</w:t>
      </w:r>
      <w:r>
        <w:rPr>
          <w:rFonts w:hint="eastAsia"/>
        </w:rPr>
        <w:t>：</w:t>
      </w:r>
    </w:p>
    <w:p w14:paraId="38A0840D">
      <w:pPr>
        <w:pStyle w:val="10"/>
        <w:tabs>
          <w:tab w:val="left" w:pos="499"/>
          <w:tab w:val="clear" w:pos="567"/>
        </w:tabs>
        <w:spacing w:before="1" w:line="360" w:lineRule="auto"/>
        <w:ind w:firstLine="480" w:firstLineChars="200"/>
      </w:pPr>
      <w:r>
        <w:rPr>
          <w:rFonts w:hint="eastAsia"/>
        </w:rPr>
        <w:t>3.2.1在“信用中国”网站（www.creditchina.gov.cn）被列入失信被执行人和重大税收违法案件当事人名单的；或在“中国政府采购网”网站（www.ccgp.gov.cn）被列入政府采购严重违法失信行为记录名单（处罚期限尚未届满的）的供应商，不得参与本项目的政府采购活动。</w:t>
      </w:r>
    </w:p>
    <w:p w14:paraId="4B90F0E1">
      <w:pPr>
        <w:pStyle w:val="10"/>
        <w:tabs>
          <w:tab w:val="left" w:pos="499"/>
          <w:tab w:val="clear" w:pos="567"/>
        </w:tabs>
        <w:spacing w:before="1" w:line="360" w:lineRule="auto"/>
        <w:ind w:firstLine="480" w:firstLineChars="200"/>
      </w:pPr>
      <w:r>
        <w:rPr>
          <w:rFonts w:hint="eastAsia"/>
        </w:rPr>
        <w:t>3.2.2投标产品属于医疗器械的，投标人如为代理商，投标人应具有合法有效的医疗器械经营资格；投标人如为制造商，使用自身生产的产品投标时，投标人应具有合法有效的医疗器械生产资格。</w:t>
      </w:r>
    </w:p>
    <w:bookmarkEnd w:id="15"/>
    <w:bookmarkEnd w:id="16"/>
    <w:p w14:paraId="1F609CE8">
      <w:pPr>
        <w:pStyle w:val="5"/>
        <w:widowControl/>
        <w:spacing w:before="0" w:line="360" w:lineRule="auto"/>
        <w:jc w:val="left"/>
        <w:rPr>
          <w:rFonts w:ascii="宋体" w:hAnsi="宋体" w:eastAsia="宋体"/>
          <w:sz w:val="24"/>
          <w:szCs w:val="24"/>
        </w:rPr>
      </w:pPr>
      <w:bookmarkStart w:id="19" w:name="_Toc35393792"/>
      <w:bookmarkStart w:id="20" w:name="_Toc35393623"/>
      <w:r>
        <w:rPr>
          <w:rFonts w:ascii="宋体" w:hAnsi="宋体" w:eastAsia="宋体"/>
          <w:sz w:val="24"/>
          <w:szCs w:val="24"/>
        </w:rPr>
        <w:t>三、获取招标文件</w:t>
      </w:r>
      <w:bookmarkEnd w:id="19"/>
      <w:bookmarkEnd w:id="20"/>
    </w:p>
    <w:p w14:paraId="0E9518C5">
      <w:pPr>
        <w:adjustRightInd w:val="0"/>
        <w:snapToGrid w:val="0"/>
        <w:spacing w:line="360" w:lineRule="auto"/>
        <w:ind w:firstLine="480" w:firstLineChars="200"/>
        <w:rPr>
          <w:rFonts w:ascii="宋体" w:hAnsi="宋体"/>
          <w:sz w:val="24"/>
        </w:rPr>
      </w:pPr>
      <w:r>
        <w:rPr>
          <w:rFonts w:ascii="宋体" w:hAnsi="宋体"/>
          <w:sz w:val="24"/>
        </w:rPr>
        <w:t>1.时间：</w:t>
      </w:r>
      <w:r>
        <w:rPr>
          <w:rFonts w:hint="eastAsia" w:ascii="宋体" w:hAnsi="宋体"/>
          <w:sz w:val="24"/>
        </w:rPr>
        <w:t>2026</w:t>
      </w:r>
      <w:r>
        <w:rPr>
          <w:rFonts w:ascii="宋体" w:hAnsi="宋体"/>
          <w:sz w:val="24"/>
        </w:rPr>
        <w:t>年</w:t>
      </w:r>
      <w:r>
        <w:rPr>
          <w:rFonts w:hint="eastAsia" w:ascii="宋体" w:hAnsi="宋体"/>
          <w:sz w:val="24"/>
          <w:lang w:val="en-US" w:eastAsia="zh-CN"/>
        </w:rPr>
        <w:t>9</w:t>
      </w:r>
      <w:r>
        <w:rPr>
          <w:rFonts w:hint="eastAsia" w:ascii="宋体" w:hAnsi="宋体"/>
          <w:sz w:val="24"/>
        </w:rPr>
        <w:t>月</w:t>
      </w:r>
      <w:r>
        <w:rPr>
          <w:rFonts w:hint="eastAsia" w:ascii="宋体" w:hAnsi="宋体"/>
          <w:sz w:val="24"/>
          <w:lang w:val="en-US" w:eastAsia="zh-CN"/>
        </w:rPr>
        <w:t>30</w:t>
      </w:r>
      <w:r>
        <w:rPr>
          <w:rFonts w:hint="eastAsia" w:ascii="宋体" w:hAnsi="宋体"/>
          <w:sz w:val="24"/>
        </w:rPr>
        <w:t>日起至2026年</w:t>
      </w:r>
      <w:r>
        <w:rPr>
          <w:rFonts w:hint="eastAsia" w:ascii="宋体" w:hAnsi="宋体"/>
          <w:sz w:val="24"/>
          <w:lang w:val="en-US" w:eastAsia="zh-CN"/>
        </w:rPr>
        <w:t>10</w:t>
      </w:r>
      <w:r>
        <w:rPr>
          <w:rFonts w:ascii="宋体" w:hAnsi="宋体"/>
          <w:sz w:val="24"/>
        </w:rPr>
        <w:t>月</w:t>
      </w:r>
      <w:r>
        <w:rPr>
          <w:rFonts w:hint="eastAsia" w:ascii="宋体" w:hAnsi="宋体"/>
          <w:sz w:val="24"/>
          <w:lang w:val="en-US" w:eastAsia="zh-CN"/>
        </w:rPr>
        <w:t>13</w:t>
      </w:r>
      <w:r>
        <w:rPr>
          <w:rFonts w:ascii="宋体" w:hAnsi="宋体"/>
          <w:sz w:val="24"/>
        </w:rPr>
        <w:t>日，每天上午</w:t>
      </w:r>
      <w:r>
        <w:rPr>
          <w:rFonts w:hint="eastAsia" w:ascii="宋体" w:hAnsi="宋体"/>
          <w:sz w:val="24"/>
        </w:rPr>
        <w:t>8:30</w:t>
      </w:r>
      <w:r>
        <w:rPr>
          <w:rFonts w:ascii="宋体" w:hAnsi="宋体"/>
          <w:sz w:val="24"/>
        </w:rPr>
        <w:t>至</w:t>
      </w:r>
      <w:r>
        <w:rPr>
          <w:rFonts w:hint="eastAsia" w:ascii="宋体" w:hAnsi="宋体"/>
          <w:sz w:val="24"/>
        </w:rPr>
        <w:t>11:30</w:t>
      </w:r>
      <w:r>
        <w:rPr>
          <w:rFonts w:ascii="宋体" w:hAnsi="宋体"/>
          <w:sz w:val="24"/>
        </w:rPr>
        <w:t>，下午</w:t>
      </w:r>
      <w:r>
        <w:rPr>
          <w:rFonts w:hint="eastAsia" w:ascii="宋体" w:hAnsi="宋体"/>
          <w:sz w:val="24"/>
        </w:rPr>
        <w:t>13:30</w:t>
      </w:r>
      <w:r>
        <w:rPr>
          <w:rFonts w:ascii="宋体" w:hAnsi="宋体"/>
          <w:sz w:val="24"/>
        </w:rPr>
        <w:t>至</w:t>
      </w:r>
      <w:r>
        <w:rPr>
          <w:rFonts w:hint="eastAsia" w:ascii="宋体" w:hAnsi="宋体"/>
          <w:sz w:val="24"/>
        </w:rPr>
        <w:t>17:00</w:t>
      </w:r>
      <w:r>
        <w:rPr>
          <w:rFonts w:ascii="宋体" w:hAnsi="宋体"/>
          <w:sz w:val="24"/>
        </w:rPr>
        <w:t>（北京时间，法定节假日除外）。</w:t>
      </w:r>
    </w:p>
    <w:p w14:paraId="2B43E5CF">
      <w:pPr>
        <w:adjustRightInd w:val="0"/>
        <w:snapToGrid w:val="0"/>
        <w:spacing w:line="360" w:lineRule="auto"/>
        <w:ind w:firstLine="480" w:firstLineChars="200"/>
        <w:rPr>
          <w:rFonts w:ascii="宋体" w:hAnsi="宋体"/>
          <w:sz w:val="24"/>
        </w:rPr>
      </w:pPr>
      <w:r>
        <w:rPr>
          <w:rFonts w:ascii="宋体" w:hAnsi="宋体"/>
          <w:sz w:val="24"/>
        </w:rPr>
        <w:t>2.地点：北京市政府采购电子交易平台</w:t>
      </w:r>
    </w:p>
    <w:p w14:paraId="6A511A45">
      <w:pPr>
        <w:adjustRightInd w:val="0"/>
        <w:snapToGrid w:val="0"/>
        <w:spacing w:line="360" w:lineRule="auto"/>
        <w:ind w:firstLine="480" w:firstLineChars="200"/>
        <w:rPr>
          <w:rFonts w:asciiTheme="minorEastAsia" w:hAnsiTheme="minorEastAsia" w:eastAsiaTheme="minorEastAsia"/>
          <w:sz w:val="24"/>
          <w:lang w:bidi="ar"/>
        </w:rPr>
      </w:pPr>
      <w:r>
        <w:rPr>
          <w:rFonts w:ascii="宋体" w:hAnsi="宋体"/>
          <w:sz w:val="24"/>
        </w:rPr>
        <w:t>3.方式：</w:t>
      </w:r>
      <w:r>
        <w:rPr>
          <w:rFonts w:hint="eastAsia" w:ascii="宋体" w:hAnsi="宋体"/>
          <w:sz w:val="24"/>
          <w:lang w:bidi="ar"/>
        </w:rPr>
        <w:t>供应商使用</w:t>
      </w:r>
      <w:r>
        <w:rPr>
          <w:rFonts w:ascii="宋体" w:hAnsi="宋体"/>
          <w:sz w:val="24"/>
          <w:lang w:bidi="ar"/>
        </w:rPr>
        <w:t>CA</w:t>
      </w:r>
      <w:r>
        <w:rPr>
          <w:rFonts w:hint="eastAsia" w:ascii="宋体" w:hAnsi="宋体"/>
          <w:sz w:val="24"/>
          <w:lang w:bidi="ar"/>
        </w:rPr>
        <w:t>数字证书或电子营业执照登录北京市政府采购电子交易平</w:t>
      </w:r>
      <w:r>
        <w:rPr>
          <w:rFonts w:hint="eastAsia" w:asciiTheme="minorEastAsia" w:hAnsiTheme="minorEastAsia" w:eastAsiaTheme="minorEastAsia"/>
          <w:sz w:val="24"/>
          <w:lang w:bidi="ar"/>
        </w:rPr>
        <w:t>台（</w:t>
      </w:r>
      <w:r>
        <w:fldChar w:fldCharType="begin"/>
      </w:r>
      <w:r>
        <w:instrText xml:space="preserve"> HYPERLINK "http://zbcg-bjzc.zhongcy.com/bjczj-portal-site/index.html" </w:instrText>
      </w:r>
      <w:r>
        <w:fldChar w:fldCharType="separate"/>
      </w:r>
      <w:r>
        <w:rPr>
          <w:rFonts w:asciiTheme="minorEastAsia" w:hAnsiTheme="minorEastAsia" w:eastAsiaTheme="minorEastAsia"/>
          <w:sz w:val="24"/>
          <w:lang w:bidi="ar"/>
        </w:rPr>
        <w:t>http://zbcg-bjzc.zhongcy.com/bjczj-portal-site/index.html#</w:t>
      </w:r>
      <w:r>
        <w:rPr>
          <w:rFonts w:asciiTheme="minorEastAsia" w:hAnsiTheme="minorEastAsia" w:eastAsiaTheme="minorEastAsia"/>
          <w:sz w:val="24"/>
          <w:lang w:bidi="ar"/>
        </w:rPr>
        <w:fldChar w:fldCharType="end"/>
      </w:r>
    </w:p>
    <w:p w14:paraId="7B9590A8">
      <w:pPr>
        <w:adjustRightInd w:val="0"/>
        <w:snapToGrid w:val="0"/>
        <w:spacing w:line="360" w:lineRule="auto"/>
        <w:rPr>
          <w:rFonts w:ascii="宋体" w:hAnsi="宋体"/>
          <w:sz w:val="24"/>
        </w:rPr>
      </w:pPr>
      <w:r>
        <w:rPr>
          <w:rFonts w:ascii="宋体" w:hAnsi="宋体"/>
          <w:sz w:val="24"/>
          <w:lang w:bidi="ar"/>
        </w:rPr>
        <w:t>/home</w:t>
      </w:r>
      <w:r>
        <w:rPr>
          <w:rFonts w:hint="eastAsia" w:ascii="宋体" w:hAnsi="宋体"/>
          <w:sz w:val="24"/>
          <w:lang w:bidi="ar"/>
        </w:rPr>
        <w:t>）获取电子版招标文件</w:t>
      </w:r>
      <w:r>
        <w:rPr>
          <w:rFonts w:ascii="宋体" w:hAnsi="宋体"/>
          <w:sz w:val="24"/>
        </w:rPr>
        <w:t>。</w:t>
      </w:r>
    </w:p>
    <w:p w14:paraId="391F1FD3">
      <w:pPr>
        <w:wordWrap w:val="0"/>
        <w:adjustRightInd w:val="0"/>
        <w:snapToGrid w:val="0"/>
        <w:spacing w:line="360" w:lineRule="auto"/>
        <w:ind w:firstLine="482" w:firstLineChars="200"/>
        <w:jc w:val="left"/>
        <w:rPr>
          <w:rFonts w:ascii="宋体" w:hAnsi="宋体"/>
          <w:sz w:val="24"/>
        </w:rPr>
      </w:pPr>
      <w:r>
        <w:rPr>
          <w:rFonts w:hint="eastAsia" w:ascii="宋体" w:hAnsi="宋体"/>
          <w:b/>
          <w:bCs/>
          <w:sz w:val="24"/>
        </w:rPr>
        <w:t>特别说明：各供应商需同时在采购代理公司电子平台（https://rx3dbm8usr.jiandaoyun.com/f/687dea8c1346fd6a318c10f5?ddtab=true或扫描公告附件中的二维码）完成相应的信息登记，（项目编号：ZXHD26316）。</w:t>
      </w:r>
    </w:p>
    <w:p w14:paraId="6A5C36C8">
      <w:pPr>
        <w:widowControl/>
        <w:adjustRightInd w:val="0"/>
        <w:snapToGrid w:val="0"/>
        <w:spacing w:line="360" w:lineRule="auto"/>
        <w:ind w:firstLine="480" w:firstLineChars="200"/>
        <w:jc w:val="left"/>
        <w:rPr>
          <w:rFonts w:ascii="宋体" w:hAnsi="宋体"/>
          <w:sz w:val="24"/>
        </w:rPr>
      </w:pPr>
      <w:r>
        <w:rPr>
          <w:rFonts w:ascii="宋体" w:hAnsi="宋体"/>
          <w:sz w:val="24"/>
        </w:rPr>
        <w:t>4.售价：0元。</w:t>
      </w:r>
    </w:p>
    <w:p w14:paraId="2D9CB1BE">
      <w:pPr>
        <w:pStyle w:val="5"/>
        <w:widowControl/>
        <w:spacing w:before="0" w:line="360" w:lineRule="auto"/>
        <w:jc w:val="left"/>
        <w:rPr>
          <w:rFonts w:ascii="宋体" w:hAnsi="宋体" w:eastAsia="宋体"/>
          <w:sz w:val="24"/>
          <w:szCs w:val="24"/>
        </w:rPr>
      </w:pPr>
      <w:bookmarkStart w:id="21" w:name="_Toc28359005"/>
      <w:bookmarkStart w:id="22" w:name="_Toc28359082"/>
      <w:bookmarkStart w:id="23" w:name="_Toc35393793"/>
      <w:bookmarkStart w:id="24" w:name="_Toc35393624"/>
      <w:r>
        <w:rPr>
          <w:rFonts w:ascii="宋体" w:hAnsi="宋体" w:eastAsia="宋体"/>
          <w:sz w:val="24"/>
          <w:szCs w:val="24"/>
        </w:rPr>
        <w:t>四、提交投标文件</w:t>
      </w:r>
      <w:bookmarkEnd w:id="21"/>
      <w:bookmarkEnd w:id="22"/>
      <w:r>
        <w:rPr>
          <w:rFonts w:ascii="宋体" w:hAnsi="宋体" w:eastAsia="宋体"/>
          <w:sz w:val="24"/>
          <w:szCs w:val="24"/>
        </w:rPr>
        <w:t>截止时间、开标时间和地点</w:t>
      </w:r>
      <w:bookmarkEnd w:id="23"/>
      <w:bookmarkEnd w:id="24"/>
    </w:p>
    <w:p w14:paraId="14E1803B">
      <w:pPr>
        <w:spacing w:line="360" w:lineRule="auto"/>
        <w:ind w:firstLine="480" w:firstLineChars="200"/>
        <w:rPr>
          <w:rFonts w:ascii="宋体" w:hAnsi="宋体"/>
          <w:bCs/>
          <w:sz w:val="24"/>
          <w:u w:val="single"/>
        </w:rPr>
      </w:pPr>
      <w:bookmarkStart w:id="25" w:name="_Toc35393625"/>
      <w:bookmarkStart w:id="26" w:name="_Toc35393794"/>
      <w:bookmarkStart w:id="27" w:name="_Toc28359084"/>
      <w:bookmarkStart w:id="28" w:name="_Toc28359007"/>
      <w:r>
        <w:rPr>
          <w:rFonts w:hint="eastAsia" w:ascii="宋体" w:hAnsi="宋体"/>
          <w:sz w:val="24"/>
        </w:rPr>
        <w:t>1.</w:t>
      </w:r>
      <w:r>
        <w:rPr>
          <w:rFonts w:ascii="宋体" w:hAnsi="宋体"/>
          <w:sz w:val="24"/>
        </w:rPr>
        <w:t>投标截止时间、开标时间：</w:t>
      </w:r>
      <w:r>
        <w:rPr>
          <w:rFonts w:hint="eastAsia" w:ascii="宋体" w:hAnsi="宋体"/>
          <w:sz w:val="24"/>
        </w:rPr>
        <w:t>2026</w:t>
      </w:r>
      <w:r>
        <w:rPr>
          <w:rFonts w:ascii="宋体" w:hAnsi="宋体"/>
          <w:sz w:val="24"/>
        </w:rPr>
        <w:t>年</w:t>
      </w:r>
      <w:r>
        <w:rPr>
          <w:rFonts w:hint="eastAsia" w:ascii="宋体" w:hAnsi="宋体"/>
          <w:sz w:val="24"/>
          <w:lang w:val="en-US" w:eastAsia="zh-CN"/>
        </w:rPr>
        <w:t>10</w:t>
      </w:r>
      <w:r>
        <w:rPr>
          <w:rFonts w:hint="eastAsia" w:ascii="宋体" w:hAnsi="宋体"/>
          <w:sz w:val="24"/>
        </w:rPr>
        <w:t>月</w:t>
      </w:r>
      <w:r>
        <w:rPr>
          <w:rFonts w:hint="eastAsia" w:ascii="宋体" w:hAnsi="宋体"/>
          <w:sz w:val="24"/>
          <w:lang w:val="en-US" w:eastAsia="zh-CN"/>
        </w:rPr>
        <w:t>22</w:t>
      </w:r>
      <w:r>
        <w:rPr>
          <w:rFonts w:hint="eastAsia" w:ascii="宋体" w:hAnsi="宋体"/>
          <w:sz w:val="24"/>
        </w:rPr>
        <w:t>日09时00</w:t>
      </w:r>
      <w:r>
        <w:rPr>
          <w:rFonts w:ascii="宋体" w:hAnsi="宋体"/>
          <w:sz w:val="24"/>
        </w:rPr>
        <w:t>分</w:t>
      </w:r>
      <w:r>
        <w:rPr>
          <w:rFonts w:ascii="宋体" w:hAnsi="宋体"/>
          <w:bCs/>
          <w:sz w:val="24"/>
        </w:rPr>
        <w:t>（北京时间）</w:t>
      </w:r>
      <w:r>
        <w:rPr>
          <w:rFonts w:ascii="宋体" w:hAnsi="宋体"/>
          <w:iCs/>
          <w:sz w:val="24"/>
        </w:rPr>
        <w:t>。</w:t>
      </w:r>
    </w:p>
    <w:p w14:paraId="2141F5EF">
      <w:pPr>
        <w:wordWrap w:val="0"/>
        <w:topLinePunct/>
        <w:spacing w:line="360" w:lineRule="auto"/>
        <w:ind w:firstLine="480" w:firstLineChars="200"/>
        <w:rPr>
          <w:rFonts w:ascii="宋体" w:hAnsi="宋体"/>
          <w:sz w:val="24"/>
          <w:lang w:val="zh-TW"/>
        </w:rPr>
      </w:pPr>
      <w:r>
        <w:rPr>
          <w:rFonts w:hint="eastAsia" w:ascii="宋体" w:hAnsi="宋体"/>
          <w:sz w:val="24"/>
        </w:rPr>
        <w:t>2.</w:t>
      </w:r>
      <w:r>
        <w:rPr>
          <w:rFonts w:ascii="宋体" w:hAnsi="宋体"/>
          <w:sz w:val="24"/>
        </w:rPr>
        <w:t>地点：</w:t>
      </w:r>
      <w:r>
        <w:rPr>
          <w:rFonts w:hint="eastAsia" w:ascii="宋体" w:hAnsi="宋体" w:cs="宋体"/>
          <w:sz w:val="24"/>
        </w:rPr>
        <w:t>北京市政府采购电子交易平台（http://zbcg-bjzc.zhongcy.com/bjczj-portal-site/index.html#/home），本项目采用远程电子投标及开标方式，由投标人自行对电子投标文件进行解密，不接受纸质文件，无须投标人到达现场。请投标人务必远程参加并保持联系人电话畅通，同时确保使用制作上传本项目电子投标文件的计算机设备及自身CA数字证书或电子营业执照登录北京市政府采购电子交易平台自行进行解密操作</w:t>
      </w:r>
      <w:r>
        <w:rPr>
          <w:rFonts w:ascii="宋体" w:hAnsi="宋体"/>
          <w:sz w:val="24"/>
          <w:lang w:val="zh-TW"/>
        </w:rPr>
        <w:t>。</w:t>
      </w:r>
    </w:p>
    <w:p w14:paraId="27BA30CD">
      <w:pPr>
        <w:pStyle w:val="5"/>
        <w:spacing w:before="0" w:line="360" w:lineRule="auto"/>
        <w:jc w:val="left"/>
        <w:rPr>
          <w:rFonts w:ascii="宋体" w:hAnsi="宋体" w:eastAsia="宋体"/>
          <w:sz w:val="24"/>
          <w:szCs w:val="24"/>
        </w:rPr>
      </w:pPr>
      <w:r>
        <w:rPr>
          <w:rFonts w:ascii="宋体" w:hAnsi="宋体" w:eastAsia="宋体"/>
          <w:sz w:val="24"/>
          <w:szCs w:val="24"/>
        </w:rPr>
        <w:t>五、公告期限</w:t>
      </w:r>
      <w:bookmarkEnd w:id="25"/>
      <w:bookmarkEnd w:id="26"/>
      <w:bookmarkEnd w:id="27"/>
      <w:bookmarkEnd w:id="28"/>
    </w:p>
    <w:p w14:paraId="74B8BFAC">
      <w:pPr>
        <w:spacing w:line="360" w:lineRule="auto"/>
        <w:ind w:firstLine="480" w:firstLineChars="200"/>
        <w:rPr>
          <w:rFonts w:ascii="宋体" w:hAnsi="宋体"/>
          <w:kern w:val="0"/>
          <w:sz w:val="24"/>
        </w:rPr>
      </w:pPr>
      <w:r>
        <w:rPr>
          <w:rFonts w:ascii="宋体" w:hAnsi="宋体"/>
          <w:kern w:val="0"/>
          <w:sz w:val="24"/>
        </w:rPr>
        <w:t>自本公告发布之日起5个工作日。</w:t>
      </w:r>
    </w:p>
    <w:p w14:paraId="782F5158">
      <w:pPr>
        <w:pStyle w:val="5"/>
        <w:spacing w:before="0" w:line="360" w:lineRule="auto"/>
        <w:jc w:val="left"/>
        <w:rPr>
          <w:rFonts w:ascii="宋体" w:hAnsi="宋体" w:eastAsia="宋体"/>
          <w:sz w:val="24"/>
          <w:szCs w:val="24"/>
        </w:rPr>
      </w:pPr>
      <w:bookmarkStart w:id="29" w:name="_Toc35393626"/>
      <w:bookmarkStart w:id="30" w:name="_Toc35393795"/>
      <w:r>
        <w:rPr>
          <w:rFonts w:ascii="宋体" w:hAnsi="宋体" w:eastAsia="宋体"/>
          <w:sz w:val="24"/>
          <w:szCs w:val="24"/>
        </w:rPr>
        <w:t>六、其他补充事宜</w:t>
      </w:r>
      <w:bookmarkEnd w:id="29"/>
      <w:bookmarkEnd w:id="30"/>
    </w:p>
    <w:p w14:paraId="35879580">
      <w:pPr>
        <w:spacing w:line="360" w:lineRule="auto"/>
        <w:ind w:firstLine="480" w:firstLineChars="200"/>
        <w:rPr>
          <w:rFonts w:ascii="宋体" w:hAnsi="宋体"/>
          <w:sz w:val="24"/>
        </w:rPr>
      </w:pPr>
      <w:r>
        <w:rPr>
          <w:rFonts w:ascii="宋体" w:hAnsi="宋体"/>
          <w:sz w:val="24"/>
        </w:rPr>
        <w:t>1.本项目需要落实的政府采购政策：</w:t>
      </w:r>
    </w:p>
    <w:p w14:paraId="75165133">
      <w:pPr>
        <w:spacing w:line="360" w:lineRule="auto"/>
        <w:ind w:firstLine="480" w:firstLineChars="200"/>
        <w:rPr>
          <w:rFonts w:ascii="宋体" w:hAnsi="宋体"/>
          <w:sz w:val="24"/>
        </w:rPr>
      </w:pPr>
      <w:r>
        <w:rPr>
          <w:rFonts w:hint="eastAsia" w:ascii="宋体" w:hAnsi="宋体"/>
          <w:sz w:val="24"/>
        </w:rPr>
        <w:t>1.1鼓励节能、环保政策：依据《财政部发展改革委生态环境部市场监管总局关于调整优化节能产品、环境标志产品政府采购执行机制的通知（财库（2019）9号）》执行。</w:t>
      </w:r>
    </w:p>
    <w:p w14:paraId="1BBC6C84">
      <w:pPr>
        <w:spacing w:line="360" w:lineRule="auto"/>
        <w:ind w:firstLine="480" w:firstLineChars="200"/>
        <w:rPr>
          <w:rFonts w:ascii="宋体" w:hAnsi="宋体"/>
          <w:sz w:val="24"/>
        </w:rPr>
      </w:pPr>
      <w:r>
        <w:rPr>
          <w:rFonts w:hint="eastAsia" w:ascii="宋体" w:hAnsi="宋体"/>
          <w:sz w:val="24"/>
        </w:rPr>
        <w:t>1.2扶持中小企业政策：本项目评审时小型和微型企业产品享受10%的价格扣除优惠。监狱企业视同小型、微型企业。残疾人福利性单位视同小型、微型企业。不重复享受政策。注：专门面向中小企业采购的情形不享受中小企业扶持政策。</w:t>
      </w:r>
    </w:p>
    <w:p w14:paraId="5233BE66">
      <w:pPr>
        <w:pStyle w:val="7"/>
        <w:spacing w:line="360" w:lineRule="auto"/>
        <w:ind w:firstLine="480" w:firstLineChars="200"/>
        <w:rPr>
          <w:rFonts w:hAnsi="宋体"/>
        </w:rPr>
      </w:pPr>
      <w:r>
        <w:rPr>
          <w:rFonts w:hint="eastAsia" w:hAnsi="宋体"/>
        </w:rPr>
        <w:t>1.3《国务院办公厅关于在政府采购中实施本国产品标准及相关政策的通知》（国办发〔2025〕34号）及相关规定。</w:t>
      </w:r>
    </w:p>
    <w:p w14:paraId="28057AF6">
      <w:pPr>
        <w:widowControl/>
        <w:adjustRightInd w:val="0"/>
        <w:snapToGrid w:val="0"/>
        <w:spacing w:line="360" w:lineRule="auto"/>
        <w:ind w:firstLine="480" w:firstLineChars="200"/>
        <w:jc w:val="left"/>
        <w:rPr>
          <w:rFonts w:ascii="宋体" w:hAnsi="宋体"/>
          <w:sz w:val="24"/>
          <w:lang w:bidi="ar"/>
        </w:rPr>
      </w:pPr>
      <w:r>
        <w:rPr>
          <w:rFonts w:hint="eastAsia" w:ascii="宋体" w:hAnsi="宋体"/>
          <w:sz w:val="24"/>
        </w:rPr>
        <w:t>2</w:t>
      </w:r>
      <w:r>
        <w:rPr>
          <w:rFonts w:ascii="宋体" w:hAnsi="宋体"/>
          <w:sz w:val="24"/>
        </w:rPr>
        <w:t>.</w:t>
      </w:r>
      <w:r>
        <w:rPr>
          <w:rFonts w:hint="eastAsia" w:ascii="宋体" w:hAnsi="宋体"/>
          <w:sz w:val="24"/>
          <w:lang w:bidi="ar"/>
        </w:rPr>
        <w:t xml:space="preserve">本项目采用全流程电子化采购方式，请供应商认真学习北京市政府采购电子交易平台发布的相关操作手册，办理CA认证证书、进行北京市政府采购电子交易平台注册绑定，并认真核实数字认证证书情况确认是否符合本项目电子化采购流程要求。 </w:t>
      </w:r>
    </w:p>
    <w:p w14:paraId="7EAEDAB5">
      <w:pPr>
        <w:widowControl/>
        <w:adjustRightInd w:val="0"/>
        <w:snapToGrid w:val="0"/>
        <w:spacing w:line="360" w:lineRule="auto"/>
        <w:ind w:firstLine="480" w:firstLineChars="200"/>
        <w:jc w:val="left"/>
        <w:rPr>
          <w:rFonts w:ascii="宋体" w:hAnsi="宋体"/>
          <w:sz w:val="24"/>
          <w:lang w:bidi="ar"/>
        </w:rPr>
      </w:pPr>
      <w:r>
        <w:rPr>
          <w:rFonts w:hint="eastAsia" w:ascii="宋体" w:hAnsi="宋体"/>
          <w:sz w:val="24"/>
          <w:lang w:bidi="ar"/>
        </w:rPr>
        <w:t>CA数字证书服务热线010-5851-5511</w:t>
      </w:r>
    </w:p>
    <w:p w14:paraId="36241082">
      <w:pPr>
        <w:widowControl/>
        <w:adjustRightInd w:val="0"/>
        <w:snapToGrid w:val="0"/>
        <w:spacing w:line="360" w:lineRule="auto"/>
        <w:ind w:firstLine="480" w:firstLineChars="200"/>
        <w:jc w:val="left"/>
        <w:rPr>
          <w:rFonts w:ascii="宋体" w:hAnsi="宋体"/>
          <w:sz w:val="24"/>
          <w:lang w:bidi="ar"/>
        </w:rPr>
      </w:pPr>
      <w:r>
        <w:rPr>
          <w:rFonts w:hint="eastAsia" w:ascii="宋体" w:hAnsi="宋体"/>
          <w:sz w:val="24"/>
          <w:lang w:bidi="ar"/>
        </w:rPr>
        <w:t>电子营业执照服务热线400-699-7000</w:t>
      </w:r>
    </w:p>
    <w:p w14:paraId="25F20935">
      <w:pPr>
        <w:widowControl/>
        <w:adjustRightInd w:val="0"/>
        <w:snapToGrid w:val="0"/>
        <w:spacing w:line="360" w:lineRule="auto"/>
        <w:ind w:firstLine="480" w:firstLineChars="200"/>
        <w:jc w:val="left"/>
        <w:rPr>
          <w:rFonts w:ascii="宋体" w:hAnsi="宋体"/>
          <w:sz w:val="24"/>
          <w:lang w:bidi="ar"/>
        </w:rPr>
      </w:pPr>
      <w:r>
        <w:rPr>
          <w:rFonts w:hint="eastAsia" w:ascii="宋体" w:hAnsi="宋体"/>
          <w:sz w:val="24"/>
          <w:lang w:bidi="ar"/>
        </w:rPr>
        <w:t>技术支持服务热线020-2204-3119</w:t>
      </w:r>
    </w:p>
    <w:p w14:paraId="170CECA4">
      <w:pPr>
        <w:widowControl/>
        <w:adjustRightInd w:val="0"/>
        <w:snapToGrid w:val="0"/>
        <w:spacing w:line="360" w:lineRule="auto"/>
        <w:ind w:firstLine="480" w:firstLineChars="200"/>
        <w:jc w:val="left"/>
        <w:rPr>
          <w:rFonts w:ascii="宋体" w:hAnsi="宋体"/>
          <w:sz w:val="24"/>
          <w:lang w:bidi="ar"/>
        </w:rPr>
      </w:pPr>
      <w:r>
        <w:rPr>
          <w:rFonts w:hint="eastAsia" w:ascii="宋体" w:hAnsi="宋体"/>
          <w:sz w:val="24"/>
          <w:lang w:bidi="ar"/>
        </w:rPr>
        <w:t xml:space="preserve">2.1办理 CA 数字证书或电子营业执照 </w:t>
      </w:r>
    </w:p>
    <w:p w14:paraId="2023CB6E">
      <w:pPr>
        <w:widowControl/>
        <w:adjustRightInd w:val="0"/>
        <w:snapToGrid w:val="0"/>
        <w:spacing w:line="360" w:lineRule="auto"/>
        <w:ind w:firstLine="480" w:firstLineChars="200"/>
        <w:jc w:val="left"/>
        <w:rPr>
          <w:rFonts w:ascii="宋体" w:hAnsi="宋体"/>
          <w:sz w:val="24"/>
          <w:lang w:bidi="ar"/>
        </w:rPr>
      </w:pPr>
      <w:r>
        <w:rPr>
          <w:rFonts w:hint="eastAsia" w:ascii="宋体" w:hAnsi="宋体"/>
          <w:sz w:val="24"/>
          <w:lang w:bidi="ar"/>
        </w:rPr>
        <w:t>供应商登录北京市政府采购电子交易平台查阅“用户指南”</w:t>
      </w:r>
      <w:r>
        <w:rPr>
          <w:rFonts w:ascii="宋体" w:hAnsi="宋体"/>
          <w:sz w:val="24"/>
          <w:lang w:bidi="ar"/>
        </w:rPr>
        <w:t>—</w:t>
      </w:r>
      <w:r>
        <w:rPr>
          <w:rFonts w:hint="eastAsia" w:ascii="宋体" w:hAnsi="宋体"/>
          <w:sz w:val="24"/>
          <w:lang w:bidi="ar"/>
        </w:rPr>
        <w:t>“操作指南”</w:t>
      </w:r>
      <w:r>
        <w:rPr>
          <w:rFonts w:ascii="宋体" w:hAnsi="宋体"/>
          <w:sz w:val="24"/>
          <w:lang w:bidi="ar"/>
        </w:rPr>
        <w:t>—</w:t>
      </w:r>
      <w:r>
        <w:rPr>
          <w:rFonts w:hint="eastAsia" w:ascii="宋体" w:hAnsi="宋体"/>
          <w:sz w:val="24"/>
          <w:lang w:bidi="ar"/>
        </w:rPr>
        <w:t>“市场主体</w:t>
      </w:r>
      <w:r>
        <w:rPr>
          <w:rFonts w:ascii="宋体" w:hAnsi="宋体"/>
          <w:sz w:val="24"/>
          <w:lang w:bidi="ar"/>
        </w:rPr>
        <w:t>CA</w:t>
      </w:r>
      <w:r>
        <w:rPr>
          <w:rFonts w:hint="eastAsia" w:ascii="宋体" w:hAnsi="宋体"/>
          <w:sz w:val="24"/>
          <w:lang w:bidi="ar"/>
        </w:rPr>
        <w:t>办理操作流程指引”</w:t>
      </w:r>
      <w:r>
        <w:rPr>
          <w:rFonts w:ascii="宋体" w:hAnsi="宋体"/>
          <w:sz w:val="24"/>
          <w:lang w:bidi="ar"/>
        </w:rPr>
        <w:t>/</w:t>
      </w:r>
      <w:r>
        <w:rPr>
          <w:rFonts w:hint="eastAsia" w:ascii="宋体" w:hAnsi="宋体"/>
          <w:sz w:val="24"/>
          <w:lang w:bidi="ar"/>
        </w:rPr>
        <w:t>“电子营业执照使用指南”，按照程序要求办理。</w:t>
      </w:r>
    </w:p>
    <w:p w14:paraId="138FA41A">
      <w:pPr>
        <w:adjustRightInd w:val="0"/>
        <w:snapToGrid w:val="0"/>
        <w:spacing w:line="360" w:lineRule="auto"/>
        <w:ind w:firstLine="480" w:firstLineChars="200"/>
        <w:rPr>
          <w:rFonts w:ascii="宋体" w:hAnsi="宋体"/>
          <w:sz w:val="24"/>
          <w:lang w:bidi="ar"/>
        </w:rPr>
      </w:pPr>
      <w:r>
        <w:rPr>
          <w:rFonts w:hint="eastAsia" w:ascii="宋体" w:hAnsi="宋体"/>
          <w:sz w:val="24"/>
          <w:lang w:bidi="ar"/>
        </w:rPr>
        <w:t>2</w:t>
      </w:r>
      <w:r>
        <w:rPr>
          <w:rFonts w:ascii="宋体" w:hAnsi="宋体"/>
          <w:sz w:val="24"/>
          <w:lang w:bidi="ar"/>
        </w:rPr>
        <w:t>.2注册</w:t>
      </w:r>
    </w:p>
    <w:p w14:paraId="4F0B8253">
      <w:pPr>
        <w:adjustRightInd w:val="0"/>
        <w:snapToGrid w:val="0"/>
        <w:spacing w:line="360" w:lineRule="auto"/>
        <w:ind w:firstLine="480" w:firstLineChars="200"/>
        <w:rPr>
          <w:rFonts w:ascii="宋体" w:hAnsi="宋体"/>
          <w:sz w:val="24"/>
        </w:rPr>
      </w:pPr>
      <w:r>
        <w:rPr>
          <w:rFonts w:ascii="宋体" w:hAnsi="宋体"/>
          <w:sz w:val="24"/>
          <w:lang w:bidi="ar"/>
        </w:rPr>
        <w:t>供应商登录北京市政府采购电子交易平台“用户指南”—“操作指南”—“市场主体注册入库操作流程指引”进行自助注册绑定。</w:t>
      </w:r>
    </w:p>
    <w:p w14:paraId="7E5C1D56">
      <w:pPr>
        <w:widowControl/>
        <w:adjustRightInd w:val="0"/>
        <w:snapToGrid w:val="0"/>
        <w:spacing w:line="360" w:lineRule="auto"/>
        <w:ind w:firstLine="480" w:firstLineChars="200"/>
        <w:jc w:val="left"/>
        <w:rPr>
          <w:rFonts w:ascii="宋体" w:hAnsi="宋体"/>
          <w:sz w:val="24"/>
          <w:lang w:bidi="ar"/>
        </w:rPr>
      </w:pPr>
      <w:r>
        <w:rPr>
          <w:rFonts w:hint="eastAsia" w:ascii="宋体" w:hAnsi="宋体"/>
          <w:sz w:val="24"/>
          <w:lang w:bidi="ar"/>
        </w:rPr>
        <w:t>2</w:t>
      </w:r>
      <w:r>
        <w:rPr>
          <w:rFonts w:ascii="宋体" w:hAnsi="宋体"/>
          <w:sz w:val="24"/>
          <w:lang w:bidi="ar"/>
        </w:rPr>
        <w:t>.3驱动、客户端下载</w:t>
      </w:r>
    </w:p>
    <w:p w14:paraId="2D442BF6">
      <w:pPr>
        <w:widowControl/>
        <w:adjustRightInd w:val="0"/>
        <w:snapToGrid w:val="0"/>
        <w:spacing w:line="360" w:lineRule="auto"/>
        <w:ind w:firstLine="480" w:firstLineChars="200"/>
        <w:jc w:val="left"/>
        <w:rPr>
          <w:rFonts w:ascii="宋体" w:hAnsi="宋体"/>
          <w:sz w:val="24"/>
        </w:rPr>
      </w:pPr>
      <w:r>
        <w:rPr>
          <w:rFonts w:ascii="宋体" w:hAnsi="宋体"/>
          <w:sz w:val="24"/>
          <w:lang w:bidi="ar"/>
        </w:rPr>
        <w:t>供应商登录北京市政府采购电子交易平台“用户指南”—“工具下载”—“招标采购系统文件驱动安装包”下载相关驱动。</w:t>
      </w:r>
    </w:p>
    <w:p w14:paraId="0CF3F36D">
      <w:pPr>
        <w:adjustRightInd w:val="0"/>
        <w:snapToGrid w:val="0"/>
        <w:spacing w:line="360" w:lineRule="auto"/>
        <w:ind w:firstLine="480" w:firstLineChars="200"/>
        <w:rPr>
          <w:rFonts w:ascii="宋体" w:hAnsi="宋体"/>
          <w:sz w:val="24"/>
          <w:lang w:bidi="ar"/>
        </w:rPr>
      </w:pPr>
      <w:r>
        <w:rPr>
          <w:rFonts w:ascii="宋体" w:hAnsi="宋体"/>
          <w:sz w:val="24"/>
          <w:lang w:bidi="ar"/>
        </w:rPr>
        <w:t>供应商登录北京市政府采购电子交易平台“用户指南”—“工具下载”—“投标文件编制工具”下载相关客户端。</w:t>
      </w:r>
    </w:p>
    <w:p w14:paraId="26BE298D">
      <w:pPr>
        <w:adjustRightInd w:val="0"/>
        <w:snapToGrid w:val="0"/>
        <w:spacing w:line="360" w:lineRule="auto"/>
        <w:ind w:firstLine="480" w:firstLineChars="200"/>
        <w:rPr>
          <w:rFonts w:ascii="宋体" w:hAnsi="宋体"/>
          <w:sz w:val="24"/>
          <w:lang w:bidi="ar"/>
        </w:rPr>
      </w:pPr>
      <w:r>
        <w:rPr>
          <w:rFonts w:hint="eastAsia" w:ascii="宋体" w:hAnsi="宋体"/>
          <w:sz w:val="24"/>
          <w:lang w:bidi="ar"/>
        </w:rPr>
        <w:t>2</w:t>
      </w:r>
      <w:r>
        <w:rPr>
          <w:rFonts w:ascii="宋体" w:hAnsi="宋体"/>
          <w:sz w:val="24"/>
          <w:lang w:bidi="ar"/>
        </w:rPr>
        <w:t>.4 获取电子招标文件</w:t>
      </w:r>
    </w:p>
    <w:p w14:paraId="6C7EF05E">
      <w:pPr>
        <w:adjustRightInd w:val="0"/>
        <w:snapToGrid w:val="0"/>
        <w:spacing w:line="360" w:lineRule="auto"/>
        <w:ind w:firstLine="480" w:firstLineChars="200"/>
        <w:rPr>
          <w:rFonts w:ascii="宋体" w:hAnsi="宋体"/>
          <w:sz w:val="24"/>
          <w:lang w:bidi="ar"/>
        </w:rPr>
      </w:pPr>
      <w:r>
        <w:rPr>
          <w:rFonts w:hint="eastAsia" w:ascii="宋体" w:hAnsi="宋体"/>
          <w:sz w:val="24"/>
          <w:lang w:bidi="ar"/>
        </w:rPr>
        <w:t>供应商使用</w:t>
      </w:r>
      <w:r>
        <w:rPr>
          <w:rFonts w:ascii="宋体" w:hAnsi="宋体"/>
          <w:sz w:val="24"/>
          <w:lang w:bidi="ar"/>
        </w:rPr>
        <w:t>CA</w:t>
      </w:r>
      <w:r>
        <w:rPr>
          <w:rFonts w:hint="eastAsia" w:ascii="宋体" w:hAnsi="宋体"/>
          <w:sz w:val="24"/>
          <w:lang w:bidi="ar"/>
        </w:rPr>
        <w:t>数字证书或电子营业执照登录北京市政府采购电子交易平台获取电子招标文件。如供应商</w:t>
      </w:r>
      <w:r>
        <w:rPr>
          <w:rFonts w:ascii="宋体" w:hAnsi="宋体"/>
          <w:sz w:val="24"/>
          <w:lang w:bidi="ar"/>
        </w:rPr>
        <w:t>未在规定</w:t>
      </w:r>
      <w:r>
        <w:rPr>
          <w:rFonts w:hint="eastAsia" w:ascii="宋体" w:hAnsi="宋体"/>
          <w:sz w:val="24"/>
          <w:lang w:bidi="ar"/>
        </w:rPr>
        <w:t>的</w:t>
      </w:r>
      <w:r>
        <w:rPr>
          <w:rFonts w:ascii="宋体" w:hAnsi="宋体"/>
          <w:sz w:val="24"/>
          <w:lang w:bidi="ar"/>
        </w:rPr>
        <w:t>期限内通过北京市政府采购电子交易平台获取招标文件</w:t>
      </w:r>
      <w:r>
        <w:rPr>
          <w:rFonts w:hint="eastAsia" w:ascii="宋体" w:hAnsi="宋体"/>
          <w:sz w:val="24"/>
          <w:lang w:bidi="ar"/>
        </w:rPr>
        <w:t>，其</w:t>
      </w:r>
      <w:r>
        <w:rPr>
          <w:rFonts w:ascii="宋体" w:hAnsi="宋体"/>
          <w:b/>
          <w:sz w:val="24"/>
          <w:lang w:bidi="ar"/>
        </w:rPr>
        <w:t>投标无效</w:t>
      </w:r>
      <w:r>
        <w:rPr>
          <w:rFonts w:hint="eastAsia" w:ascii="宋体" w:hAnsi="宋体"/>
          <w:b/>
          <w:sz w:val="24"/>
          <w:lang w:bidi="ar"/>
        </w:rPr>
        <w:t>。</w:t>
      </w:r>
    </w:p>
    <w:p w14:paraId="799D4C2B">
      <w:pPr>
        <w:adjustRightInd w:val="0"/>
        <w:snapToGrid w:val="0"/>
        <w:spacing w:line="360" w:lineRule="auto"/>
        <w:ind w:firstLine="480" w:firstLineChars="200"/>
        <w:rPr>
          <w:rFonts w:ascii="宋体" w:hAnsi="宋体"/>
          <w:sz w:val="24"/>
        </w:rPr>
      </w:pPr>
      <w:r>
        <w:rPr>
          <w:rFonts w:hint="eastAsia" w:ascii="宋体" w:hAnsi="宋体"/>
          <w:sz w:val="24"/>
          <w:lang w:bidi="ar"/>
        </w:rPr>
        <w:t>供应商如计划参与多个采购包的投标，应在登录北京市政府采购电子交易平台后，在【我的项目】栏目依次选择对应采购包，进入项目工作台招标</w:t>
      </w:r>
      <w:r>
        <w:rPr>
          <w:rFonts w:ascii="宋体" w:hAnsi="宋体"/>
          <w:sz w:val="24"/>
          <w:lang w:bidi="ar"/>
        </w:rPr>
        <w:t>/</w:t>
      </w:r>
      <w:r>
        <w:rPr>
          <w:rFonts w:hint="eastAsia" w:ascii="宋体" w:hAnsi="宋体"/>
          <w:sz w:val="24"/>
          <w:lang w:bidi="ar"/>
        </w:rPr>
        <w:t>采购文件环节分别按采购包下载招标文件电子版。未在规定期限内按上述操作获取招标文件的采购包，供应商无法提交相应包的投标文件</w:t>
      </w:r>
      <w:r>
        <w:rPr>
          <w:rFonts w:ascii="宋体" w:hAnsi="宋体"/>
          <w:sz w:val="24"/>
        </w:rPr>
        <w:t>。</w:t>
      </w:r>
    </w:p>
    <w:p w14:paraId="5180DE35">
      <w:pPr>
        <w:adjustRightInd w:val="0"/>
        <w:snapToGrid w:val="0"/>
        <w:spacing w:line="360" w:lineRule="auto"/>
        <w:ind w:firstLine="480" w:firstLineChars="200"/>
        <w:rPr>
          <w:rFonts w:ascii="宋体" w:hAnsi="宋体"/>
          <w:sz w:val="24"/>
        </w:rPr>
      </w:pPr>
      <w:r>
        <w:rPr>
          <w:rFonts w:hint="eastAsia" w:ascii="宋体" w:hAnsi="宋体"/>
          <w:sz w:val="24"/>
        </w:rPr>
        <w:t>2.5编制电子投标文件</w:t>
      </w:r>
    </w:p>
    <w:p w14:paraId="15DAC311">
      <w:pPr>
        <w:adjustRightInd w:val="0"/>
        <w:snapToGrid w:val="0"/>
        <w:spacing w:line="360" w:lineRule="auto"/>
        <w:ind w:firstLine="480" w:firstLineChars="200"/>
        <w:rPr>
          <w:rFonts w:ascii="宋体" w:hAnsi="宋体"/>
          <w:sz w:val="24"/>
        </w:rPr>
      </w:pPr>
      <w:r>
        <w:rPr>
          <w:rFonts w:hint="eastAsia" w:ascii="宋体" w:hAnsi="宋体"/>
          <w:sz w:val="24"/>
        </w:rPr>
        <w:t>供应商应使用电子投标客户端编制电子投标文件并进行线上投标，供应商电子投标文件需要加密并加盖电子签章，如无法按照要求在电子投标文件中加盖电子签章和加密，请及时通过技术支持服务热线联系技术人员。</w:t>
      </w:r>
    </w:p>
    <w:p w14:paraId="45BD3D2D">
      <w:pPr>
        <w:adjustRightInd w:val="0"/>
        <w:snapToGrid w:val="0"/>
        <w:spacing w:line="360" w:lineRule="auto"/>
        <w:ind w:firstLine="480" w:firstLineChars="200"/>
        <w:rPr>
          <w:rFonts w:ascii="宋体" w:hAnsi="宋体"/>
          <w:sz w:val="24"/>
        </w:rPr>
      </w:pPr>
      <w:r>
        <w:rPr>
          <w:rFonts w:hint="eastAsia" w:ascii="宋体" w:hAnsi="宋体"/>
          <w:sz w:val="24"/>
        </w:rPr>
        <w:t>2.6提交电子投标文件</w:t>
      </w:r>
    </w:p>
    <w:p w14:paraId="5C535EED">
      <w:pPr>
        <w:adjustRightInd w:val="0"/>
        <w:snapToGrid w:val="0"/>
        <w:spacing w:line="360" w:lineRule="auto"/>
        <w:ind w:firstLine="480" w:firstLineChars="200"/>
        <w:rPr>
          <w:rFonts w:ascii="宋体" w:hAnsi="宋体"/>
          <w:sz w:val="24"/>
        </w:rPr>
      </w:pPr>
      <w:r>
        <w:rPr>
          <w:rFonts w:hint="eastAsia" w:ascii="宋体" w:hAnsi="宋体"/>
          <w:sz w:val="24"/>
        </w:rPr>
        <w:t>供应商应于投标截止时间前在北京市政府采购电子交易平台提交电子投标文件，上传电子投标文件过程中请保持与互联网的连接畅通。</w:t>
      </w:r>
    </w:p>
    <w:p w14:paraId="499182D7">
      <w:pPr>
        <w:adjustRightInd w:val="0"/>
        <w:snapToGrid w:val="0"/>
        <w:spacing w:line="360" w:lineRule="auto"/>
        <w:ind w:firstLine="480" w:firstLineChars="200"/>
        <w:rPr>
          <w:rFonts w:ascii="宋体" w:hAnsi="宋体"/>
          <w:sz w:val="24"/>
        </w:rPr>
      </w:pPr>
      <w:r>
        <w:rPr>
          <w:rFonts w:hint="eastAsia" w:ascii="宋体" w:hAnsi="宋体"/>
          <w:sz w:val="24"/>
        </w:rPr>
        <w:t>2.7电子开标</w:t>
      </w:r>
    </w:p>
    <w:p w14:paraId="39840972">
      <w:pPr>
        <w:adjustRightInd w:val="0"/>
        <w:snapToGrid w:val="0"/>
        <w:spacing w:line="360" w:lineRule="auto"/>
        <w:ind w:firstLine="480" w:firstLineChars="200"/>
        <w:rPr>
          <w:rFonts w:ascii="宋体" w:hAnsi="宋体"/>
          <w:sz w:val="24"/>
        </w:rPr>
      </w:pPr>
      <w:r>
        <w:rPr>
          <w:rFonts w:hint="eastAsia" w:ascii="宋体" w:hAnsi="宋体"/>
          <w:sz w:val="24"/>
        </w:rPr>
        <w:t>供应商在开标地点使用CA数字证书或电子营业执照登录北京市政府采购电子交易平台进行电子开标。</w:t>
      </w:r>
    </w:p>
    <w:p w14:paraId="43339289">
      <w:pPr>
        <w:adjustRightInd w:val="0"/>
        <w:snapToGrid w:val="0"/>
        <w:spacing w:line="360" w:lineRule="auto"/>
        <w:ind w:firstLine="480" w:firstLineChars="200"/>
        <w:rPr>
          <w:rFonts w:ascii="宋体" w:hAnsi="宋体"/>
          <w:sz w:val="24"/>
        </w:rPr>
      </w:pPr>
      <w:r>
        <w:rPr>
          <w:rFonts w:hint="eastAsia" w:ascii="宋体" w:hAnsi="宋体"/>
          <w:sz w:val="24"/>
        </w:rPr>
        <w:t>2.8其他注意事项：</w:t>
      </w:r>
    </w:p>
    <w:p w14:paraId="37A8F6B3">
      <w:pPr>
        <w:adjustRightInd w:val="0"/>
        <w:snapToGrid w:val="0"/>
        <w:spacing w:line="360" w:lineRule="auto"/>
        <w:ind w:firstLine="480" w:firstLineChars="200"/>
        <w:rPr>
          <w:rFonts w:ascii="宋体" w:hAnsi="宋体"/>
          <w:sz w:val="24"/>
        </w:rPr>
      </w:pPr>
      <w:r>
        <w:rPr>
          <w:rFonts w:hint="eastAsia" w:ascii="宋体" w:hAnsi="宋体"/>
          <w:sz w:val="24"/>
        </w:rPr>
        <w:t>①因供应商忘记数字证书登录密码、解密数字证书发生故障或用错、故意不在要求时限内完成解密等自身原因，导致投标文件在规定时间内未能解密、解密失败或解密超时，视为供应商放弃投标，由供应商自身承担一切后果。</w:t>
      </w:r>
    </w:p>
    <w:p w14:paraId="1EFA464A">
      <w:pPr>
        <w:adjustRightInd w:val="0"/>
        <w:snapToGrid w:val="0"/>
        <w:spacing w:line="360" w:lineRule="auto"/>
        <w:ind w:firstLine="480" w:firstLineChars="200"/>
        <w:rPr>
          <w:rFonts w:ascii="宋体" w:hAnsi="宋体"/>
          <w:sz w:val="24"/>
        </w:rPr>
      </w:pPr>
      <w:r>
        <w:rPr>
          <w:rFonts w:hint="eastAsia" w:ascii="宋体" w:hAnsi="宋体"/>
          <w:sz w:val="24"/>
        </w:rPr>
        <w:t xml:space="preserve">②若供应商已申请多把数字证书，请注意使用差别，确保制作的投标文件和开标解密时使用的数字证书一致，造成解密失败的，由供应商负责。 </w:t>
      </w:r>
    </w:p>
    <w:p w14:paraId="69E20336">
      <w:pPr>
        <w:adjustRightInd w:val="0"/>
        <w:snapToGrid w:val="0"/>
        <w:spacing w:line="360" w:lineRule="auto"/>
        <w:ind w:firstLine="480" w:firstLineChars="200"/>
        <w:rPr>
          <w:rFonts w:ascii="宋体" w:hAnsi="宋体"/>
          <w:sz w:val="24"/>
        </w:rPr>
      </w:pPr>
      <w:r>
        <w:rPr>
          <w:rFonts w:hint="eastAsia" w:ascii="宋体" w:hAnsi="宋体"/>
          <w:sz w:val="24"/>
        </w:rPr>
        <w:t>③供应商应充分考虑网络及系统平台可能存在的非正常情况，确保在投标文件递交截止时间之前完成投标文件上传。</w:t>
      </w:r>
    </w:p>
    <w:p w14:paraId="1A3E018C">
      <w:pPr>
        <w:adjustRightInd w:val="0"/>
        <w:snapToGrid w:val="0"/>
        <w:spacing w:line="360" w:lineRule="auto"/>
        <w:ind w:firstLine="480" w:firstLineChars="200"/>
        <w:rPr>
          <w:rFonts w:ascii="宋体" w:hAnsi="宋体"/>
          <w:sz w:val="24"/>
          <w:lang w:bidi="ar"/>
        </w:rPr>
      </w:pPr>
      <w:r>
        <w:rPr>
          <w:rFonts w:hint="eastAsia" w:ascii="宋体" w:hAnsi="宋体"/>
          <w:sz w:val="24"/>
          <w:lang w:bidi="ar"/>
        </w:rPr>
        <w:t>3.未</w:t>
      </w:r>
      <w:r>
        <w:rPr>
          <w:rFonts w:hint="eastAsia" w:ascii="宋体" w:hAnsi="宋体"/>
          <w:kern w:val="0"/>
          <w:sz w:val="24"/>
        </w:rPr>
        <w:t>在规定期限内通过北京市政府采购电子交易平台获取所参与项目招标文件</w:t>
      </w:r>
      <w:r>
        <w:rPr>
          <w:rFonts w:hint="eastAsia" w:ascii="宋体" w:hAnsi="宋体"/>
          <w:sz w:val="24"/>
          <w:lang w:bidi="ar"/>
        </w:rPr>
        <w:t>的供应商递交的投标文件按“资格审查不合格”处理。</w:t>
      </w:r>
    </w:p>
    <w:p w14:paraId="4581D041">
      <w:pPr>
        <w:pStyle w:val="44"/>
        <w:adjustRightInd w:val="0"/>
        <w:snapToGrid w:val="0"/>
        <w:spacing w:line="360" w:lineRule="auto"/>
        <w:ind w:firstLine="480" w:firstLineChars="0"/>
        <w:rPr>
          <w:rFonts w:ascii="宋体" w:hAnsi="宋体"/>
          <w:sz w:val="24"/>
        </w:rPr>
      </w:pPr>
      <w:r>
        <w:rPr>
          <w:rFonts w:hint="eastAsia" w:ascii="宋体" w:hAnsi="宋体"/>
          <w:sz w:val="24"/>
        </w:rPr>
        <w:t>4.关于本项目招标文件中选项标记的说明：</w:t>
      </w:r>
      <w:r>
        <w:rPr>
          <w:rFonts w:ascii="宋体" w:hAnsi="宋体"/>
          <w:sz w:val="24"/>
        </w:rPr>
        <w:t>标记“■”的选项意为适用于本项目，标记“□”的选项意为不适用于本项目。</w:t>
      </w:r>
    </w:p>
    <w:p w14:paraId="5F1877A7">
      <w:pPr>
        <w:pStyle w:val="5"/>
        <w:spacing w:before="0" w:line="360" w:lineRule="auto"/>
        <w:jc w:val="left"/>
        <w:rPr>
          <w:rFonts w:ascii="宋体" w:hAnsi="宋体" w:eastAsia="宋体"/>
          <w:sz w:val="24"/>
          <w:szCs w:val="24"/>
        </w:rPr>
      </w:pPr>
      <w:bookmarkStart w:id="31" w:name="_Toc35393627"/>
      <w:bookmarkStart w:id="32" w:name="_Toc28359085"/>
      <w:bookmarkStart w:id="33" w:name="_Toc28359008"/>
      <w:bookmarkStart w:id="34" w:name="_Toc35393796"/>
      <w:r>
        <w:rPr>
          <w:rFonts w:ascii="宋体" w:hAnsi="宋体" w:eastAsia="宋体"/>
          <w:sz w:val="24"/>
          <w:szCs w:val="24"/>
        </w:rPr>
        <w:t>七、对本次招标提出询问，请按以下方式联系。</w:t>
      </w:r>
      <w:bookmarkEnd w:id="31"/>
      <w:bookmarkEnd w:id="32"/>
      <w:bookmarkEnd w:id="33"/>
      <w:bookmarkEnd w:id="34"/>
    </w:p>
    <w:p w14:paraId="37DA36BE">
      <w:pPr>
        <w:widowControl/>
        <w:spacing w:line="360" w:lineRule="auto"/>
        <w:ind w:firstLine="566" w:firstLineChars="235"/>
        <w:jc w:val="left"/>
        <w:rPr>
          <w:rFonts w:ascii="宋体" w:hAnsi="宋体"/>
          <w:b/>
          <w:sz w:val="24"/>
        </w:rPr>
      </w:pPr>
      <w:r>
        <w:rPr>
          <w:rFonts w:ascii="宋体" w:hAnsi="宋体"/>
          <w:b/>
          <w:sz w:val="24"/>
        </w:rPr>
        <w:t>1.采购人信息</w:t>
      </w:r>
    </w:p>
    <w:p w14:paraId="3947F72C">
      <w:pPr>
        <w:spacing w:line="360" w:lineRule="auto"/>
        <w:ind w:firstLine="564" w:firstLineChars="235"/>
        <w:jc w:val="left"/>
        <w:rPr>
          <w:rFonts w:ascii="宋体" w:hAnsi="宋体"/>
          <w:sz w:val="24"/>
        </w:rPr>
      </w:pPr>
      <w:bookmarkStart w:id="35" w:name="_Toc28359009"/>
      <w:bookmarkStart w:id="36" w:name="_Toc28359086"/>
      <w:r>
        <w:rPr>
          <w:rFonts w:hint="eastAsia" w:ascii="宋体" w:hAnsi="宋体"/>
          <w:sz w:val="24"/>
        </w:rPr>
        <w:t>名    称：北京市西城区疾病预防控制中心</w:t>
      </w:r>
    </w:p>
    <w:p w14:paraId="4E049F8E">
      <w:pPr>
        <w:spacing w:line="360" w:lineRule="auto"/>
        <w:ind w:firstLine="564" w:firstLineChars="235"/>
        <w:jc w:val="left"/>
        <w:rPr>
          <w:rFonts w:ascii="宋体" w:hAnsi="宋体"/>
          <w:sz w:val="24"/>
        </w:rPr>
      </w:pPr>
      <w:r>
        <w:rPr>
          <w:rFonts w:hint="eastAsia" w:ascii="宋体" w:hAnsi="宋体"/>
          <w:sz w:val="24"/>
        </w:rPr>
        <w:t>地    址：北京市西城区德胜门外大街38 号</w:t>
      </w:r>
    </w:p>
    <w:p w14:paraId="3867B5CF">
      <w:pPr>
        <w:spacing w:line="360" w:lineRule="auto"/>
        <w:ind w:firstLine="564" w:firstLineChars="235"/>
        <w:jc w:val="left"/>
        <w:rPr>
          <w:rFonts w:ascii="宋体" w:hAnsi="宋体"/>
          <w:sz w:val="24"/>
        </w:rPr>
      </w:pPr>
      <w:r>
        <w:rPr>
          <w:rFonts w:hint="eastAsia" w:ascii="宋体" w:hAnsi="宋体"/>
          <w:sz w:val="24"/>
        </w:rPr>
        <w:t>联系方式：</w:t>
      </w:r>
      <w:r>
        <w:rPr>
          <w:rFonts w:ascii="宋体" w:hAnsi="宋体"/>
          <w:sz w:val="24"/>
        </w:rPr>
        <w:t>010-8206</w:t>
      </w:r>
      <w:r>
        <w:rPr>
          <w:rFonts w:hint="eastAsia" w:ascii="宋体" w:hAnsi="宋体"/>
          <w:sz w:val="24"/>
        </w:rPr>
        <w:t xml:space="preserve"> </w:t>
      </w:r>
      <w:r>
        <w:rPr>
          <w:rFonts w:ascii="宋体" w:hAnsi="宋体"/>
          <w:sz w:val="24"/>
        </w:rPr>
        <w:t>8009</w:t>
      </w:r>
    </w:p>
    <w:p w14:paraId="02D2652A">
      <w:pPr>
        <w:spacing w:line="360" w:lineRule="auto"/>
        <w:ind w:firstLine="566" w:firstLineChars="235"/>
        <w:jc w:val="left"/>
        <w:rPr>
          <w:rFonts w:ascii="宋体" w:hAnsi="宋体"/>
          <w:b/>
          <w:sz w:val="24"/>
        </w:rPr>
      </w:pPr>
      <w:r>
        <w:rPr>
          <w:rFonts w:ascii="宋体" w:hAnsi="宋体"/>
          <w:b/>
          <w:sz w:val="24"/>
        </w:rPr>
        <w:t>2.采购代理机构信息</w:t>
      </w:r>
      <w:bookmarkEnd w:id="35"/>
      <w:bookmarkEnd w:id="36"/>
    </w:p>
    <w:p w14:paraId="403786AC">
      <w:pPr>
        <w:spacing w:line="360" w:lineRule="auto"/>
        <w:ind w:firstLine="564" w:firstLineChars="235"/>
        <w:jc w:val="left"/>
        <w:rPr>
          <w:rFonts w:ascii="宋体" w:hAnsi="宋体"/>
          <w:sz w:val="24"/>
        </w:rPr>
      </w:pPr>
      <w:bookmarkStart w:id="37" w:name="_Toc28359087"/>
      <w:bookmarkStart w:id="38" w:name="_Toc28359010"/>
      <w:r>
        <w:rPr>
          <w:rFonts w:ascii="宋体" w:hAnsi="宋体"/>
          <w:sz w:val="24"/>
        </w:rPr>
        <w:t>名    称：</w:t>
      </w:r>
      <w:r>
        <w:rPr>
          <w:rFonts w:hint="eastAsia" w:ascii="宋体" w:hAnsi="宋体" w:cs="宋体"/>
          <w:sz w:val="24"/>
        </w:rPr>
        <w:t>北京中兴恒达招标有限公司</w:t>
      </w:r>
    </w:p>
    <w:p w14:paraId="6EBF2CA3">
      <w:pPr>
        <w:spacing w:line="360" w:lineRule="auto"/>
        <w:ind w:firstLine="564" w:firstLineChars="235"/>
        <w:jc w:val="left"/>
        <w:rPr>
          <w:rFonts w:ascii="宋体" w:hAnsi="宋体"/>
          <w:sz w:val="24"/>
        </w:rPr>
      </w:pPr>
      <w:r>
        <w:rPr>
          <w:rFonts w:ascii="宋体" w:hAnsi="宋体"/>
          <w:sz w:val="24"/>
        </w:rPr>
        <w:t>地    址：</w:t>
      </w:r>
      <w:r>
        <w:rPr>
          <w:rFonts w:hint="eastAsia" w:ascii="宋体" w:hAnsi="宋体" w:cs="宋体"/>
          <w:sz w:val="24"/>
        </w:rPr>
        <w:t>北京市朝阳区裕民路12号元辰鑫大厦E1座424室</w:t>
      </w:r>
    </w:p>
    <w:p w14:paraId="655FA657">
      <w:pPr>
        <w:spacing w:line="360" w:lineRule="auto"/>
        <w:ind w:firstLine="564" w:firstLineChars="235"/>
        <w:jc w:val="left"/>
        <w:rPr>
          <w:rFonts w:ascii="宋体" w:hAnsi="宋体"/>
          <w:sz w:val="24"/>
          <w:u w:val="single"/>
        </w:rPr>
      </w:pPr>
      <w:r>
        <w:rPr>
          <w:rFonts w:ascii="宋体" w:hAnsi="宋体"/>
          <w:sz w:val="24"/>
        </w:rPr>
        <w:t>联系方式：</w:t>
      </w:r>
      <w:r>
        <w:rPr>
          <w:rFonts w:hint="eastAsia" w:ascii="宋体" w:hAnsi="宋体" w:cs="宋体"/>
          <w:sz w:val="24"/>
        </w:rPr>
        <w:t>010-8225 0125</w:t>
      </w:r>
    </w:p>
    <w:p w14:paraId="7B680DD7">
      <w:pPr>
        <w:spacing w:line="360" w:lineRule="auto"/>
        <w:ind w:firstLine="566" w:firstLineChars="235"/>
        <w:rPr>
          <w:rFonts w:ascii="宋体" w:hAnsi="宋体"/>
          <w:b/>
          <w:sz w:val="24"/>
          <w:u w:val="single"/>
        </w:rPr>
      </w:pPr>
      <w:r>
        <w:rPr>
          <w:rFonts w:ascii="宋体" w:hAnsi="宋体"/>
          <w:b/>
          <w:sz w:val="24"/>
        </w:rPr>
        <w:t>3.项目联系方式</w:t>
      </w:r>
      <w:bookmarkEnd w:id="37"/>
      <w:bookmarkEnd w:id="38"/>
    </w:p>
    <w:p w14:paraId="5B8ECB58">
      <w:pPr>
        <w:spacing w:line="360" w:lineRule="auto"/>
        <w:ind w:firstLine="564" w:firstLineChars="235"/>
        <w:jc w:val="left"/>
        <w:rPr>
          <w:rFonts w:ascii="宋体" w:hAnsi="宋体"/>
          <w:sz w:val="24"/>
        </w:rPr>
      </w:pPr>
      <w:r>
        <w:rPr>
          <w:rFonts w:ascii="宋体" w:hAnsi="宋体"/>
          <w:sz w:val="24"/>
        </w:rPr>
        <w:t>项目联系人：朱国华、王超、鲁先礼</w:t>
      </w:r>
    </w:p>
    <w:p w14:paraId="1C170FA1">
      <w:pPr>
        <w:pStyle w:val="13"/>
        <w:spacing w:line="360" w:lineRule="auto"/>
        <w:ind w:firstLine="564" w:firstLineChars="235"/>
        <w:rPr>
          <w:rFonts w:hint="default" w:hAnsi="宋体" w:cs="宋体"/>
          <w:sz w:val="24"/>
        </w:rPr>
      </w:pPr>
      <w:r>
        <w:rPr>
          <w:rFonts w:hint="default" w:hAnsi="宋体"/>
          <w:sz w:val="24"/>
          <w:szCs w:val="24"/>
        </w:rPr>
        <w:t>电    话：</w:t>
      </w:r>
      <w:r>
        <w:rPr>
          <w:rFonts w:hAnsi="宋体" w:cs="宋体"/>
          <w:sz w:val="24"/>
        </w:rPr>
        <w:t>010-8225 0125</w:t>
      </w:r>
    </w:p>
    <w:p w14:paraId="7E295688">
      <w:pPr>
        <w:pStyle w:val="13"/>
        <w:spacing w:line="360" w:lineRule="auto"/>
        <w:ind w:firstLine="564" w:firstLineChars="235"/>
        <w:rPr>
          <w:rFonts w:hint="default" w:hAnsi="宋体" w:cs="宋体"/>
          <w:sz w:val="24"/>
        </w:rPr>
      </w:pPr>
      <w:r>
        <w:rPr>
          <w:rFonts w:hAnsi="宋体" w:cs="宋体"/>
          <w:sz w:val="24"/>
        </w:rPr>
        <w:t>邮    箱：zhongxinghengda422@163.com</w:t>
      </w:r>
    </w:p>
    <w:p w14:paraId="50ABA518">
      <w:pPr>
        <w:rPr>
          <w:rFonts w:ascii="宋体" w:hAnsi="宋体"/>
          <w:b/>
          <w:sz w:val="36"/>
          <w:szCs w:val="36"/>
        </w:rPr>
      </w:pPr>
      <w:bookmarkStart w:id="39" w:name="_Toc512937850"/>
      <w:bookmarkStart w:id="40" w:name="_Toc226965856"/>
      <w:bookmarkStart w:id="41" w:name="_Toc264969275"/>
      <w:bookmarkStart w:id="42" w:name="_Toc353825548"/>
      <w:bookmarkStart w:id="43" w:name="_Toc127161488"/>
      <w:bookmarkStart w:id="44" w:name="_Toc305158928"/>
      <w:bookmarkStart w:id="45" w:name="_Toc305158854"/>
      <w:bookmarkStart w:id="46" w:name="_Toc353873938"/>
      <w:bookmarkStart w:id="47" w:name="_Toc127151777"/>
      <w:bookmarkStart w:id="48" w:name="_Toc195842950"/>
      <w:bookmarkStart w:id="49" w:name="_Toc150774783"/>
      <w:bookmarkStart w:id="50" w:name="_Toc265228423"/>
      <w:r>
        <w:rPr>
          <w:rFonts w:ascii="宋体" w:hAnsi="宋体"/>
          <w:b/>
          <w:sz w:val="36"/>
          <w:szCs w:val="36"/>
        </w:rPr>
        <w:br w:type="page"/>
      </w:r>
    </w:p>
    <w:p w14:paraId="67C47878">
      <w:pPr>
        <w:spacing w:line="360" w:lineRule="auto"/>
        <w:jc w:val="center"/>
        <w:outlineLvl w:val="0"/>
        <w:rPr>
          <w:rFonts w:ascii="宋体" w:hAnsi="宋体"/>
          <w:b/>
          <w:sz w:val="32"/>
          <w:szCs w:val="32"/>
        </w:rPr>
      </w:pPr>
      <w:bookmarkStart w:id="51" w:name="_Toc25381"/>
      <w:r>
        <w:rPr>
          <w:rFonts w:ascii="宋体" w:hAnsi="宋体"/>
          <w:b/>
          <w:sz w:val="36"/>
          <w:szCs w:val="36"/>
        </w:rPr>
        <w:t>第二章</w:t>
      </w:r>
      <w:r>
        <w:rPr>
          <w:rFonts w:hint="eastAsia" w:ascii="宋体" w:hAnsi="宋体"/>
          <w:b/>
          <w:sz w:val="36"/>
          <w:szCs w:val="36"/>
        </w:rPr>
        <w:t xml:space="preserve">  </w:t>
      </w:r>
      <w:r>
        <w:rPr>
          <w:rFonts w:ascii="宋体" w:hAnsi="宋体"/>
          <w:b/>
          <w:sz w:val="36"/>
          <w:szCs w:val="36"/>
        </w:rPr>
        <w:t>投标人须知</w:t>
      </w:r>
      <w:bookmarkEnd w:id="39"/>
      <w:bookmarkEnd w:id="40"/>
      <w:bookmarkEnd w:id="41"/>
      <w:bookmarkEnd w:id="42"/>
      <w:bookmarkEnd w:id="43"/>
      <w:bookmarkEnd w:id="44"/>
      <w:bookmarkEnd w:id="45"/>
      <w:bookmarkEnd w:id="46"/>
      <w:bookmarkEnd w:id="47"/>
      <w:bookmarkEnd w:id="48"/>
      <w:bookmarkEnd w:id="49"/>
      <w:bookmarkEnd w:id="50"/>
      <w:bookmarkEnd w:id="51"/>
    </w:p>
    <w:p w14:paraId="7AF833D8">
      <w:pPr>
        <w:pStyle w:val="5"/>
        <w:tabs>
          <w:tab w:val="center" w:pos="4592"/>
          <w:tab w:val="left" w:pos="7860"/>
        </w:tabs>
        <w:spacing w:before="0" w:line="360" w:lineRule="auto"/>
        <w:rPr>
          <w:rFonts w:ascii="宋体" w:hAnsi="宋体" w:eastAsia="宋体"/>
          <w:sz w:val="28"/>
        </w:rPr>
      </w:pPr>
      <w:bookmarkStart w:id="52" w:name="_Toc142311021"/>
      <w:bookmarkStart w:id="53" w:name="_Toc151193833"/>
      <w:bookmarkStart w:id="54" w:name="_Toc151193689"/>
      <w:bookmarkStart w:id="55" w:name="_Toc150509270"/>
      <w:bookmarkStart w:id="56" w:name="_Toc127151720"/>
      <w:bookmarkStart w:id="57" w:name="_Toc164229360"/>
      <w:bookmarkStart w:id="58" w:name="_Toc164351613"/>
      <w:bookmarkStart w:id="59" w:name="_Toc226965709"/>
      <w:bookmarkStart w:id="60" w:name="_Toc164608633"/>
      <w:bookmarkStart w:id="61" w:name="_Toc226965792"/>
      <w:bookmarkStart w:id="62" w:name="_Toc150774619"/>
      <w:bookmarkStart w:id="63" w:name="_Toc164608788"/>
      <w:bookmarkStart w:id="64" w:name="_Toc164229214"/>
      <w:bookmarkStart w:id="65" w:name="_Toc151190146"/>
      <w:bookmarkStart w:id="66" w:name="_Toc149720812"/>
      <w:bookmarkStart w:id="67" w:name="_Toc520356144"/>
      <w:bookmarkStart w:id="68" w:name="_Toc226337215"/>
      <w:bookmarkStart w:id="69" w:name="_Toc150774724"/>
      <w:bookmarkStart w:id="70" w:name="_Toc151193617"/>
      <w:bookmarkStart w:id="71" w:name="_Toc150480757"/>
      <w:bookmarkStart w:id="72" w:name="_Toc151193761"/>
      <w:bookmarkStart w:id="73" w:name="_Toc195842884"/>
      <w:bookmarkStart w:id="74" w:name="_Toc226309763"/>
      <w:bookmarkStart w:id="75" w:name="_Toc127151519"/>
      <w:bookmarkStart w:id="76" w:name="_Toc127161433"/>
      <w:bookmarkStart w:id="77" w:name="_Toc151193907"/>
      <w:r>
        <w:rPr>
          <w:rFonts w:ascii="宋体" w:hAnsi="宋体" w:eastAsia="宋体"/>
          <w:sz w:val="28"/>
        </w:rPr>
        <w:t>投标人须知资料表</w:t>
      </w:r>
    </w:p>
    <w:p w14:paraId="4FB95F15">
      <w:pPr>
        <w:spacing w:line="360" w:lineRule="auto"/>
        <w:ind w:firstLine="480"/>
        <w:rPr>
          <w:rFonts w:ascii="宋体" w:hAnsi="宋体"/>
          <w:sz w:val="24"/>
        </w:rPr>
      </w:pPr>
      <w:r>
        <w:rPr>
          <w:rFonts w:ascii="宋体" w:hAnsi="宋体"/>
          <w:sz w:val="24"/>
        </w:rPr>
        <w:t>本表是对投标人须知的具体补充和修改，如有矛盾，均以本资料表</w:t>
      </w:r>
      <w:r>
        <w:rPr>
          <w:rFonts w:hint="eastAsia" w:ascii="宋体" w:hAnsi="宋体"/>
          <w:sz w:val="24"/>
        </w:rPr>
        <w:t>列明的内容</w:t>
      </w:r>
      <w:r>
        <w:rPr>
          <w:rFonts w:ascii="宋体" w:hAnsi="宋体"/>
          <w:sz w:val="24"/>
        </w:rPr>
        <w:t>为准。标记“</w:t>
      </w:r>
      <w:r>
        <w:rPr>
          <w:rFonts w:ascii="宋体" w:hAnsi="宋体"/>
          <w:b/>
          <w:sz w:val="24"/>
        </w:rPr>
        <w:t>■</w:t>
      </w:r>
      <w:r>
        <w:rPr>
          <w:rFonts w:ascii="宋体" w:hAnsi="宋体"/>
          <w:sz w:val="24"/>
        </w:rPr>
        <w:t>”的选项意为适用于本项目，标记“□”的选项意为不适用于本项目。</w:t>
      </w:r>
    </w:p>
    <w:tbl>
      <w:tblPr>
        <w:tblStyle w:val="27"/>
        <w:tblW w:w="884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73"/>
        <w:gridCol w:w="1496"/>
        <w:gridCol w:w="6275"/>
      </w:tblGrid>
      <w:tr w14:paraId="26BB17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blHeader/>
          <w:jc w:val="center"/>
        </w:trPr>
        <w:tc>
          <w:tcPr>
            <w:tcW w:w="1073" w:type="dxa"/>
            <w:vAlign w:val="center"/>
          </w:tcPr>
          <w:p w14:paraId="59BA436B">
            <w:pPr>
              <w:jc w:val="center"/>
              <w:rPr>
                <w:rFonts w:ascii="宋体" w:hAnsi="宋体"/>
                <w:b/>
                <w:bCs/>
                <w:sz w:val="24"/>
              </w:rPr>
            </w:pPr>
            <w:r>
              <w:rPr>
                <w:rFonts w:hint="eastAsia" w:ascii="宋体" w:hAnsi="宋体"/>
                <w:b/>
                <w:sz w:val="24"/>
              </w:rPr>
              <w:t>条款号</w:t>
            </w:r>
          </w:p>
        </w:tc>
        <w:tc>
          <w:tcPr>
            <w:tcW w:w="1496" w:type="dxa"/>
            <w:vAlign w:val="center"/>
          </w:tcPr>
          <w:p w14:paraId="3777D7BF">
            <w:pPr>
              <w:jc w:val="center"/>
              <w:rPr>
                <w:rFonts w:ascii="宋体" w:hAnsi="宋体"/>
                <w:b/>
                <w:bCs/>
                <w:sz w:val="24"/>
              </w:rPr>
            </w:pPr>
            <w:r>
              <w:rPr>
                <w:rFonts w:hint="eastAsia" w:ascii="宋体" w:hAnsi="宋体"/>
                <w:b/>
                <w:bCs/>
                <w:sz w:val="24"/>
              </w:rPr>
              <w:t>条目</w:t>
            </w:r>
          </w:p>
        </w:tc>
        <w:tc>
          <w:tcPr>
            <w:tcW w:w="6275" w:type="dxa"/>
            <w:vAlign w:val="center"/>
          </w:tcPr>
          <w:p w14:paraId="2DE7E280">
            <w:pPr>
              <w:jc w:val="center"/>
              <w:rPr>
                <w:rFonts w:ascii="宋体" w:hAnsi="宋体"/>
                <w:b/>
                <w:bCs/>
                <w:sz w:val="24"/>
              </w:rPr>
            </w:pPr>
            <w:r>
              <w:rPr>
                <w:rFonts w:hint="eastAsia" w:ascii="宋体" w:hAnsi="宋体"/>
                <w:b/>
                <w:bCs/>
                <w:sz w:val="24"/>
              </w:rPr>
              <w:t>内容</w:t>
            </w:r>
          </w:p>
        </w:tc>
      </w:tr>
      <w:tr w14:paraId="5CFC6D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73" w:type="dxa"/>
            <w:vAlign w:val="center"/>
          </w:tcPr>
          <w:p w14:paraId="3BE038F6">
            <w:pPr>
              <w:pStyle w:val="13"/>
              <w:adjustRightInd w:val="0"/>
              <w:snapToGrid w:val="0"/>
              <w:jc w:val="center"/>
              <w:rPr>
                <w:rFonts w:hint="default" w:hAnsi="宋体"/>
                <w:sz w:val="24"/>
                <w:szCs w:val="24"/>
              </w:rPr>
            </w:pPr>
            <w:r>
              <w:rPr>
                <w:rFonts w:hint="default" w:hAnsi="宋体"/>
                <w:sz w:val="24"/>
                <w:szCs w:val="24"/>
              </w:rPr>
              <w:t>2.2</w:t>
            </w:r>
          </w:p>
        </w:tc>
        <w:tc>
          <w:tcPr>
            <w:tcW w:w="1496" w:type="dxa"/>
            <w:vAlign w:val="center"/>
          </w:tcPr>
          <w:p w14:paraId="3F1BB181">
            <w:pPr>
              <w:jc w:val="center"/>
              <w:rPr>
                <w:rFonts w:ascii="宋体" w:hAnsi="宋体"/>
                <w:sz w:val="24"/>
              </w:rPr>
            </w:pPr>
            <w:r>
              <w:rPr>
                <w:rFonts w:hint="eastAsia" w:ascii="宋体" w:hAnsi="宋体"/>
                <w:sz w:val="24"/>
              </w:rPr>
              <w:t>项目属性</w:t>
            </w:r>
          </w:p>
        </w:tc>
        <w:tc>
          <w:tcPr>
            <w:tcW w:w="6275" w:type="dxa"/>
            <w:vAlign w:val="center"/>
          </w:tcPr>
          <w:p w14:paraId="3824AE72">
            <w:pPr>
              <w:jc w:val="left"/>
              <w:rPr>
                <w:rFonts w:ascii="宋体" w:hAnsi="宋体"/>
                <w:sz w:val="24"/>
              </w:rPr>
            </w:pPr>
            <w:r>
              <w:rPr>
                <w:rFonts w:hint="eastAsia" w:ascii="宋体" w:hAnsi="宋体"/>
                <w:sz w:val="24"/>
              </w:rPr>
              <w:t>项目属性：□ 服务    ■ 货物</w:t>
            </w:r>
          </w:p>
        </w:tc>
      </w:tr>
      <w:tr w14:paraId="23EDCA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73" w:type="dxa"/>
            <w:vAlign w:val="center"/>
          </w:tcPr>
          <w:p w14:paraId="62B89472">
            <w:pPr>
              <w:pStyle w:val="13"/>
              <w:adjustRightInd w:val="0"/>
              <w:snapToGrid w:val="0"/>
              <w:jc w:val="center"/>
              <w:rPr>
                <w:rFonts w:hint="default" w:hAnsi="宋体"/>
                <w:sz w:val="24"/>
                <w:szCs w:val="24"/>
              </w:rPr>
            </w:pPr>
            <w:r>
              <w:rPr>
                <w:rFonts w:hint="default" w:hAnsi="宋体"/>
                <w:sz w:val="24"/>
                <w:szCs w:val="24"/>
              </w:rPr>
              <w:t>2.3</w:t>
            </w:r>
          </w:p>
        </w:tc>
        <w:tc>
          <w:tcPr>
            <w:tcW w:w="1496" w:type="dxa"/>
            <w:vAlign w:val="center"/>
          </w:tcPr>
          <w:p w14:paraId="762D3FA0">
            <w:pPr>
              <w:jc w:val="center"/>
              <w:rPr>
                <w:rFonts w:ascii="宋体" w:hAnsi="宋体"/>
                <w:sz w:val="24"/>
              </w:rPr>
            </w:pPr>
            <w:r>
              <w:rPr>
                <w:rFonts w:hint="eastAsia" w:ascii="宋体" w:hAnsi="宋体"/>
                <w:sz w:val="24"/>
              </w:rPr>
              <w:t>科研仪器设备</w:t>
            </w:r>
          </w:p>
        </w:tc>
        <w:tc>
          <w:tcPr>
            <w:tcW w:w="6275" w:type="dxa"/>
            <w:vAlign w:val="center"/>
          </w:tcPr>
          <w:p w14:paraId="5C866C83">
            <w:pPr>
              <w:jc w:val="left"/>
              <w:rPr>
                <w:rFonts w:ascii="宋体" w:hAnsi="宋体"/>
                <w:sz w:val="24"/>
              </w:rPr>
            </w:pPr>
            <w:r>
              <w:rPr>
                <w:rFonts w:hint="eastAsia" w:ascii="宋体" w:hAnsi="宋体"/>
                <w:sz w:val="24"/>
              </w:rPr>
              <w:t>是否属于科研仪器设备采购项目：□是  ■否</w:t>
            </w:r>
          </w:p>
        </w:tc>
      </w:tr>
      <w:tr w14:paraId="7276A8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73" w:type="dxa"/>
            <w:vAlign w:val="center"/>
          </w:tcPr>
          <w:p w14:paraId="5947523A">
            <w:pPr>
              <w:pStyle w:val="13"/>
              <w:adjustRightInd w:val="0"/>
              <w:snapToGrid w:val="0"/>
              <w:jc w:val="center"/>
              <w:rPr>
                <w:rFonts w:hint="default" w:hAnsi="宋体"/>
                <w:sz w:val="24"/>
                <w:szCs w:val="24"/>
              </w:rPr>
            </w:pPr>
            <w:r>
              <w:rPr>
                <w:rFonts w:hint="default" w:hAnsi="宋体"/>
                <w:sz w:val="24"/>
                <w:szCs w:val="24"/>
              </w:rPr>
              <w:t>2.4</w:t>
            </w:r>
          </w:p>
        </w:tc>
        <w:tc>
          <w:tcPr>
            <w:tcW w:w="1496" w:type="dxa"/>
            <w:vAlign w:val="center"/>
          </w:tcPr>
          <w:p w14:paraId="7311A37D">
            <w:pPr>
              <w:jc w:val="center"/>
              <w:rPr>
                <w:rFonts w:ascii="宋体" w:hAnsi="宋体"/>
                <w:sz w:val="24"/>
              </w:rPr>
            </w:pPr>
            <w:r>
              <w:rPr>
                <w:rFonts w:hint="eastAsia" w:ascii="宋体" w:hAnsi="宋体" w:cs="宋体"/>
                <w:sz w:val="24"/>
              </w:rPr>
              <w:t>核心产品</w:t>
            </w:r>
          </w:p>
        </w:tc>
        <w:tc>
          <w:tcPr>
            <w:tcW w:w="6275" w:type="dxa"/>
            <w:vAlign w:val="center"/>
          </w:tcPr>
          <w:p w14:paraId="226946C5">
            <w:pPr>
              <w:pStyle w:val="13"/>
              <w:adjustRightInd w:val="0"/>
              <w:snapToGrid w:val="0"/>
              <w:rPr>
                <w:rFonts w:hint="default" w:hAnsi="宋体"/>
                <w:sz w:val="24"/>
                <w:szCs w:val="24"/>
              </w:rPr>
            </w:pPr>
            <w:r>
              <w:rPr>
                <w:rFonts w:hint="default" w:hAnsi="宋体"/>
                <w:sz w:val="24"/>
                <w:szCs w:val="24"/>
              </w:rPr>
              <w:t>关于核心产品</w:t>
            </w:r>
            <w:r>
              <w:rPr>
                <w:rFonts w:hAnsi="宋体"/>
                <w:sz w:val="24"/>
                <w:szCs w:val="24"/>
              </w:rPr>
              <w:t>：</w:t>
            </w:r>
          </w:p>
          <w:p w14:paraId="13608FB3">
            <w:pPr>
              <w:pStyle w:val="13"/>
              <w:adjustRightInd w:val="0"/>
              <w:snapToGrid w:val="0"/>
              <w:rPr>
                <w:rFonts w:hint="default" w:hAnsi="宋体"/>
                <w:sz w:val="24"/>
                <w:szCs w:val="24"/>
              </w:rPr>
            </w:pPr>
            <w:r>
              <w:rPr>
                <w:rFonts w:hAnsi="宋体"/>
                <w:sz w:val="24"/>
                <w:szCs w:val="24"/>
              </w:rPr>
              <w:t>□</w:t>
            </w:r>
            <w:r>
              <w:rPr>
                <w:rFonts w:hint="default" w:hAnsi="宋体"/>
                <w:sz w:val="24"/>
                <w:szCs w:val="24"/>
              </w:rPr>
              <w:t>本项目不适用。</w:t>
            </w:r>
          </w:p>
          <w:p w14:paraId="08831D8F">
            <w:pPr>
              <w:pStyle w:val="13"/>
              <w:adjustRightInd w:val="0"/>
              <w:snapToGrid w:val="0"/>
              <w:rPr>
                <w:rFonts w:hint="default" w:hAnsi="宋体" w:cs="宋体"/>
                <w:sz w:val="24"/>
                <w:szCs w:val="24"/>
              </w:rPr>
            </w:pPr>
            <w:r>
              <w:rPr>
                <w:rFonts w:hAnsi="宋体"/>
                <w:sz w:val="24"/>
                <w:szCs w:val="24"/>
              </w:rPr>
              <w:t>□</w:t>
            </w:r>
            <w:r>
              <w:rPr>
                <w:rFonts w:hAnsi="宋体" w:cs="宋体"/>
                <w:sz w:val="24"/>
                <w:szCs w:val="24"/>
              </w:rPr>
              <w:t>本项目为单一产品采购项目。</w:t>
            </w:r>
          </w:p>
          <w:p w14:paraId="59B648DC">
            <w:pPr>
              <w:pStyle w:val="13"/>
              <w:adjustRightInd w:val="0"/>
              <w:snapToGrid w:val="0"/>
              <w:rPr>
                <w:rFonts w:hint="default" w:hAnsi="宋体"/>
                <w:sz w:val="24"/>
              </w:rPr>
            </w:pPr>
            <w:r>
              <w:rPr>
                <w:rFonts w:hAnsi="宋体" w:cs="宋体"/>
                <w:sz w:val="24"/>
              </w:rPr>
              <w:t>■</w:t>
            </w:r>
            <w:r>
              <w:rPr>
                <w:rFonts w:hAnsi="宋体" w:cs="宋体"/>
                <w:sz w:val="24"/>
                <w:szCs w:val="24"/>
              </w:rPr>
              <w:t>本项目为非单一产品采购，核心产品为：</w:t>
            </w:r>
            <w:r>
              <w:rPr>
                <w:rFonts w:hAnsi="宋体"/>
                <w:sz w:val="24"/>
                <w:u w:val="single"/>
              </w:rPr>
              <w:t>水痘-带状疱疹病毒核酸实时荧光PCR检测试剂盒</w:t>
            </w:r>
            <w:r>
              <w:rPr>
                <w:rFonts w:hAnsi="宋体" w:cs="宋体"/>
                <w:sz w:val="24"/>
                <w:szCs w:val="24"/>
              </w:rPr>
              <w:t>。</w:t>
            </w:r>
          </w:p>
        </w:tc>
      </w:tr>
      <w:tr w14:paraId="52D611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73" w:type="dxa"/>
            <w:vMerge w:val="restart"/>
            <w:vAlign w:val="center"/>
          </w:tcPr>
          <w:p w14:paraId="1A6B05BA">
            <w:pPr>
              <w:pStyle w:val="13"/>
              <w:adjustRightInd w:val="0"/>
              <w:snapToGrid w:val="0"/>
              <w:jc w:val="center"/>
              <w:rPr>
                <w:rFonts w:hint="default" w:hAnsi="宋体"/>
                <w:sz w:val="24"/>
                <w:szCs w:val="24"/>
              </w:rPr>
            </w:pPr>
            <w:r>
              <w:rPr>
                <w:rFonts w:hint="default" w:hAnsi="宋体"/>
                <w:sz w:val="24"/>
                <w:szCs w:val="24"/>
              </w:rPr>
              <w:t>3.1</w:t>
            </w:r>
          </w:p>
        </w:tc>
        <w:tc>
          <w:tcPr>
            <w:tcW w:w="1496" w:type="dxa"/>
            <w:vAlign w:val="center"/>
          </w:tcPr>
          <w:p w14:paraId="143F2AAA">
            <w:pPr>
              <w:jc w:val="center"/>
              <w:rPr>
                <w:rFonts w:ascii="宋体" w:hAnsi="宋体"/>
                <w:sz w:val="24"/>
              </w:rPr>
            </w:pPr>
            <w:r>
              <w:rPr>
                <w:rFonts w:hint="eastAsia" w:ascii="宋体" w:hAnsi="宋体"/>
                <w:sz w:val="24"/>
              </w:rPr>
              <w:t>现场考察</w:t>
            </w:r>
          </w:p>
        </w:tc>
        <w:tc>
          <w:tcPr>
            <w:tcW w:w="6275" w:type="dxa"/>
            <w:vAlign w:val="center"/>
          </w:tcPr>
          <w:p w14:paraId="7090F47A">
            <w:pPr>
              <w:jc w:val="left"/>
              <w:rPr>
                <w:rFonts w:ascii="宋体" w:hAnsi="宋体"/>
                <w:sz w:val="24"/>
              </w:rPr>
            </w:pPr>
            <w:r>
              <w:rPr>
                <w:rFonts w:hint="eastAsia" w:ascii="宋体" w:hAnsi="宋体"/>
                <w:sz w:val="24"/>
              </w:rPr>
              <w:t>■不组织</w:t>
            </w:r>
          </w:p>
          <w:p w14:paraId="2370E392">
            <w:pPr>
              <w:jc w:val="left"/>
              <w:rPr>
                <w:rFonts w:ascii="宋体" w:hAnsi="宋体"/>
                <w:bCs/>
                <w:sz w:val="24"/>
              </w:rPr>
            </w:pPr>
            <w:r>
              <w:rPr>
                <w:rFonts w:hint="eastAsia" w:ascii="宋体" w:hAnsi="宋体"/>
                <w:sz w:val="24"/>
              </w:rPr>
              <w:t>□组织，考察时间：</w:t>
            </w:r>
            <w:r>
              <w:rPr>
                <w:rFonts w:hint="eastAsia" w:ascii="宋体" w:hAnsi="宋体"/>
                <w:sz w:val="24"/>
                <w:u w:val="single"/>
              </w:rPr>
              <w:t xml:space="preserve">  /  </w:t>
            </w:r>
            <w:r>
              <w:rPr>
                <w:rFonts w:hint="eastAsia" w:ascii="宋体" w:hAnsi="宋体"/>
                <w:sz w:val="24"/>
              </w:rPr>
              <w:t>年</w:t>
            </w:r>
            <w:r>
              <w:rPr>
                <w:rFonts w:hint="eastAsia" w:ascii="宋体" w:hAnsi="宋体"/>
                <w:sz w:val="24"/>
                <w:u w:val="single"/>
              </w:rPr>
              <w:t xml:space="preserve">  /  </w:t>
            </w:r>
            <w:r>
              <w:rPr>
                <w:rFonts w:hint="eastAsia" w:ascii="宋体" w:hAnsi="宋体"/>
                <w:sz w:val="24"/>
              </w:rPr>
              <w:t>月</w:t>
            </w:r>
            <w:r>
              <w:rPr>
                <w:rFonts w:hint="eastAsia" w:ascii="宋体" w:hAnsi="宋体"/>
                <w:sz w:val="24"/>
                <w:u w:val="single"/>
              </w:rPr>
              <w:t xml:space="preserve">  /  </w:t>
            </w:r>
            <w:r>
              <w:rPr>
                <w:rFonts w:hint="eastAsia" w:ascii="宋体" w:hAnsi="宋体"/>
                <w:sz w:val="24"/>
              </w:rPr>
              <w:t>日</w:t>
            </w:r>
            <w:r>
              <w:rPr>
                <w:rFonts w:hint="eastAsia" w:ascii="宋体" w:hAnsi="宋体"/>
                <w:sz w:val="24"/>
                <w:u w:val="single"/>
              </w:rPr>
              <w:t xml:space="preserve"> / </w:t>
            </w:r>
            <w:r>
              <w:rPr>
                <w:rFonts w:hint="eastAsia" w:ascii="宋体" w:hAnsi="宋体"/>
                <w:sz w:val="24"/>
              </w:rPr>
              <w:t>时</w:t>
            </w:r>
            <w:r>
              <w:rPr>
                <w:rFonts w:hint="eastAsia" w:ascii="宋体" w:hAnsi="宋体"/>
                <w:sz w:val="24"/>
                <w:u w:val="single"/>
              </w:rPr>
              <w:t xml:space="preserve"> / </w:t>
            </w:r>
            <w:r>
              <w:rPr>
                <w:rFonts w:hint="eastAsia" w:ascii="宋体" w:hAnsi="宋体"/>
                <w:bCs/>
                <w:sz w:val="24"/>
              </w:rPr>
              <w:t>分</w:t>
            </w:r>
          </w:p>
          <w:p w14:paraId="17BDDB14">
            <w:pPr>
              <w:pStyle w:val="13"/>
              <w:adjustRightInd w:val="0"/>
              <w:snapToGrid w:val="0"/>
              <w:rPr>
                <w:rFonts w:hint="default" w:hAnsi="宋体"/>
                <w:sz w:val="24"/>
                <w:szCs w:val="24"/>
              </w:rPr>
            </w:pPr>
            <w:r>
              <w:rPr>
                <w:rFonts w:hint="default" w:hAnsi="宋体"/>
                <w:sz w:val="24"/>
              </w:rPr>
              <w:t>考察地点：</w:t>
            </w:r>
            <w:r>
              <w:rPr>
                <w:rFonts w:hAnsi="宋体"/>
                <w:sz w:val="24"/>
                <w:szCs w:val="24"/>
                <w:u w:val="single"/>
              </w:rPr>
              <w:t xml:space="preserve">   /   </w:t>
            </w:r>
            <w:r>
              <w:rPr>
                <w:rFonts w:hAnsi="宋体"/>
                <w:sz w:val="24"/>
              </w:rPr>
              <w:t>。</w:t>
            </w:r>
          </w:p>
        </w:tc>
      </w:tr>
      <w:tr w14:paraId="59B0AC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73" w:type="dxa"/>
            <w:vMerge w:val="continue"/>
            <w:vAlign w:val="center"/>
          </w:tcPr>
          <w:p w14:paraId="33D73657">
            <w:pPr>
              <w:pStyle w:val="13"/>
              <w:adjustRightInd w:val="0"/>
              <w:snapToGrid w:val="0"/>
              <w:jc w:val="center"/>
              <w:rPr>
                <w:rFonts w:hint="default" w:hAnsi="宋体"/>
                <w:sz w:val="24"/>
                <w:szCs w:val="24"/>
              </w:rPr>
            </w:pPr>
          </w:p>
        </w:tc>
        <w:tc>
          <w:tcPr>
            <w:tcW w:w="1496" w:type="dxa"/>
            <w:vAlign w:val="center"/>
          </w:tcPr>
          <w:p w14:paraId="1A5A6EAF">
            <w:pPr>
              <w:jc w:val="center"/>
              <w:rPr>
                <w:rFonts w:ascii="宋体" w:hAnsi="宋体"/>
                <w:sz w:val="24"/>
              </w:rPr>
            </w:pPr>
            <w:r>
              <w:rPr>
                <w:rFonts w:hint="eastAsia" w:ascii="宋体" w:hAnsi="宋体"/>
                <w:sz w:val="24"/>
              </w:rPr>
              <w:t>开标前答疑会</w:t>
            </w:r>
          </w:p>
        </w:tc>
        <w:tc>
          <w:tcPr>
            <w:tcW w:w="6275" w:type="dxa"/>
            <w:vAlign w:val="center"/>
          </w:tcPr>
          <w:p w14:paraId="1F830135">
            <w:pPr>
              <w:jc w:val="left"/>
              <w:rPr>
                <w:rFonts w:ascii="宋体" w:hAnsi="宋体"/>
                <w:sz w:val="24"/>
              </w:rPr>
            </w:pPr>
            <w:r>
              <w:rPr>
                <w:rFonts w:hint="eastAsia" w:ascii="宋体" w:hAnsi="宋体"/>
                <w:sz w:val="24"/>
              </w:rPr>
              <w:t>■不召开</w:t>
            </w:r>
          </w:p>
          <w:p w14:paraId="7DE1E81F">
            <w:pPr>
              <w:jc w:val="left"/>
              <w:rPr>
                <w:rFonts w:ascii="宋体" w:hAnsi="宋体"/>
                <w:sz w:val="24"/>
              </w:rPr>
            </w:pPr>
            <w:r>
              <w:rPr>
                <w:rFonts w:hint="eastAsia" w:ascii="宋体" w:hAnsi="宋体"/>
                <w:sz w:val="24"/>
              </w:rPr>
              <w:t>□召开，召开时间：</w:t>
            </w:r>
            <w:r>
              <w:rPr>
                <w:rFonts w:hint="eastAsia" w:ascii="宋体" w:hAnsi="宋体"/>
                <w:sz w:val="24"/>
                <w:u w:val="single"/>
              </w:rPr>
              <w:t xml:space="preserve">  /  </w:t>
            </w:r>
            <w:r>
              <w:rPr>
                <w:rFonts w:hint="eastAsia" w:ascii="宋体" w:hAnsi="宋体"/>
                <w:sz w:val="24"/>
              </w:rPr>
              <w:t>年</w:t>
            </w:r>
            <w:r>
              <w:rPr>
                <w:rFonts w:hint="eastAsia" w:ascii="宋体" w:hAnsi="宋体"/>
                <w:sz w:val="24"/>
                <w:u w:val="single"/>
              </w:rPr>
              <w:t xml:space="preserve">  /  </w:t>
            </w:r>
            <w:r>
              <w:rPr>
                <w:rFonts w:hint="eastAsia" w:ascii="宋体" w:hAnsi="宋体"/>
                <w:sz w:val="24"/>
              </w:rPr>
              <w:t>月</w:t>
            </w:r>
            <w:r>
              <w:rPr>
                <w:rFonts w:hint="eastAsia" w:ascii="宋体" w:hAnsi="宋体"/>
                <w:sz w:val="24"/>
                <w:u w:val="single"/>
              </w:rPr>
              <w:t xml:space="preserve">  /  </w:t>
            </w:r>
            <w:r>
              <w:rPr>
                <w:rFonts w:hint="eastAsia" w:ascii="宋体" w:hAnsi="宋体"/>
                <w:sz w:val="24"/>
              </w:rPr>
              <w:t>日</w:t>
            </w:r>
            <w:r>
              <w:rPr>
                <w:rFonts w:hint="eastAsia" w:ascii="宋体" w:hAnsi="宋体"/>
                <w:sz w:val="24"/>
                <w:u w:val="single"/>
              </w:rPr>
              <w:t xml:space="preserve"> / </w:t>
            </w:r>
            <w:r>
              <w:rPr>
                <w:rFonts w:hint="eastAsia" w:ascii="宋体" w:hAnsi="宋体"/>
                <w:sz w:val="24"/>
              </w:rPr>
              <w:t>时</w:t>
            </w:r>
            <w:r>
              <w:rPr>
                <w:rFonts w:hint="eastAsia" w:ascii="宋体" w:hAnsi="宋体"/>
                <w:sz w:val="24"/>
                <w:u w:val="single"/>
              </w:rPr>
              <w:t xml:space="preserve"> / </w:t>
            </w:r>
            <w:r>
              <w:rPr>
                <w:rFonts w:hint="eastAsia" w:ascii="宋体" w:hAnsi="宋体"/>
                <w:bCs/>
                <w:sz w:val="24"/>
              </w:rPr>
              <w:t>分</w:t>
            </w:r>
          </w:p>
          <w:p w14:paraId="606A706D">
            <w:pPr>
              <w:jc w:val="left"/>
              <w:rPr>
                <w:rFonts w:ascii="宋体" w:hAnsi="宋体"/>
                <w:sz w:val="24"/>
              </w:rPr>
            </w:pPr>
            <w:r>
              <w:rPr>
                <w:rFonts w:hint="eastAsia" w:ascii="宋体" w:hAnsi="宋体"/>
                <w:sz w:val="24"/>
              </w:rPr>
              <w:t>召开地点：</w:t>
            </w:r>
            <w:r>
              <w:rPr>
                <w:rFonts w:hint="eastAsia" w:ascii="宋体" w:hAnsi="宋体"/>
                <w:sz w:val="24"/>
                <w:u w:val="single"/>
              </w:rPr>
              <w:t xml:space="preserve">   /   </w:t>
            </w:r>
            <w:r>
              <w:rPr>
                <w:rFonts w:hint="eastAsia" w:ascii="宋体" w:hAnsi="宋体"/>
                <w:sz w:val="24"/>
              </w:rPr>
              <w:t>。</w:t>
            </w:r>
          </w:p>
        </w:tc>
      </w:tr>
      <w:tr w14:paraId="43DF98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73" w:type="dxa"/>
            <w:vAlign w:val="center"/>
          </w:tcPr>
          <w:p w14:paraId="14C3E63F">
            <w:pPr>
              <w:pStyle w:val="13"/>
              <w:adjustRightInd w:val="0"/>
              <w:snapToGrid w:val="0"/>
              <w:jc w:val="center"/>
              <w:rPr>
                <w:rFonts w:hint="default" w:hAnsi="宋体"/>
                <w:sz w:val="24"/>
                <w:szCs w:val="24"/>
              </w:rPr>
            </w:pPr>
            <w:r>
              <w:rPr>
                <w:rFonts w:hint="default" w:hAnsi="宋体"/>
                <w:sz w:val="24"/>
                <w:szCs w:val="24"/>
              </w:rPr>
              <w:t>4.1</w:t>
            </w:r>
          </w:p>
        </w:tc>
        <w:tc>
          <w:tcPr>
            <w:tcW w:w="1496" w:type="dxa"/>
            <w:vAlign w:val="center"/>
          </w:tcPr>
          <w:p w14:paraId="767F97A4">
            <w:pPr>
              <w:jc w:val="center"/>
              <w:rPr>
                <w:rFonts w:ascii="宋体" w:hAnsi="宋体"/>
                <w:sz w:val="24"/>
              </w:rPr>
            </w:pPr>
            <w:r>
              <w:rPr>
                <w:rFonts w:hint="eastAsia" w:ascii="宋体" w:hAnsi="宋体"/>
                <w:sz w:val="24"/>
              </w:rPr>
              <w:t>样品</w:t>
            </w:r>
          </w:p>
        </w:tc>
        <w:tc>
          <w:tcPr>
            <w:tcW w:w="6275" w:type="dxa"/>
            <w:vAlign w:val="center"/>
          </w:tcPr>
          <w:p w14:paraId="4F79275F">
            <w:pPr>
              <w:jc w:val="left"/>
              <w:rPr>
                <w:rFonts w:ascii="宋体" w:hAnsi="宋体"/>
                <w:sz w:val="24"/>
              </w:rPr>
            </w:pPr>
            <w:r>
              <w:rPr>
                <w:rFonts w:hint="eastAsia" w:ascii="宋体" w:hAnsi="宋体"/>
                <w:sz w:val="24"/>
              </w:rPr>
              <w:t>投标样品递交：</w:t>
            </w:r>
          </w:p>
          <w:p w14:paraId="1A9F5293">
            <w:pPr>
              <w:jc w:val="left"/>
              <w:rPr>
                <w:rFonts w:ascii="宋体" w:hAnsi="宋体"/>
                <w:sz w:val="24"/>
              </w:rPr>
            </w:pPr>
            <w:r>
              <w:rPr>
                <w:rFonts w:hint="eastAsia" w:ascii="宋体" w:hAnsi="宋体"/>
                <w:sz w:val="24"/>
              </w:rPr>
              <w:t>■不需要</w:t>
            </w:r>
          </w:p>
          <w:p w14:paraId="75977857">
            <w:pPr>
              <w:jc w:val="left"/>
              <w:rPr>
                <w:rFonts w:ascii="宋体" w:hAnsi="宋体"/>
                <w:sz w:val="24"/>
              </w:rPr>
            </w:pPr>
            <w:r>
              <w:rPr>
                <w:rFonts w:hint="eastAsia" w:ascii="宋体" w:hAnsi="宋体"/>
                <w:sz w:val="24"/>
              </w:rPr>
              <w:t>□需要，具体要求如下：</w:t>
            </w:r>
          </w:p>
          <w:p w14:paraId="1642E774">
            <w:pPr>
              <w:jc w:val="left"/>
              <w:rPr>
                <w:rFonts w:ascii="宋体" w:hAnsi="宋体"/>
                <w:sz w:val="24"/>
                <w:u w:val="single"/>
              </w:rPr>
            </w:pPr>
            <w:r>
              <w:rPr>
                <w:rFonts w:hint="eastAsia" w:ascii="宋体" w:hAnsi="宋体"/>
                <w:sz w:val="24"/>
              </w:rPr>
              <w:t>（1）样品制作的标准和要求：_</w:t>
            </w:r>
            <w:r>
              <w:rPr>
                <w:rFonts w:hint="eastAsia" w:ascii="宋体" w:hAnsi="宋体"/>
                <w:sz w:val="24"/>
                <w:u w:val="single"/>
              </w:rPr>
              <w:t xml:space="preserve">   /   </w:t>
            </w:r>
            <w:r>
              <w:rPr>
                <w:rFonts w:hint="eastAsia" w:ascii="宋体" w:hAnsi="宋体"/>
                <w:sz w:val="24"/>
              </w:rPr>
              <w:t>；</w:t>
            </w:r>
          </w:p>
          <w:p w14:paraId="259E94A9">
            <w:pPr>
              <w:jc w:val="left"/>
              <w:rPr>
                <w:rFonts w:ascii="宋体" w:hAnsi="宋体"/>
                <w:sz w:val="24"/>
              </w:rPr>
            </w:pPr>
            <w:r>
              <w:rPr>
                <w:rFonts w:hint="eastAsia" w:ascii="宋体" w:hAnsi="宋体"/>
                <w:sz w:val="24"/>
              </w:rPr>
              <w:t>（2）是否需要随样品提交相关检测报告：</w:t>
            </w:r>
          </w:p>
          <w:p w14:paraId="23A98DBF">
            <w:pPr>
              <w:ind w:firstLine="600" w:firstLineChars="250"/>
              <w:jc w:val="left"/>
              <w:rPr>
                <w:rFonts w:ascii="宋体" w:hAnsi="宋体"/>
                <w:sz w:val="24"/>
              </w:rPr>
            </w:pPr>
            <w:r>
              <w:rPr>
                <w:rFonts w:hint="eastAsia" w:ascii="宋体" w:hAnsi="宋体"/>
                <w:sz w:val="24"/>
              </w:rPr>
              <w:t>□不需要</w:t>
            </w:r>
          </w:p>
          <w:p w14:paraId="0B6980C7">
            <w:pPr>
              <w:ind w:firstLine="600" w:firstLineChars="250"/>
              <w:jc w:val="left"/>
              <w:rPr>
                <w:rFonts w:ascii="宋体" w:hAnsi="宋体"/>
                <w:sz w:val="24"/>
              </w:rPr>
            </w:pPr>
            <w:r>
              <w:rPr>
                <w:rFonts w:hint="eastAsia" w:ascii="宋体" w:hAnsi="宋体"/>
                <w:sz w:val="24"/>
              </w:rPr>
              <w:t>□需要</w:t>
            </w:r>
          </w:p>
          <w:p w14:paraId="464F7265">
            <w:pPr>
              <w:jc w:val="left"/>
              <w:rPr>
                <w:rFonts w:ascii="宋体" w:hAnsi="宋体"/>
                <w:sz w:val="24"/>
              </w:rPr>
            </w:pPr>
            <w:r>
              <w:rPr>
                <w:rFonts w:hint="eastAsia" w:ascii="宋体" w:hAnsi="宋体"/>
                <w:sz w:val="24"/>
              </w:rPr>
              <w:t>（3）样品递交要求：</w:t>
            </w:r>
            <w:r>
              <w:rPr>
                <w:rFonts w:hint="eastAsia" w:ascii="宋体" w:hAnsi="宋体"/>
                <w:sz w:val="24"/>
                <w:u w:val="single"/>
              </w:rPr>
              <w:t xml:space="preserve">   /   </w:t>
            </w:r>
            <w:r>
              <w:rPr>
                <w:rFonts w:hint="eastAsia" w:ascii="宋体" w:hAnsi="宋体"/>
                <w:sz w:val="24"/>
              </w:rPr>
              <w:t>；</w:t>
            </w:r>
          </w:p>
          <w:p w14:paraId="3C47F872">
            <w:pPr>
              <w:jc w:val="left"/>
              <w:rPr>
                <w:rFonts w:ascii="宋体" w:hAnsi="宋体"/>
                <w:sz w:val="24"/>
              </w:rPr>
            </w:pPr>
            <w:r>
              <w:rPr>
                <w:rFonts w:hint="eastAsia" w:ascii="宋体" w:hAnsi="宋体"/>
                <w:sz w:val="24"/>
              </w:rPr>
              <w:t>（4）未中标人样品退还：</w:t>
            </w:r>
            <w:r>
              <w:rPr>
                <w:rFonts w:hint="eastAsia" w:ascii="宋体" w:hAnsi="宋体"/>
                <w:sz w:val="24"/>
                <w:u w:val="single"/>
              </w:rPr>
              <w:t xml:space="preserve">   /   </w:t>
            </w:r>
            <w:r>
              <w:rPr>
                <w:rFonts w:hint="eastAsia" w:ascii="宋体" w:hAnsi="宋体"/>
                <w:sz w:val="24"/>
              </w:rPr>
              <w:t>；</w:t>
            </w:r>
          </w:p>
          <w:p w14:paraId="0AEA71E9">
            <w:pPr>
              <w:jc w:val="left"/>
              <w:rPr>
                <w:rFonts w:ascii="宋体" w:hAnsi="宋体"/>
                <w:sz w:val="24"/>
                <w:u w:val="single"/>
              </w:rPr>
            </w:pPr>
            <w:r>
              <w:rPr>
                <w:rFonts w:hint="eastAsia" w:ascii="宋体" w:hAnsi="宋体"/>
                <w:sz w:val="24"/>
              </w:rPr>
              <w:t>（5）中标人样品保管、封存及退还：</w:t>
            </w:r>
            <w:r>
              <w:rPr>
                <w:rFonts w:hint="eastAsia" w:ascii="宋体" w:hAnsi="宋体"/>
                <w:sz w:val="24"/>
                <w:u w:val="single"/>
              </w:rPr>
              <w:t xml:space="preserve">   /   </w:t>
            </w:r>
            <w:r>
              <w:rPr>
                <w:rFonts w:hint="eastAsia" w:ascii="宋体" w:hAnsi="宋体"/>
                <w:sz w:val="24"/>
              </w:rPr>
              <w:t>；</w:t>
            </w:r>
          </w:p>
          <w:p w14:paraId="30C499BE">
            <w:pPr>
              <w:jc w:val="left"/>
              <w:rPr>
                <w:rFonts w:ascii="宋体" w:hAnsi="宋体"/>
                <w:sz w:val="24"/>
              </w:rPr>
            </w:pPr>
            <w:r>
              <w:rPr>
                <w:rFonts w:hint="eastAsia" w:ascii="宋体" w:hAnsi="宋体"/>
                <w:sz w:val="24"/>
              </w:rPr>
              <w:t>（6）其他要求（如有）：</w:t>
            </w:r>
            <w:r>
              <w:rPr>
                <w:rFonts w:hint="eastAsia" w:ascii="宋体" w:hAnsi="宋体"/>
                <w:sz w:val="24"/>
                <w:u w:val="single"/>
              </w:rPr>
              <w:t xml:space="preserve">   /   </w:t>
            </w:r>
            <w:r>
              <w:rPr>
                <w:rFonts w:hint="eastAsia" w:ascii="宋体" w:hAnsi="宋体"/>
                <w:sz w:val="24"/>
              </w:rPr>
              <w:t>。</w:t>
            </w:r>
          </w:p>
        </w:tc>
      </w:tr>
      <w:tr w14:paraId="4BD595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73" w:type="dxa"/>
            <w:vAlign w:val="center"/>
          </w:tcPr>
          <w:p w14:paraId="125D65FD">
            <w:pPr>
              <w:pStyle w:val="13"/>
              <w:adjustRightInd w:val="0"/>
              <w:snapToGrid w:val="0"/>
              <w:jc w:val="center"/>
              <w:rPr>
                <w:rFonts w:hint="default" w:hAnsi="宋体"/>
                <w:sz w:val="24"/>
                <w:szCs w:val="24"/>
              </w:rPr>
            </w:pPr>
            <w:r>
              <w:rPr>
                <w:rFonts w:hint="default" w:hAnsi="宋体"/>
                <w:sz w:val="24"/>
                <w:szCs w:val="24"/>
              </w:rPr>
              <w:t>5.</w:t>
            </w:r>
            <w:r>
              <w:rPr>
                <w:rFonts w:hAnsi="宋体"/>
                <w:sz w:val="24"/>
                <w:szCs w:val="24"/>
              </w:rPr>
              <w:t>3</w:t>
            </w:r>
            <w:r>
              <w:rPr>
                <w:rFonts w:hint="default" w:hAnsi="宋体"/>
                <w:sz w:val="24"/>
                <w:szCs w:val="24"/>
              </w:rPr>
              <w:t>.5</w:t>
            </w:r>
          </w:p>
        </w:tc>
        <w:tc>
          <w:tcPr>
            <w:tcW w:w="1496" w:type="dxa"/>
            <w:vAlign w:val="center"/>
          </w:tcPr>
          <w:p w14:paraId="7BFA6A87">
            <w:pPr>
              <w:jc w:val="center"/>
              <w:rPr>
                <w:rFonts w:ascii="宋体" w:hAnsi="宋体"/>
                <w:sz w:val="24"/>
              </w:rPr>
            </w:pPr>
            <w:r>
              <w:rPr>
                <w:rFonts w:hint="eastAsia" w:ascii="宋体" w:hAnsi="宋体"/>
                <w:sz w:val="24"/>
              </w:rPr>
              <w:t>标的所属行业</w:t>
            </w:r>
          </w:p>
        </w:tc>
        <w:tc>
          <w:tcPr>
            <w:tcW w:w="6275" w:type="dxa"/>
            <w:vAlign w:val="center"/>
          </w:tcPr>
          <w:p w14:paraId="48F1595C">
            <w:pPr>
              <w:jc w:val="left"/>
              <w:rPr>
                <w:rFonts w:ascii="宋体" w:hAnsi="宋体"/>
                <w:sz w:val="24"/>
              </w:rPr>
            </w:pPr>
            <w:r>
              <w:rPr>
                <w:rFonts w:hint="eastAsia" w:ascii="宋体" w:hAnsi="宋体"/>
                <w:sz w:val="24"/>
              </w:rPr>
              <w:t>本项目采购标的对应的中小企业划分标准所属行业：工业</w:t>
            </w:r>
          </w:p>
        </w:tc>
      </w:tr>
      <w:tr w14:paraId="32A6F2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73" w:type="dxa"/>
            <w:vAlign w:val="center"/>
          </w:tcPr>
          <w:p w14:paraId="184F9E90">
            <w:pPr>
              <w:pStyle w:val="13"/>
              <w:adjustRightInd w:val="0"/>
              <w:snapToGrid w:val="0"/>
              <w:jc w:val="center"/>
              <w:rPr>
                <w:rFonts w:hint="default" w:hAnsi="宋体"/>
                <w:sz w:val="24"/>
                <w:szCs w:val="24"/>
              </w:rPr>
            </w:pPr>
            <w:r>
              <w:rPr>
                <w:rFonts w:hAnsi="宋体"/>
                <w:sz w:val="24"/>
                <w:szCs w:val="24"/>
              </w:rPr>
              <w:t>9</w:t>
            </w:r>
            <w:r>
              <w:rPr>
                <w:rFonts w:hint="default" w:hAnsi="宋体"/>
                <w:sz w:val="24"/>
                <w:szCs w:val="24"/>
              </w:rPr>
              <w:t>.1</w:t>
            </w:r>
          </w:p>
        </w:tc>
        <w:tc>
          <w:tcPr>
            <w:tcW w:w="1496" w:type="dxa"/>
            <w:vAlign w:val="center"/>
          </w:tcPr>
          <w:p w14:paraId="6598B76C">
            <w:pPr>
              <w:jc w:val="center"/>
              <w:rPr>
                <w:rFonts w:ascii="宋体" w:hAnsi="宋体"/>
                <w:sz w:val="24"/>
              </w:rPr>
            </w:pPr>
            <w:r>
              <w:rPr>
                <w:rFonts w:hint="eastAsia" w:ascii="宋体" w:hAnsi="宋体"/>
                <w:sz w:val="24"/>
              </w:rPr>
              <w:t>多个采购包</w:t>
            </w:r>
          </w:p>
        </w:tc>
        <w:tc>
          <w:tcPr>
            <w:tcW w:w="6275" w:type="dxa"/>
            <w:vAlign w:val="center"/>
          </w:tcPr>
          <w:p w14:paraId="51AFBC54">
            <w:pPr>
              <w:jc w:val="left"/>
              <w:rPr>
                <w:rFonts w:ascii="宋体" w:hAnsi="宋体"/>
                <w:sz w:val="24"/>
              </w:rPr>
            </w:pPr>
            <w:r>
              <w:rPr>
                <w:rFonts w:hint="eastAsia" w:ascii="宋体" w:hAnsi="宋体"/>
                <w:sz w:val="24"/>
              </w:rPr>
              <w:t>是否允许同一投标人中标多个采购包：本项目不适用</w:t>
            </w:r>
          </w:p>
        </w:tc>
      </w:tr>
      <w:tr w14:paraId="04168C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73" w:type="dxa"/>
            <w:vAlign w:val="center"/>
          </w:tcPr>
          <w:p w14:paraId="18DEFA3D">
            <w:pPr>
              <w:jc w:val="center"/>
              <w:rPr>
                <w:rFonts w:ascii="宋体" w:hAnsi="宋体"/>
                <w:sz w:val="24"/>
              </w:rPr>
            </w:pPr>
            <w:r>
              <w:rPr>
                <w:rFonts w:hint="eastAsia" w:ascii="宋体" w:hAnsi="宋体"/>
              </w:rPr>
              <w:br w:type="page"/>
            </w:r>
            <w:r>
              <w:rPr>
                <w:rFonts w:hint="eastAsia" w:ascii="宋体" w:hAnsi="宋体"/>
                <w:sz w:val="24"/>
              </w:rPr>
              <w:t>1</w:t>
            </w:r>
            <w:r>
              <w:rPr>
                <w:rFonts w:ascii="宋体" w:hAnsi="宋体"/>
                <w:sz w:val="24"/>
              </w:rPr>
              <w:t>1.2</w:t>
            </w:r>
          </w:p>
        </w:tc>
        <w:tc>
          <w:tcPr>
            <w:tcW w:w="1496" w:type="dxa"/>
            <w:vAlign w:val="center"/>
          </w:tcPr>
          <w:p w14:paraId="2BF89F2F">
            <w:pPr>
              <w:jc w:val="center"/>
              <w:rPr>
                <w:rFonts w:ascii="宋体" w:hAnsi="宋体"/>
                <w:sz w:val="24"/>
              </w:rPr>
            </w:pPr>
            <w:r>
              <w:rPr>
                <w:rFonts w:hint="eastAsia" w:ascii="宋体" w:hAnsi="宋体"/>
                <w:sz w:val="24"/>
              </w:rPr>
              <w:t>投标报价</w:t>
            </w:r>
          </w:p>
        </w:tc>
        <w:tc>
          <w:tcPr>
            <w:tcW w:w="6275" w:type="dxa"/>
            <w:vAlign w:val="center"/>
          </w:tcPr>
          <w:p w14:paraId="2BB7CF62">
            <w:pPr>
              <w:jc w:val="left"/>
              <w:rPr>
                <w:rFonts w:ascii="宋体" w:hAnsi="宋体"/>
                <w:sz w:val="24"/>
              </w:rPr>
            </w:pPr>
            <w:r>
              <w:rPr>
                <w:rFonts w:hint="eastAsia" w:ascii="宋体" w:hAnsi="宋体"/>
                <w:sz w:val="24"/>
              </w:rPr>
              <w:t>投标报价的特殊规定：</w:t>
            </w:r>
          </w:p>
          <w:p w14:paraId="4921BAE1">
            <w:pPr>
              <w:jc w:val="left"/>
              <w:rPr>
                <w:rFonts w:ascii="宋体" w:hAnsi="宋体"/>
                <w:sz w:val="24"/>
              </w:rPr>
            </w:pPr>
            <w:r>
              <w:rPr>
                <w:rFonts w:hint="eastAsia" w:ascii="宋体" w:hAnsi="宋体"/>
                <w:sz w:val="24"/>
              </w:rPr>
              <w:t>■无</w:t>
            </w:r>
          </w:p>
          <w:p w14:paraId="5BA29F4B">
            <w:pPr>
              <w:jc w:val="left"/>
              <w:rPr>
                <w:rFonts w:ascii="宋体" w:hAnsi="宋体"/>
                <w:sz w:val="24"/>
              </w:rPr>
            </w:pPr>
            <w:r>
              <w:rPr>
                <w:rFonts w:hint="eastAsia" w:ascii="宋体" w:hAnsi="宋体"/>
                <w:sz w:val="24"/>
              </w:rPr>
              <w:t>□有，具体情形：</w:t>
            </w:r>
            <w:r>
              <w:rPr>
                <w:rFonts w:hint="eastAsia" w:ascii="宋体" w:hAnsi="宋体"/>
                <w:sz w:val="24"/>
                <w:u w:val="single"/>
              </w:rPr>
              <w:t xml:space="preserve">   /   </w:t>
            </w:r>
            <w:r>
              <w:rPr>
                <w:rFonts w:hint="eastAsia" w:ascii="宋体" w:hAnsi="宋体"/>
                <w:sz w:val="24"/>
              </w:rPr>
              <w:t>。</w:t>
            </w:r>
          </w:p>
        </w:tc>
      </w:tr>
      <w:tr w14:paraId="1E44DF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73" w:type="dxa"/>
            <w:vAlign w:val="center"/>
          </w:tcPr>
          <w:p w14:paraId="6C202DE9">
            <w:pPr>
              <w:pStyle w:val="13"/>
              <w:adjustRightInd w:val="0"/>
              <w:snapToGrid w:val="0"/>
              <w:jc w:val="center"/>
              <w:rPr>
                <w:rFonts w:hint="default" w:hAnsi="宋体"/>
                <w:sz w:val="24"/>
                <w:szCs w:val="24"/>
              </w:rPr>
            </w:pPr>
            <w:r>
              <w:rPr>
                <w:rFonts w:hint="default" w:hAnsi="宋体"/>
                <w:sz w:val="24"/>
                <w:szCs w:val="24"/>
              </w:rPr>
              <w:t>12.1</w:t>
            </w:r>
          </w:p>
        </w:tc>
        <w:tc>
          <w:tcPr>
            <w:tcW w:w="1496" w:type="dxa"/>
            <w:vMerge w:val="restart"/>
            <w:vAlign w:val="center"/>
          </w:tcPr>
          <w:p w14:paraId="44EB1A30">
            <w:pPr>
              <w:jc w:val="center"/>
              <w:rPr>
                <w:rFonts w:ascii="宋体" w:hAnsi="宋体"/>
                <w:sz w:val="24"/>
              </w:rPr>
            </w:pPr>
            <w:r>
              <w:rPr>
                <w:rFonts w:hint="eastAsia" w:ascii="宋体" w:hAnsi="宋体"/>
                <w:sz w:val="24"/>
              </w:rPr>
              <w:t>投标保证金</w:t>
            </w:r>
          </w:p>
        </w:tc>
        <w:tc>
          <w:tcPr>
            <w:tcW w:w="6275" w:type="dxa"/>
            <w:vAlign w:val="center"/>
          </w:tcPr>
          <w:p w14:paraId="01D29171">
            <w:pPr>
              <w:pStyle w:val="13"/>
              <w:adjustRightInd w:val="0"/>
              <w:snapToGrid w:val="0"/>
              <w:rPr>
                <w:rFonts w:hint="default" w:hAnsi="宋体"/>
                <w:sz w:val="24"/>
                <w:szCs w:val="24"/>
              </w:rPr>
            </w:pPr>
            <w:r>
              <w:rPr>
                <w:rFonts w:hint="default" w:hAnsi="宋体"/>
                <w:sz w:val="24"/>
                <w:szCs w:val="24"/>
              </w:rPr>
              <w:t>投标保证金金额</w:t>
            </w:r>
            <w:r>
              <w:rPr>
                <w:rFonts w:hAnsi="宋体"/>
                <w:sz w:val="24"/>
                <w:szCs w:val="24"/>
              </w:rPr>
              <w:t>：</w:t>
            </w:r>
            <w:r>
              <w:rPr>
                <w:rFonts w:hAnsi="宋体"/>
                <w:sz w:val="24"/>
                <w:szCs w:val="24"/>
                <w:u w:val="single"/>
              </w:rPr>
              <w:t>4</w:t>
            </w:r>
            <w:r>
              <w:rPr>
                <w:rFonts w:hAnsi="宋体"/>
                <w:sz w:val="24"/>
                <w:szCs w:val="24"/>
              </w:rPr>
              <w:t>万元。</w:t>
            </w:r>
          </w:p>
          <w:p w14:paraId="1AF90168">
            <w:pPr>
              <w:rPr>
                <w:rFonts w:ascii="宋体" w:hAnsi="宋体"/>
                <w:sz w:val="24"/>
              </w:rPr>
            </w:pPr>
            <w:r>
              <w:rPr>
                <w:rFonts w:hint="eastAsia" w:ascii="宋体" w:hAnsi="宋体"/>
                <w:sz w:val="24"/>
              </w:rPr>
              <w:t>投标保证金收受人信息：</w:t>
            </w:r>
          </w:p>
          <w:p w14:paraId="05774D3C">
            <w:pPr>
              <w:rPr>
                <w:rFonts w:ascii="宋体" w:hAnsi="宋体" w:cs="宋体"/>
                <w:sz w:val="24"/>
                <w:u w:val="single"/>
              </w:rPr>
            </w:pPr>
            <w:r>
              <w:rPr>
                <w:rFonts w:hint="eastAsia" w:ascii="宋体" w:hAnsi="宋体" w:cs="宋体"/>
                <w:sz w:val="24"/>
              </w:rPr>
              <w:t>保证金收款人：</w:t>
            </w:r>
            <w:r>
              <w:rPr>
                <w:rFonts w:hint="eastAsia" w:ascii="宋体" w:hAnsi="宋体" w:cs="宋体"/>
                <w:sz w:val="24"/>
                <w:u w:val="single"/>
              </w:rPr>
              <w:t>北京中兴恒达招标有限公司</w:t>
            </w:r>
          </w:p>
          <w:p w14:paraId="24EF78F9">
            <w:pPr>
              <w:rPr>
                <w:rFonts w:ascii="宋体" w:hAnsi="宋体" w:cs="宋体"/>
                <w:sz w:val="24"/>
                <w:u w:val="single"/>
              </w:rPr>
            </w:pPr>
            <w:r>
              <w:rPr>
                <w:rFonts w:hint="eastAsia" w:ascii="宋体" w:hAnsi="宋体" w:cs="宋体"/>
                <w:sz w:val="24"/>
              </w:rPr>
              <w:t>开 户 行：</w:t>
            </w:r>
            <w:r>
              <w:rPr>
                <w:rFonts w:hint="eastAsia" w:ascii="宋体" w:hAnsi="宋体" w:cs="宋体"/>
                <w:sz w:val="24"/>
                <w:u w:val="single"/>
              </w:rPr>
              <w:t>中国工商银行股份有限公司北京马甸支行</w:t>
            </w:r>
          </w:p>
          <w:p w14:paraId="21345BF0">
            <w:pPr>
              <w:rPr>
                <w:rFonts w:ascii="宋体" w:hAnsi="宋体" w:cs="宋体"/>
                <w:sz w:val="24"/>
                <w:u w:val="single"/>
              </w:rPr>
            </w:pPr>
            <w:r>
              <w:rPr>
                <w:rFonts w:hint="eastAsia" w:ascii="宋体" w:hAnsi="宋体" w:cs="宋体"/>
                <w:sz w:val="24"/>
              </w:rPr>
              <w:t>账    号：</w:t>
            </w:r>
            <w:r>
              <w:rPr>
                <w:rFonts w:hint="eastAsia" w:ascii="宋体" w:hAnsi="宋体" w:cs="宋体"/>
                <w:sz w:val="24"/>
                <w:u w:val="single"/>
              </w:rPr>
              <w:t>0200025619200063450</w:t>
            </w:r>
          </w:p>
          <w:p w14:paraId="246011FC">
            <w:pPr>
              <w:rPr>
                <w:rFonts w:ascii="宋体" w:hAnsi="宋体" w:cs="宋体"/>
                <w:b/>
                <w:bCs/>
                <w:sz w:val="24"/>
                <w:u w:val="single"/>
              </w:rPr>
            </w:pPr>
            <w:r>
              <w:rPr>
                <w:rFonts w:hint="eastAsia" w:ascii="宋体" w:hAnsi="宋体" w:cs="宋体"/>
                <w:b/>
                <w:bCs/>
                <w:sz w:val="24"/>
                <w:u w:val="single"/>
              </w:rPr>
              <w:t>注：投标人以银行转账方式支付投标保证金的，应在汇款时备注“ZXHD26316投标保证金”。</w:t>
            </w:r>
          </w:p>
          <w:p w14:paraId="0DAAA2A2">
            <w:pPr>
              <w:jc w:val="left"/>
              <w:rPr>
                <w:rFonts w:ascii="宋体" w:hAnsi="宋体"/>
                <w:sz w:val="24"/>
              </w:rPr>
            </w:pPr>
            <w:r>
              <w:rPr>
                <w:rFonts w:hint="eastAsia" w:ascii="宋体" w:hAnsi="宋体" w:cs="宋体"/>
                <w:b/>
                <w:bCs/>
                <w:sz w:val="24"/>
                <w:u w:val="single"/>
              </w:rPr>
              <w:t>特别提醒：采用银行转账方式提交投标保证金的，一般可以实时入账，投标人须确保投标保证金按时到账。采用支票形式的，投标人应充分考虑支票入账所需时间，以确保投标保证金能按时进入指定账户。根据银行信息交换和付款时间，支票从递交至实际入账一般需要4-5个工作日。如因投标人未及时提交支票或提交的支票不符合银行委托收款要求（如污损、折叠、胶装等）等原因而导致投标保证金不能按时进入指定账户的，将按照招标文件第二章 投标人须知第</w:t>
            </w:r>
            <w:r>
              <w:rPr>
                <w:rFonts w:ascii="宋体" w:hAnsi="宋体" w:cs="宋体"/>
                <w:b/>
                <w:bCs/>
                <w:sz w:val="24"/>
                <w:u w:val="single"/>
              </w:rPr>
              <w:t>12.3</w:t>
            </w:r>
            <w:r>
              <w:rPr>
                <w:rFonts w:hint="eastAsia" w:ascii="宋体" w:hAnsi="宋体" w:cs="宋体"/>
                <w:b/>
                <w:bCs/>
                <w:sz w:val="24"/>
                <w:u w:val="single"/>
              </w:rPr>
              <w:t>条的规定处理。</w:t>
            </w:r>
          </w:p>
        </w:tc>
      </w:tr>
      <w:tr w14:paraId="25D9BB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73" w:type="dxa"/>
            <w:vAlign w:val="center"/>
          </w:tcPr>
          <w:p w14:paraId="1A8C0912">
            <w:pPr>
              <w:pStyle w:val="13"/>
              <w:adjustRightInd w:val="0"/>
              <w:snapToGrid w:val="0"/>
              <w:jc w:val="center"/>
              <w:rPr>
                <w:rFonts w:hint="default" w:hAnsi="宋体"/>
                <w:sz w:val="24"/>
                <w:szCs w:val="24"/>
              </w:rPr>
            </w:pPr>
            <w:r>
              <w:rPr>
                <w:rFonts w:hint="default" w:hAnsi="宋体"/>
                <w:sz w:val="24"/>
                <w:szCs w:val="24"/>
              </w:rPr>
              <w:t>12.</w:t>
            </w:r>
            <w:r>
              <w:rPr>
                <w:rFonts w:hAnsi="宋体"/>
                <w:sz w:val="24"/>
                <w:szCs w:val="24"/>
              </w:rPr>
              <w:t>8</w:t>
            </w:r>
            <w:r>
              <w:rPr>
                <w:rFonts w:hint="default" w:hAnsi="宋体"/>
                <w:sz w:val="24"/>
                <w:szCs w:val="24"/>
              </w:rPr>
              <w:t>.2</w:t>
            </w:r>
          </w:p>
        </w:tc>
        <w:tc>
          <w:tcPr>
            <w:tcW w:w="1496" w:type="dxa"/>
            <w:vMerge w:val="continue"/>
            <w:vAlign w:val="center"/>
          </w:tcPr>
          <w:p w14:paraId="036A3CD4">
            <w:pPr>
              <w:jc w:val="center"/>
              <w:rPr>
                <w:rFonts w:ascii="宋体" w:hAnsi="宋体"/>
                <w:sz w:val="24"/>
              </w:rPr>
            </w:pPr>
          </w:p>
        </w:tc>
        <w:tc>
          <w:tcPr>
            <w:tcW w:w="6275" w:type="dxa"/>
            <w:vAlign w:val="center"/>
          </w:tcPr>
          <w:p w14:paraId="05C36464">
            <w:pPr>
              <w:jc w:val="left"/>
              <w:rPr>
                <w:rFonts w:ascii="宋体" w:hAnsi="宋体"/>
                <w:sz w:val="24"/>
              </w:rPr>
            </w:pPr>
            <w:r>
              <w:rPr>
                <w:rFonts w:hint="eastAsia" w:ascii="宋体" w:hAnsi="宋体"/>
                <w:sz w:val="24"/>
              </w:rPr>
              <w:t>投标保证金可以不予退还的其他情形：</w:t>
            </w:r>
          </w:p>
          <w:p w14:paraId="3CCF22C1">
            <w:pPr>
              <w:jc w:val="left"/>
              <w:rPr>
                <w:rFonts w:ascii="宋体" w:hAnsi="宋体"/>
                <w:sz w:val="24"/>
              </w:rPr>
            </w:pPr>
            <w:r>
              <w:rPr>
                <w:rFonts w:hint="eastAsia" w:ascii="宋体" w:hAnsi="宋体"/>
                <w:sz w:val="24"/>
              </w:rPr>
              <w:t>□无</w:t>
            </w:r>
          </w:p>
          <w:p w14:paraId="4369132E">
            <w:pPr>
              <w:pStyle w:val="13"/>
              <w:adjustRightInd w:val="0"/>
              <w:snapToGrid w:val="0"/>
              <w:rPr>
                <w:rFonts w:hint="default" w:hAnsi="宋体"/>
                <w:sz w:val="24"/>
                <w:u w:val="single"/>
              </w:rPr>
            </w:pPr>
            <w:r>
              <w:rPr>
                <w:rFonts w:hAnsi="宋体"/>
                <w:sz w:val="24"/>
              </w:rPr>
              <w:t>■</w:t>
            </w:r>
            <w:r>
              <w:rPr>
                <w:rFonts w:hint="default" w:hAnsi="宋体"/>
                <w:sz w:val="24"/>
              </w:rPr>
              <w:t>有，具体情形：</w:t>
            </w:r>
          </w:p>
          <w:p w14:paraId="3124D574">
            <w:pPr>
              <w:pStyle w:val="13"/>
              <w:adjustRightInd w:val="0"/>
              <w:snapToGrid w:val="0"/>
              <w:rPr>
                <w:rFonts w:hint="default" w:hAnsi="宋体" w:cs="宋体"/>
                <w:sz w:val="24"/>
              </w:rPr>
            </w:pPr>
            <w:r>
              <w:rPr>
                <w:rFonts w:hAnsi="宋体" w:cs="宋体"/>
                <w:sz w:val="24"/>
              </w:rPr>
              <w:t>（1）</w:t>
            </w:r>
            <w:r>
              <w:rPr>
                <w:rFonts w:hint="default" w:hAnsi="宋体"/>
                <w:sz w:val="24"/>
              </w:rPr>
              <w:t>在投标有效期内，</w:t>
            </w:r>
            <w:r>
              <w:rPr>
                <w:rFonts w:hAnsi="宋体" w:cs="宋体"/>
                <w:sz w:val="24"/>
              </w:rPr>
              <w:t>投标人</w:t>
            </w:r>
            <w:r>
              <w:rPr>
                <w:rFonts w:hint="default" w:hAnsi="宋体"/>
                <w:sz w:val="24"/>
              </w:rPr>
              <w:t>擅自撤销投标的</w:t>
            </w:r>
            <w:r>
              <w:rPr>
                <w:rFonts w:hAnsi="宋体"/>
                <w:sz w:val="24"/>
              </w:rPr>
              <w:t>；</w:t>
            </w:r>
          </w:p>
          <w:p w14:paraId="59741777">
            <w:pPr>
              <w:pStyle w:val="13"/>
              <w:adjustRightInd w:val="0"/>
              <w:snapToGrid w:val="0"/>
              <w:rPr>
                <w:rFonts w:hint="default" w:hAnsi="宋体" w:cs="宋体"/>
                <w:sz w:val="24"/>
              </w:rPr>
            </w:pPr>
            <w:r>
              <w:rPr>
                <w:rFonts w:hAnsi="宋体" w:cs="宋体"/>
                <w:sz w:val="24"/>
              </w:rPr>
              <w:t>（2）中标人不按规定与采购人签订合同的；</w:t>
            </w:r>
          </w:p>
          <w:p w14:paraId="6F64F578">
            <w:pPr>
              <w:pStyle w:val="13"/>
              <w:adjustRightInd w:val="0"/>
              <w:snapToGrid w:val="0"/>
              <w:rPr>
                <w:rFonts w:hint="default" w:hAnsi="宋体" w:cs="宋体"/>
                <w:sz w:val="24"/>
              </w:rPr>
            </w:pPr>
            <w:r>
              <w:rPr>
                <w:rFonts w:hAnsi="宋体" w:cs="宋体"/>
                <w:sz w:val="24"/>
              </w:rPr>
              <w:t>（3）中标人不按招标文件要求提交履约保证金的（如有要求）；</w:t>
            </w:r>
          </w:p>
          <w:p w14:paraId="390EDBAF">
            <w:pPr>
              <w:pStyle w:val="13"/>
              <w:adjustRightInd w:val="0"/>
              <w:snapToGrid w:val="0"/>
              <w:rPr>
                <w:rFonts w:hint="default" w:hAnsi="宋体" w:cs="宋体"/>
                <w:sz w:val="24"/>
              </w:rPr>
            </w:pPr>
            <w:r>
              <w:rPr>
                <w:rFonts w:hAnsi="宋体" w:cs="宋体"/>
                <w:sz w:val="24"/>
              </w:rPr>
              <w:t>（4）投标人存在串通投标情形的；</w:t>
            </w:r>
          </w:p>
          <w:p w14:paraId="33A8D625">
            <w:pPr>
              <w:jc w:val="left"/>
              <w:rPr>
                <w:rFonts w:ascii="宋体" w:hAnsi="宋体"/>
                <w:sz w:val="24"/>
                <w:u w:val="single"/>
              </w:rPr>
            </w:pPr>
            <w:r>
              <w:rPr>
                <w:rFonts w:hint="eastAsia" w:ascii="宋体" w:hAnsi="宋体" w:cs="宋体"/>
                <w:sz w:val="24"/>
              </w:rPr>
              <w:t>（5）中标人不按招标文件要求缴纳招标代理费的。</w:t>
            </w:r>
          </w:p>
        </w:tc>
      </w:tr>
      <w:tr w14:paraId="10092D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73" w:type="dxa"/>
            <w:vAlign w:val="center"/>
          </w:tcPr>
          <w:p w14:paraId="7E0E0DD3">
            <w:pPr>
              <w:pStyle w:val="13"/>
              <w:adjustRightInd w:val="0"/>
              <w:snapToGrid w:val="0"/>
              <w:jc w:val="center"/>
              <w:rPr>
                <w:rFonts w:hint="default" w:hAnsi="宋体"/>
                <w:sz w:val="24"/>
                <w:szCs w:val="24"/>
              </w:rPr>
            </w:pPr>
            <w:r>
              <w:rPr>
                <w:rFonts w:hint="default" w:hAnsi="宋体"/>
                <w:sz w:val="24"/>
                <w:szCs w:val="24"/>
              </w:rPr>
              <w:t>13.1</w:t>
            </w:r>
          </w:p>
        </w:tc>
        <w:tc>
          <w:tcPr>
            <w:tcW w:w="1496" w:type="dxa"/>
            <w:vAlign w:val="center"/>
          </w:tcPr>
          <w:p w14:paraId="255AA1BC">
            <w:pPr>
              <w:jc w:val="center"/>
              <w:rPr>
                <w:rFonts w:ascii="宋体" w:hAnsi="宋体"/>
                <w:sz w:val="24"/>
              </w:rPr>
            </w:pPr>
            <w:r>
              <w:rPr>
                <w:rFonts w:hint="eastAsia" w:ascii="宋体" w:hAnsi="宋体"/>
                <w:sz w:val="24"/>
              </w:rPr>
              <w:t>投标有效期</w:t>
            </w:r>
          </w:p>
        </w:tc>
        <w:tc>
          <w:tcPr>
            <w:tcW w:w="6275" w:type="dxa"/>
            <w:vAlign w:val="center"/>
          </w:tcPr>
          <w:p w14:paraId="4E59905C">
            <w:pPr>
              <w:jc w:val="left"/>
              <w:rPr>
                <w:rFonts w:ascii="宋体" w:hAnsi="宋体"/>
                <w:sz w:val="24"/>
              </w:rPr>
            </w:pPr>
            <w:r>
              <w:rPr>
                <w:rFonts w:hint="eastAsia" w:ascii="宋体" w:hAnsi="宋体"/>
                <w:sz w:val="24"/>
              </w:rPr>
              <w:t>自提交投标文件的截止之日起算</w:t>
            </w:r>
            <w:r>
              <w:rPr>
                <w:rFonts w:hint="eastAsia" w:ascii="宋体" w:hAnsi="宋体"/>
                <w:sz w:val="24"/>
                <w:u w:val="single"/>
              </w:rPr>
              <w:t xml:space="preserve"> 90 </w:t>
            </w:r>
            <w:r>
              <w:rPr>
                <w:rFonts w:hint="eastAsia" w:ascii="宋体" w:hAnsi="宋体"/>
                <w:sz w:val="24"/>
              </w:rPr>
              <w:t>日历天。</w:t>
            </w:r>
          </w:p>
        </w:tc>
      </w:tr>
      <w:tr w14:paraId="3CA43F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73" w:type="dxa"/>
            <w:vAlign w:val="center"/>
          </w:tcPr>
          <w:p w14:paraId="5FBFFAA7">
            <w:pPr>
              <w:ind w:hanging="540"/>
              <w:jc w:val="center"/>
              <w:rPr>
                <w:rFonts w:ascii="宋体" w:hAnsi="宋体"/>
                <w:sz w:val="24"/>
              </w:rPr>
            </w:pPr>
            <w:r>
              <w:rPr>
                <w:rFonts w:hint="eastAsia" w:ascii="宋体" w:hAnsi="宋体"/>
                <w:sz w:val="24"/>
              </w:rPr>
              <w:t xml:space="preserve">    15.1</w:t>
            </w:r>
          </w:p>
        </w:tc>
        <w:tc>
          <w:tcPr>
            <w:tcW w:w="1496" w:type="dxa"/>
            <w:vAlign w:val="center"/>
          </w:tcPr>
          <w:p w14:paraId="1BDB5B4D">
            <w:pPr>
              <w:jc w:val="center"/>
              <w:rPr>
                <w:rFonts w:ascii="宋体" w:hAnsi="宋体"/>
                <w:sz w:val="24"/>
              </w:rPr>
            </w:pPr>
            <w:r>
              <w:rPr>
                <w:rFonts w:hint="eastAsia" w:ascii="宋体" w:hAnsi="宋体"/>
                <w:sz w:val="24"/>
              </w:rPr>
              <w:t>投标文件的提交</w:t>
            </w:r>
          </w:p>
        </w:tc>
        <w:tc>
          <w:tcPr>
            <w:tcW w:w="6275" w:type="dxa"/>
            <w:vAlign w:val="center"/>
          </w:tcPr>
          <w:p w14:paraId="23456DD5">
            <w:pPr>
              <w:jc w:val="left"/>
              <w:rPr>
                <w:rFonts w:cs="宋体" w:asciiTheme="minorEastAsia" w:hAnsiTheme="minorEastAsia" w:eastAsiaTheme="minorEastAsia"/>
                <w:sz w:val="24"/>
              </w:rPr>
            </w:pPr>
            <w:r>
              <w:rPr>
                <w:rFonts w:hint="eastAsia" w:cs="宋体" w:asciiTheme="minorEastAsia" w:hAnsiTheme="minorEastAsia" w:eastAsiaTheme="minorEastAsia"/>
                <w:sz w:val="24"/>
              </w:rPr>
              <w:t>1.招标文件要求签字的内容（如授权委托书等），可以使用电子签章或使用原件的电子件（电子件指扫描件、照片等形式电子文件）；要求第三方出具的盖章件原件（如联合协议、分包意向协议、制造商授权书等），投标文件中应使用原件的电子件。</w:t>
            </w:r>
          </w:p>
          <w:p w14:paraId="34B7B88F">
            <w:pPr>
              <w:jc w:val="left"/>
              <w:rPr>
                <w:rFonts w:cs="宋体" w:asciiTheme="minorEastAsia" w:hAnsiTheme="minorEastAsia" w:eastAsiaTheme="minorEastAsia"/>
                <w:sz w:val="24"/>
              </w:rPr>
            </w:pPr>
            <w:r>
              <w:rPr>
                <w:rFonts w:cs="宋体" w:asciiTheme="minorEastAsia" w:hAnsiTheme="minorEastAsia" w:eastAsiaTheme="minorEastAsia"/>
                <w:sz w:val="24"/>
              </w:rPr>
              <w:t>2</w:t>
            </w:r>
            <w:r>
              <w:rPr>
                <w:rFonts w:hint="eastAsia" w:cs="宋体" w:asciiTheme="minorEastAsia" w:hAnsiTheme="minorEastAsia" w:eastAsiaTheme="minorEastAsia"/>
                <w:sz w:val="24"/>
              </w:rPr>
              <w:t>.投标人应在规定的期限内按招标文件要求将</w:t>
            </w:r>
            <w:r>
              <w:rPr>
                <w:rFonts w:cs="宋体" w:asciiTheme="minorEastAsia" w:hAnsiTheme="minorEastAsia" w:eastAsiaTheme="minorEastAsia"/>
                <w:sz w:val="24"/>
              </w:rPr>
              <w:t>电子版投标文件上传至北京市政府采购电子交易平台</w:t>
            </w:r>
            <w:r>
              <w:rPr>
                <w:rFonts w:hint="eastAsia" w:cs="宋体" w:asciiTheme="minorEastAsia" w:hAnsiTheme="minorEastAsia" w:eastAsiaTheme="minorEastAsia"/>
                <w:sz w:val="24"/>
              </w:rPr>
              <w:t>，其他方式提交的投标文件采购人均不予受理。</w:t>
            </w:r>
          </w:p>
          <w:p w14:paraId="6F225FE0">
            <w:pPr>
              <w:jc w:val="left"/>
              <w:rPr>
                <w:rFonts w:ascii="宋体" w:hAnsi="宋体" w:cs="宋体"/>
                <w:sz w:val="24"/>
              </w:rPr>
            </w:pPr>
            <w:r>
              <w:rPr>
                <w:rFonts w:hint="eastAsia" w:cs="宋体" w:asciiTheme="minorEastAsia" w:hAnsiTheme="minorEastAsia" w:eastAsiaTheme="minorEastAsia"/>
                <w:sz w:val="24"/>
              </w:rPr>
              <w:t>3.</w:t>
            </w:r>
            <w:r>
              <w:rPr>
                <w:rFonts w:cs="宋体" w:asciiTheme="minorEastAsia" w:hAnsiTheme="minorEastAsia" w:eastAsiaTheme="minorEastAsia"/>
                <w:sz w:val="24"/>
              </w:rPr>
              <w:t>评审时以上传至北京市政府采购电子交易平台的电子版投标文件为依据。</w:t>
            </w:r>
          </w:p>
        </w:tc>
      </w:tr>
      <w:tr w14:paraId="3CC73C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73" w:type="dxa"/>
            <w:vAlign w:val="center"/>
          </w:tcPr>
          <w:p w14:paraId="7093DC88">
            <w:pPr>
              <w:jc w:val="center"/>
              <w:rPr>
                <w:rFonts w:ascii="宋体" w:hAnsi="宋体"/>
                <w:sz w:val="24"/>
              </w:rPr>
            </w:pPr>
            <w:r>
              <w:rPr>
                <w:rFonts w:hint="eastAsia" w:ascii="宋体" w:hAnsi="宋体"/>
                <w:sz w:val="24"/>
              </w:rPr>
              <w:t>18.2</w:t>
            </w:r>
          </w:p>
        </w:tc>
        <w:tc>
          <w:tcPr>
            <w:tcW w:w="1496" w:type="dxa"/>
            <w:vAlign w:val="center"/>
          </w:tcPr>
          <w:p w14:paraId="5068A342">
            <w:pPr>
              <w:pStyle w:val="13"/>
              <w:adjustRightInd w:val="0"/>
              <w:snapToGrid w:val="0"/>
              <w:jc w:val="center"/>
              <w:rPr>
                <w:rFonts w:hint="default" w:hAnsi="宋体"/>
                <w:sz w:val="24"/>
              </w:rPr>
            </w:pPr>
            <w:r>
              <w:rPr>
                <w:rFonts w:hint="default" w:hAnsi="宋体"/>
                <w:sz w:val="24"/>
                <w:szCs w:val="24"/>
              </w:rPr>
              <w:t>解密时间</w:t>
            </w:r>
          </w:p>
        </w:tc>
        <w:tc>
          <w:tcPr>
            <w:tcW w:w="6275" w:type="dxa"/>
            <w:vAlign w:val="center"/>
          </w:tcPr>
          <w:p w14:paraId="1BCDE56F">
            <w:pPr>
              <w:pStyle w:val="13"/>
              <w:adjustRightInd w:val="0"/>
              <w:snapToGrid w:val="0"/>
              <w:rPr>
                <w:rFonts w:hint="default" w:hAnsi="宋体" w:cs="宋体"/>
                <w:sz w:val="24"/>
              </w:rPr>
            </w:pPr>
            <w:r>
              <w:rPr>
                <w:rFonts w:hint="default" w:hAnsi="宋体"/>
                <w:sz w:val="24"/>
                <w:szCs w:val="24"/>
              </w:rPr>
              <w:t>解密时间：</w:t>
            </w:r>
            <w:r>
              <w:rPr>
                <w:rFonts w:hAnsi="宋体"/>
                <w:sz w:val="24"/>
                <w:szCs w:val="24"/>
                <w:u w:val="single"/>
              </w:rPr>
              <w:t>30</w:t>
            </w:r>
            <w:r>
              <w:rPr>
                <w:rFonts w:hint="default" w:hAnsi="宋体"/>
                <w:sz w:val="24"/>
                <w:szCs w:val="24"/>
              </w:rPr>
              <w:t>分钟</w:t>
            </w:r>
          </w:p>
        </w:tc>
      </w:tr>
      <w:tr w14:paraId="33F582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73" w:type="dxa"/>
            <w:vAlign w:val="center"/>
          </w:tcPr>
          <w:p w14:paraId="7BD78331">
            <w:pPr>
              <w:pStyle w:val="13"/>
              <w:adjustRightInd w:val="0"/>
              <w:snapToGrid w:val="0"/>
              <w:jc w:val="center"/>
              <w:rPr>
                <w:rFonts w:hint="default" w:hAnsi="宋体"/>
                <w:sz w:val="24"/>
                <w:szCs w:val="24"/>
              </w:rPr>
            </w:pPr>
            <w:r>
              <w:rPr>
                <w:rFonts w:hint="default" w:hAnsi="宋体"/>
                <w:sz w:val="24"/>
                <w:szCs w:val="24"/>
              </w:rPr>
              <w:t>22.1</w:t>
            </w:r>
          </w:p>
        </w:tc>
        <w:tc>
          <w:tcPr>
            <w:tcW w:w="1496" w:type="dxa"/>
            <w:vAlign w:val="center"/>
          </w:tcPr>
          <w:p w14:paraId="34E805B2">
            <w:pPr>
              <w:jc w:val="center"/>
              <w:rPr>
                <w:rFonts w:ascii="宋体" w:hAnsi="宋体"/>
                <w:sz w:val="24"/>
              </w:rPr>
            </w:pPr>
            <w:r>
              <w:rPr>
                <w:rFonts w:hint="eastAsia" w:ascii="宋体" w:hAnsi="宋体"/>
                <w:sz w:val="24"/>
              </w:rPr>
              <w:t>确定中标人</w:t>
            </w:r>
          </w:p>
        </w:tc>
        <w:tc>
          <w:tcPr>
            <w:tcW w:w="6275" w:type="dxa"/>
            <w:vAlign w:val="center"/>
          </w:tcPr>
          <w:p w14:paraId="4C73AD32">
            <w:pPr>
              <w:pStyle w:val="13"/>
              <w:adjustRightInd w:val="0"/>
              <w:snapToGrid w:val="0"/>
              <w:rPr>
                <w:rFonts w:hint="default" w:hAnsi="宋体"/>
                <w:sz w:val="24"/>
              </w:rPr>
            </w:pPr>
            <w:r>
              <w:rPr>
                <w:rFonts w:hAnsi="宋体"/>
                <w:sz w:val="24"/>
              </w:rPr>
              <w:t>采购人是否委托评标委员会直接确定中标人</w:t>
            </w:r>
            <w:r>
              <w:rPr>
                <w:rFonts w:hint="default" w:hAnsi="宋体"/>
                <w:sz w:val="24"/>
              </w:rPr>
              <w:t>：</w:t>
            </w:r>
          </w:p>
          <w:p w14:paraId="249E0B44">
            <w:pPr>
              <w:pStyle w:val="13"/>
              <w:adjustRightInd w:val="0"/>
              <w:snapToGrid w:val="0"/>
              <w:rPr>
                <w:rFonts w:hint="default" w:hAnsi="宋体"/>
                <w:sz w:val="24"/>
              </w:rPr>
            </w:pPr>
            <w:r>
              <w:rPr>
                <w:rFonts w:hAnsi="宋体"/>
                <w:sz w:val="24"/>
              </w:rPr>
              <w:t>■</w:t>
            </w:r>
            <w:r>
              <w:rPr>
                <w:rFonts w:hint="default" w:hAnsi="宋体"/>
                <w:sz w:val="24"/>
              </w:rPr>
              <w:t>否</w:t>
            </w:r>
          </w:p>
          <w:p w14:paraId="56A03630">
            <w:pPr>
              <w:pStyle w:val="13"/>
              <w:adjustRightInd w:val="0"/>
              <w:snapToGrid w:val="0"/>
              <w:rPr>
                <w:rFonts w:hint="default" w:hAnsi="宋体"/>
                <w:sz w:val="24"/>
              </w:rPr>
            </w:pPr>
            <w:r>
              <w:rPr>
                <w:rFonts w:hAnsi="宋体"/>
                <w:sz w:val="24"/>
              </w:rPr>
              <w:t>□</w:t>
            </w:r>
            <w:r>
              <w:rPr>
                <w:rFonts w:hint="default" w:hAnsi="宋体"/>
                <w:sz w:val="24"/>
              </w:rPr>
              <w:t>是</w:t>
            </w:r>
          </w:p>
          <w:p w14:paraId="4ACD56AE">
            <w:pPr>
              <w:pStyle w:val="13"/>
              <w:adjustRightInd w:val="0"/>
              <w:snapToGrid w:val="0"/>
              <w:rPr>
                <w:rFonts w:hint="default" w:hAnsi="宋体"/>
              </w:rPr>
            </w:pPr>
            <w:r>
              <w:rPr>
                <w:rFonts w:hint="default" w:hAnsi="宋体"/>
                <w:sz w:val="24"/>
              </w:rPr>
              <w:t>中标候选人并列的，按照以下方式确定中标人：</w:t>
            </w:r>
          </w:p>
          <w:p w14:paraId="0C72D51A">
            <w:pPr>
              <w:pStyle w:val="13"/>
              <w:adjustRightInd w:val="0"/>
              <w:snapToGrid w:val="0"/>
              <w:rPr>
                <w:rFonts w:hint="default" w:hAnsi="宋体"/>
                <w:sz w:val="24"/>
              </w:rPr>
            </w:pPr>
            <w:r>
              <w:rPr>
                <w:rFonts w:hAnsi="宋体"/>
                <w:sz w:val="24"/>
              </w:rPr>
              <w:t>■</w:t>
            </w:r>
            <w:r>
              <w:rPr>
                <w:rFonts w:hint="default" w:hAnsi="宋体"/>
                <w:sz w:val="24"/>
              </w:rPr>
              <w:t>得分</w:t>
            </w:r>
            <w:r>
              <w:rPr>
                <w:rFonts w:hAnsi="宋体"/>
                <w:sz w:val="24"/>
              </w:rPr>
              <w:t>相同的，以投标报价低者为中标人；得分及</w:t>
            </w:r>
            <w:r>
              <w:rPr>
                <w:rFonts w:hint="default" w:hAnsi="宋体"/>
                <w:sz w:val="24"/>
              </w:rPr>
              <w:t>投标报价均相同的，以</w:t>
            </w:r>
            <w:r>
              <w:rPr>
                <w:rFonts w:hint="default" w:hAnsi="宋体"/>
                <w:sz w:val="24"/>
                <w:u w:val="single"/>
              </w:rPr>
              <w:t>第四章</w:t>
            </w:r>
            <w:r>
              <w:rPr>
                <w:rFonts w:hAnsi="宋体"/>
                <w:sz w:val="24"/>
                <w:u w:val="single"/>
              </w:rPr>
              <w:t>“</w:t>
            </w:r>
            <w:r>
              <w:rPr>
                <w:rFonts w:hint="default" w:hAnsi="宋体"/>
                <w:sz w:val="24"/>
                <w:u w:val="single"/>
              </w:rPr>
              <w:t>二、评标标准</w:t>
            </w:r>
            <w:r>
              <w:rPr>
                <w:rFonts w:hAnsi="宋体"/>
                <w:sz w:val="24"/>
                <w:u w:val="single"/>
              </w:rPr>
              <w:t>”</w:t>
            </w:r>
            <w:r>
              <w:rPr>
                <w:rFonts w:hint="default" w:hAnsi="宋体"/>
                <w:sz w:val="24"/>
                <w:u w:val="single"/>
              </w:rPr>
              <w:t>技术部分</w:t>
            </w:r>
            <w:r>
              <w:rPr>
                <w:rFonts w:hint="default" w:hAnsi="宋体"/>
                <w:sz w:val="24"/>
              </w:rPr>
              <w:t>得分高者为中标人</w:t>
            </w:r>
            <w:r>
              <w:rPr>
                <w:rFonts w:hAnsi="宋体"/>
                <w:sz w:val="24"/>
              </w:rPr>
              <w:t>；得分、投标报价相同且技术部分得分也相同的，由评标委员会在评审现场随机抽取。</w:t>
            </w:r>
          </w:p>
          <w:p w14:paraId="7222D8DE">
            <w:pPr>
              <w:jc w:val="left"/>
              <w:rPr>
                <w:rFonts w:ascii="宋体" w:hAnsi="宋体"/>
                <w:sz w:val="24"/>
                <w:u w:val="single"/>
              </w:rPr>
            </w:pPr>
            <w:r>
              <w:rPr>
                <w:rFonts w:hint="eastAsia" w:ascii="宋体" w:hAnsi="宋体"/>
                <w:sz w:val="24"/>
              </w:rPr>
              <w:t>□随机抽取</w:t>
            </w:r>
          </w:p>
        </w:tc>
      </w:tr>
      <w:tr w14:paraId="584290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73" w:type="dxa"/>
            <w:vAlign w:val="center"/>
          </w:tcPr>
          <w:p w14:paraId="79309FCD">
            <w:pPr>
              <w:pStyle w:val="13"/>
              <w:adjustRightInd w:val="0"/>
              <w:snapToGrid w:val="0"/>
              <w:jc w:val="center"/>
              <w:rPr>
                <w:rFonts w:hint="default" w:hAnsi="宋体"/>
                <w:sz w:val="24"/>
                <w:szCs w:val="24"/>
              </w:rPr>
            </w:pPr>
            <w:r>
              <w:rPr>
                <w:rFonts w:hint="default" w:hAnsi="宋体"/>
                <w:sz w:val="24"/>
                <w:szCs w:val="24"/>
              </w:rPr>
              <w:t>25.5</w:t>
            </w:r>
          </w:p>
        </w:tc>
        <w:tc>
          <w:tcPr>
            <w:tcW w:w="1496" w:type="dxa"/>
            <w:vAlign w:val="center"/>
          </w:tcPr>
          <w:p w14:paraId="1E6B88D2">
            <w:pPr>
              <w:jc w:val="center"/>
              <w:rPr>
                <w:rFonts w:ascii="宋体" w:hAnsi="宋体"/>
                <w:sz w:val="24"/>
              </w:rPr>
            </w:pPr>
            <w:r>
              <w:rPr>
                <w:rFonts w:hint="eastAsia" w:ascii="宋体" w:hAnsi="宋体"/>
                <w:sz w:val="24"/>
              </w:rPr>
              <w:t>分包</w:t>
            </w:r>
          </w:p>
        </w:tc>
        <w:tc>
          <w:tcPr>
            <w:tcW w:w="6275" w:type="dxa"/>
            <w:vAlign w:val="center"/>
          </w:tcPr>
          <w:p w14:paraId="5DE3F529">
            <w:pPr>
              <w:jc w:val="left"/>
              <w:rPr>
                <w:rFonts w:ascii="宋体" w:hAnsi="宋体"/>
                <w:sz w:val="24"/>
              </w:rPr>
            </w:pPr>
            <w:r>
              <w:rPr>
                <w:rFonts w:hint="eastAsia" w:ascii="宋体" w:hAnsi="宋体"/>
                <w:sz w:val="24"/>
              </w:rPr>
              <w:t>本项目的非主体、非关键性工作是否允许分包：</w:t>
            </w:r>
          </w:p>
          <w:p w14:paraId="251EEEB6">
            <w:pPr>
              <w:jc w:val="left"/>
              <w:rPr>
                <w:rFonts w:ascii="宋体" w:hAnsi="宋体"/>
                <w:sz w:val="24"/>
              </w:rPr>
            </w:pPr>
            <w:r>
              <w:rPr>
                <w:rFonts w:hint="eastAsia" w:ascii="宋体" w:hAnsi="宋体"/>
                <w:sz w:val="24"/>
              </w:rPr>
              <w:t>■不允许</w:t>
            </w:r>
          </w:p>
          <w:p w14:paraId="70B674CF">
            <w:pPr>
              <w:jc w:val="left"/>
              <w:rPr>
                <w:rFonts w:ascii="宋体" w:hAnsi="宋体"/>
                <w:sz w:val="24"/>
              </w:rPr>
            </w:pPr>
            <w:r>
              <w:rPr>
                <w:rFonts w:hint="eastAsia" w:ascii="宋体" w:hAnsi="宋体"/>
                <w:sz w:val="24"/>
              </w:rPr>
              <w:t>□允许，具体要求：</w:t>
            </w:r>
          </w:p>
          <w:p w14:paraId="3E3E5849">
            <w:pPr>
              <w:jc w:val="left"/>
              <w:rPr>
                <w:rFonts w:ascii="宋体" w:hAnsi="宋体"/>
                <w:sz w:val="24"/>
              </w:rPr>
            </w:pPr>
            <w:r>
              <w:rPr>
                <w:rFonts w:hint="eastAsia" w:ascii="宋体" w:hAnsi="宋体"/>
                <w:sz w:val="24"/>
              </w:rPr>
              <w:t>（1）可以分包履行的具体内容：</w:t>
            </w:r>
            <w:r>
              <w:rPr>
                <w:rFonts w:hint="eastAsia" w:ascii="宋体" w:hAnsi="宋体"/>
                <w:sz w:val="24"/>
                <w:u w:val="single"/>
              </w:rPr>
              <w:t xml:space="preserve">   /   </w:t>
            </w:r>
            <w:r>
              <w:rPr>
                <w:rFonts w:hint="eastAsia" w:ascii="宋体" w:hAnsi="宋体"/>
                <w:sz w:val="24"/>
              </w:rPr>
              <w:t>；</w:t>
            </w:r>
          </w:p>
          <w:p w14:paraId="11D69C6A">
            <w:pPr>
              <w:jc w:val="left"/>
              <w:rPr>
                <w:rFonts w:ascii="宋体" w:hAnsi="宋体"/>
                <w:sz w:val="24"/>
              </w:rPr>
            </w:pPr>
            <w:r>
              <w:rPr>
                <w:rFonts w:hint="eastAsia" w:ascii="宋体" w:hAnsi="宋体"/>
                <w:sz w:val="24"/>
              </w:rPr>
              <w:t>（2）允许分包的金额或者比例：</w:t>
            </w:r>
            <w:r>
              <w:rPr>
                <w:rFonts w:hint="eastAsia" w:ascii="宋体" w:hAnsi="宋体"/>
                <w:sz w:val="24"/>
                <w:u w:val="single"/>
              </w:rPr>
              <w:t xml:space="preserve">   /   </w:t>
            </w:r>
            <w:r>
              <w:rPr>
                <w:rFonts w:hint="eastAsia" w:ascii="宋体" w:hAnsi="宋体"/>
                <w:sz w:val="24"/>
              </w:rPr>
              <w:t>；</w:t>
            </w:r>
          </w:p>
          <w:p w14:paraId="110B89C7">
            <w:pPr>
              <w:jc w:val="left"/>
              <w:rPr>
                <w:rFonts w:ascii="宋体" w:hAnsi="宋体"/>
                <w:sz w:val="24"/>
                <w:u w:val="single"/>
              </w:rPr>
            </w:pPr>
            <w:r>
              <w:rPr>
                <w:rFonts w:hint="eastAsia" w:ascii="宋体" w:hAnsi="宋体"/>
                <w:sz w:val="24"/>
              </w:rPr>
              <w:t>（3）其他要求：</w:t>
            </w:r>
            <w:r>
              <w:rPr>
                <w:rFonts w:hint="eastAsia" w:ascii="宋体" w:hAnsi="宋体"/>
                <w:sz w:val="24"/>
                <w:u w:val="single"/>
              </w:rPr>
              <w:t xml:space="preserve">   /   </w:t>
            </w:r>
            <w:r>
              <w:rPr>
                <w:rFonts w:hint="eastAsia" w:ascii="宋体" w:hAnsi="宋体"/>
                <w:sz w:val="24"/>
              </w:rPr>
              <w:t>。</w:t>
            </w:r>
          </w:p>
        </w:tc>
      </w:tr>
      <w:tr w14:paraId="592884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73" w:type="dxa"/>
            <w:vAlign w:val="center"/>
          </w:tcPr>
          <w:p w14:paraId="0F6DF3B2">
            <w:pPr>
              <w:pStyle w:val="13"/>
              <w:adjustRightInd w:val="0"/>
              <w:snapToGrid w:val="0"/>
              <w:jc w:val="center"/>
              <w:rPr>
                <w:rFonts w:hint="default" w:hAnsi="宋体"/>
                <w:sz w:val="24"/>
                <w:szCs w:val="24"/>
              </w:rPr>
            </w:pPr>
            <w:r>
              <w:rPr>
                <w:rFonts w:hAnsi="宋体"/>
                <w:sz w:val="24"/>
                <w:szCs w:val="24"/>
              </w:rPr>
              <w:t>25.6</w:t>
            </w:r>
          </w:p>
        </w:tc>
        <w:tc>
          <w:tcPr>
            <w:tcW w:w="1496" w:type="dxa"/>
            <w:vAlign w:val="center"/>
          </w:tcPr>
          <w:p w14:paraId="3F7F908A">
            <w:pPr>
              <w:jc w:val="center"/>
              <w:rPr>
                <w:rFonts w:ascii="宋体" w:hAnsi="宋体"/>
                <w:sz w:val="24"/>
              </w:rPr>
            </w:pPr>
            <w:r>
              <w:rPr>
                <w:rFonts w:hint="eastAsia" w:ascii="宋体" w:hAnsi="宋体"/>
                <w:sz w:val="24"/>
              </w:rPr>
              <w:t>政采贷</w:t>
            </w:r>
          </w:p>
        </w:tc>
        <w:tc>
          <w:tcPr>
            <w:tcW w:w="6275" w:type="dxa"/>
            <w:vAlign w:val="center"/>
          </w:tcPr>
          <w:p w14:paraId="761F7395">
            <w:pPr>
              <w:jc w:val="left"/>
              <w:rPr>
                <w:rFonts w:ascii="宋体" w:hAnsi="宋体"/>
                <w:sz w:val="24"/>
              </w:rPr>
            </w:pPr>
            <w:r>
              <w:rPr>
                <w:rFonts w:hint="eastAsia" w:ascii="宋体" w:hAnsi="宋体"/>
                <w:sz w:val="24"/>
              </w:rPr>
              <w:t>为更大力度激发市场活力和社会创造力，增强发展动力，按照《北京市全面优化营商环境助力企业高质量发展实施方案》（京政办发〔2023〕8号）部署，进一步加强政府采购合同线上融资“一站式”服务（以下简称“政采贷”），北京市财政局、中国人民银行营业管理部联合发布《关于推进政府采购合同线上融资有关工作的通知》（京财采购〔2023〕637号）。有需求的供应商，可按上述通知要求办理“政采贷”。</w:t>
            </w:r>
          </w:p>
        </w:tc>
      </w:tr>
      <w:tr w14:paraId="235572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73" w:type="dxa"/>
            <w:vAlign w:val="center"/>
          </w:tcPr>
          <w:p w14:paraId="152D217B">
            <w:pPr>
              <w:pStyle w:val="13"/>
              <w:adjustRightInd w:val="0"/>
              <w:snapToGrid w:val="0"/>
              <w:jc w:val="center"/>
              <w:rPr>
                <w:rFonts w:hint="default" w:hAnsi="宋体"/>
                <w:sz w:val="24"/>
                <w:szCs w:val="24"/>
              </w:rPr>
            </w:pPr>
            <w:r>
              <w:rPr>
                <w:rFonts w:hint="default" w:hAnsi="宋体"/>
                <w:sz w:val="24"/>
                <w:szCs w:val="24"/>
              </w:rPr>
              <w:t>26.1.1</w:t>
            </w:r>
          </w:p>
        </w:tc>
        <w:tc>
          <w:tcPr>
            <w:tcW w:w="1496" w:type="dxa"/>
            <w:vAlign w:val="center"/>
          </w:tcPr>
          <w:p w14:paraId="45A837A7">
            <w:pPr>
              <w:jc w:val="center"/>
              <w:rPr>
                <w:rFonts w:ascii="宋体" w:hAnsi="宋体"/>
                <w:sz w:val="24"/>
              </w:rPr>
            </w:pPr>
            <w:r>
              <w:rPr>
                <w:rFonts w:hint="eastAsia" w:ascii="宋体" w:hAnsi="宋体"/>
                <w:sz w:val="24"/>
              </w:rPr>
              <w:t>询问</w:t>
            </w:r>
          </w:p>
        </w:tc>
        <w:tc>
          <w:tcPr>
            <w:tcW w:w="6275" w:type="dxa"/>
            <w:vAlign w:val="center"/>
          </w:tcPr>
          <w:p w14:paraId="7EB1923C">
            <w:pPr>
              <w:jc w:val="left"/>
              <w:rPr>
                <w:rFonts w:ascii="宋体" w:hAnsi="宋体"/>
                <w:sz w:val="24"/>
              </w:rPr>
            </w:pPr>
            <w:r>
              <w:rPr>
                <w:rFonts w:hint="eastAsia" w:ascii="宋体" w:hAnsi="宋体"/>
                <w:sz w:val="24"/>
              </w:rPr>
              <w:t>询问提出形式：电话或邮件</w:t>
            </w:r>
          </w:p>
        </w:tc>
      </w:tr>
      <w:tr w14:paraId="02DFC4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73" w:type="dxa"/>
            <w:vAlign w:val="center"/>
          </w:tcPr>
          <w:p w14:paraId="6F211C8B">
            <w:pPr>
              <w:pStyle w:val="13"/>
              <w:adjustRightInd w:val="0"/>
              <w:snapToGrid w:val="0"/>
              <w:jc w:val="center"/>
              <w:rPr>
                <w:rFonts w:hint="default" w:hAnsi="宋体"/>
                <w:sz w:val="24"/>
                <w:szCs w:val="24"/>
              </w:rPr>
            </w:pPr>
            <w:r>
              <w:rPr>
                <w:rFonts w:hint="default" w:hAnsi="宋体"/>
                <w:sz w:val="24"/>
                <w:szCs w:val="24"/>
              </w:rPr>
              <w:t>26.3</w:t>
            </w:r>
          </w:p>
        </w:tc>
        <w:tc>
          <w:tcPr>
            <w:tcW w:w="1496" w:type="dxa"/>
            <w:vAlign w:val="center"/>
          </w:tcPr>
          <w:p w14:paraId="5E984E93">
            <w:pPr>
              <w:jc w:val="center"/>
              <w:rPr>
                <w:rFonts w:ascii="宋体" w:hAnsi="宋体"/>
                <w:sz w:val="24"/>
              </w:rPr>
            </w:pPr>
            <w:r>
              <w:rPr>
                <w:rFonts w:hint="eastAsia" w:ascii="宋体" w:hAnsi="宋体"/>
                <w:sz w:val="24"/>
              </w:rPr>
              <w:t>联系方式</w:t>
            </w:r>
          </w:p>
        </w:tc>
        <w:tc>
          <w:tcPr>
            <w:tcW w:w="6275" w:type="dxa"/>
            <w:vAlign w:val="center"/>
          </w:tcPr>
          <w:p w14:paraId="672D7403">
            <w:pPr>
              <w:jc w:val="left"/>
              <w:rPr>
                <w:rFonts w:ascii="宋体" w:hAnsi="宋体"/>
                <w:sz w:val="24"/>
              </w:rPr>
            </w:pPr>
            <w:r>
              <w:rPr>
                <w:rFonts w:hint="eastAsia" w:ascii="宋体" w:hAnsi="宋体"/>
                <w:sz w:val="24"/>
              </w:rPr>
              <w:t>接收询问和质疑的联系方式</w:t>
            </w:r>
          </w:p>
          <w:p w14:paraId="17FAF381">
            <w:pPr>
              <w:jc w:val="left"/>
              <w:rPr>
                <w:rFonts w:ascii="宋体" w:hAnsi="宋体"/>
                <w:sz w:val="24"/>
              </w:rPr>
            </w:pPr>
            <w:r>
              <w:rPr>
                <w:rFonts w:hint="eastAsia" w:ascii="宋体" w:hAnsi="宋体"/>
                <w:sz w:val="24"/>
              </w:rPr>
              <w:t>联系部门：</w:t>
            </w:r>
            <w:r>
              <w:rPr>
                <w:rFonts w:hint="eastAsia" w:ascii="宋体" w:hAnsi="宋体"/>
                <w:sz w:val="24"/>
                <w:u w:val="single"/>
              </w:rPr>
              <w:t>北京中兴恒达招标有限公司综合部</w:t>
            </w:r>
            <w:r>
              <w:rPr>
                <w:rFonts w:hint="eastAsia" w:ascii="宋体" w:hAnsi="宋体"/>
                <w:sz w:val="24"/>
              </w:rPr>
              <w:t>；</w:t>
            </w:r>
          </w:p>
          <w:p w14:paraId="13BF700A">
            <w:pPr>
              <w:jc w:val="left"/>
              <w:rPr>
                <w:rFonts w:ascii="宋体" w:hAnsi="宋体"/>
                <w:sz w:val="24"/>
              </w:rPr>
            </w:pPr>
            <w:r>
              <w:rPr>
                <w:rFonts w:hint="eastAsia" w:ascii="宋体" w:hAnsi="宋体"/>
                <w:sz w:val="24"/>
              </w:rPr>
              <w:t>联系电话：</w:t>
            </w:r>
            <w:r>
              <w:rPr>
                <w:rFonts w:hint="eastAsia" w:ascii="宋体" w:hAnsi="宋体"/>
                <w:sz w:val="24"/>
                <w:u w:val="single"/>
              </w:rPr>
              <w:t>010-82250125</w:t>
            </w:r>
            <w:r>
              <w:rPr>
                <w:rFonts w:hint="eastAsia" w:ascii="宋体" w:hAnsi="宋体"/>
                <w:sz w:val="24"/>
              </w:rPr>
              <w:t>；</w:t>
            </w:r>
          </w:p>
          <w:p w14:paraId="25D199FA">
            <w:pPr>
              <w:jc w:val="left"/>
              <w:rPr>
                <w:rFonts w:ascii="宋体" w:hAnsi="宋体"/>
                <w:sz w:val="24"/>
              </w:rPr>
            </w:pPr>
            <w:r>
              <w:rPr>
                <w:rFonts w:hint="eastAsia" w:ascii="宋体" w:hAnsi="宋体"/>
                <w:sz w:val="24"/>
              </w:rPr>
              <w:t>通讯地址：</w:t>
            </w:r>
            <w:r>
              <w:rPr>
                <w:rFonts w:hint="eastAsia" w:ascii="宋体" w:hAnsi="宋体"/>
                <w:sz w:val="24"/>
                <w:u w:val="single"/>
              </w:rPr>
              <w:t>北京市朝阳区裕民路12号元辰鑫大厦E1座424室</w:t>
            </w:r>
            <w:r>
              <w:rPr>
                <w:rFonts w:hint="eastAsia" w:ascii="宋体" w:hAnsi="宋体"/>
                <w:sz w:val="24"/>
              </w:rPr>
              <w:t>。</w:t>
            </w:r>
          </w:p>
        </w:tc>
      </w:tr>
      <w:tr w14:paraId="33674F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73" w:type="dxa"/>
            <w:tcBorders>
              <w:top w:val="single" w:color="auto" w:sz="4" w:space="0"/>
              <w:left w:val="single" w:color="auto" w:sz="4" w:space="0"/>
              <w:bottom w:val="single" w:color="auto" w:sz="4" w:space="0"/>
              <w:right w:val="single" w:color="auto" w:sz="4" w:space="0"/>
            </w:tcBorders>
            <w:vAlign w:val="center"/>
          </w:tcPr>
          <w:p w14:paraId="7C68A2C2">
            <w:pPr>
              <w:pStyle w:val="13"/>
              <w:adjustRightInd w:val="0"/>
              <w:snapToGrid w:val="0"/>
              <w:jc w:val="center"/>
              <w:rPr>
                <w:rFonts w:hint="default" w:hAnsi="宋体"/>
                <w:sz w:val="24"/>
                <w:szCs w:val="24"/>
              </w:rPr>
            </w:pPr>
            <w:r>
              <w:rPr>
                <w:rFonts w:hint="default" w:hAnsi="宋体"/>
                <w:sz w:val="24"/>
                <w:szCs w:val="24"/>
              </w:rPr>
              <w:t>27</w:t>
            </w:r>
            <w:r>
              <w:rPr>
                <w:rFonts w:hAnsi="宋体"/>
                <w:sz w:val="24"/>
                <w:szCs w:val="24"/>
              </w:rPr>
              <w:t>.1</w:t>
            </w:r>
          </w:p>
        </w:tc>
        <w:tc>
          <w:tcPr>
            <w:tcW w:w="1496" w:type="dxa"/>
            <w:tcBorders>
              <w:top w:val="single" w:color="auto" w:sz="4" w:space="0"/>
              <w:left w:val="single" w:color="auto" w:sz="4" w:space="0"/>
              <w:bottom w:val="single" w:color="auto" w:sz="4" w:space="0"/>
              <w:right w:val="single" w:color="auto" w:sz="4" w:space="0"/>
            </w:tcBorders>
            <w:vAlign w:val="center"/>
          </w:tcPr>
          <w:p w14:paraId="4CB34C4D">
            <w:pPr>
              <w:jc w:val="center"/>
              <w:rPr>
                <w:rFonts w:ascii="宋体" w:hAnsi="宋体"/>
                <w:sz w:val="24"/>
              </w:rPr>
            </w:pPr>
            <w:r>
              <w:rPr>
                <w:rFonts w:hint="eastAsia" w:ascii="宋体" w:hAnsi="宋体"/>
                <w:sz w:val="24"/>
              </w:rPr>
              <w:t>代理费</w:t>
            </w:r>
          </w:p>
        </w:tc>
        <w:tc>
          <w:tcPr>
            <w:tcW w:w="6275" w:type="dxa"/>
            <w:tcBorders>
              <w:top w:val="single" w:color="auto" w:sz="4" w:space="0"/>
              <w:left w:val="single" w:color="auto" w:sz="4" w:space="0"/>
              <w:bottom w:val="single" w:color="auto" w:sz="4" w:space="0"/>
              <w:right w:val="single" w:color="auto" w:sz="4" w:space="0"/>
            </w:tcBorders>
            <w:vAlign w:val="center"/>
          </w:tcPr>
          <w:p w14:paraId="6617BD07">
            <w:pPr>
              <w:jc w:val="left"/>
              <w:rPr>
                <w:rFonts w:ascii="宋体" w:hAnsi="宋体"/>
                <w:sz w:val="24"/>
              </w:rPr>
            </w:pPr>
            <w:r>
              <w:rPr>
                <w:rFonts w:hint="eastAsia" w:ascii="宋体" w:hAnsi="宋体"/>
                <w:sz w:val="24"/>
              </w:rPr>
              <w:t>收费对象：□采购人  ■中标人</w:t>
            </w:r>
          </w:p>
          <w:p w14:paraId="2F8B3670">
            <w:pPr>
              <w:jc w:val="left"/>
              <w:rPr>
                <w:rFonts w:ascii="宋体" w:hAnsi="宋体"/>
                <w:sz w:val="24"/>
                <w:u w:val="single"/>
              </w:rPr>
            </w:pPr>
            <w:r>
              <w:rPr>
                <w:rFonts w:hint="eastAsia" w:ascii="宋体" w:hAnsi="宋体"/>
                <w:sz w:val="24"/>
              </w:rPr>
              <w:t>收费标准：</w:t>
            </w:r>
            <w:r>
              <w:rPr>
                <w:rFonts w:hint="eastAsia" w:ascii="宋体" w:hAnsi="宋体" w:cs="宋体"/>
                <w:sz w:val="24"/>
              </w:rPr>
              <w:t>招标代理费</w:t>
            </w:r>
            <w:r>
              <w:rPr>
                <w:rFonts w:hint="eastAsia" w:ascii="宋体" w:hAnsi="宋体"/>
                <w:sz w:val="24"/>
              </w:rPr>
              <w:t>参照原国家计委计价格〔2002〕1980号文和国家发改委发改办价格〔2003〕857号文的标准，具体如下：</w:t>
            </w:r>
          </w:p>
          <w:tbl>
            <w:tblPr>
              <w:tblStyle w:val="27"/>
              <w:tblW w:w="5998" w:type="dxa"/>
              <w:jc w:val="righ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993"/>
              <w:gridCol w:w="973"/>
              <w:gridCol w:w="992"/>
              <w:gridCol w:w="1040"/>
            </w:tblGrid>
            <w:tr w14:paraId="74F157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5" w:hRule="atLeast"/>
                <w:jc w:val="right"/>
              </w:trPr>
              <w:tc>
                <w:tcPr>
                  <w:tcW w:w="2993" w:type="dxa"/>
                </w:tcPr>
                <w:p w14:paraId="09D93B3E">
                  <w:pPr>
                    <w:rPr>
                      <w:rFonts w:ascii="宋体" w:hAnsi="宋体" w:cs="宋体"/>
                      <w:sz w:val="24"/>
                    </w:rPr>
                  </w:pPr>
                  <w:r>
                    <w:rPr>
                      <w:rFonts w:ascii="宋体" w:hAnsi="宋体" w:cs="宋体"/>
                      <w:sz w:val="24"/>
                    </w:rPr>
                    <mc:AlternateContent>
                      <mc:Choice Requires="wps">
                        <w:drawing>
                          <wp:anchor distT="0" distB="0" distL="114300" distR="114300" simplePos="0" relativeHeight="251661312" behindDoc="0" locked="0" layoutInCell="1" allowOverlap="1">
                            <wp:simplePos x="0" y="0"/>
                            <wp:positionH relativeFrom="column">
                              <wp:posOffset>552450</wp:posOffset>
                            </wp:positionH>
                            <wp:positionV relativeFrom="paragraph">
                              <wp:posOffset>1270</wp:posOffset>
                            </wp:positionV>
                            <wp:extent cx="1299210" cy="631825"/>
                            <wp:effectExtent l="3175" t="6985" r="12065" b="8890"/>
                            <wp:wrapNone/>
                            <wp:docPr id="5" name="直接连接符 1"/>
                            <wp:cNvGraphicFramePr/>
                            <a:graphic xmlns:a="http://schemas.openxmlformats.org/drawingml/2006/main">
                              <a:graphicData uri="http://schemas.microsoft.com/office/word/2010/wordprocessingShape">
                                <wps:wsp>
                                  <wps:cNvCnPr/>
                                  <wps:spPr>
                                    <a:xfrm flipH="1" flipV="1">
                                      <a:off x="0" y="0"/>
                                      <a:ext cx="1299210" cy="631825"/>
                                    </a:xfrm>
                                    <a:prstGeom prst="line">
                                      <a:avLst/>
                                    </a:prstGeom>
                                    <a:ln w="15875" cap="flat" cmpd="sng">
                                      <a:solidFill>
                                        <a:srgbClr val="739CC3"/>
                                      </a:solidFill>
                                      <a:prstDash val="solid"/>
                                      <a:headEnd type="none" w="med" len="med"/>
                                      <a:tailEnd type="none" w="med" len="med"/>
                                    </a:ln>
                                    <a:effectLst/>
                                  </wps:spPr>
                                  <wps:bodyPr/>
                                </wps:wsp>
                              </a:graphicData>
                            </a:graphic>
                          </wp:anchor>
                        </w:drawing>
                      </mc:Choice>
                      <mc:Fallback>
                        <w:pict>
                          <v:line id="直接连接符 1" o:spid="_x0000_s1026" o:spt="20" style="position:absolute;left:0pt;flip:x y;margin-left:43.5pt;margin-top:0.1pt;height:49.75pt;width:102.3pt;z-index:251661312;mso-width-relative:page;mso-height-relative:page;" filled="f" stroked="t" coordsize="21600,21600" o:gfxdata="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F6F9//YAAAABgEAAA8AAAAAAAAAAQAgAAAAIgAAAGRy&#10;cy9kb3ducmV2LnhtbFBLAQIUABQAAAAIAIdO4kDA1TAxBQIAAAAEAAAOAAAAAAAAAAEAIAAAACcB&#10;AABkcnMvZTJvRG9jLnhtbFBLBQYAAAAABgAGAFkBAACeBQAAAAA=&#10;">
                            <v:fill on="f" focussize="0,0"/>
                            <v:stroke weight="1.25pt" color="#739CC3" joinstyle="round"/>
                            <v:imagedata o:title=""/>
                            <o:lock v:ext="edit" aspectratio="f"/>
                          </v:line>
                        </w:pict>
                      </mc:Fallback>
                    </mc:AlternateContent>
                  </w:r>
                  <w:r>
                    <w:rPr>
                      <w:rFonts w:ascii="宋体" w:hAnsi="宋体" w:cs="宋体"/>
                      <w:sz w:val="24"/>
                    </w:rPr>
                    <mc:AlternateContent>
                      <mc:Choice Requires="wps">
                        <w:drawing>
                          <wp:anchor distT="0" distB="0" distL="114300" distR="114300" simplePos="0" relativeHeight="251660288" behindDoc="0" locked="0" layoutInCell="1" allowOverlap="1">
                            <wp:simplePos x="0" y="0"/>
                            <wp:positionH relativeFrom="column">
                              <wp:posOffset>-44450</wp:posOffset>
                            </wp:positionH>
                            <wp:positionV relativeFrom="paragraph">
                              <wp:posOffset>161925</wp:posOffset>
                            </wp:positionV>
                            <wp:extent cx="1904365" cy="488950"/>
                            <wp:effectExtent l="1905" t="7620" r="17780" b="17780"/>
                            <wp:wrapNone/>
                            <wp:docPr id="6" name="直接连接符 6"/>
                            <wp:cNvGraphicFramePr/>
                            <a:graphic xmlns:a="http://schemas.openxmlformats.org/drawingml/2006/main">
                              <a:graphicData uri="http://schemas.microsoft.com/office/word/2010/wordprocessingShape">
                                <wps:wsp>
                                  <wps:cNvCnPr/>
                                  <wps:spPr>
                                    <a:xfrm>
                                      <a:off x="0" y="0"/>
                                      <a:ext cx="1904365" cy="488950"/>
                                    </a:xfrm>
                                    <a:prstGeom prst="line">
                                      <a:avLst/>
                                    </a:prstGeom>
                                    <a:ln w="15875" cap="flat" cmpd="sng">
                                      <a:solidFill>
                                        <a:srgbClr val="739CC3"/>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3.5pt;margin-top:12.75pt;height:38.5pt;width:149.95pt;z-index:251660288;mso-width-relative:page;mso-height-relative:page;" filled="f" stroked="t" coordsize="21600,21600" o:gfxdata="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">
                            <v:fill on="f" focussize="0,0"/>
                            <v:stroke weight="1.25pt" color="#739CC3" joinstyle="round"/>
                            <v:imagedata o:title=""/>
                            <o:lock v:ext="edit" aspectratio="f"/>
                          </v:line>
                        </w:pict>
                      </mc:Fallback>
                    </mc:AlternateContent>
                  </w:r>
                  <w:r>
                    <w:rPr>
                      <w:rFonts w:hint="eastAsia" w:ascii="宋体" w:hAnsi="宋体" w:cs="宋体"/>
                      <w:sz w:val="24"/>
                    </w:rPr>
                    <w:t>费率         项目类型</w:t>
                  </w:r>
                </w:p>
                <w:p w14:paraId="25382F20">
                  <w:pPr>
                    <w:rPr>
                      <w:rFonts w:ascii="宋体" w:hAnsi="宋体" w:cs="宋体"/>
                      <w:sz w:val="24"/>
                    </w:rPr>
                  </w:pPr>
                </w:p>
                <w:p w14:paraId="5D8437A0">
                  <w:pPr>
                    <w:rPr>
                      <w:rFonts w:ascii="宋体" w:hAnsi="宋体" w:cs="宋体"/>
                      <w:sz w:val="24"/>
                    </w:rPr>
                  </w:pPr>
                  <w:r>
                    <w:rPr>
                      <w:rFonts w:hint="eastAsia" w:ascii="宋体" w:hAnsi="宋体" w:cs="宋体"/>
                      <w:sz w:val="24"/>
                    </w:rPr>
                    <w:t xml:space="preserve">中标金额（万元）  </w:t>
                  </w:r>
                </w:p>
              </w:tc>
              <w:tc>
                <w:tcPr>
                  <w:tcW w:w="973" w:type="dxa"/>
                  <w:vAlign w:val="center"/>
                </w:tcPr>
                <w:p w14:paraId="29FC912F">
                  <w:pPr>
                    <w:jc w:val="center"/>
                    <w:rPr>
                      <w:rFonts w:ascii="宋体" w:hAnsi="宋体" w:cs="宋体"/>
                      <w:sz w:val="24"/>
                    </w:rPr>
                  </w:pPr>
                  <w:r>
                    <w:rPr>
                      <w:rFonts w:hint="eastAsia" w:ascii="宋体" w:hAnsi="宋体" w:cs="宋体"/>
                      <w:sz w:val="24"/>
                    </w:rPr>
                    <w:t>货物</w:t>
                  </w:r>
                </w:p>
              </w:tc>
              <w:tc>
                <w:tcPr>
                  <w:tcW w:w="992" w:type="dxa"/>
                  <w:vAlign w:val="center"/>
                </w:tcPr>
                <w:p w14:paraId="5E2931E8">
                  <w:pPr>
                    <w:jc w:val="center"/>
                    <w:rPr>
                      <w:rFonts w:ascii="宋体" w:hAnsi="宋体" w:cs="宋体"/>
                      <w:sz w:val="24"/>
                    </w:rPr>
                  </w:pPr>
                  <w:r>
                    <w:rPr>
                      <w:rFonts w:hint="eastAsia" w:ascii="宋体" w:hAnsi="宋体" w:cs="宋体"/>
                      <w:sz w:val="24"/>
                    </w:rPr>
                    <w:t>服务</w:t>
                  </w:r>
                </w:p>
              </w:tc>
              <w:tc>
                <w:tcPr>
                  <w:tcW w:w="1040" w:type="dxa"/>
                  <w:vAlign w:val="center"/>
                </w:tcPr>
                <w:p w14:paraId="330A9B4D">
                  <w:pPr>
                    <w:jc w:val="center"/>
                    <w:rPr>
                      <w:rFonts w:ascii="宋体" w:hAnsi="宋体" w:cs="宋体"/>
                      <w:sz w:val="24"/>
                    </w:rPr>
                  </w:pPr>
                  <w:r>
                    <w:rPr>
                      <w:rFonts w:hint="eastAsia" w:ascii="宋体" w:hAnsi="宋体" w:cs="宋体"/>
                      <w:sz w:val="24"/>
                    </w:rPr>
                    <w:t>工程</w:t>
                  </w:r>
                </w:p>
              </w:tc>
            </w:tr>
            <w:tr w14:paraId="40F715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jc w:val="right"/>
              </w:trPr>
              <w:tc>
                <w:tcPr>
                  <w:tcW w:w="2993" w:type="dxa"/>
                </w:tcPr>
                <w:p w14:paraId="7A45BF02">
                  <w:pPr>
                    <w:jc w:val="center"/>
                    <w:rPr>
                      <w:rFonts w:ascii="宋体" w:hAnsi="宋体" w:cs="宋体"/>
                      <w:sz w:val="24"/>
                    </w:rPr>
                  </w:pPr>
                  <w:r>
                    <w:rPr>
                      <w:rFonts w:hint="eastAsia" w:ascii="宋体" w:hAnsi="宋体" w:cs="宋体"/>
                      <w:sz w:val="24"/>
                    </w:rPr>
                    <w:t>100以下</w:t>
                  </w:r>
                </w:p>
              </w:tc>
              <w:tc>
                <w:tcPr>
                  <w:tcW w:w="973" w:type="dxa"/>
                  <w:vAlign w:val="center"/>
                </w:tcPr>
                <w:p w14:paraId="13EB9592">
                  <w:pPr>
                    <w:widowControl/>
                    <w:jc w:val="center"/>
                    <w:textAlignment w:val="center"/>
                    <w:rPr>
                      <w:rFonts w:ascii="宋体" w:hAnsi="宋体" w:cs="宋体"/>
                      <w:sz w:val="24"/>
                    </w:rPr>
                  </w:pPr>
                  <w:r>
                    <w:rPr>
                      <w:rFonts w:hint="eastAsia" w:ascii="宋体" w:hAnsi="宋体" w:cs="宋体"/>
                      <w:kern w:val="0"/>
                      <w:sz w:val="24"/>
                    </w:rPr>
                    <w:t>1.50%</w:t>
                  </w:r>
                </w:p>
              </w:tc>
              <w:tc>
                <w:tcPr>
                  <w:tcW w:w="992" w:type="dxa"/>
                  <w:vAlign w:val="center"/>
                </w:tcPr>
                <w:p w14:paraId="42A97172">
                  <w:pPr>
                    <w:widowControl/>
                    <w:jc w:val="center"/>
                    <w:textAlignment w:val="center"/>
                    <w:rPr>
                      <w:rFonts w:ascii="宋体" w:hAnsi="宋体" w:cs="宋体"/>
                      <w:sz w:val="24"/>
                    </w:rPr>
                  </w:pPr>
                  <w:r>
                    <w:rPr>
                      <w:rFonts w:hint="eastAsia" w:ascii="宋体" w:hAnsi="宋体" w:cs="宋体"/>
                      <w:kern w:val="0"/>
                      <w:sz w:val="24"/>
                    </w:rPr>
                    <w:t>1.50%</w:t>
                  </w:r>
                </w:p>
              </w:tc>
              <w:tc>
                <w:tcPr>
                  <w:tcW w:w="1040" w:type="dxa"/>
                  <w:vAlign w:val="center"/>
                </w:tcPr>
                <w:p w14:paraId="27D69624">
                  <w:pPr>
                    <w:widowControl/>
                    <w:jc w:val="center"/>
                    <w:textAlignment w:val="center"/>
                    <w:rPr>
                      <w:rFonts w:ascii="宋体" w:hAnsi="宋体" w:cs="宋体"/>
                      <w:sz w:val="24"/>
                    </w:rPr>
                  </w:pPr>
                  <w:r>
                    <w:rPr>
                      <w:rFonts w:hint="eastAsia" w:ascii="宋体" w:hAnsi="宋体" w:cs="宋体"/>
                      <w:kern w:val="0"/>
                      <w:sz w:val="24"/>
                    </w:rPr>
                    <w:t>1.00%</w:t>
                  </w:r>
                </w:p>
              </w:tc>
            </w:tr>
            <w:tr w14:paraId="25A3FD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right"/>
              </w:trPr>
              <w:tc>
                <w:tcPr>
                  <w:tcW w:w="2993" w:type="dxa"/>
                </w:tcPr>
                <w:p w14:paraId="49C45767">
                  <w:pPr>
                    <w:jc w:val="center"/>
                    <w:rPr>
                      <w:rFonts w:ascii="宋体" w:hAnsi="宋体" w:cs="宋体"/>
                      <w:sz w:val="24"/>
                    </w:rPr>
                  </w:pPr>
                  <w:r>
                    <w:rPr>
                      <w:rFonts w:hint="eastAsia" w:ascii="宋体" w:hAnsi="宋体" w:cs="宋体"/>
                      <w:sz w:val="24"/>
                    </w:rPr>
                    <w:t>100-500</w:t>
                  </w:r>
                </w:p>
              </w:tc>
              <w:tc>
                <w:tcPr>
                  <w:tcW w:w="973" w:type="dxa"/>
                  <w:vAlign w:val="center"/>
                </w:tcPr>
                <w:p w14:paraId="781B9971">
                  <w:pPr>
                    <w:widowControl/>
                    <w:jc w:val="center"/>
                    <w:textAlignment w:val="center"/>
                    <w:rPr>
                      <w:rFonts w:ascii="宋体" w:hAnsi="宋体" w:cs="宋体"/>
                      <w:sz w:val="24"/>
                    </w:rPr>
                  </w:pPr>
                  <w:r>
                    <w:rPr>
                      <w:rFonts w:hint="eastAsia" w:ascii="宋体" w:hAnsi="宋体" w:cs="宋体"/>
                      <w:kern w:val="0"/>
                      <w:sz w:val="24"/>
                    </w:rPr>
                    <w:t>1.10%</w:t>
                  </w:r>
                </w:p>
              </w:tc>
              <w:tc>
                <w:tcPr>
                  <w:tcW w:w="992" w:type="dxa"/>
                  <w:vAlign w:val="center"/>
                </w:tcPr>
                <w:p w14:paraId="3D73A7B2">
                  <w:pPr>
                    <w:widowControl/>
                    <w:jc w:val="center"/>
                    <w:textAlignment w:val="center"/>
                    <w:rPr>
                      <w:rFonts w:ascii="宋体" w:hAnsi="宋体" w:cs="宋体"/>
                      <w:sz w:val="24"/>
                    </w:rPr>
                  </w:pPr>
                  <w:r>
                    <w:rPr>
                      <w:rFonts w:hint="eastAsia" w:ascii="宋体" w:hAnsi="宋体" w:cs="宋体"/>
                      <w:kern w:val="0"/>
                      <w:sz w:val="24"/>
                    </w:rPr>
                    <w:t>0.80%</w:t>
                  </w:r>
                </w:p>
              </w:tc>
              <w:tc>
                <w:tcPr>
                  <w:tcW w:w="1040" w:type="dxa"/>
                  <w:vAlign w:val="center"/>
                </w:tcPr>
                <w:p w14:paraId="6C24E134">
                  <w:pPr>
                    <w:widowControl/>
                    <w:jc w:val="center"/>
                    <w:textAlignment w:val="center"/>
                    <w:rPr>
                      <w:rFonts w:ascii="宋体" w:hAnsi="宋体" w:cs="宋体"/>
                      <w:sz w:val="24"/>
                    </w:rPr>
                  </w:pPr>
                  <w:r>
                    <w:rPr>
                      <w:rFonts w:hint="eastAsia" w:ascii="宋体" w:hAnsi="宋体" w:cs="宋体"/>
                      <w:kern w:val="0"/>
                      <w:sz w:val="24"/>
                    </w:rPr>
                    <w:t>0.70%</w:t>
                  </w:r>
                </w:p>
              </w:tc>
            </w:tr>
            <w:tr w14:paraId="55E099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right"/>
              </w:trPr>
              <w:tc>
                <w:tcPr>
                  <w:tcW w:w="2993" w:type="dxa"/>
                </w:tcPr>
                <w:p w14:paraId="0D6F2C4C">
                  <w:pPr>
                    <w:jc w:val="center"/>
                    <w:rPr>
                      <w:rFonts w:ascii="宋体" w:hAnsi="宋体" w:cs="宋体"/>
                      <w:sz w:val="24"/>
                    </w:rPr>
                  </w:pPr>
                  <w:r>
                    <w:rPr>
                      <w:rFonts w:hint="eastAsia" w:ascii="宋体" w:hAnsi="宋体" w:cs="宋体"/>
                      <w:sz w:val="24"/>
                    </w:rPr>
                    <w:t>500-1000</w:t>
                  </w:r>
                </w:p>
              </w:tc>
              <w:tc>
                <w:tcPr>
                  <w:tcW w:w="973" w:type="dxa"/>
                  <w:vAlign w:val="center"/>
                </w:tcPr>
                <w:p w14:paraId="498F4B24">
                  <w:pPr>
                    <w:widowControl/>
                    <w:jc w:val="center"/>
                    <w:textAlignment w:val="center"/>
                    <w:rPr>
                      <w:rFonts w:ascii="宋体" w:hAnsi="宋体" w:cs="宋体"/>
                      <w:sz w:val="24"/>
                    </w:rPr>
                  </w:pPr>
                  <w:r>
                    <w:rPr>
                      <w:rFonts w:hint="eastAsia" w:ascii="宋体" w:hAnsi="宋体" w:cs="宋体"/>
                      <w:kern w:val="0"/>
                      <w:sz w:val="24"/>
                    </w:rPr>
                    <w:t>0.80%</w:t>
                  </w:r>
                </w:p>
              </w:tc>
              <w:tc>
                <w:tcPr>
                  <w:tcW w:w="992" w:type="dxa"/>
                  <w:vAlign w:val="center"/>
                </w:tcPr>
                <w:p w14:paraId="7F02FA43">
                  <w:pPr>
                    <w:widowControl/>
                    <w:jc w:val="center"/>
                    <w:textAlignment w:val="center"/>
                    <w:rPr>
                      <w:rFonts w:ascii="宋体" w:hAnsi="宋体" w:cs="宋体"/>
                      <w:sz w:val="24"/>
                    </w:rPr>
                  </w:pPr>
                  <w:r>
                    <w:rPr>
                      <w:rFonts w:hint="eastAsia" w:ascii="宋体" w:hAnsi="宋体" w:cs="宋体"/>
                      <w:kern w:val="0"/>
                      <w:sz w:val="24"/>
                    </w:rPr>
                    <w:t>0.45%</w:t>
                  </w:r>
                </w:p>
              </w:tc>
              <w:tc>
                <w:tcPr>
                  <w:tcW w:w="1040" w:type="dxa"/>
                  <w:vAlign w:val="center"/>
                </w:tcPr>
                <w:p w14:paraId="002B9371">
                  <w:pPr>
                    <w:widowControl/>
                    <w:jc w:val="center"/>
                    <w:textAlignment w:val="center"/>
                    <w:rPr>
                      <w:rFonts w:ascii="宋体" w:hAnsi="宋体" w:cs="宋体"/>
                      <w:sz w:val="24"/>
                    </w:rPr>
                  </w:pPr>
                  <w:r>
                    <w:rPr>
                      <w:rFonts w:hint="eastAsia" w:ascii="宋体" w:hAnsi="宋体" w:cs="宋体"/>
                      <w:kern w:val="0"/>
                      <w:sz w:val="24"/>
                    </w:rPr>
                    <w:t>0.55%</w:t>
                  </w:r>
                </w:p>
              </w:tc>
            </w:tr>
            <w:tr w14:paraId="3FAF0F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right"/>
              </w:trPr>
              <w:tc>
                <w:tcPr>
                  <w:tcW w:w="2993" w:type="dxa"/>
                </w:tcPr>
                <w:p w14:paraId="7EE0487B">
                  <w:pPr>
                    <w:jc w:val="center"/>
                    <w:rPr>
                      <w:rFonts w:ascii="宋体" w:hAnsi="宋体" w:cs="宋体"/>
                      <w:sz w:val="24"/>
                    </w:rPr>
                  </w:pPr>
                  <w:r>
                    <w:rPr>
                      <w:rFonts w:hint="eastAsia" w:ascii="宋体" w:hAnsi="宋体" w:cs="宋体"/>
                      <w:sz w:val="24"/>
                    </w:rPr>
                    <w:t>1000-5000</w:t>
                  </w:r>
                </w:p>
              </w:tc>
              <w:tc>
                <w:tcPr>
                  <w:tcW w:w="973" w:type="dxa"/>
                  <w:vAlign w:val="center"/>
                </w:tcPr>
                <w:p w14:paraId="708441F9">
                  <w:pPr>
                    <w:widowControl/>
                    <w:jc w:val="center"/>
                    <w:textAlignment w:val="center"/>
                    <w:rPr>
                      <w:rFonts w:ascii="宋体" w:hAnsi="宋体" w:cs="宋体"/>
                      <w:sz w:val="24"/>
                    </w:rPr>
                  </w:pPr>
                  <w:r>
                    <w:rPr>
                      <w:rFonts w:hint="eastAsia" w:ascii="宋体" w:hAnsi="宋体" w:cs="宋体"/>
                      <w:kern w:val="0"/>
                      <w:sz w:val="24"/>
                    </w:rPr>
                    <w:t>0.50%</w:t>
                  </w:r>
                </w:p>
              </w:tc>
              <w:tc>
                <w:tcPr>
                  <w:tcW w:w="992" w:type="dxa"/>
                  <w:vAlign w:val="center"/>
                </w:tcPr>
                <w:p w14:paraId="115DEBB2">
                  <w:pPr>
                    <w:widowControl/>
                    <w:jc w:val="center"/>
                    <w:textAlignment w:val="center"/>
                    <w:rPr>
                      <w:rFonts w:ascii="宋体" w:hAnsi="宋体" w:cs="宋体"/>
                      <w:sz w:val="24"/>
                    </w:rPr>
                  </w:pPr>
                  <w:r>
                    <w:rPr>
                      <w:rFonts w:hint="eastAsia" w:ascii="宋体" w:hAnsi="宋体" w:cs="宋体"/>
                      <w:kern w:val="0"/>
                      <w:sz w:val="24"/>
                    </w:rPr>
                    <w:t>0.25%</w:t>
                  </w:r>
                </w:p>
              </w:tc>
              <w:tc>
                <w:tcPr>
                  <w:tcW w:w="1040" w:type="dxa"/>
                  <w:vAlign w:val="center"/>
                </w:tcPr>
                <w:p w14:paraId="67EA02B2">
                  <w:pPr>
                    <w:widowControl/>
                    <w:jc w:val="center"/>
                    <w:textAlignment w:val="center"/>
                    <w:rPr>
                      <w:rFonts w:ascii="宋体" w:hAnsi="宋体" w:cs="宋体"/>
                      <w:sz w:val="24"/>
                    </w:rPr>
                  </w:pPr>
                  <w:r>
                    <w:rPr>
                      <w:rFonts w:hint="eastAsia" w:ascii="宋体" w:hAnsi="宋体" w:cs="宋体"/>
                      <w:kern w:val="0"/>
                      <w:sz w:val="24"/>
                    </w:rPr>
                    <w:t>0.35%</w:t>
                  </w:r>
                </w:p>
              </w:tc>
            </w:tr>
            <w:tr w14:paraId="091F08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right"/>
              </w:trPr>
              <w:tc>
                <w:tcPr>
                  <w:tcW w:w="2993" w:type="dxa"/>
                </w:tcPr>
                <w:p w14:paraId="60BCA7B6">
                  <w:pPr>
                    <w:jc w:val="center"/>
                    <w:rPr>
                      <w:rFonts w:ascii="宋体" w:hAnsi="宋体" w:cs="宋体"/>
                      <w:sz w:val="24"/>
                    </w:rPr>
                  </w:pPr>
                  <w:r>
                    <w:rPr>
                      <w:rFonts w:hint="eastAsia" w:ascii="宋体" w:hAnsi="宋体" w:cs="宋体"/>
                      <w:sz w:val="24"/>
                    </w:rPr>
                    <w:t>5000-10000</w:t>
                  </w:r>
                </w:p>
              </w:tc>
              <w:tc>
                <w:tcPr>
                  <w:tcW w:w="973" w:type="dxa"/>
                  <w:vAlign w:val="center"/>
                </w:tcPr>
                <w:p w14:paraId="40C3224A">
                  <w:pPr>
                    <w:widowControl/>
                    <w:jc w:val="center"/>
                    <w:textAlignment w:val="center"/>
                    <w:rPr>
                      <w:rFonts w:ascii="宋体" w:hAnsi="宋体" w:cs="宋体"/>
                      <w:sz w:val="24"/>
                    </w:rPr>
                  </w:pPr>
                  <w:r>
                    <w:rPr>
                      <w:rFonts w:hint="eastAsia" w:ascii="宋体" w:hAnsi="宋体" w:cs="宋体"/>
                      <w:kern w:val="0"/>
                      <w:sz w:val="24"/>
                    </w:rPr>
                    <w:t>0.25%</w:t>
                  </w:r>
                </w:p>
              </w:tc>
              <w:tc>
                <w:tcPr>
                  <w:tcW w:w="992" w:type="dxa"/>
                  <w:vAlign w:val="center"/>
                </w:tcPr>
                <w:p w14:paraId="6A327DF0">
                  <w:pPr>
                    <w:widowControl/>
                    <w:jc w:val="center"/>
                    <w:textAlignment w:val="center"/>
                    <w:rPr>
                      <w:rFonts w:ascii="宋体" w:hAnsi="宋体" w:cs="宋体"/>
                      <w:sz w:val="24"/>
                    </w:rPr>
                  </w:pPr>
                  <w:r>
                    <w:rPr>
                      <w:rFonts w:hint="eastAsia" w:ascii="宋体" w:hAnsi="宋体" w:cs="宋体"/>
                      <w:kern w:val="0"/>
                      <w:sz w:val="24"/>
                    </w:rPr>
                    <w:t>0.10%</w:t>
                  </w:r>
                </w:p>
              </w:tc>
              <w:tc>
                <w:tcPr>
                  <w:tcW w:w="1040" w:type="dxa"/>
                  <w:vAlign w:val="center"/>
                </w:tcPr>
                <w:p w14:paraId="085D26BB">
                  <w:pPr>
                    <w:widowControl/>
                    <w:jc w:val="center"/>
                    <w:textAlignment w:val="center"/>
                    <w:rPr>
                      <w:rFonts w:ascii="宋体" w:hAnsi="宋体" w:cs="宋体"/>
                      <w:sz w:val="24"/>
                    </w:rPr>
                  </w:pPr>
                  <w:r>
                    <w:rPr>
                      <w:rFonts w:hint="eastAsia" w:ascii="宋体" w:hAnsi="宋体" w:cs="宋体"/>
                      <w:kern w:val="0"/>
                      <w:sz w:val="24"/>
                    </w:rPr>
                    <w:t>0.20%</w:t>
                  </w:r>
                </w:p>
              </w:tc>
            </w:tr>
            <w:tr w14:paraId="13A055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right"/>
              </w:trPr>
              <w:tc>
                <w:tcPr>
                  <w:tcW w:w="2993" w:type="dxa"/>
                </w:tcPr>
                <w:p w14:paraId="685EB7A7">
                  <w:pPr>
                    <w:jc w:val="center"/>
                    <w:rPr>
                      <w:rFonts w:ascii="宋体" w:hAnsi="宋体" w:cs="宋体"/>
                      <w:sz w:val="24"/>
                    </w:rPr>
                  </w:pPr>
                  <w:r>
                    <w:rPr>
                      <w:rFonts w:hint="eastAsia" w:ascii="宋体" w:hAnsi="宋体" w:cs="宋体"/>
                      <w:sz w:val="24"/>
                    </w:rPr>
                    <w:t>10000-100000</w:t>
                  </w:r>
                </w:p>
              </w:tc>
              <w:tc>
                <w:tcPr>
                  <w:tcW w:w="973" w:type="dxa"/>
                  <w:vAlign w:val="center"/>
                </w:tcPr>
                <w:p w14:paraId="7E7C4BCE">
                  <w:pPr>
                    <w:widowControl/>
                    <w:jc w:val="center"/>
                    <w:textAlignment w:val="center"/>
                    <w:rPr>
                      <w:rFonts w:ascii="宋体" w:hAnsi="宋体" w:cs="宋体"/>
                      <w:sz w:val="24"/>
                    </w:rPr>
                  </w:pPr>
                  <w:r>
                    <w:rPr>
                      <w:rFonts w:hint="eastAsia" w:ascii="宋体" w:hAnsi="宋体" w:cs="宋体"/>
                      <w:kern w:val="0"/>
                      <w:sz w:val="24"/>
                    </w:rPr>
                    <w:t>0.05%</w:t>
                  </w:r>
                </w:p>
              </w:tc>
              <w:tc>
                <w:tcPr>
                  <w:tcW w:w="992" w:type="dxa"/>
                  <w:vAlign w:val="center"/>
                </w:tcPr>
                <w:p w14:paraId="7F22333C">
                  <w:pPr>
                    <w:widowControl/>
                    <w:jc w:val="center"/>
                    <w:textAlignment w:val="center"/>
                    <w:rPr>
                      <w:rFonts w:ascii="宋体" w:hAnsi="宋体" w:cs="宋体"/>
                      <w:sz w:val="24"/>
                    </w:rPr>
                  </w:pPr>
                  <w:r>
                    <w:rPr>
                      <w:rFonts w:hint="eastAsia" w:ascii="宋体" w:hAnsi="宋体" w:cs="宋体"/>
                      <w:kern w:val="0"/>
                      <w:sz w:val="24"/>
                    </w:rPr>
                    <w:t>0.05%</w:t>
                  </w:r>
                </w:p>
              </w:tc>
              <w:tc>
                <w:tcPr>
                  <w:tcW w:w="1040" w:type="dxa"/>
                  <w:vAlign w:val="center"/>
                </w:tcPr>
                <w:p w14:paraId="5AFC8B13">
                  <w:pPr>
                    <w:widowControl/>
                    <w:jc w:val="center"/>
                    <w:textAlignment w:val="center"/>
                    <w:rPr>
                      <w:rFonts w:ascii="宋体" w:hAnsi="宋体" w:cs="宋体"/>
                      <w:sz w:val="24"/>
                    </w:rPr>
                  </w:pPr>
                  <w:r>
                    <w:rPr>
                      <w:rFonts w:hint="eastAsia" w:ascii="宋体" w:hAnsi="宋体" w:cs="宋体"/>
                      <w:kern w:val="0"/>
                      <w:sz w:val="24"/>
                    </w:rPr>
                    <w:t>0.05%</w:t>
                  </w:r>
                </w:p>
              </w:tc>
            </w:tr>
            <w:tr w14:paraId="4F429A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right"/>
              </w:trPr>
              <w:tc>
                <w:tcPr>
                  <w:tcW w:w="2993" w:type="dxa"/>
                </w:tcPr>
                <w:p w14:paraId="4912127E">
                  <w:pPr>
                    <w:jc w:val="center"/>
                    <w:rPr>
                      <w:rFonts w:ascii="宋体" w:hAnsi="宋体" w:cs="宋体"/>
                      <w:sz w:val="24"/>
                    </w:rPr>
                  </w:pPr>
                  <w:r>
                    <w:rPr>
                      <w:rFonts w:hint="eastAsia" w:ascii="宋体" w:hAnsi="宋体" w:cs="宋体"/>
                      <w:sz w:val="24"/>
                    </w:rPr>
                    <w:t>100000以上</w:t>
                  </w:r>
                </w:p>
              </w:tc>
              <w:tc>
                <w:tcPr>
                  <w:tcW w:w="973" w:type="dxa"/>
                  <w:vAlign w:val="center"/>
                </w:tcPr>
                <w:p w14:paraId="68147B2F">
                  <w:pPr>
                    <w:widowControl/>
                    <w:jc w:val="center"/>
                    <w:textAlignment w:val="center"/>
                    <w:rPr>
                      <w:rFonts w:ascii="宋体" w:hAnsi="宋体" w:cs="宋体"/>
                      <w:sz w:val="24"/>
                    </w:rPr>
                  </w:pPr>
                  <w:r>
                    <w:rPr>
                      <w:rFonts w:hint="eastAsia" w:ascii="宋体" w:hAnsi="宋体" w:cs="宋体"/>
                      <w:kern w:val="0"/>
                      <w:sz w:val="24"/>
                    </w:rPr>
                    <w:t>0.01%</w:t>
                  </w:r>
                </w:p>
              </w:tc>
              <w:tc>
                <w:tcPr>
                  <w:tcW w:w="992" w:type="dxa"/>
                  <w:vAlign w:val="center"/>
                </w:tcPr>
                <w:p w14:paraId="64DBB4EF">
                  <w:pPr>
                    <w:widowControl/>
                    <w:jc w:val="center"/>
                    <w:textAlignment w:val="center"/>
                    <w:rPr>
                      <w:rFonts w:ascii="宋体" w:hAnsi="宋体" w:cs="宋体"/>
                      <w:sz w:val="24"/>
                    </w:rPr>
                  </w:pPr>
                  <w:r>
                    <w:rPr>
                      <w:rFonts w:hint="eastAsia" w:ascii="宋体" w:hAnsi="宋体" w:cs="宋体"/>
                      <w:kern w:val="0"/>
                      <w:sz w:val="24"/>
                    </w:rPr>
                    <w:t>0.01%</w:t>
                  </w:r>
                </w:p>
              </w:tc>
              <w:tc>
                <w:tcPr>
                  <w:tcW w:w="1040" w:type="dxa"/>
                  <w:vAlign w:val="center"/>
                </w:tcPr>
                <w:p w14:paraId="6D80547C">
                  <w:pPr>
                    <w:widowControl/>
                    <w:jc w:val="center"/>
                    <w:textAlignment w:val="center"/>
                    <w:rPr>
                      <w:rFonts w:ascii="宋体" w:hAnsi="宋体" w:cs="宋体"/>
                      <w:sz w:val="24"/>
                    </w:rPr>
                  </w:pPr>
                  <w:r>
                    <w:rPr>
                      <w:rFonts w:hint="eastAsia" w:ascii="宋体" w:hAnsi="宋体" w:cs="宋体"/>
                      <w:kern w:val="0"/>
                      <w:sz w:val="24"/>
                    </w:rPr>
                    <w:t>0.01%</w:t>
                  </w:r>
                </w:p>
              </w:tc>
            </w:tr>
          </w:tbl>
          <w:p w14:paraId="26EDAB64">
            <w:pPr>
              <w:jc w:val="left"/>
              <w:rPr>
                <w:rFonts w:ascii="宋体" w:hAnsi="宋体"/>
                <w:sz w:val="24"/>
              </w:rPr>
            </w:pPr>
            <w:r>
              <w:rPr>
                <w:rFonts w:hint="eastAsia" w:ascii="宋体" w:hAnsi="宋体" w:cs="宋体"/>
                <w:sz w:val="24"/>
              </w:rPr>
              <w:t>注：</w:t>
            </w:r>
            <w:r>
              <w:rPr>
                <w:rFonts w:hint="eastAsia" w:ascii="宋体" w:hAnsi="宋体"/>
                <w:sz w:val="24"/>
              </w:rPr>
              <w:t>上述代理服务费以中标金额为基准，按照差额定率累进法计算并下浮20%收取</w:t>
            </w:r>
            <w:r>
              <w:rPr>
                <w:rFonts w:hint="eastAsia" w:ascii="宋体" w:hAnsi="宋体" w:cs="宋体"/>
                <w:sz w:val="24"/>
              </w:rPr>
              <w:t>。</w:t>
            </w:r>
          </w:p>
          <w:p w14:paraId="1E9FE9F7">
            <w:pPr>
              <w:jc w:val="left"/>
              <w:rPr>
                <w:rFonts w:ascii="宋体" w:hAnsi="宋体"/>
                <w:sz w:val="24"/>
              </w:rPr>
            </w:pPr>
            <w:r>
              <w:rPr>
                <w:rFonts w:hint="eastAsia" w:ascii="宋体" w:hAnsi="宋体"/>
                <w:sz w:val="24"/>
              </w:rPr>
              <w:t>缴纳时间：领取中标通知书的同时。</w:t>
            </w:r>
          </w:p>
        </w:tc>
      </w:tr>
    </w:tbl>
    <w:p w14:paraId="77ABA283">
      <w:pPr>
        <w:tabs>
          <w:tab w:val="left" w:pos="5580"/>
        </w:tabs>
        <w:adjustRightInd w:val="0"/>
        <w:jc w:val="distribute"/>
        <w:rPr>
          <w:rFonts w:ascii="宋体" w:hAnsi="宋体"/>
          <w:sz w:val="24"/>
        </w:rPr>
        <w:sectPr>
          <w:footerReference r:id="rId10" w:type="first"/>
          <w:footerReference r:id="rId9" w:type="default"/>
          <w:pgSz w:w="11907" w:h="16840"/>
          <w:pgMar w:top="1440" w:right="1800" w:bottom="1440" w:left="1800" w:header="851" w:footer="851" w:gutter="0"/>
          <w:pgNumType w:start="1"/>
          <w:cols w:space="720" w:num="1"/>
          <w:docGrid w:linePitch="462" w:charSpace="0"/>
        </w:sectPr>
      </w:pPr>
    </w:p>
    <w:p w14:paraId="398FA45D">
      <w:pPr>
        <w:spacing w:before="240" w:beforeLines="100" w:after="240" w:afterLines="100"/>
        <w:jc w:val="center"/>
        <w:rPr>
          <w:rFonts w:ascii="宋体" w:hAnsi="宋体"/>
          <w:b/>
          <w:sz w:val="28"/>
          <w:szCs w:val="28"/>
        </w:rPr>
      </w:pPr>
      <w:bookmarkStart w:id="78" w:name="_Toc127151517"/>
      <w:bookmarkStart w:id="79" w:name="_Toc353873662"/>
      <w:bookmarkStart w:id="80" w:name="_Toc305158859"/>
      <w:bookmarkStart w:id="81" w:name="_Toc264969207"/>
      <w:bookmarkStart w:id="82" w:name="_Toc150774722"/>
      <w:bookmarkStart w:id="83" w:name="_Toc150480755"/>
      <w:bookmarkStart w:id="84" w:name="_Toc305158785"/>
      <w:bookmarkStart w:id="85" w:name="_Toc353873932"/>
      <w:bookmarkStart w:id="86" w:name="_Toc353825542"/>
      <w:bookmarkStart w:id="87" w:name="_Toc226965790"/>
      <w:bookmarkStart w:id="88" w:name="_Toc142311019"/>
      <w:bookmarkStart w:id="89" w:name="_Toc265228355"/>
      <w:bookmarkStart w:id="90" w:name="_Toc226337213"/>
      <w:bookmarkStart w:id="91" w:name="_Toc195842882"/>
      <w:r>
        <w:rPr>
          <w:rFonts w:ascii="宋体" w:hAnsi="宋体"/>
          <w:b/>
          <w:sz w:val="28"/>
          <w:szCs w:val="28"/>
        </w:rPr>
        <w:t>投标人须知</w:t>
      </w:r>
      <w:bookmarkEnd w:id="78"/>
      <w:bookmarkEnd w:id="79"/>
      <w:bookmarkEnd w:id="80"/>
      <w:bookmarkEnd w:id="81"/>
      <w:bookmarkEnd w:id="82"/>
      <w:bookmarkEnd w:id="83"/>
      <w:bookmarkEnd w:id="84"/>
      <w:bookmarkEnd w:id="85"/>
      <w:bookmarkEnd w:id="86"/>
      <w:bookmarkEnd w:id="87"/>
      <w:bookmarkEnd w:id="88"/>
      <w:bookmarkEnd w:id="89"/>
      <w:bookmarkEnd w:id="90"/>
      <w:bookmarkEnd w:id="91"/>
    </w:p>
    <w:p w14:paraId="4243C910">
      <w:pPr>
        <w:pStyle w:val="5"/>
        <w:tabs>
          <w:tab w:val="center" w:pos="4592"/>
          <w:tab w:val="left" w:pos="7860"/>
        </w:tabs>
        <w:spacing w:before="0" w:line="360" w:lineRule="auto"/>
        <w:rPr>
          <w:rFonts w:ascii="宋体" w:hAnsi="宋体" w:eastAsia="宋体"/>
          <w:sz w:val="28"/>
        </w:rPr>
      </w:pPr>
      <w:bookmarkStart w:id="92" w:name="_Toc150480756"/>
      <w:bookmarkStart w:id="93" w:name="_Toc151190145"/>
      <w:bookmarkStart w:id="94" w:name="_Toc151193906"/>
      <w:bookmarkStart w:id="95" w:name="_Toc150774618"/>
      <w:bookmarkStart w:id="96" w:name="_Toc142311020"/>
      <w:bookmarkStart w:id="97" w:name="_Toc305158786"/>
      <w:bookmarkStart w:id="98" w:name="_Toc226309762"/>
      <w:bookmarkStart w:id="99" w:name="_Toc226965708"/>
      <w:bookmarkStart w:id="100" w:name="_Toc265228356"/>
      <w:bookmarkStart w:id="101" w:name="_Toc520356143"/>
      <w:bookmarkStart w:id="102" w:name="_Toc127151518"/>
      <w:bookmarkStart w:id="103" w:name="_Toc151193832"/>
      <w:bookmarkStart w:id="104" w:name="_Toc151193688"/>
      <w:bookmarkStart w:id="105" w:name="_Toc151193760"/>
      <w:bookmarkStart w:id="106" w:name="_Toc305158860"/>
      <w:bookmarkStart w:id="107" w:name="_Toc150774723"/>
      <w:bookmarkStart w:id="108" w:name="_Toc264969208"/>
      <w:bookmarkStart w:id="109" w:name="_Toc151193616"/>
      <w:bookmarkStart w:id="110" w:name="_Toc195842883"/>
      <w:bookmarkStart w:id="111" w:name="_Toc226337214"/>
      <w:bookmarkStart w:id="112" w:name="_Toc150509269"/>
      <w:bookmarkStart w:id="113" w:name="_Toc226965791"/>
      <w:r>
        <w:rPr>
          <w:rFonts w:ascii="宋体" w:hAnsi="宋体" w:eastAsia="宋体"/>
          <w:sz w:val="28"/>
        </w:rPr>
        <w:t>一</w:t>
      </w:r>
      <w:r>
        <w:rPr>
          <w:rFonts w:hint="eastAsia" w:ascii="宋体" w:hAnsi="宋体" w:eastAsia="宋体"/>
          <w:sz w:val="28"/>
        </w:rPr>
        <w:t>、</w:t>
      </w:r>
      <w:r>
        <w:rPr>
          <w:rFonts w:ascii="宋体" w:hAnsi="宋体" w:eastAsia="宋体"/>
          <w:sz w:val="28"/>
        </w:rPr>
        <w:t>说明</w:t>
      </w:r>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p>
    <w:p w14:paraId="6DB787E8">
      <w:pPr>
        <w:numPr>
          <w:ilvl w:val="0"/>
          <w:numId w:val="1"/>
        </w:numPr>
        <w:tabs>
          <w:tab w:val="left" w:pos="360"/>
          <w:tab w:val="clear" w:pos="900"/>
        </w:tabs>
        <w:snapToGrid w:val="0"/>
        <w:spacing w:line="360" w:lineRule="auto"/>
        <w:ind w:left="357" w:hanging="357"/>
        <w:outlineLvl w:val="1"/>
        <w:rPr>
          <w:rFonts w:ascii="宋体" w:hAnsi="宋体"/>
          <w:sz w:val="24"/>
        </w:rPr>
      </w:pPr>
      <w:bookmarkStart w:id="114" w:name="_Toc264969209"/>
      <w:bookmarkStart w:id="115" w:name="_Toc265228357"/>
      <w:bookmarkStart w:id="116" w:name="_Toc305158861"/>
      <w:bookmarkStart w:id="117" w:name="_Toc305158787"/>
      <w:r>
        <w:rPr>
          <w:rFonts w:ascii="宋体" w:hAnsi="宋体"/>
          <w:sz w:val="24"/>
        </w:rPr>
        <w:t>采购人、采购代理机构、投标人</w:t>
      </w:r>
      <w:bookmarkEnd w:id="114"/>
      <w:bookmarkEnd w:id="115"/>
      <w:bookmarkEnd w:id="116"/>
      <w:bookmarkEnd w:id="117"/>
      <w:r>
        <w:rPr>
          <w:rFonts w:hint="eastAsia" w:ascii="宋体" w:hAnsi="宋体"/>
          <w:sz w:val="24"/>
        </w:rPr>
        <w:t>、联合体</w:t>
      </w:r>
    </w:p>
    <w:p w14:paraId="54DFE9CB">
      <w:pPr>
        <w:numPr>
          <w:ilvl w:val="1"/>
          <w:numId w:val="1"/>
        </w:numPr>
        <w:tabs>
          <w:tab w:val="left" w:pos="1080"/>
          <w:tab w:val="left" w:pos="2014"/>
          <w:tab w:val="left" w:pos="5521"/>
        </w:tabs>
        <w:snapToGrid w:val="0"/>
        <w:spacing w:line="360" w:lineRule="auto"/>
        <w:ind w:left="1080" w:hanging="720"/>
        <w:rPr>
          <w:rFonts w:ascii="宋体" w:hAnsi="宋体"/>
          <w:sz w:val="24"/>
        </w:rPr>
      </w:pPr>
      <w:r>
        <w:rPr>
          <w:rFonts w:ascii="宋体" w:hAnsi="宋体"/>
          <w:sz w:val="24"/>
        </w:rPr>
        <w:t>采购人、采购代理机构：指依法进行政府采购的国家机关、事业单位、团体组织，及其委托的采购代理机构。本项目采购人、采购代理机构见第一章《投标邀请》。</w:t>
      </w:r>
    </w:p>
    <w:p w14:paraId="4D21B14B">
      <w:pPr>
        <w:numPr>
          <w:ilvl w:val="1"/>
          <w:numId w:val="1"/>
        </w:numPr>
        <w:tabs>
          <w:tab w:val="left" w:pos="1080"/>
          <w:tab w:val="left" w:pos="2014"/>
          <w:tab w:val="left" w:pos="5521"/>
        </w:tabs>
        <w:snapToGrid w:val="0"/>
        <w:spacing w:line="360" w:lineRule="auto"/>
        <w:ind w:left="1080" w:hanging="720"/>
        <w:rPr>
          <w:rFonts w:ascii="宋体" w:hAnsi="宋体"/>
          <w:sz w:val="24"/>
        </w:rPr>
      </w:pPr>
      <w:r>
        <w:rPr>
          <w:rFonts w:ascii="宋体" w:hAnsi="宋体"/>
          <w:sz w:val="24"/>
        </w:rPr>
        <w:t>投标人（也称</w:t>
      </w:r>
      <w:r>
        <w:rPr>
          <w:rFonts w:hint="eastAsia" w:ascii="宋体" w:hAnsi="宋体"/>
          <w:sz w:val="24"/>
        </w:rPr>
        <w:t>“供应商”、“</w:t>
      </w:r>
      <w:r>
        <w:rPr>
          <w:rFonts w:ascii="宋体" w:hAnsi="宋体"/>
          <w:sz w:val="24"/>
        </w:rPr>
        <w:t>申请人</w:t>
      </w:r>
      <w:r>
        <w:rPr>
          <w:rFonts w:hint="eastAsia" w:ascii="宋体" w:hAnsi="宋体"/>
          <w:sz w:val="24"/>
        </w:rPr>
        <w:t>”</w:t>
      </w:r>
      <w:r>
        <w:rPr>
          <w:rFonts w:ascii="宋体" w:hAnsi="宋体"/>
          <w:sz w:val="24"/>
        </w:rPr>
        <w:t>）：指向采购人提供货物、工程或者服务的法人、其他组织或者自然人。</w:t>
      </w:r>
    </w:p>
    <w:p w14:paraId="725F8ED9">
      <w:pPr>
        <w:numPr>
          <w:ilvl w:val="1"/>
          <w:numId w:val="1"/>
        </w:numPr>
        <w:tabs>
          <w:tab w:val="left" w:pos="1080"/>
          <w:tab w:val="left" w:pos="2014"/>
          <w:tab w:val="left" w:pos="5521"/>
        </w:tabs>
        <w:snapToGrid w:val="0"/>
        <w:spacing w:line="360" w:lineRule="auto"/>
        <w:ind w:left="1080" w:hanging="720"/>
        <w:rPr>
          <w:rFonts w:ascii="宋体" w:hAnsi="宋体"/>
          <w:sz w:val="24"/>
        </w:rPr>
      </w:pPr>
      <w:r>
        <w:rPr>
          <w:rFonts w:hint="eastAsia" w:ascii="宋体" w:hAnsi="宋体"/>
          <w:sz w:val="24"/>
        </w:rPr>
        <w:t>联合体：指两个以上的自然人、法人或者其他组织组成一个联合体，以一个供应商的身份共同参加政府采购。</w:t>
      </w:r>
    </w:p>
    <w:p w14:paraId="7E510D89">
      <w:pPr>
        <w:numPr>
          <w:ilvl w:val="0"/>
          <w:numId w:val="1"/>
        </w:numPr>
        <w:tabs>
          <w:tab w:val="left" w:pos="360"/>
          <w:tab w:val="clear" w:pos="900"/>
        </w:tabs>
        <w:snapToGrid w:val="0"/>
        <w:spacing w:line="360" w:lineRule="auto"/>
        <w:ind w:left="357" w:hanging="357"/>
        <w:outlineLvl w:val="1"/>
        <w:rPr>
          <w:rFonts w:ascii="宋体" w:hAnsi="宋体"/>
          <w:sz w:val="24"/>
        </w:rPr>
      </w:pPr>
      <w:bookmarkStart w:id="118" w:name="_Toc164229215"/>
      <w:bookmarkStart w:id="119" w:name="_Toc150774725"/>
      <w:bookmarkStart w:id="120" w:name="_Toc305158862"/>
      <w:bookmarkStart w:id="121" w:name="_Toc127151520"/>
      <w:bookmarkStart w:id="122" w:name="_Toc151193908"/>
      <w:bookmarkStart w:id="123" w:name="_Toc151193618"/>
      <w:bookmarkStart w:id="124" w:name="_Toc142311022"/>
      <w:bookmarkStart w:id="125" w:name="_Toc265228358"/>
      <w:bookmarkStart w:id="126" w:name="_Toc149720813"/>
      <w:bookmarkStart w:id="127" w:name="_Toc127161434"/>
      <w:bookmarkStart w:id="128" w:name="_Toc164351614"/>
      <w:bookmarkStart w:id="129" w:name="_Toc151193834"/>
      <w:bookmarkStart w:id="130" w:name="_Toc151193762"/>
      <w:bookmarkStart w:id="131" w:name="_Toc164229361"/>
      <w:bookmarkStart w:id="132" w:name="_Toc226337216"/>
      <w:bookmarkStart w:id="133" w:name="_Toc150480758"/>
      <w:bookmarkStart w:id="134" w:name="_Toc150774620"/>
      <w:bookmarkStart w:id="135" w:name="_Toc305158788"/>
      <w:bookmarkStart w:id="136" w:name="_Toc151193690"/>
      <w:bookmarkStart w:id="137" w:name="_Toc151190147"/>
      <w:bookmarkStart w:id="138" w:name="_Toc164608789"/>
      <w:bookmarkStart w:id="139" w:name="_Toc264969210"/>
      <w:bookmarkStart w:id="140" w:name="_Toc226965710"/>
      <w:bookmarkStart w:id="141" w:name="_Toc164608634"/>
      <w:bookmarkStart w:id="142" w:name="_Toc150509271"/>
      <w:bookmarkStart w:id="143" w:name="_Toc127151721"/>
      <w:bookmarkStart w:id="144" w:name="_Toc195842885"/>
      <w:bookmarkStart w:id="145" w:name="_Toc226965793"/>
      <w:bookmarkStart w:id="146" w:name="_Toc226309764"/>
      <w:r>
        <w:rPr>
          <w:rFonts w:ascii="宋体" w:hAnsi="宋体"/>
          <w:sz w:val="24"/>
        </w:rPr>
        <w:t>资金来源</w:t>
      </w:r>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r>
        <w:rPr>
          <w:rFonts w:ascii="宋体" w:hAnsi="宋体"/>
          <w:sz w:val="24"/>
        </w:rPr>
        <w:t>、项目属性、科研仪器设备采购、核心产品</w:t>
      </w:r>
    </w:p>
    <w:p w14:paraId="662DC6D6">
      <w:pPr>
        <w:numPr>
          <w:ilvl w:val="1"/>
          <w:numId w:val="1"/>
        </w:numPr>
        <w:tabs>
          <w:tab w:val="left" w:pos="1080"/>
          <w:tab w:val="left" w:pos="2014"/>
        </w:tabs>
        <w:snapToGrid w:val="0"/>
        <w:spacing w:line="360" w:lineRule="auto"/>
        <w:ind w:left="1080" w:hanging="720"/>
        <w:rPr>
          <w:rFonts w:ascii="宋体" w:hAnsi="宋体"/>
          <w:sz w:val="24"/>
        </w:rPr>
      </w:pPr>
      <w:r>
        <w:rPr>
          <w:rFonts w:ascii="宋体" w:hAnsi="宋体"/>
          <w:sz w:val="24"/>
        </w:rPr>
        <w:t>资金来源为财政性资金和/或本项目采购中无法与财政性资金分割的非财政性资金。</w:t>
      </w:r>
    </w:p>
    <w:p w14:paraId="7E4DEDA0">
      <w:pPr>
        <w:numPr>
          <w:ilvl w:val="1"/>
          <w:numId w:val="1"/>
        </w:numPr>
        <w:tabs>
          <w:tab w:val="left" w:pos="1080"/>
          <w:tab w:val="left" w:pos="2014"/>
        </w:tabs>
        <w:snapToGrid w:val="0"/>
        <w:spacing w:line="360" w:lineRule="auto"/>
        <w:ind w:left="1080" w:hanging="720"/>
        <w:rPr>
          <w:rFonts w:ascii="宋体" w:hAnsi="宋体"/>
          <w:sz w:val="24"/>
        </w:rPr>
      </w:pPr>
      <w:r>
        <w:rPr>
          <w:rFonts w:ascii="宋体" w:hAnsi="宋体"/>
          <w:sz w:val="24"/>
        </w:rPr>
        <w:t>项目属性见《投标人须知资料表》。</w:t>
      </w:r>
    </w:p>
    <w:p w14:paraId="1157E0D0">
      <w:pPr>
        <w:numPr>
          <w:ilvl w:val="1"/>
          <w:numId w:val="1"/>
        </w:numPr>
        <w:tabs>
          <w:tab w:val="left" w:pos="1080"/>
          <w:tab w:val="left" w:pos="2014"/>
        </w:tabs>
        <w:snapToGrid w:val="0"/>
        <w:spacing w:line="360" w:lineRule="auto"/>
        <w:ind w:left="1080" w:hanging="720"/>
        <w:rPr>
          <w:rFonts w:ascii="宋体" w:hAnsi="宋体"/>
          <w:sz w:val="24"/>
        </w:rPr>
      </w:pPr>
      <w:r>
        <w:rPr>
          <w:rFonts w:ascii="宋体" w:hAnsi="宋体"/>
          <w:sz w:val="24"/>
        </w:rPr>
        <w:t>是否属于科研仪器设备采购见《投标人须知资料表》。</w:t>
      </w:r>
    </w:p>
    <w:p w14:paraId="2D33AFE0">
      <w:pPr>
        <w:numPr>
          <w:ilvl w:val="1"/>
          <w:numId w:val="1"/>
        </w:numPr>
        <w:tabs>
          <w:tab w:val="left" w:pos="1080"/>
          <w:tab w:val="left" w:pos="2014"/>
          <w:tab w:val="left" w:pos="5521"/>
        </w:tabs>
        <w:snapToGrid w:val="0"/>
        <w:spacing w:line="360" w:lineRule="auto"/>
        <w:ind w:left="1080" w:hanging="720"/>
        <w:rPr>
          <w:rFonts w:ascii="宋体" w:hAnsi="宋体"/>
          <w:sz w:val="24"/>
        </w:rPr>
      </w:pPr>
      <w:r>
        <w:rPr>
          <w:rFonts w:ascii="宋体" w:hAnsi="宋体"/>
          <w:sz w:val="24"/>
        </w:rPr>
        <w:t>核心产品见《投标人须知资料表》。</w:t>
      </w:r>
    </w:p>
    <w:p w14:paraId="68815B2F">
      <w:pPr>
        <w:numPr>
          <w:ilvl w:val="0"/>
          <w:numId w:val="1"/>
        </w:numPr>
        <w:tabs>
          <w:tab w:val="left" w:pos="360"/>
        </w:tabs>
        <w:snapToGrid w:val="0"/>
        <w:spacing w:line="360" w:lineRule="auto"/>
        <w:ind w:left="357" w:hanging="357"/>
        <w:outlineLvl w:val="1"/>
        <w:rPr>
          <w:rFonts w:ascii="宋体" w:hAnsi="宋体"/>
          <w:sz w:val="24"/>
        </w:rPr>
      </w:pPr>
      <w:r>
        <w:rPr>
          <w:rFonts w:ascii="宋体" w:hAnsi="宋体"/>
          <w:sz w:val="24"/>
        </w:rPr>
        <w:t>现场考察、开标前答疑会</w:t>
      </w:r>
    </w:p>
    <w:p w14:paraId="7AE082CC">
      <w:pPr>
        <w:numPr>
          <w:ilvl w:val="1"/>
          <w:numId w:val="1"/>
        </w:numPr>
        <w:tabs>
          <w:tab w:val="left" w:pos="1080"/>
          <w:tab w:val="left" w:pos="2014"/>
        </w:tabs>
        <w:snapToGrid w:val="0"/>
        <w:spacing w:line="360" w:lineRule="auto"/>
        <w:ind w:left="1080" w:hanging="720"/>
        <w:rPr>
          <w:rFonts w:ascii="宋体" w:hAnsi="宋体"/>
          <w:sz w:val="28"/>
        </w:rPr>
      </w:pPr>
      <w:r>
        <w:rPr>
          <w:rFonts w:ascii="宋体" w:hAnsi="宋体"/>
          <w:sz w:val="24"/>
        </w:rPr>
        <w:t>若《投标人须知资料表》中规定了组织现场考察、召开开标前答疑会，则投标人应按要求在规定的时间和地点参加。</w:t>
      </w:r>
      <w:bookmarkStart w:id="147" w:name="_Toc151193910"/>
      <w:bookmarkStart w:id="148" w:name="_Toc151190149"/>
      <w:bookmarkStart w:id="149" w:name="_Toc151193692"/>
      <w:bookmarkStart w:id="150" w:name="_Toc150509273"/>
      <w:bookmarkStart w:id="151" w:name="_Toc226965795"/>
      <w:bookmarkStart w:id="152" w:name="_Toc305158790"/>
      <w:bookmarkStart w:id="153" w:name="_Toc226337218"/>
      <w:bookmarkStart w:id="154" w:name="_Toc142311024"/>
      <w:bookmarkStart w:id="155" w:name="_Toc520356146"/>
      <w:bookmarkStart w:id="156" w:name="_Toc265228360"/>
      <w:bookmarkStart w:id="157" w:name="_Toc226309766"/>
      <w:bookmarkStart w:id="158" w:name="_Toc305158864"/>
      <w:bookmarkStart w:id="159" w:name="_Toc151193836"/>
      <w:bookmarkStart w:id="160" w:name="_Toc150774622"/>
      <w:bookmarkStart w:id="161" w:name="_Toc226965712"/>
      <w:bookmarkStart w:id="162" w:name="_Toc264969212"/>
      <w:bookmarkStart w:id="163" w:name="_Toc151193620"/>
      <w:bookmarkStart w:id="164" w:name="_Toc195842887"/>
      <w:bookmarkStart w:id="165" w:name="_Toc127151522"/>
      <w:bookmarkStart w:id="166" w:name="_Toc150480760"/>
      <w:bookmarkStart w:id="167" w:name="_Toc150774727"/>
      <w:bookmarkStart w:id="168" w:name="_Toc151193764"/>
    </w:p>
    <w:p w14:paraId="68C506A6">
      <w:pPr>
        <w:numPr>
          <w:ilvl w:val="1"/>
          <w:numId w:val="1"/>
        </w:numPr>
        <w:tabs>
          <w:tab w:val="left" w:pos="1080"/>
          <w:tab w:val="left" w:pos="2014"/>
        </w:tabs>
        <w:snapToGrid w:val="0"/>
        <w:spacing w:line="360" w:lineRule="auto"/>
        <w:ind w:left="1080" w:hanging="720"/>
        <w:rPr>
          <w:rFonts w:ascii="宋体" w:hAnsi="宋体"/>
          <w:sz w:val="24"/>
        </w:rPr>
      </w:pPr>
      <w:r>
        <w:rPr>
          <w:rFonts w:ascii="宋体" w:hAnsi="宋体"/>
          <w:sz w:val="24"/>
        </w:rPr>
        <w:t>由于未参加现场考察或开标前答疑会而导致对项目实际情况不了解，影响投标文件编制、投标报价准确性、综合因素响应不全面等问题的，由投标人自行承担不利评审后果。</w:t>
      </w:r>
    </w:p>
    <w:p w14:paraId="213AF5D4">
      <w:pPr>
        <w:numPr>
          <w:ilvl w:val="0"/>
          <w:numId w:val="1"/>
        </w:numPr>
        <w:tabs>
          <w:tab w:val="left" w:pos="360"/>
        </w:tabs>
        <w:snapToGrid w:val="0"/>
        <w:spacing w:line="360" w:lineRule="auto"/>
        <w:ind w:left="357" w:hanging="357"/>
        <w:outlineLvl w:val="1"/>
        <w:rPr>
          <w:rFonts w:ascii="宋体" w:hAnsi="宋体"/>
          <w:sz w:val="24"/>
        </w:rPr>
      </w:pPr>
      <w:r>
        <w:rPr>
          <w:rFonts w:ascii="宋体" w:hAnsi="宋体"/>
          <w:sz w:val="24"/>
        </w:rPr>
        <w:t>样品</w:t>
      </w:r>
    </w:p>
    <w:p w14:paraId="713DF6C1">
      <w:pPr>
        <w:numPr>
          <w:ilvl w:val="1"/>
          <w:numId w:val="1"/>
        </w:numPr>
        <w:tabs>
          <w:tab w:val="left" w:pos="1080"/>
          <w:tab w:val="left" w:pos="2014"/>
        </w:tabs>
        <w:snapToGrid w:val="0"/>
        <w:spacing w:line="360" w:lineRule="auto"/>
        <w:ind w:left="1080" w:hanging="720"/>
        <w:rPr>
          <w:rFonts w:ascii="宋体" w:hAnsi="宋体"/>
          <w:sz w:val="24"/>
        </w:rPr>
      </w:pPr>
      <w:r>
        <w:rPr>
          <w:rFonts w:ascii="宋体" w:hAnsi="宋体"/>
          <w:sz w:val="24"/>
        </w:rPr>
        <w:t>本项目是否要求投标人提供样品，以及样品制作的标准和要求、是否需要随样品提交相关检测报告、样品的递交与退还等要求见《投标人须知资料表》</w:t>
      </w:r>
      <w:r>
        <w:rPr>
          <w:rFonts w:hint="eastAsia" w:ascii="宋体" w:hAnsi="宋体"/>
          <w:sz w:val="24"/>
        </w:rPr>
        <w:t>。</w:t>
      </w:r>
    </w:p>
    <w:p w14:paraId="4BC94E7D">
      <w:pPr>
        <w:numPr>
          <w:ilvl w:val="1"/>
          <w:numId w:val="1"/>
        </w:numPr>
        <w:tabs>
          <w:tab w:val="left" w:pos="1080"/>
          <w:tab w:val="left" w:pos="2014"/>
        </w:tabs>
        <w:snapToGrid w:val="0"/>
        <w:spacing w:line="360" w:lineRule="auto"/>
        <w:ind w:left="1080" w:hanging="720"/>
        <w:rPr>
          <w:rFonts w:ascii="宋体" w:hAnsi="宋体"/>
          <w:sz w:val="24"/>
        </w:rPr>
      </w:pPr>
      <w:r>
        <w:rPr>
          <w:rFonts w:ascii="宋体" w:hAnsi="宋体"/>
          <w:sz w:val="24"/>
        </w:rPr>
        <w:t>样品的评审方法以及评审标准等内</w:t>
      </w:r>
      <w:r>
        <w:rPr>
          <w:rFonts w:hint="eastAsia" w:ascii="宋体" w:hAnsi="宋体"/>
          <w:sz w:val="24"/>
        </w:rPr>
        <w:t>容详</w:t>
      </w:r>
      <w:r>
        <w:rPr>
          <w:rFonts w:ascii="宋体" w:hAnsi="宋体"/>
          <w:sz w:val="24"/>
        </w:rPr>
        <w:t>见第四章《评标程序、评标方法和评标标准》。</w:t>
      </w:r>
    </w:p>
    <w:p w14:paraId="4ADAD578">
      <w:pPr>
        <w:numPr>
          <w:ilvl w:val="0"/>
          <w:numId w:val="1"/>
        </w:numPr>
        <w:tabs>
          <w:tab w:val="left" w:pos="360"/>
          <w:tab w:val="clear" w:pos="900"/>
        </w:tabs>
        <w:snapToGrid w:val="0"/>
        <w:spacing w:line="360" w:lineRule="auto"/>
        <w:ind w:left="357" w:hanging="357"/>
        <w:outlineLvl w:val="1"/>
        <w:rPr>
          <w:rFonts w:ascii="宋体" w:hAnsi="宋体"/>
          <w:sz w:val="24"/>
        </w:rPr>
      </w:pPr>
      <w:r>
        <w:rPr>
          <w:rFonts w:ascii="宋体" w:hAnsi="宋体"/>
          <w:sz w:val="24"/>
        </w:rPr>
        <w:t>政府采购政策（包括但不限于下列具体政策要求）</w:t>
      </w:r>
    </w:p>
    <w:p w14:paraId="090A969C">
      <w:pPr>
        <w:numPr>
          <w:ilvl w:val="1"/>
          <w:numId w:val="1"/>
        </w:numPr>
        <w:tabs>
          <w:tab w:val="left" w:pos="1080"/>
          <w:tab w:val="left" w:pos="2014"/>
        </w:tabs>
        <w:snapToGrid w:val="0"/>
        <w:spacing w:line="360" w:lineRule="auto"/>
        <w:ind w:left="1080" w:hanging="720"/>
        <w:rPr>
          <w:rFonts w:ascii="宋体" w:hAnsi="宋体"/>
          <w:sz w:val="24"/>
        </w:rPr>
      </w:pPr>
      <w:r>
        <w:rPr>
          <w:rFonts w:hint="eastAsia" w:ascii="宋体" w:hAnsi="宋体"/>
          <w:sz w:val="24"/>
        </w:rPr>
        <w:t>采购本国货物、工程和服务</w:t>
      </w:r>
    </w:p>
    <w:p w14:paraId="571C3A0A">
      <w:pPr>
        <w:numPr>
          <w:ilvl w:val="2"/>
          <w:numId w:val="1"/>
        </w:numPr>
        <w:tabs>
          <w:tab w:val="left" w:pos="2014"/>
        </w:tabs>
        <w:snapToGrid w:val="0"/>
        <w:spacing w:line="360" w:lineRule="auto"/>
        <w:rPr>
          <w:rFonts w:ascii="宋体" w:hAnsi="宋体"/>
          <w:sz w:val="24"/>
        </w:rPr>
      </w:pPr>
      <w:r>
        <w:rPr>
          <w:rFonts w:hint="eastAsia" w:ascii="宋体" w:hAnsi="宋体"/>
          <w:sz w:val="24"/>
        </w:rPr>
        <w:t>政府采购应当采购本国货物、工程和服务。但有《中华人民共和国政府采购法》第十条规定情形的除外</w:t>
      </w:r>
      <w:r>
        <w:rPr>
          <w:rFonts w:ascii="宋体" w:hAnsi="宋体"/>
          <w:sz w:val="24"/>
        </w:rPr>
        <w:t>。</w:t>
      </w:r>
    </w:p>
    <w:p w14:paraId="41007A59">
      <w:pPr>
        <w:numPr>
          <w:ilvl w:val="2"/>
          <w:numId w:val="1"/>
        </w:numPr>
        <w:tabs>
          <w:tab w:val="left" w:pos="2014"/>
        </w:tabs>
        <w:snapToGrid w:val="0"/>
        <w:spacing w:line="360" w:lineRule="auto"/>
        <w:rPr>
          <w:rFonts w:ascii="宋体" w:hAnsi="宋体"/>
          <w:sz w:val="24"/>
        </w:rPr>
      </w:pPr>
      <w:r>
        <w:rPr>
          <w:rFonts w:hint="eastAsia" w:ascii="宋体" w:hAnsi="宋体"/>
          <w:sz w:val="24"/>
        </w:rPr>
        <w:t>本项目如接受非本国货物、工程、服务参与投标，则具体要求见第五章《采购需求》</w:t>
      </w:r>
      <w:r>
        <w:rPr>
          <w:rFonts w:ascii="宋体" w:hAnsi="宋体"/>
          <w:sz w:val="24"/>
        </w:rPr>
        <w:t>。</w:t>
      </w:r>
    </w:p>
    <w:p w14:paraId="291B1D2B">
      <w:pPr>
        <w:numPr>
          <w:ilvl w:val="2"/>
          <w:numId w:val="1"/>
        </w:numPr>
        <w:tabs>
          <w:tab w:val="left" w:pos="2014"/>
        </w:tabs>
        <w:snapToGrid w:val="0"/>
        <w:spacing w:line="360" w:lineRule="auto"/>
        <w:rPr>
          <w:rFonts w:ascii="宋体" w:hAnsi="宋体"/>
          <w:sz w:val="24"/>
        </w:rPr>
      </w:pPr>
      <w:r>
        <w:rPr>
          <w:rFonts w:hint="eastAsia" w:ascii="宋体" w:hAnsi="宋体"/>
          <w:sz w:val="24"/>
        </w:rPr>
        <w:t>进口产品指通过中国海关报关验放进入中国境内且产自关境外的产品，包括已经进入中国境内的进口产品。关于进口产品的相关规定依据《政府采购进口产品管理办法》（财库〔2007〕119号文）、《关于政府采购进口产品管理有关问题的通知》（财办库〔2008〕248号文）</w:t>
      </w:r>
      <w:r>
        <w:rPr>
          <w:rFonts w:ascii="宋体" w:hAnsi="宋体"/>
          <w:sz w:val="24"/>
        </w:rPr>
        <w:t>。</w:t>
      </w:r>
    </w:p>
    <w:p w14:paraId="7924ECCB">
      <w:pPr>
        <w:numPr>
          <w:ilvl w:val="1"/>
          <w:numId w:val="1"/>
        </w:numPr>
        <w:tabs>
          <w:tab w:val="left" w:pos="1080"/>
          <w:tab w:val="left" w:pos="2014"/>
        </w:tabs>
        <w:snapToGrid w:val="0"/>
        <w:spacing w:line="360" w:lineRule="auto"/>
        <w:ind w:left="1080" w:hanging="720"/>
        <w:rPr>
          <w:rFonts w:ascii="宋体" w:hAnsi="宋体"/>
          <w:sz w:val="24"/>
        </w:rPr>
      </w:pPr>
      <w:bookmarkStart w:id="169" w:name="_1.8_计量单位"/>
      <w:bookmarkEnd w:id="169"/>
      <w:r>
        <w:rPr>
          <w:rFonts w:hint="eastAsia" w:ascii="宋体" w:hAnsi="宋体"/>
          <w:sz w:val="24"/>
        </w:rPr>
        <w:t>本国产品</w:t>
      </w:r>
    </w:p>
    <w:p w14:paraId="21B976B8">
      <w:pPr>
        <w:tabs>
          <w:tab w:val="left" w:pos="900"/>
          <w:tab w:val="left" w:pos="1080"/>
          <w:tab w:val="left" w:pos="1589"/>
        </w:tabs>
        <w:snapToGrid w:val="0"/>
        <w:spacing w:line="360" w:lineRule="auto"/>
        <w:ind w:left="1080"/>
        <w:rPr>
          <w:rFonts w:ascii="宋体" w:hAnsi="宋体"/>
          <w:sz w:val="24"/>
        </w:rPr>
      </w:pPr>
      <w:bookmarkStart w:id="170" w:name="_Hlk217316762"/>
      <w:r>
        <w:rPr>
          <w:rFonts w:hint="eastAsia" w:ascii="宋体" w:hAnsi="宋体"/>
          <w:sz w:val="24"/>
        </w:rPr>
        <w:t>本项目按照《国务院办公厅关于在政府采购中实施本国产品标准及相关政策的通知》（国办发〔2025〕34号）和《关于贯彻落实〈国务院办公厅关于在政府采购中实施本国产品标准及相关政策的通知〉的意见》（财库〔2025〕30号）有关要求</w:t>
      </w:r>
      <w:bookmarkEnd w:id="170"/>
      <w:r>
        <w:rPr>
          <w:rFonts w:hint="eastAsia" w:ascii="宋体" w:hAnsi="宋体"/>
          <w:sz w:val="24"/>
        </w:rPr>
        <w:t>，落实本国产品标准。</w:t>
      </w:r>
    </w:p>
    <w:p w14:paraId="69F1D9C1">
      <w:pPr>
        <w:numPr>
          <w:ilvl w:val="1"/>
          <w:numId w:val="1"/>
        </w:numPr>
        <w:tabs>
          <w:tab w:val="left" w:pos="1080"/>
          <w:tab w:val="left" w:pos="2014"/>
        </w:tabs>
        <w:snapToGrid w:val="0"/>
        <w:spacing w:line="360" w:lineRule="auto"/>
        <w:ind w:left="1080" w:hanging="720"/>
        <w:rPr>
          <w:rFonts w:ascii="宋体" w:hAnsi="宋体"/>
          <w:sz w:val="24"/>
        </w:rPr>
      </w:pPr>
      <w:r>
        <w:rPr>
          <w:rFonts w:ascii="宋体" w:hAnsi="宋体"/>
          <w:sz w:val="24"/>
        </w:rPr>
        <w:t>中小企业、监狱企业及残疾人福利性单位</w:t>
      </w:r>
    </w:p>
    <w:p w14:paraId="5CD11233">
      <w:pPr>
        <w:numPr>
          <w:ilvl w:val="2"/>
          <w:numId w:val="1"/>
        </w:numPr>
        <w:snapToGrid w:val="0"/>
        <w:spacing w:line="360" w:lineRule="auto"/>
        <w:rPr>
          <w:rFonts w:ascii="宋体" w:hAnsi="宋体"/>
          <w:sz w:val="24"/>
        </w:rPr>
      </w:pPr>
      <w:r>
        <w:rPr>
          <w:rFonts w:ascii="宋体" w:hAnsi="宋体"/>
          <w:sz w:val="24"/>
        </w:rPr>
        <w:t>中小企业定义：</w:t>
      </w:r>
    </w:p>
    <w:p w14:paraId="71BDA652">
      <w:pPr>
        <w:numPr>
          <w:ilvl w:val="3"/>
          <w:numId w:val="1"/>
        </w:numPr>
        <w:tabs>
          <w:tab w:val="left" w:pos="1418"/>
          <w:tab w:val="left" w:pos="1988"/>
          <w:tab w:val="clear" w:pos="900"/>
        </w:tabs>
        <w:snapToGrid w:val="0"/>
        <w:spacing w:line="360" w:lineRule="auto"/>
        <w:ind w:left="2977" w:hanging="992"/>
        <w:rPr>
          <w:rFonts w:ascii="宋体" w:hAnsi="宋体"/>
          <w:sz w:val="24"/>
        </w:rPr>
      </w:pPr>
      <w:r>
        <w:rPr>
          <w:rFonts w:ascii="宋体" w:hAnsi="宋体"/>
          <w:sz w:val="24"/>
        </w:rPr>
        <w:t>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关于中小企业的</w:t>
      </w:r>
      <w:r>
        <w:rPr>
          <w:rFonts w:hint="eastAsia" w:ascii="宋体" w:hAnsi="宋体"/>
          <w:sz w:val="24"/>
        </w:rPr>
        <w:t>判定</w:t>
      </w:r>
      <w:r>
        <w:rPr>
          <w:rFonts w:ascii="宋体" w:hAnsi="宋体"/>
          <w:sz w:val="24"/>
        </w:rPr>
        <w:t>依据《中华人民共和国中小企业促进法》、《关于进一步加大政府采购支持中小企业力度的通知》（财库〔2022〕19号）、《政府采购促进中小企业发展管理办法》（财库〔2020〕46号）、《关于印发中小企业划型标准规定的通知》（工信部联企业〔2011〕300号）</w:t>
      </w:r>
      <w:r>
        <w:rPr>
          <w:rFonts w:hint="eastAsia" w:ascii="宋体" w:hAnsi="宋体"/>
          <w:sz w:val="24"/>
        </w:rPr>
        <w:t>、《金融业企业划型标准规定》（银发〔</w:t>
      </w:r>
      <w:r>
        <w:rPr>
          <w:rFonts w:ascii="宋体" w:hAnsi="宋体"/>
          <w:sz w:val="24"/>
        </w:rPr>
        <w:t>2015</w:t>
      </w:r>
      <w:r>
        <w:rPr>
          <w:rFonts w:hint="eastAsia" w:ascii="宋体" w:hAnsi="宋体"/>
          <w:sz w:val="24"/>
        </w:rPr>
        <w:t>〕</w:t>
      </w:r>
      <w:r>
        <w:rPr>
          <w:rFonts w:ascii="宋体" w:hAnsi="宋体"/>
          <w:sz w:val="24"/>
        </w:rPr>
        <w:t>309</w:t>
      </w:r>
      <w:r>
        <w:rPr>
          <w:rFonts w:hint="eastAsia" w:ascii="宋体" w:hAnsi="宋体"/>
          <w:sz w:val="24"/>
        </w:rPr>
        <w:t>号）等国务院批准的中小企业划分标准执行</w:t>
      </w:r>
      <w:r>
        <w:rPr>
          <w:rFonts w:ascii="宋体" w:hAnsi="宋体"/>
          <w:sz w:val="24"/>
        </w:rPr>
        <w:t>。</w:t>
      </w:r>
    </w:p>
    <w:p w14:paraId="0EE7DB9A">
      <w:pPr>
        <w:numPr>
          <w:ilvl w:val="3"/>
          <w:numId w:val="1"/>
        </w:numPr>
        <w:tabs>
          <w:tab w:val="left" w:pos="1418"/>
          <w:tab w:val="left" w:pos="1980"/>
          <w:tab w:val="clear" w:pos="900"/>
        </w:tabs>
        <w:snapToGrid w:val="0"/>
        <w:spacing w:line="360" w:lineRule="auto"/>
        <w:ind w:left="2977" w:hanging="992"/>
        <w:rPr>
          <w:rFonts w:ascii="宋体" w:hAnsi="宋体"/>
          <w:sz w:val="24"/>
        </w:rPr>
      </w:pPr>
      <w:r>
        <w:rPr>
          <w:rFonts w:ascii="宋体" w:hAnsi="宋体"/>
          <w:sz w:val="24"/>
        </w:rPr>
        <w:t>供应商提供的货物、工程或者服务符合下列情形的，享受中小企业扶持政策：</w:t>
      </w:r>
    </w:p>
    <w:p w14:paraId="223280CD">
      <w:pPr>
        <w:tabs>
          <w:tab w:val="left" w:pos="1980"/>
        </w:tabs>
        <w:snapToGrid w:val="0"/>
        <w:spacing w:line="360" w:lineRule="auto"/>
        <w:ind w:left="2835" w:leftChars="1350"/>
        <w:rPr>
          <w:rFonts w:ascii="宋体" w:hAnsi="宋体"/>
          <w:sz w:val="24"/>
        </w:rPr>
      </w:pPr>
      <w:r>
        <w:rPr>
          <w:rFonts w:ascii="宋体" w:hAnsi="宋体"/>
          <w:sz w:val="24"/>
        </w:rPr>
        <w:t>（1）在货物采购项目中，货物由中小企业制造，即货物由中小企业生产且使用该中小企业商号或者注册商标；</w:t>
      </w:r>
    </w:p>
    <w:p w14:paraId="1F120BA8">
      <w:pPr>
        <w:tabs>
          <w:tab w:val="left" w:pos="1980"/>
        </w:tabs>
        <w:snapToGrid w:val="0"/>
        <w:spacing w:line="360" w:lineRule="auto"/>
        <w:ind w:left="2835" w:leftChars="1350"/>
        <w:rPr>
          <w:rFonts w:ascii="宋体" w:hAnsi="宋体"/>
          <w:sz w:val="24"/>
        </w:rPr>
      </w:pPr>
      <w:r>
        <w:rPr>
          <w:rFonts w:ascii="宋体" w:hAnsi="宋体"/>
          <w:sz w:val="24"/>
        </w:rPr>
        <w:t>（2）在工程采购项目中，工程由中小企业承建，即工程施工单位为中小企业；</w:t>
      </w:r>
    </w:p>
    <w:p w14:paraId="4ED329FA">
      <w:pPr>
        <w:tabs>
          <w:tab w:val="left" w:pos="1980"/>
        </w:tabs>
        <w:snapToGrid w:val="0"/>
        <w:spacing w:line="360" w:lineRule="auto"/>
        <w:ind w:left="2835" w:leftChars="1350"/>
        <w:rPr>
          <w:rFonts w:ascii="宋体" w:hAnsi="宋体"/>
          <w:sz w:val="24"/>
        </w:rPr>
      </w:pPr>
      <w:r>
        <w:rPr>
          <w:rFonts w:ascii="宋体" w:hAnsi="宋体"/>
          <w:sz w:val="24"/>
        </w:rPr>
        <w:t>（3）在服务采购项目中，服务由中小企业承接，即提供服务的人员为中小企业依照《中华人民共和国劳动合同法》订立劳动合同的从业人员。</w:t>
      </w:r>
    </w:p>
    <w:p w14:paraId="3B8B9CB6">
      <w:pPr>
        <w:numPr>
          <w:ilvl w:val="3"/>
          <w:numId w:val="1"/>
        </w:numPr>
        <w:tabs>
          <w:tab w:val="left" w:pos="1418"/>
          <w:tab w:val="left" w:pos="1980"/>
          <w:tab w:val="clear" w:pos="900"/>
        </w:tabs>
        <w:snapToGrid w:val="0"/>
        <w:spacing w:line="360" w:lineRule="auto"/>
        <w:ind w:left="2977" w:hanging="992"/>
        <w:rPr>
          <w:rFonts w:ascii="宋体" w:hAnsi="宋体"/>
          <w:sz w:val="24"/>
        </w:rPr>
      </w:pPr>
      <w:r>
        <w:rPr>
          <w:rFonts w:ascii="宋体" w:hAnsi="宋体"/>
          <w:sz w:val="24"/>
        </w:rPr>
        <w:t>在货物采购项目中，供应商提供的货物既有中小企业制造货物，也有大型企业制造货物的，不享受中小企业扶持政策。</w:t>
      </w:r>
    </w:p>
    <w:p w14:paraId="757232F1">
      <w:pPr>
        <w:numPr>
          <w:ilvl w:val="3"/>
          <w:numId w:val="1"/>
        </w:numPr>
        <w:tabs>
          <w:tab w:val="left" w:pos="1418"/>
          <w:tab w:val="left" w:pos="1980"/>
          <w:tab w:val="clear" w:pos="900"/>
        </w:tabs>
        <w:snapToGrid w:val="0"/>
        <w:spacing w:line="360" w:lineRule="auto"/>
        <w:ind w:left="2977" w:hanging="992"/>
        <w:rPr>
          <w:rFonts w:ascii="宋体" w:hAnsi="宋体"/>
          <w:sz w:val="24"/>
        </w:rPr>
      </w:pPr>
      <w:r>
        <w:rPr>
          <w:rFonts w:ascii="宋体" w:hAnsi="宋体"/>
          <w:sz w:val="24"/>
        </w:rPr>
        <w:t>以联合体形式参加政府采购活动，联合体各方均为中小企业的，联合体视同中小企业。其中，联合体各方均为小微企业的，联合体视同小微企业。</w:t>
      </w:r>
    </w:p>
    <w:p w14:paraId="51B7465B">
      <w:pPr>
        <w:numPr>
          <w:ilvl w:val="2"/>
          <w:numId w:val="1"/>
        </w:numPr>
        <w:snapToGrid w:val="0"/>
        <w:spacing w:line="360" w:lineRule="auto"/>
        <w:rPr>
          <w:rFonts w:ascii="宋体" w:hAnsi="宋体"/>
          <w:sz w:val="24"/>
        </w:rPr>
      </w:pPr>
      <w:r>
        <w:rPr>
          <w:rFonts w:ascii="宋体" w:hAnsi="宋体"/>
          <w:sz w:val="24"/>
        </w:rPr>
        <w:t>在政府采购活动中，监狱企业视同小型、微型企业，享受预留份额、评审中价格扣除等政府采购促进中小企业发展的政府采购政策。监狱企业定义：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p>
    <w:p w14:paraId="0E6AC3E4">
      <w:pPr>
        <w:numPr>
          <w:ilvl w:val="2"/>
          <w:numId w:val="1"/>
        </w:numPr>
        <w:snapToGrid w:val="0"/>
        <w:spacing w:line="360" w:lineRule="auto"/>
        <w:rPr>
          <w:rFonts w:ascii="宋体" w:hAnsi="宋体"/>
          <w:sz w:val="24"/>
        </w:rPr>
      </w:pPr>
      <w:r>
        <w:rPr>
          <w:rFonts w:ascii="宋体" w:hAnsi="宋体"/>
          <w:sz w:val="24"/>
        </w:rPr>
        <w:t>在政府采购活动中，残疾人福利性单位视同小型、微型企业，享受预留份额、评审中价格扣除等促进中小企业发展的政府采购政策。残疾人福利性单位定义：享受政府采购支持政策的残疾人福利性单位应当同时满足以下条件：</w:t>
      </w:r>
    </w:p>
    <w:p w14:paraId="62708EFC">
      <w:pPr>
        <w:numPr>
          <w:ilvl w:val="3"/>
          <w:numId w:val="1"/>
        </w:numPr>
        <w:tabs>
          <w:tab w:val="left" w:pos="1418"/>
          <w:tab w:val="left" w:pos="1980"/>
          <w:tab w:val="clear" w:pos="900"/>
        </w:tabs>
        <w:snapToGrid w:val="0"/>
        <w:spacing w:line="360" w:lineRule="auto"/>
        <w:ind w:left="2977" w:hanging="992"/>
        <w:rPr>
          <w:rFonts w:ascii="宋体" w:hAnsi="宋体"/>
          <w:sz w:val="24"/>
        </w:rPr>
      </w:pPr>
      <w:r>
        <w:rPr>
          <w:rFonts w:ascii="宋体" w:hAnsi="宋体"/>
          <w:sz w:val="24"/>
        </w:rPr>
        <w:t>安置的残疾人占本单位在职职工人数的比例不低于25%（含25%），并且安置的残疾人人数不少于10人（含10人）；</w:t>
      </w:r>
    </w:p>
    <w:p w14:paraId="1756CC0C">
      <w:pPr>
        <w:numPr>
          <w:ilvl w:val="3"/>
          <w:numId w:val="1"/>
        </w:numPr>
        <w:tabs>
          <w:tab w:val="left" w:pos="1418"/>
          <w:tab w:val="left" w:pos="1980"/>
          <w:tab w:val="clear" w:pos="900"/>
        </w:tabs>
        <w:snapToGrid w:val="0"/>
        <w:spacing w:line="360" w:lineRule="auto"/>
        <w:ind w:left="2977" w:hanging="992"/>
        <w:rPr>
          <w:rFonts w:ascii="宋体" w:hAnsi="宋体"/>
          <w:sz w:val="24"/>
        </w:rPr>
      </w:pPr>
      <w:r>
        <w:rPr>
          <w:rFonts w:ascii="宋体" w:hAnsi="宋体"/>
          <w:sz w:val="24"/>
        </w:rPr>
        <w:t>依法与安置的每位残疾人签订了一年以上（含一年）的劳动合同或服务协议；</w:t>
      </w:r>
    </w:p>
    <w:p w14:paraId="39421916">
      <w:pPr>
        <w:numPr>
          <w:ilvl w:val="3"/>
          <w:numId w:val="1"/>
        </w:numPr>
        <w:tabs>
          <w:tab w:val="left" w:pos="1418"/>
          <w:tab w:val="left" w:pos="1980"/>
          <w:tab w:val="clear" w:pos="900"/>
        </w:tabs>
        <w:snapToGrid w:val="0"/>
        <w:spacing w:line="360" w:lineRule="auto"/>
        <w:ind w:left="2977" w:hanging="992"/>
        <w:rPr>
          <w:rFonts w:ascii="宋体" w:hAnsi="宋体"/>
          <w:sz w:val="24"/>
        </w:rPr>
      </w:pPr>
      <w:r>
        <w:rPr>
          <w:rFonts w:ascii="宋体" w:hAnsi="宋体"/>
          <w:sz w:val="24"/>
        </w:rPr>
        <w:t>为安置的每位残疾人按月足额缴纳了基本养老保险、基本医疗保险、失业保险、工伤保险和生育保险等社会保险费；</w:t>
      </w:r>
    </w:p>
    <w:p w14:paraId="01038911">
      <w:pPr>
        <w:numPr>
          <w:ilvl w:val="3"/>
          <w:numId w:val="1"/>
        </w:numPr>
        <w:tabs>
          <w:tab w:val="left" w:pos="1418"/>
          <w:tab w:val="left" w:pos="1980"/>
          <w:tab w:val="clear" w:pos="900"/>
        </w:tabs>
        <w:snapToGrid w:val="0"/>
        <w:spacing w:line="360" w:lineRule="auto"/>
        <w:ind w:left="2977" w:hanging="992"/>
        <w:rPr>
          <w:rFonts w:ascii="宋体" w:hAnsi="宋体"/>
          <w:sz w:val="24"/>
        </w:rPr>
      </w:pPr>
      <w:r>
        <w:rPr>
          <w:rFonts w:ascii="宋体" w:hAnsi="宋体"/>
          <w:sz w:val="24"/>
        </w:rPr>
        <w:t>通过银行等金融机构向安置的每位残疾人，按月支付了不低于单位所在区县适用的经省级人民政府批准的月最低工资标准的工资；</w:t>
      </w:r>
    </w:p>
    <w:p w14:paraId="3CD9A59A">
      <w:pPr>
        <w:numPr>
          <w:ilvl w:val="3"/>
          <w:numId w:val="1"/>
        </w:numPr>
        <w:tabs>
          <w:tab w:val="left" w:pos="1418"/>
          <w:tab w:val="left" w:pos="1980"/>
          <w:tab w:val="clear" w:pos="900"/>
        </w:tabs>
        <w:snapToGrid w:val="0"/>
        <w:spacing w:line="360" w:lineRule="auto"/>
        <w:ind w:left="2977" w:hanging="992"/>
        <w:rPr>
          <w:rFonts w:ascii="宋体" w:hAnsi="宋体"/>
          <w:sz w:val="24"/>
        </w:rPr>
      </w:pPr>
      <w:r>
        <w:rPr>
          <w:rFonts w:ascii="宋体" w:hAnsi="宋体"/>
          <w:sz w:val="24"/>
        </w:rPr>
        <w:t>提供本单位制造的货物、承担的工程或者服务（以下简称产品），或者提供其他残疾人福利性单位制造的货物（不包括使用非残疾人福利性单位注册商标的货物）；</w:t>
      </w:r>
    </w:p>
    <w:p w14:paraId="044FD256">
      <w:pPr>
        <w:numPr>
          <w:ilvl w:val="3"/>
          <w:numId w:val="1"/>
        </w:numPr>
        <w:tabs>
          <w:tab w:val="left" w:pos="1418"/>
          <w:tab w:val="left" w:pos="1980"/>
          <w:tab w:val="clear" w:pos="900"/>
        </w:tabs>
        <w:snapToGrid w:val="0"/>
        <w:spacing w:line="360" w:lineRule="auto"/>
        <w:ind w:left="2977" w:hanging="992"/>
        <w:rPr>
          <w:rFonts w:ascii="宋体" w:hAnsi="宋体"/>
          <w:sz w:val="24"/>
        </w:rPr>
      </w:pPr>
      <w:r>
        <w:rPr>
          <w:rFonts w:ascii="宋体" w:hAnsi="宋体"/>
          <w:sz w:val="24"/>
        </w:rPr>
        <w:t>前款所称残疾人是指法定劳动年龄内，持有《中华人民共和国残疾人证》或者《中华人民共和国残疾军人证（1至8级）》的自然人，包括具有劳动条件和劳动意愿的精神残疾人。在职职工人数是指与残疾人福利性单位建立劳动关系并依法签订劳动合同或服务协议的雇员人数。</w:t>
      </w:r>
    </w:p>
    <w:p w14:paraId="52E038D8">
      <w:pPr>
        <w:numPr>
          <w:ilvl w:val="2"/>
          <w:numId w:val="1"/>
        </w:numPr>
        <w:snapToGrid w:val="0"/>
        <w:spacing w:line="360" w:lineRule="auto"/>
        <w:rPr>
          <w:rFonts w:ascii="宋体" w:hAnsi="宋体"/>
          <w:sz w:val="24"/>
        </w:rPr>
      </w:pPr>
      <w:r>
        <w:rPr>
          <w:rFonts w:ascii="宋体" w:hAnsi="宋体"/>
          <w:sz w:val="24"/>
        </w:rPr>
        <w:t>本项目是否专门面向中小企业预留采购份额见第一章《投标邀请》。</w:t>
      </w:r>
    </w:p>
    <w:p w14:paraId="0EB77BE8">
      <w:pPr>
        <w:numPr>
          <w:ilvl w:val="2"/>
          <w:numId w:val="1"/>
        </w:numPr>
        <w:snapToGrid w:val="0"/>
        <w:spacing w:line="360" w:lineRule="auto"/>
        <w:rPr>
          <w:rFonts w:ascii="宋体" w:hAnsi="宋体"/>
          <w:sz w:val="24"/>
        </w:rPr>
      </w:pPr>
      <w:r>
        <w:rPr>
          <w:rFonts w:ascii="宋体" w:hAnsi="宋体"/>
          <w:sz w:val="24"/>
        </w:rPr>
        <w:t>采购标的对应的中小企业划分标准所属行业见《投标人须知资料表》。</w:t>
      </w:r>
    </w:p>
    <w:p w14:paraId="5D371128">
      <w:pPr>
        <w:numPr>
          <w:ilvl w:val="2"/>
          <w:numId w:val="1"/>
        </w:numPr>
        <w:snapToGrid w:val="0"/>
        <w:spacing w:line="360" w:lineRule="auto"/>
        <w:rPr>
          <w:rFonts w:ascii="宋体" w:hAnsi="宋体"/>
          <w:sz w:val="24"/>
        </w:rPr>
      </w:pPr>
      <w:r>
        <w:rPr>
          <w:rFonts w:ascii="宋体" w:hAnsi="宋体"/>
          <w:sz w:val="24"/>
        </w:rPr>
        <w:t>小微企业价格评审优惠的政策调整：见第四章《评标程序、评标方法和评标标准》。</w:t>
      </w:r>
    </w:p>
    <w:p w14:paraId="0A193451">
      <w:pPr>
        <w:numPr>
          <w:ilvl w:val="1"/>
          <w:numId w:val="1"/>
        </w:numPr>
        <w:tabs>
          <w:tab w:val="left" w:pos="1080"/>
          <w:tab w:val="left" w:pos="2014"/>
        </w:tabs>
        <w:snapToGrid w:val="0"/>
        <w:spacing w:line="360" w:lineRule="auto"/>
        <w:ind w:left="1080" w:hanging="720"/>
        <w:rPr>
          <w:rFonts w:ascii="宋体" w:hAnsi="宋体"/>
          <w:sz w:val="24"/>
        </w:rPr>
      </w:pPr>
      <w:r>
        <w:rPr>
          <w:rFonts w:ascii="宋体" w:hAnsi="宋体"/>
          <w:sz w:val="24"/>
        </w:rPr>
        <w:t>政府采购节能产品、环境标志产品</w:t>
      </w:r>
    </w:p>
    <w:p w14:paraId="684EFEA8">
      <w:pPr>
        <w:numPr>
          <w:ilvl w:val="2"/>
          <w:numId w:val="1"/>
        </w:numPr>
        <w:snapToGrid w:val="0"/>
        <w:spacing w:line="360" w:lineRule="auto"/>
        <w:rPr>
          <w:rFonts w:ascii="宋体" w:hAnsi="宋体"/>
          <w:sz w:val="24"/>
        </w:rPr>
      </w:pPr>
      <w:r>
        <w:rPr>
          <w:rFonts w:ascii="宋体" w:hAnsi="宋体"/>
          <w:sz w:val="24"/>
        </w:rPr>
        <w:t>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w:t>
      </w:r>
    </w:p>
    <w:p w14:paraId="51A6C7ED">
      <w:pPr>
        <w:numPr>
          <w:ilvl w:val="2"/>
          <w:numId w:val="1"/>
        </w:numPr>
        <w:snapToGrid w:val="0"/>
        <w:spacing w:line="360" w:lineRule="auto"/>
        <w:rPr>
          <w:rFonts w:ascii="宋体" w:hAnsi="宋体"/>
          <w:sz w:val="24"/>
        </w:rPr>
      </w:pPr>
      <w:r>
        <w:rPr>
          <w:rFonts w:ascii="宋体" w:hAnsi="宋体"/>
          <w:sz w:val="24"/>
        </w:rPr>
        <w:t xml:space="preserve">采购人拟采购的产品属于品目清单范围的，采购人及其委托的采购代理机构依据国家确定的认证机构出具的、处于有效期之内的节能产品、环境标志产品认证证书，对获得证书的产品实施政府优先采购或强制采购。关于政府采购节能产品、环境标志产品的相关规定依据《关于调整优化节能产品、环境标志产品政府采购执行机制的通知》（财库〔2019〕9号）。 </w:t>
      </w:r>
    </w:p>
    <w:p w14:paraId="2AE42CB3">
      <w:pPr>
        <w:numPr>
          <w:ilvl w:val="2"/>
          <w:numId w:val="1"/>
        </w:numPr>
        <w:snapToGrid w:val="0"/>
        <w:spacing w:line="360" w:lineRule="auto"/>
        <w:rPr>
          <w:rFonts w:ascii="宋体" w:hAnsi="宋体"/>
          <w:sz w:val="24"/>
        </w:rPr>
      </w:pPr>
      <w:r>
        <w:rPr>
          <w:rFonts w:ascii="宋体" w:hAnsi="宋体"/>
          <w:sz w:val="24"/>
        </w:rPr>
        <w:t>如本项目采购产品属于实施政府强制采购品目清单范围的节能产品，则投标人所报产品必须获得国家确定的认证机构出具的、处于有效期之内的节能产品认证证书，</w:t>
      </w:r>
      <w:r>
        <w:rPr>
          <w:rFonts w:ascii="宋体" w:hAnsi="宋体"/>
          <w:kern w:val="0"/>
          <w:sz w:val="24"/>
        </w:rPr>
        <w:t>否则</w:t>
      </w:r>
      <w:r>
        <w:rPr>
          <w:rFonts w:ascii="宋体" w:hAnsi="宋体"/>
          <w:b/>
          <w:kern w:val="0"/>
          <w:sz w:val="24"/>
        </w:rPr>
        <w:t>投标无效</w:t>
      </w:r>
      <w:r>
        <w:rPr>
          <w:rFonts w:ascii="宋体" w:hAnsi="宋体"/>
          <w:sz w:val="24"/>
        </w:rPr>
        <w:t>；</w:t>
      </w:r>
    </w:p>
    <w:p w14:paraId="52BECF1B">
      <w:pPr>
        <w:numPr>
          <w:ilvl w:val="2"/>
          <w:numId w:val="1"/>
        </w:numPr>
        <w:snapToGrid w:val="0"/>
        <w:spacing w:line="360" w:lineRule="auto"/>
        <w:rPr>
          <w:rFonts w:ascii="宋体" w:hAnsi="宋体"/>
          <w:sz w:val="24"/>
        </w:rPr>
      </w:pPr>
      <w:r>
        <w:rPr>
          <w:rFonts w:ascii="宋体" w:hAnsi="宋体"/>
          <w:sz w:val="24"/>
        </w:rPr>
        <w:t>非政府强制采购的节能产品或环境标志产品，依据品目清单和认证证书实施政府优先采购。优先采购的具体规定见第四章《评标程序、评标方法和评标标准》（如涉及）。</w:t>
      </w:r>
    </w:p>
    <w:p w14:paraId="4243B082">
      <w:pPr>
        <w:numPr>
          <w:ilvl w:val="1"/>
          <w:numId w:val="1"/>
        </w:numPr>
        <w:tabs>
          <w:tab w:val="left" w:pos="1080"/>
          <w:tab w:val="left" w:pos="2014"/>
        </w:tabs>
        <w:snapToGrid w:val="0"/>
        <w:spacing w:line="360" w:lineRule="auto"/>
        <w:ind w:left="1080" w:hanging="720"/>
        <w:rPr>
          <w:rFonts w:ascii="宋体" w:hAnsi="宋体"/>
          <w:sz w:val="24"/>
        </w:rPr>
      </w:pPr>
      <w:r>
        <w:rPr>
          <w:rFonts w:ascii="宋体" w:hAnsi="宋体"/>
          <w:sz w:val="24"/>
        </w:rPr>
        <w:t>正版软件</w:t>
      </w:r>
    </w:p>
    <w:p w14:paraId="66C2C1AB">
      <w:pPr>
        <w:numPr>
          <w:ilvl w:val="2"/>
          <w:numId w:val="1"/>
        </w:numPr>
        <w:snapToGrid w:val="0"/>
        <w:spacing w:line="360" w:lineRule="auto"/>
        <w:rPr>
          <w:rFonts w:ascii="宋体" w:hAnsi="宋体"/>
          <w:sz w:val="24"/>
        </w:rPr>
      </w:pPr>
      <w:r>
        <w:rPr>
          <w:rFonts w:ascii="宋体" w:hAnsi="宋体"/>
          <w:sz w:val="24"/>
        </w:rPr>
        <w:t>各级政府部门在购置计算机办公设备时，必须采购预装正版操作系统软件的计算机产品，相关规定依据《国家版权局、信息产业部、财政部、国务院机关事务管理局关于政府部门购置计算机办公设备必须采购已预装正版操作系统软件产品的通知》（国权联〔2006〕1号）、《国务院办公厅关于进一步做好政府机关使用正版软件工作的通知》（国办发〔2010〕47号）、《财政部关于进一步做好政府机关使用正版软件工作的通知》（财预〔2010〕536号）。</w:t>
      </w:r>
    </w:p>
    <w:p w14:paraId="3571C3E6">
      <w:pPr>
        <w:numPr>
          <w:ilvl w:val="1"/>
          <w:numId w:val="1"/>
        </w:numPr>
        <w:tabs>
          <w:tab w:val="left" w:pos="1080"/>
          <w:tab w:val="left" w:pos="2014"/>
        </w:tabs>
        <w:snapToGrid w:val="0"/>
        <w:spacing w:line="360" w:lineRule="auto"/>
        <w:ind w:left="1080" w:hanging="720"/>
        <w:rPr>
          <w:rFonts w:ascii="宋体" w:hAnsi="宋体"/>
          <w:sz w:val="24"/>
        </w:rPr>
      </w:pPr>
      <w:r>
        <w:rPr>
          <w:rFonts w:ascii="宋体" w:hAnsi="宋体"/>
          <w:sz w:val="24"/>
        </w:rPr>
        <w:t>网络安全专用产品</w:t>
      </w:r>
    </w:p>
    <w:p w14:paraId="69003009">
      <w:pPr>
        <w:numPr>
          <w:ilvl w:val="2"/>
          <w:numId w:val="1"/>
        </w:numPr>
        <w:tabs>
          <w:tab w:val="left" w:pos="900"/>
          <w:tab w:val="left" w:pos="2014"/>
        </w:tabs>
        <w:snapToGrid w:val="0"/>
        <w:spacing w:line="360" w:lineRule="auto"/>
        <w:rPr>
          <w:rFonts w:ascii="宋体" w:hAnsi="宋体"/>
          <w:sz w:val="24"/>
        </w:rPr>
      </w:pPr>
      <w:r>
        <w:rPr>
          <w:rFonts w:hint="eastAsia" w:ascii="宋体" w:hAnsi="宋体"/>
          <w:sz w:val="24"/>
        </w:rPr>
        <w:t>根据《关于调整网络安全专用产品安全管理有关事项的公告》（2023年第1号），</w:t>
      </w:r>
      <w:r>
        <w:rPr>
          <w:rFonts w:ascii="宋体" w:hAnsi="宋体"/>
          <w:sz w:val="24"/>
        </w:rPr>
        <w:t>所</w:t>
      </w:r>
      <w:r>
        <w:rPr>
          <w:rFonts w:hint="eastAsia" w:ascii="宋体" w:hAnsi="宋体"/>
          <w:sz w:val="24"/>
        </w:rPr>
        <w:t>提供</w:t>
      </w:r>
      <w:r>
        <w:rPr>
          <w:rFonts w:ascii="宋体" w:hAnsi="宋体"/>
          <w:sz w:val="24"/>
        </w:rPr>
        <w:t>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w:t>
      </w:r>
      <w:r>
        <w:rPr>
          <w:rFonts w:hint="eastAsia" w:ascii="宋体" w:hAnsi="宋体"/>
          <w:sz w:val="24"/>
        </w:rPr>
        <w:t>。</w:t>
      </w:r>
    </w:p>
    <w:p w14:paraId="3BF8D253">
      <w:pPr>
        <w:numPr>
          <w:ilvl w:val="1"/>
          <w:numId w:val="1"/>
        </w:numPr>
        <w:tabs>
          <w:tab w:val="left" w:pos="1080"/>
          <w:tab w:val="left" w:pos="2014"/>
        </w:tabs>
        <w:snapToGrid w:val="0"/>
        <w:spacing w:line="360" w:lineRule="auto"/>
        <w:ind w:left="1080" w:hanging="720"/>
        <w:rPr>
          <w:rFonts w:ascii="宋体" w:hAnsi="宋体"/>
          <w:sz w:val="24"/>
        </w:rPr>
      </w:pPr>
      <w:r>
        <w:rPr>
          <w:rFonts w:ascii="宋体" w:hAnsi="宋体"/>
          <w:sz w:val="24"/>
        </w:rPr>
        <w:t>推广使用低挥发性有机化合物（VOCs）</w:t>
      </w:r>
    </w:p>
    <w:p w14:paraId="12E887F3">
      <w:pPr>
        <w:numPr>
          <w:ilvl w:val="2"/>
          <w:numId w:val="1"/>
        </w:numPr>
        <w:tabs>
          <w:tab w:val="left" w:pos="2014"/>
        </w:tabs>
        <w:snapToGrid w:val="0"/>
        <w:spacing w:line="360" w:lineRule="auto"/>
        <w:rPr>
          <w:rFonts w:ascii="宋体" w:hAnsi="宋体"/>
          <w:sz w:val="24"/>
        </w:rPr>
      </w:pPr>
      <w:r>
        <w:rPr>
          <w:rFonts w:ascii="宋体" w:hAnsi="宋体"/>
          <w:sz w:val="24"/>
        </w:rPr>
        <w:t>为全面推进本市挥发性有机物（VOCs）治理，贯彻落实挥发性有机物污染治理专项行动有关要求，相关规定依据《北京市财政局北京市生态环境局关于政府采购推广使用低挥发性有机化合物（VOCs）有关事项的通知》（京财采购〔2020〕2381号）。本项目中涉及涂料、胶黏剂、油墨、清洗剂等挥发性有机物产品的，属于强制性标准的，供应商应执行符合本市和国家的VOCs 含量限制标准（具体标准见第五章《采购需求》），</w:t>
      </w:r>
      <w:r>
        <w:rPr>
          <w:rFonts w:ascii="宋体" w:hAnsi="宋体"/>
          <w:kern w:val="0"/>
          <w:sz w:val="24"/>
        </w:rPr>
        <w:t>否则</w:t>
      </w:r>
      <w:r>
        <w:rPr>
          <w:rFonts w:ascii="宋体" w:hAnsi="宋体"/>
          <w:b/>
          <w:kern w:val="0"/>
          <w:sz w:val="24"/>
        </w:rPr>
        <w:t>投标无效</w:t>
      </w:r>
      <w:r>
        <w:rPr>
          <w:rFonts w:ascii="宋体" w:hAnsi="宋体"/>
          <w:sz w:val="24"/>
        </w:rPr>
        <w:t>；属于推荐性标准的，优先采购，具体见第四章《评标程序、评标方法和评标标准》。</w:t>
      </w:r>
    </w:p>
    <w:p w14:paraId="6D499939">
      <w:pPr>
        <w:numPr>
          <w:ilvl w:val="1"/>
          <w:numId w:val="1"/>
        </w:numPr>
        <w:tabs>
          <w:tab w:val="left" w:pos="1080"/>
          <w:tab w:val="left" w:pos="2014"/>
        </w:tabs>
        <w:snapToGrid w:val="0"/>
        <w:spacing w:line="360" w:lineRule="auto"/>
        <w:ind w:left="1080" w:hanging="720"/>
        <w:rPr>
          <w:rFonts w:ascii="宋体" w:hAnsi="宋体"/>
          <w:sz w:val="24"/>
        </w:rPr>
      </w:pPr>
      <w:r>
        <w:rPr>
          <w:rFonts w:ascii="宋体" w:hAnsi="宋体"/>
          <w:sz w:val="24"/>
        </w:rPr>
        <w:t>采购需求标准</w:t>
      </w:r>
    </w:p>
    <w:p w14:paraId="4CFA1BAE">
      <w:pPr>
        <w:numPr>
          <w:ilvl w:val="2"/>
          <w:numId w:val="1"/>
        </w:numPr>
        <w:tabs>
          <w:tab w:val="left" w:pos="2014"/>
        </w:tabs>
        <w:snapToGrid w:val="0"/>
        <w:spacing w:line="360" w:lineRule="auto"/>
        <w:rPr>
          <w:rFonts w:ascii="宋体" w:hAnsi="宋体"/>
          <w:sz w:val="24"/>
        </w:rPr>
      </w:pPr>
      <w:r>
        <w:rPr>
          <w:rFonts w:ascii="宋体" w:hAnsi="宋体"/>
          <w:sz w:val="24"/>
        </w:rPr>
        <w:t>商品包装、快递包装政府采购需求标准（试行）</w:t>
      </w:r>
    </w:p>
    <w:p w14:paraId="4989B81B">
      <w:pPr>
        <w:tabs>
          <w:tab w:val="left" w:pos="900"/>
          <w:tab w:val="left" w:pos="1980"/>
        </w:tabs>
        <w:snapToGrid w:val="0"/>
        <w:spacing w:line="360" w:lineRule="auto"/>
        <w:ind w:left="1985"/>
        <w:rPr>
          <w:rFonts w:ascii="宋体" w:hAnsi="宋体"/>
          <w:sz w:val="24"/>
        </w:rPr>
      </w:pPr>
      <w:r>
        <w:rPr>
          <w:rFonts w:ascii="宋体" w:hAnsi="宋体"/>
          <w:sz w:val="24"/>
        </w:rPr>
        <w:t>为助力打好污染防治攻坚战，推广使用绿色包装，根据财政部关于印发《商品包装政府采购需求标准（试行）》、《快递包装政府采购需求标准（试行）》的通知（财办库〔2020〕123号），本项目如涉及商品包装和快递包装的，则其具体要求见第五章《采购需求》。</w:t>
      </w:r>
    </w:p>
    <w:p w14:paraId="08B12484">
      <w:pPr>
        <w:numPr>
          <w:ilvl w:val="2"/>
          <w:numId w:val="1"/>
        </w:numPr>
        <w:tabs>
          <w:tab w:val="left" w:pos="2014"/>
        </w:tabs>
        <w:snapToGrid w:val="0"/>
        <w:spacing w:line="360" w:lineRule="auto"/>
        <w:rPr>
          <w:rFonts w:ascii="宋体" w:hAnsi="宋体"/>
          <w:sz w:val="24"/>
        </w:rPr>
      </w:pPr>
      <w:bookmarkStart w:id="171" w:name="_Hlk164953935"/>
      <w:r>
        <w:rPr>
          <w:rFonts w:ascii="宋体" w:hAnsi="宋体"/>
          <w:sz w:val="24"/>
        </w:rPr>
        <w:t xml:space="preserve">其他政府采购需求标准 </w:t>
      </w:r>
    </w:p>
    <w:bookmarkEnd w:id="171"/>
    <w:p w14:paraId="1BCBA07B">
      <w:pPr>
        <w:tabs>
          <w:tab w:val="left" w:pos="900"/>
          <w:tab w:val="left" w:pos="1980"/>
        </w:tabs>
        <w:snapToGrid w:val="0"/>
        <w:spacing w:line="360" w:lineRule="auto"/>
        <w:ind w:left="1980"/>
        <w:rPr>
          <w:rFonts w:ascii="宋体" w:hAnsi="宋体"/>
          <w:sz w:val="24"/>
        </w:rPr>
      </w:pPr>
      <w:bookmarkStart w:id="172" w:name="_Hlk164955325"/>
      <w:r>
        <w:rPr>
          <w:rFonts w:ascii="宋体" w:hAnsi="宋体"/>
          <w:sz w:val="24"/>
        </w:rPr>
        <w:t>为贯彻落实《深化政府采购制度改革方案》有关要求，推动政府采购需求标准建设</w:t>
      </w:r>
      <w:bookmarkEnd w:id="172"/>
      <w:r>
        <w:rPr>
          <w:rFonts w:ascii="宋体" w:hAnsi="宋体"/>
          <w:sz w:val="24"/>
        </w:rPr>
        <w:t>，财政部门会同有关部门制定发布的其他政府采购需求标准，本项目如涉及，则具体要求见第五章《采购需求》。</w:t>
      </w:r>
    </w:p>
    <w:p w14:paraId="37C58520">
      <w:pPr>
        <w:numPr>
          <w:ilvl w:val="0"/>
          <w:numId w:val="1"/>
        </w:numPr>
        <w:tabs>
          <w:tab w:val="left" w:pos="360"/>
        </w:tabs>
        <w:snapToGrid w:val="0"/>
        <w:spacing w:line="360" w:lineRule="auto"/>
        <w:ind w:left="357" w:hanging="357"/>
        <w:outlineLvl w:val="1"/>
        <w:rPr>
          <w:rFonts w:ascii="宋体" w:hAnsi="宋体"/>
          <w:sz w:val="24"/>
        </w:rPr>
      </w:pPr>
      <w:r>
        <w:rPr>
          <w:rFonts w:ascii="宋体" w:hAnsi="宋体"/>
          <w:sz w:val="24"/>
        </w:rPr>
        <w:t>投标费用</w:t>
      </w:r>
    </w:p>
    <w:p w14:paraId="1430F300">
      <w:pPr>
        <w:numPr>
          <w:ilvl w:val="1"/>
          <w:numId w:val="1"/>
        </w:numPr>
        <w:tabs>
          <w:tab w:val="left" w:pos="1080"/>
          <w:tab w:val="left" w:pos="2014"/>
        </w:tabs>
        <w:snapToGrid w:val="0"/>
        <w:spacing w:line="360" w:lineRule="auto"/>
        <w:ind w:left="1080" w:hanging="720"/>
        <w:rPr>
          <w:rFonts w:ascii="宋体" w:hAnsi="宋体"/>
          <w:sz w:val="24"/>
        </w:rPr>
      </w:pPr>
      <w:r>
        <w:rPr>
          <w:rFonts w:ascii="宋体" w:hAnsi="宋体"/>
          <w:sz w:val="24"/>
        </w:rPr>
        <w:t>投标人应自行承担所有与准备和参加投标有关的费用，无论投标的结果如何，采购人或采购代理机构在任何情况下均无承担这些费用的义务和责任。</w:t>
      </w:r>
    </w:p>
    <w:p w14:paraId="73DDC3FF">
      <w:pPr>
        <w:tabs>
          <w:tab w:val="left" w:pos="1080"/>
        </w:tabs>
        <w:snapToGrid w:val="0"/>
        <w:spacing w:line="360" w:lineRule="auto"/>
        <w:ind w:left="1080"/>
        <w:rPr>
          <w:rFonts w:ascii="宋体" w:hAnsi="宋体"/>
          <w:sz w:val="28"/>
        </w:rPr>
      </w:pPr>
    </w:p>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p w14:paraId="55A4B2E2">
      <w:pPr>
        <w:pStyle w:val="5"/>
        <w:spacing w:before="0" w:line="360" w:lineRule="auto"/>
        <w:rPr>
          <w:rFonts w:ascii="宋体" w:hAnsi="宋体" w:eastAsia="宋体"/>
          <w:sz w:val="28"/>
        </w:rPr>
      </w:pPr>
      <w:bookmarkStart w:id="173" w:name="_Toc164229364"/>
      <w:bookmarkStart w:id="174" w:name="_Toc195842888"/>
      <w:bookmarkStart w:id="175" w:name="_Toc264969213"/>
      <w:bookmarkStart w:id="176" w:name="_Toc226309767"/>
      <w:bookmarkStart w:id="177" w:name="_Toc305158791"/>
      <w:bookmarkStart w:id="178" w:name="_Toc127161437"/>
      <w:bookmarkStart w:id="179" w:name="_Toc164608637"/>
      <w:bookmarkStart w:id="180" w:name="_Toc265228361"/>
      <w:bookmarkStart w:id="181" w:name="_Toc164229218"/>
      <w:bookmarkStart w:id="182" w:name="_Toc305158865"/>
      <w:bookmarkStart w:id="183" w:name="_Toc151193837"/>
      <w:bookmarkStart w:id="184" w:name="_Toc127151523"/>
      <w:bookmarkStart w:id="185" w:name="_Toc226965713"/>
      <w:bookmarkStart w:id="186" w:name="_Toc520356147"/>
      <w:bookmarkStart w:id="187" w:name="_Toc150774728"/>
      <w:bookmarkStart w:id="188" w:name="_Toc151193621"/>
      <w:bookmarkStart w:id="189" w:name="_Toc226337219"/>
      <w:bookmarkStart w:id="190" w:name="_Toc150774623"/>
      <w:bookmarkStart w:id="191" w:name="_Toc149720816"/>
      <w:bookmarkStart w:id="192" w:name="_Toc151193765"/>
      <w:bookmarkStart w:id="193" w:name="_Toc150480761"/>
      <w:bookmarkStart w:id="194" w:name="_Toc226965796"/>
      <w:bookmarkStart w:id="195" w:name="_Toc151193911"/>
      <w:bookmarkStart w:id="196" w:name="_Toc151190150"/>
      <w:bookmarkStart w:id="197" w:name="_Toc127151724"/>
      <w:bookmarkStart w:id="198" w:name="_Toc164608792"/>
      <w:bookmarkStart w:id="199" w:name="_Toc150509274"/>
      <w:bookmarkStart w:id="200" w:name="_Toc142311025"/>
      <w:bookmarkStart w:id="201" w:name="_Toc151193693"/>
      <w:bookmarkStart w:id="202" w:name="_Toc164351617"/>
      <w:r>
        <w:rPr>
          <w:rFonts w:ascii="宋体" w:hAnsi="宋体" w:eastAsia="宋体"/>
          <w:sz w:val="28"/>
        </w:rPr>
        <w:t>二</w:t>
      </w:r>
      <w:r>
        <w:rPr>
          <w:rFonts w:hint="eastAsia" w:ascii="宋体" w:hAnsi="宋体" w:eastAsia="宋体"/>
          <w:sz w:val="28"/>
        </w:rPr>
        <w:t>、</w:t>
      </w:r>
      <w:r>
        <w:rPr>
          <w:rFonts w:ascii="宋体" w:hAnsi="宋体" w:eastAsia="宋体"/>
          <w:sz w:val="28"/>
        </w:rPr>
        <w:t>招标文件</w:t>
      </w:r>
    </w:p>
    <w:p w14:paraId="2B6E9726">
      <w:pPr>
        <w:numPr>
          <w:ilvl w:val="0"/>
          <w:numId w:val="1"/>
        </w:numPr>
        <w:tabs>
          <w:tab w:val="left" w:pos="360"/>
        </w:tabs>
        <w:snapToGrid w:val="0"/>
        <w:spacing w:line="360" w:lineRule="auto"/>
        <w:ind w:left="357" w:hanging="357"/>
        <w:outlineLvl w:val="1"/>
        <w:rPr>
          <w:rFonts w:ascii="宋体" w:hAnsi="宋体"/>
          <w:sz w:val="24"/>
        </w:rPr>
      </w:pPr>
      <w:r>
        <w:rPr>
          <w:rFonts w:ascii="宋体" w:hAnsi="宋体"/>
          <w:sz w:val="24"/>
        </w:rPr>
        <w:t>招标文件构</w:t>
      </w:r>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r>
        <w:rPr>
          <w:rFonts w:ascii="宋体" w:hAnsi="宋体"/>
          <w:sz w:val="24"/>
        </w:rPr>
        <w:t>成</w:t>
      </w:r>
    </w:p>
    <w:p w14:paraId="7AFE82DA">
      <w:pPr>
        <w:numPr>
          <w:ilvl w:val="1"/>
          <w:numId w:val="1"/>
        </w:numPr>
        <w:tabs>
          <w:tab w:val="left" w:pos="1080"/>
          <w:tab w:val="left" w:pos="2014"/>
        </w:tabs>
        <w:snapToGrid w:val="0"/>
        <w:spacing w:line="360" w:lineRule="auto"/>
        <w:ind w:left="1080" w:hanging="720"/>
        <w:rPr>
          <w:rFonts w:ascii="宋体" w:hAnsi="宋体"/>
          <w:sz w:val="24"/>
        </w:rPr>
      </w:pPr>
      <w:r>
        <w:rPr>
          <w:rFonts w:ascii="宋体" w:hAnsi="宋体"/>
          <w:sz w:val="24"/>
        </w:rPr>
        <w:t>招标文件包括以下部分：</w:t>
      </w:r>
    </w:p>
    <w:p w14:paraId="77190887">
      <w:pPr>
        <w:numPr>
          <w:ilvl w:val="0"/>
          <w:numId w:val="2"/>
        </w:numPr>
        <w:tabs>
          <w:tab w:val="left" w:pos="1980"/>
          <w:tab w:val="left" w:pos="2520"/>
        </w:tabs>
        <w:snapToGrid w:val="0"/>
        <w:spacing w:line="360" w:lineRule="auto"/>
        <w:ind w:left="1134" w:firstLine="5"/>
        <w:rPr>
          <w:rFonts w:ascii="宋体" w:hAnsi="宋体"/>
          <w:sz w:val="24"/>
        </w:rPr>
      </w:pPr>
      <w:r>
        <w:rPr>
          <w:rFonts w:ascii="宋体" w:hAnsi="宋体"/>
          <w:sz w:val="24"/>
        </w:rPr>
        <w:t>投标邀请</w:t>
      </w:r>
    </w:p>
    <w:p w14:paraId="1AB772DB">
      <w:pPr>
        <w:numPr>
          <w:ilvl w:val="0"/>
          <w:numId w:val="2"/>
        </w:numPr>
        <w:tabs>
          <w:tab w:val="left" w:pos="1980"/>
          <w:tab w:val="left" w:pos="2520"/>
        </w:tabs>
        <w:snapToGrid w:val="0"/>
        <w:spacing w:line="360" w:lineRule="auto"/>
        <w:ind w:left="1134" w:firstLine="5"/>
        <w:rPr>
          <w:rFonts w:ascii="宋体" w:hAnsi="宋体"/>
          <w:sz w:val="24"/>
        </w:rPr>
      </w:pPr>
      <w:r>
        <w:rPr>
          <w:rFonts w:ascii="宋体" w:hAnsi="宋体"/>
          <w:sz w:val="24"/>
        </w:rPr>
        <w:t>投标人须知</w:t>
      </w:r>
    </w:p>
    <w:p w14:paraId="30F70807">
      <w:pPr>
        <w:numPr>
          <w:ilvl w:val="0"/>
          <w:numId w:val="2"/>
        </w:numPr>
        <w:tabs>
          <w:tab w:val="left" w:pos="1980"/>
          <w:tab w:val="left" w:pos="2520"/>
        </w:tabs>
        <w:snapToGrid w:val="0"/>
        <w:spacing w:line="360" w:lineRule="auto"/>
        <w:ind w:left="1134" w:firstLine="5"/>
        <w:rPr>
          <w:rFonts w:ascii="宋体" w:hAnsi="宋体"/>
          <w:sz w:val="24"/>
        </w:rPr>
      </w:pPr>
      <w:r>
        <w:rPr>
          <w:rFonts w:ascii="宋体" w:hAnsi="宋体"/>
          <w:sz w:val="24"/>
        </w:rPr>
        <w:t>资格审查</w:t>
      </w:r>
    </w:p>
    <w:p w14:paraId="1D7C66A1">
      <w:pPr>
        <w:numPr>
          <w:ilvl w:val="0"/>
          <w:numId w:val="2"/>
        </w:numPr>
        <w:tabs>
          <w:tab w:val="left" w:pos="1980"/>
          <w:tab w:val="left" w:pos="2520"/>
        </w:tabs>
        <w:snapToGrid w:val="0"/>
        <w:spacing w:line="360" w:lineRule="auto"/>
        <w:ind w:left="1134" w:firstLine="5"/>
        <w:rPr>
          <w:rFonts w:ascii="宋体" w:hAnsi="宋体"/>
          <w:sz w:val="24"/>
        </w:rPr>
      </w:pPr>
      <w:r>
        <w:rPr>
          <w:rFonts w:ascii="宋体" w:hAnsi="宋体"/>
          <w:sz w:val="24"/>
        </w:rPr>
        <w:t>评标程序、评标方法和评标标准</w:t>
      </w:r>
    </w:p>
    <w:p w14:paraId="745BF714">
      <w:pPr>
        <w:numPr>
          <w:ilvl w:val="0"/>
          <w:numId w:val="2"/>
        </w:numPr>
        <w:tabs>
          <w:tab w:val="left" w:pos="1980"/>
          <w:tab w:val="left" w:pos="2520"/>
        </w:tabs>
        <w:snapToGrid w:val="0"/>
        <w:spacing w:line="360" w:lineRule="auto"/>
        <w:ind w:left="1134" w:firstLine="5"/>
        <w:rPr>
          <w:rFonts w:ascii="宋体" w:hAnsi="宋体"/>
          <w:sz w:val="24"/>
        </w:rPr>
      </w:pPr>
      <w:r>
        <w:rPr>
          <w:rFonts w:ascii="宋体" w:hAnsi="宋体"/>
          <w:sz w:val="24"/>
        </w:rPr>
        <w:t>采购需求</w:t>
      </w:r>
    </w:p>
    <w:p w14:paraId="52B3506B">
      <w:pPr>
        <w:numPr>
          <w:ilvl w:val="0"/>
          <w:numId w:val="2"/>
        </w:numPr>
        <w:tabs>
          <w:tab w:val="left" w:pos="1980"/>
          <w:tab w:val="left" w:pos="2520"/>
        </w:tabs>
        <w:snapToGrid w:val="0"/>
        <w:spacing w:line="360" w:lineRule="auto"/>
        <w:ind w:left="1134" w:firstLine="5"/>
        <w:rPr>
          <w:rFonts w:ascii="宋体" w:hAnsi="宋体"/>
          <w:sz w:val="24"/>
        </w:rPr>
      </w:pPr>
      <w:r>
        <w:rPr>
          <w:rFonts w:ascii="宋体" w:hAnsi="宋体"/>
          <w:sz w:val="24"/>
        </w:rPr>
        <w:t>拟签订的合同文本</w:t>
      </w:r>
    </w:p>
    <w:p w14:paraId="2FEC3A1D">
      <w:pPr>
        <w:numPr>
          <w:ilvl w:val="0"/>
          <w:numId w:val="2"/>
        </w:numPr>
        <w:tabs>
          <w:tab w:val="left" w:pos="1980"/>
          <w:tab w:val="left" w:pos="2520"/>
        </w:tabs>
        <w:snapToGrid w:val="0"/>
        <w:spacing w:line="360" w:lineRule="auto"/>
        <w:ind w:left="1134" w:firstLine="5"/>
        <w:rPr>
          <w:rFonts w:ascii="宋体" w:hAnsi="宋体"/>
          <w:sz w:val="24"/>
        </w:rPr>
      </w:pPr>
      <w:r>
        <w:rPr>
          <w:rFonts w:ascii="宋体" w:hAnsi="宋体"/>
          <w:sz w:val="24"/>
        </w:rPr>
        <w:t>投标文件格式</w:t>
      </w:r>
    </w:p>
    <w:p w14:paraId="531CEE07">
      <w:pPr>
        <w:numPr>
          <w:ilvl w:val="1"/>
          <w:numId w:val="1"/>
        </w:numPr>
        <w:tabs>
          <w:tab w:val="left" w:pos="1080"/>
          <w:tab w:val="left" w:pos="2014"/>
        </w:tabs>
        <w:snapToGrid w:val="0"/>
        <w:spacing w:line="360" w:lineRule="auto"/>
        <w:ind w:left="1080" w:hanging="720"/>
        <w:rPr>
          <w:rFonts w:ascii="宋体" w:hAnsi="宋体"/>
          <w:sz w:val="24"/>
        </w:rPr>
      </w:pPr>
      <w:r>
        <w:rPr>
          <w:rFonts w:ascii="宋体" w:hAnsi="宋体"/>
          <w:sz w:val="24"/>
        </w:rPr>
        <w:t>投标人应认真阅读招标文件的全部内容。投标人应按照招标文件要求提交投标文件并保证所提供的全部资料的真实性，并对招标文件做出实质性响应，否则</w:t>
      </w:r>
      <w:r>
        <w:rPr>
          <w:rFonts w:ascii="宋体" w:hAnsi="宋体"/>
          <w:b/>
          <w:sz w:val="24"/>
        </w:rPr>
        <w:t>投标无效</w:t>
      </w:r>
      <w:r>
        <w:rPr>
          <w:rFonts w:ascii="宋体" w:hAnsi="宋体"/>
          <w:sz w:val="24"/>
        </w:rPr>
        <w:t>。</w:t>
      </w:r>
    </w:p>
    <w:p w14:paraId="0B5008F9">
      <w:pPr>
        <w:numPr>
          <w:ilvl w:val="0"/>
          <w:numId w:val="1"/>
        </w:numPr>
        <w:tabs>
          <w:tab w:val="left" w:pos="1080"/>
          <w:tab w:val="left" w:pos="2014"/>
        </w:tabs>
        <w:snapToGrid w:val="0"/>
        <w:spacing w:line="360" w:lineRule="auto"/>
        <w:ind w:left="357" w:hanging="357"/>
        <w:outlineLvl w:val="1"/>
        <w:rPr>
          <w:rFonts w:ascii="宋体" w:hAnsi="宋体"/>
          <w:sz w:val="24"/>
        </w:rPr>
      </w:pPr>
      <w:r>
        <w:rPr>
          <w:rFonts w:ascii="宋体" w:hAnsi="宋体"/>
          <w:sz w:val="24"/>
        </w:rPr>
        <w:t>对招标文件的澄清或修改</w:t>
      </w:r>
    </w:p>
    <w:p w14:paraId="10263402">
      <w:pPr>
        <w:numPr>
          <w:ilvl w:val="1"/>
          <w:numId w:val="1"/>
        </w:numPr>
        <w:tabs>
          <w:tab w:val="left" w:pos="1080"/>
          <w:tab w:val="left" w:pos="1561"/>
          <w:tab w:val="left" w:pos="2014"/>
        </w:tabs>
        <w:snapToGrid w:val="0"/>
        <w:spacing w:line="360" w:lineRule="auto"/>
        <w:ind w:left="1080" w:hanging="720"/>
        <w:rPr>
          <w:rFonts w:ascii="宋体" w:hAnsi="宋体"/>
          <w:sz w:val="24"/>
        </w:rPr>
      </w:pPr>
      <w:r>
        <w:rPr>
          <w:rFonts w:ascii="宋体" w:hAnsi="宋体"/>
          <w:sz w:val="24"/>
        </w:rPr>
        <w:t>采购人或采购代理机构对已发出的招标文件进行必要澄清或者修改的，将在原公告发布媒体上发布更正公告，并以书面形式通知所有获取招标文件的潜在投标人。</w:t>
      </w:r>
    </w:p>
    <w:p w14:paraId="701A3212">
      <w:pPr>
        <w:numPr>
          <w:ilvl w:val="1"/>
          <w:numId w:val="1"/>
        </w:numPr>
        <w:tabs>
          <w:tab w:val="left" w:pos="1080"/>
          <w:tab w:val="left" w:pos="1561"/>
          <w:tab w:val="left" w:pos="2014"/>
        </w:tabs>
        <w:snapToGrid w:val="0"/>
        <w:spacing w:line="360" w:lineRule="auto"/>
        <w:ind w:left="1080" w:hanging="720"/>
        <w:rPr>
          <w:rFonts w:ascii="宋体" w:hAnsi="宋体"/>
          <w:sz w:val="24"/>
        </w:rPr>
      </w:pPr>
      <w:r>
        <w:rPr>
          <w:rFonts w:ascii="宋体" w:hAnsi="宋体"/>
          <w:sz w:val="24"/>
        </w:rPr>
        <w:t>上述书面通知，按照获取招标文件的潜在投标人提供的联系方式发出，因提供的信息有误导致通知延迟或无法通知的，采购人或采购代理机构不承担责任。</w:t>
      </w:r>
    </w:p>
    <w:p w14:paraId="02236F77">
      <w:pPr>
        <w:numPr>
          <w:ilvl w:val="1"/>
          <w:numId w:val="1"/>
        </w:numPr>
        <w:tabs>
          <w:tab w:val="left" w:pos="1080"/>
          <w:tab w:val="left" w:pos="1561"/>
          <w:tab w:val="left" w:pos="2014"/>
        </w:tabs>
        <w:snapToGrid w:val="0"/>
        <w:spacing w:line="360" w:lineRule="auto"/>
        <w:ind w:left="1080" w:hanging="720"/>
        <w:rPr>
          <w:rFonts w:ascii="宋体" w:hAnsi="宋体"/>
          <w:sz w:val="24"/>
        </w:rPr>
      </w:pPr>
      <w:r>
        <w:rPr>
          <w:rFonts w:ascii="宋体" w:hAnsi="宋体"/>
          <w:sz w:val="24"/>
        </w:rPr>
        <w:t>澄清或者修改的内容为招标文件的组成部分，并对所有获取招标文件的潜在投标人具有约束力。澄清或者修改的内容可能影响投标文件编制的，将在投标截止时间至少15日前，以书面形式通知所有获取招标文件的潜在投标人；不足15日的，将顺延提交投标文件的截止时间和开标时间。</w:t>
      </w:r>
    </w:p>
    <w:p w14:paraId="3B14C377">
      <w:pPr>
        <w:tabs>
          <w:tab w:val="left" w:pos="1080"/>
          <w:tab w:val="left" w:pos="1561"/>
        </w:tabs>
        <w:snapToGrid w:val="0"/>
        <w:spacing w:line="360" w:lineRule="auto"/>
        <w:ind w:left="1080"/>
        <w:rPr>
          <w:rFonts w:ascii="宋体" w:hAnsi="宋体"/>
          <w:sz w:val="28"/>
        </w:rPr>
      </w:pPr>
      <w:bookmarkStart w:id="203" w:name="_Toc516367020"/>
      <w:bookmarkStart w:id="204" w:name="_Toc150774626"/>
      <w:bookmarkStart w:id="205" w:name="_Toc150509277"/>
      <w:bookmarkStart w:id="206" w:name="_Toc226337222"/>
      <w:bookmarkStart w:id="207" w:name="_Toc142311028"/>
      <w:bookmarkStart w:id="208" w:name="_Toc150480764"/>
      <w:bookmarkStart w:id="209" w:name="_Toc305158868"/>
      <w:bookmarkStart w:id="210" w:name="_Toc150774731"/>
      <w:bookmarkStart w:id="211" w:name="_Toc264969216"/>
      <w:bookmarkStart w:id="212" w:name="_Toc151193840"/>
      <w:bookmarkStart w:id="213" w:name="_Toc151190153"/>
      <w:bookmarkStart w:id="214" w:name="_Toc195842891"/>
      <w:bookmarkStart w:id="215" w:name="_Toc226965799"/>
      <w:bookmarkStart w:id="216" w:name="_Toc520356150"/>
      <w:bookmarkStart w:id="217" w:name="_Toc151193914"/>
      <w:bookmarkStart w:id="218" w:name="_Toc265228364"/>
      <w:bookmarkStart w:id="219" w:name="_Toc151193768"/>
      <w:bookmarkStart w:id="220" w:name="_Toc151193696"/>
      <w:bookmarkStart w:id="221" w:name="_Toc151193624"/>
      <w:bookmarkStart w:id="222" w:name="_Toc127151526"/>
      <w:bookmarkStart w:id="223" w:name="_Toc226965716"/>
      <w:bookmarkStart w:id="224" w:name="_Toc226309770"/>
      <w:bookmarkStart w:id="225" w:name="_Toc305158794"/>
    </w:p>
    <w:p w14:paraId="27105C68">
      <w:pPr>
        <w:pStyle w:val="5"/>
        <w:spacing w:before="0" w:line="360" w:lineRule="auto"/>
        <w:rPr>
          <w:rFonts w:ascii="宋体" w:hAnsi="宋体" w:eastAsia="宋体"/>
          <w:sz w:val="28"/>
        </w:rPr>
      </w:pPr>
      <w:r>
        <w:rPr>
          <w:rFonts w:ascii="宋体" w:hAnsi="宋体" w:eastAsia="宋体"/>
          <w:sz w:val="28"/>
        </w:rPr>
        <w:t>三</w:t>
      </w:r>
      <w:r>
        <w:rPr>
          <w:rFonts w:hint="eastAsia" w:ascii="宋体" w:hAnsi="宋体" w:eastAsia="宋体"/>
          <w:sz w:val="28"/>
        </w:rPr>
        <w:t>、</w:t>
      </w:r>
      <w:r>
        <w:rPr>
          <w:rFonts w:ascii="宋体" w:hAnsi="宋体" w:eastAsia="宋体"/>
          <w:sz w:val="28"/>
        </w:rPr>
        <w:t>投标文件</w:t>
      </w:r>
      <w:bookmarkEnd w:id="203"/>
      <w:r>
        <w:rPr>
          <w:rFonts w:ascii="宋体" w:hAnsi="宋体" w:eastAsia="宋体"/>
          <w:sz w:val="28"/>
        </w:rPr>
        <w:t>的编制</w:t>
      </w:r>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p>
    <w:p w14:paraId="727EBE9B">
      <w:pPr>
        <w:numPr>
          <w:ilvl w:val="0"/>
          <w:numId w:val="1"/>
        </w:numPr>
        <w:tabs>
          <w:tab w:val="left" w:pos="360"/>
        </w:tabs>
        <w:snapToGrid w:val="0"/>
        <w:spacing w:line="360" w:lineRule="auto"/>
        <w:ind w:left="357" w:hanging="357"/>
        <w:outlineLvl w:val="1"/>
        <w:rPr>
          <w:rFonts w:ascii="宋体" w:hAnsi="宋体"/>
          <w:sz w:val="24"/>
        </w:rPr>
      </w:pPr>
      <w:bookmarkStart w:id="226" w:name="_Toc265228365"/>
      <w:bookmarkStart w:id="227" w:name="_Toc151193915"/>
      <w:bookmarkStart w:id="228" w:name="_Toc195842892"/>
      <w:bookmarkStart w:id="229" w:name="_Toc150774627"/>
      <w:bookmarkStart w:id="230" w:name="_Toc520356151"/>
      <w:bookmarkStart w:id="231" w:name="_Toc150774732"/>
      <w:bookmarkStart w:id="232" w:name="_Toc305158869"/>
      <w:bookmarkStart w:id="233" w:name="_Toc164608641"/>
      <w:bookmarkStart w:id="234" w:name="_Toc151193841"/>
      <w:bookmarkStart w:id="235" w:name="_Toc127151527"/>
      <w:bookmarkStart w:id="236" w:name="_Toc264969217"/>
      <w:bookmarkStart w:id="237" w:name="_Toc149720820"/>
      <w:bookmarkStart w:id="238" w:name="_Toc164351621"/>
      <w:bookmarkStart w:id="239" w:name="_Toc127161441"/>
      <w:bookmarkStart w:id="240" w:name="_Toc150480765"/>
      <w:bookmarkStart w:id="241" w:name="_Toc305158795"/>
      <w:bookmarkStart w:id="242" w:name="_Toc226309771"/>
      <w:bookmarkStart w:id="243" w:name="_Toc151193769"/>
      <w:bookmarkStart w:id="244" w:name="_Toc151190154"/>
      <w:bookmarkStart w:id="245" w:name="_Toc151193625"/>
      <w:bookmarkStart w:id="246" w:name="_Toc516367021"/>
      <w:bookmarkStart w:id="247" w:name="_Toc226965800"/>
      <w:bookmarkStart w:id="248" w:name="_Toc164608796"/>
      <w:bookmarkStart w:id="249" w:name="_Toc127151728"/>
      <w:bookmarkStart w:id="250" w:name="_Toc150509278"/>
      <w:bookmarkStart w:id="251" w:name="_Toc226337223"/>
      <w:bookmarkStart w:id="252" w:name="_Toc151193697"/>
      <w:bookmarkStart w:id="253" w:name="_Toc164229368"/>
      <w:bookmarkStart w:id="254" w:name="_Toc142311029"/>
      <w:bookmarkStart w:id="255" w:name="_Toc164229222"/>
      <w:bookmarkStart w:id="256" w:name="_Toc226965717"/>
      <w:r>
        <w:rPr>
          <w:rFonts w:ascii="宋体" w:hAnsi="宋体"/>
          <w:sz w:val="24"/>
        </w:rPr>
        <w:t>投标范围、投标文件中计量单位的使用</w:t>
      </w:r>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r>
        <w:rPr>
          <w:rFonts w:ascii="宋体" w:hAnsi="宋体"/>
          <w:sz w:val="24"/>
        </w:rPr>
        <w:t>及投标语言</w:t>
      </w:r>
    </w:p>
    <w:p w14:paraId="162BBE04">
      <w:pPr>
        <w:numPr>
          <w:ilvl w:val="1"/>
          <w:numId w:val="1"/>
        </w:numPr>
        <w:tabs>
          <w:tab w:val="left" w:pos="1080"/>
          <w:tab w:val="left" w:pos="2014"/>
        </w:tabs>
        <w:snapToGrid w:val="0"/>
        <w:spacing w:line="360" w:lineRule="auto"/>
        <w:ind w:left="1080" w:hanging="720"/>
        <w:rPr>
          <w:rFonts w:ascii="宋体" w:hAnsi="宋体"/>
          <w:sz w:val="24"/>
        </w:rPr>
      </w:pPr>
      <w:r>
        <w:rPr>
          <w:rFonts w:ascii="宋体" w:hAnsi="宋体"/>
          <w:sz w:val="24"/>
        </w:rPr>
        <w:t>本项目如划分采购包，投标人可以对本项目的其中一个采购包进行投标，也可同时对多个采购包进行投标。</w:t>
      </w:r>
      <w:r>
        <w:rPr>
          <w:rFonts w:hint="eastAsia" w:ascii="宋体" w:hAnsi="宋体"/>
          <w:sz w:val="24"/>
        </w:rPr>
        <w:t>是否允许同一投标人</w:t>
      </w:r>
      <w:r>
        <w:rPr>
          <w:rFonts w:ascii="宋体" w:hAnsi="宋体"/>
          <w:sz w:val="24"/>
        </w:rPr>
        <w:t>对多个采购包进行投标</w:t>
      </w:r>
      <w:r>
        <w:rPr>
          <w:rFonts w:hint="eastAsia" w:ascii="宋体" w:hAnsi="宋体"/>
          <w:sz w:val="24"/>
        </w:rPr>
        <w:t>时中标多个采购包见</w:t>
      </w:r>
      <w:r>
        <w:rPr>
          <w:rFonts w:ascii="宋体" w:hAnsi="宋体"/>
          <w:sz w:val="24"/>
        </w:rPr>
        <w:t>《投标人须知资料表》</w:t>
      </w:r>
      <w:r>
        <w:rPr>
          <w:rFonts w:hint="eastAsia" w:ascii="宋体" w:hAnsi="宋体"/>
          <w:sz w:val="24"/>
        </w:rPr>
        <w:t>。</w:t>
      </w:r>
      <w:r>
        <w:rPr>
          <w:rFonts w:ascii="宋体" w:hAnsi="宋体"/>
          <w:sz w:val="24"/>
        </w:rPr>
        <w:t>投标人应当对所投采购包对应第五章《采购需求》所列的全部内容进行投标，不得将一个采购包中的内容拆开投标，否则其对该采购包的投标将被认定为</w:t>
      </w:r>
      <w:r>
        <w:rPr>
          <w:rFonts w:ascii="宋体" w:hAnsi="宋体"/>
          <w:b/>
          <w:sz w:val="24"/>
        </w:rPr>
        <w:t>无效投标</w:t>
      </w:r>
      <w:r>
        <w:rPr>
          <w:rFonts w:ascii="宋体" w:hAnsi="宋体"/>
          <w:sz w:val="24"/>
        </w:rPr>
        <w:t>。</w:t>
      </w:r>
    </w:p>
    <w:p w14:paraId="4AF8E600">
      <w:pPr>
        <w:numPr>
          <w:ilvl w:val="1"/>
          <w:numId w:val="1"/>
        </w:numPr>
        <w:tabs>
          <w:tab w:val="left" w:pos="1080"/>
          <w:tab w:val="left" w:pos="2014"/>
        </w:tabs>
        <w:snapToGrid w:val="0"/>
        <w:spacing w:line="360" w:lineRule="auto"/>
        <w:ind w:left="1080" w:hanging="720"/>
        <w:rPr>
          <w:rFonts w:ascii="宋体" w:hAnsi="宋体"/>
          <w:sz w:val="24"/>
        </w:rPr>
      </w:pPr>
      <w:r>
        <w:rPr>
          <w:rFonts w:ascii="宋体" w:hAnsi="宋体"/>
          <w:sz w:val="24"/>
        </w:rPr>
        <w:t>除招标文件有特殊要求外，本项目投标所使用的计量单位，应采用中华人民共和国法定计量单位。</w:t>
      </w:r>
    </w:p>
    <w:p w14:paraId="4A454A44">
      <w:pPr>
        <w:numPr>
          <w:ilvl w:val="1"/>
          <w:numId w:val="1"/>
        </w:numPr>
        <w:tabs>
          <w:tab w:val="left" w:pos="1080"/>
          <w:tab w:val="left" w:pos="2014"/>
        </w:tabs>
        <w:snapToGrid w:val="0"/>
        <w:spacing w:line="360" w:lineRule="auto"/>
        <w:ind w:left="1080" w:hanging="720"/>
        <w:rPr>
          <w:rFonts w:ascii="宋体" w:hAnsi="宋体"/>
          <w:sz w:val="24"/>
        </w:rPr>
      </w:pPr>
      <w:r>
        <w:rPr>
          <w:rFonts w:ascii="宋体" w:hAnsi="宋体"/>
          <w:sz w:val="24"/>
        </w:rPr>
        <w:t>除专用术语外，投标文件及来往函电均应使用中文书写。必要时专用术语应附有中文解释。投标人提交的支持资料和已印制的文献可以用外文，但相应内容应附有中文翻译本，在解释投标文件时以中文翻译本为准。未附中文翻译本或翻译本中文内容明显与外文内容不一致的，其不利后果由投标人自行承担。</w:t>
      </w:r>
    </w:p>
    <w:p w14:paraId="1F452B27">
      <w:pPr>
        <w:numPr>
          <w:ilvl w:val="0"/>
          <w:numId w:val="1"/>
        </w:numPr>
        <w:tabs>
          <w:tab w:val="left" w:pos="360"/>
        </w:tabs>
        <w:snapToGrid w:val="0"/>
        <w:spacing w:line="360" w:lineRule="auto"/>
        <w:ind w:left="357" w:hanging="357"/>
        <w:outlineLvl w:val="1"/>
        <w:rPr>
          <w:rFonts w:ascii="宋体" w:hAnsi="宋体"/>
          <w:sz w:val="24"/>
        </w:rPr>
      </w:pPr>
      <w:bookmarkStart w:id="257" w:name="_Toc516367022"/>
      <w:bookmarkStart w:id="258" w:name="_Ref467306676"/>
      <w:bookmarkStart w:id="259" w:name="_Ref467306195"/>
      <w:bookmarkStart w:id="260" w:name="_Toc195842893"/>
      <w:bookmarkStart w:id="261" w:name="_Toc127151729"/>
      <w:bookmarkStart w:id="262" w:name="_Toc127151528"/>
      <w:bookmarkStart w:id="263" w:name="_Toc164351622"/>
      <w:bookmarkStart w:id="264" w:name="_Toc265228366"/>
      <w:bookmarkStart w:id="265" w:name="_Toc150774733"/>
      <w:bookmarkStart w:id="266" w:name="_Toc264969218"/>
      <w:bookmarkStart w:id="267" w:name="_Toc164229369"/>
      <w:bookmarkStart w:id="268" w:name="_Toc150509279"/>
      <w:bookmarkStart w:id="269" w:name="_Toc164608797"/>
      <w:bookmarkStart w:id="270" w:name="_Toc226965718"/>
      <w:bookmarkStart w:id="271" w:name="_Toc305158796"/>
      <w:bookmarkStart w:id="272" w:name="_Toc226965801"/>
      <w:bookmarkStart w:id="273" w:name="_Toc151193698"/>
      <w:bookmarkStart w:id="274" w:name="_Toc164229223"/>
      <w:bookmarkStart w:id="275" w:name="_Toc226309772"/>
      <w:bookmarkStart w:id="276" w:name="_Toc127161442"/>
      <w:bookmarkStart w:id="277" w:name="_Toc149720821"/>
      <w:bookmarkStart w:id="278" w:name="_Toc151193842"/>
      <w:bookmarkStart w:id="279" w:name="_Toc226337224"/>
      <w:bookmarkStart w:id="280" w:name="_Toc151193916"/>
      <w:bookmarkStart w:id="281" w:name="_Toc305158870"/>
      <w:bookmarkStart w:id="282" w:name="_Toc150480766"/>
      <w:bookmarkStart w:id="283" w:name="_Toc151190155"/>
      <w:bookmarkStart w:id="284" w:name="_Toc151193770"/>
      <w:bookmarkStart w:id="285" w:name="_Toc151193626"/>
      <w:bookmarkStart w:id="286" w:name="_Toc520356152"/>
      <w:bookmarkStart w:id="287" w:name="_Toc150774628"/>
      <w:bookmarkStart w:id="288" w:name="_Toc164608642"/>
      <w:bookmarkStart w:id="289" w:name="_Toc142311030"/>
      <w:r>
        <w:rPr>
          <w:rFonts w:ascii="宋体" w:hAnsi="宋体"/>
          <w:sz w:val="24"/>
        </w:rPr>
        <w:t>投标文件</w:t>
      </w:r>
      <w:bookmarkEnd w:id="257"/>
      <w:bookmarkEnd w:id="258"/>
      <w:bookmarkEnd w:id="259"/>
      <w:r>
        <w:rPr>
          <w:rFonts w:ascii="宋体" w:hAnsi="宋体"/>
          <w:sz w:val="24"/>
        </w:rPr>
        <w:t>构成</w:t>
      </w:r>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p>
    <w:p w14:paraId="11BCCCF9">
      <w:pPr>
        <w:numPr>
          <w:ilvl w:val="1"/>
          <w:numId w:val="1"/>
        </w:numPr>
        <w:tabs>
          <w:tab w:val="left" w:pos="1080"/>
          <w:tab w:val="left" w:pos="2014"/>
        </w:tabs>
        <w:snapToGrid w:val="0"/>
        <w:spacing w:line="360" w:lineRule="auto"/>
        <w:ind w:left="1077" w:hanging="720"/>
        <w:rPr>
          <w:rFonts w:ascii="宋体" w:hAnsi="宋体"/>
          <w:sz w:val="24"/>
        </w:rPr>
      </w:pPr>
      <w:bookmarkStart w:id="290" w:name="_Ref467052588"/>
      <w:r>
        <w:rPr>
          <w:rFonts w:ascii="宋体" w:hAnsi="宋体"/>
          <w:sz w:val="24"/>
        </w:rPr>
        <w:t>投标人应当按照招标文件的要求编制投标文件。投标文件应由《资格证明文件》、《商务技术文件》两部分构成。投标文件的部分格式要求，见第七章《投标文件格式》。</w:t>
      </w:r>
    </w:p>
    <w:p w14:paraId="683679A6">
      <w:pPr>
        <w:numPr>
          <w:ilvl w:val="1"/>
          <w:numId w:val="1"/>
        </w:numPr>
        <w:tabs>
          <w:tab w:val="left" w:pos="1080"/>
          <w:tab w:val="left" w:pos="2014"/>
        </w:tabs>
        <w:snapToGrid w:val="0"/>
        <w:spacing w:line="360" w:lineRule="auto"/>
        <w:ind w:left="1077" w:hanging="720"/>
        <w:rPr>
          <w:rFonts w:ascii="宋体" w:hAnsi="宋体"/>
          <w:sz w:val="24"/>
        </w:rPr>
      </w:pPr>
      <w:r>
        <w:rPr>
          <w:rFonts w:ascii="宋体" w:hAnsi="宋体"/>
          <w:kern w:val="0"/>
          <w:sz w:val="24"/>
        </w:rPr>
        <w:t>对于招标文件中标记了“实质性格式”文件的，</w:t>
      </w:r>
      <w:r>
        <w:rPr>
          <w:rFonts w:ascii="宋体" w:hAnsi="宋体"/>
          <w:sz w:val="24"/>
        </w:rPr>
        <w:t>投标人不得改变格式中给定的文字所表达的含义，不得删减格式中的实质性内容，不得自行添加与格式中给定的文字内容相矛盾的内容，不得对应当填写的空格不填写或不实质性响应，</w:t>
      </w:r>
      <w:r>
        <w:rPr>
          <w:rFonts w:ascii="宋体" w:hAnsi="宋体"/>
          <w:kern w:val="0"/>
          <w:sz w:val="24"/>
        </w:rPr>
        <w:t>否则</w:t>
      </w:r>
      <w:r>
        <w:rPr>
          <w:rFonts w:ascii="宋体" w:hAnsi="宋体"/>
          <w:b/>
          <w:kern w:val="0"/>
          <w:sz w:val="24"/>
        </w:rPr>
        <w:t>投标无效</w:t>
      </w:r>
      <w:r>
        <w:rPr>
          <w:rFonts w:ascii="宋体" w:hAnsi="宋体"/>
          <w:kern w:val="0"/>
          <w:sz w:val="24"/>
        </w:rPr>
        <w:t>。未标记“实质性格式”的文件和招标文件未提供格式的内容，可由投标人自行编写。</w:t>
      </w:r>
    </w:p>
    <w:p w14:paraId="682D2765">
      <w:pPr>
        <w:numPr>
          <w:ilvl w:val="1"/>
          <w:numId w:val="1"/>
        </w:numPr>
        <w:tabs>
          <w:tab w:val="left" w:pos="1080"/>
          <w:tab w:val="left" w:pos="2014"/>
        </w:tabs>
        <w:snapToGrid w:val="0"/>
        <w:spacing w:line="360" w:lineRule="auto"/>
        <w:ind w:left="1077" w:hanging="720"/>
        <w:rPr>
          <w:rFonts w:ascii="宋体" w:hAnsi="宋体"/>
          <w:sz w:val="24"/>
        </w:rPr>
      </w:pPr>
      <w:r>
        <w:rPr>
          <w:rFonts w:ascii="宋体" w:hAnsi="宋体"/>
          <w:sz w:val="24"/>
        </w:rPr>
        <w:t>第四章《评标程序、评标方法和评标标准》中涉及的证明文件。</w:t>
      </w:r>
    </w:p>
    <w:p w14:paraId="212691B5">
      <w:pPr>
        <w:numPr>
          <w:ilvl w:val="1"/>
          <w:numId w:val="1"/>
        </w:numPr>
        <w:tabs>
          <w:tab w:val="left" w:pos="1080"/>
          <w:tab w:val="left" w:pos="2014"/>
        </w:tabs>
        <w:snapToGrid w:val="0"/>
        <w:spacing w:line="360" w:lineRule="auto"/>
        <w:ind w:left="1077" w:hanging="720"/>
        <w:rPr>
          <w:rFonts w:ascii="宋体" w:hAnsi="宋体"/>
          <w:sz w:val="24"/>
        </w:rPr>
      </w:pPr>
      <w:r>
        <w:rPr>
          <w:rFonts w:ascii="宋体" w:hAnsi="宋体"/>
          <w:sz w:val="24"/>
        </w:rPr>
        <w:t>对照第五章《采购需求》，说明所提供货物和服务已对第五章《采购需求》做出了响应，或申明与第五章《采购需求》的偏差和例外。如第五章《采购需求》中要求提供证明文件的，投标人应当按具体要求提供证明文件。</w:t>
      </w:r>
    </w:p>
    <w:p w14:paraId="3895FD07">
      <w:pPr>
        <w:numPr>
          <w:ilvl w:val="1"/>
          <w:numId w:val="1"/>
        </w:numPr>
        <w:tabs>
          <w:tab w:val="left" w:pos="1080"/>
          <w:tab w:val="left" w:pos="2014"/>
        </w:tabs>
        <w:snapToGrid w:val="0"/>
        <w:spacing w:line="360" w:lineRule="auto"/>
        <w:ind w:left="1077" w:hanging="720"/>
        <w:rPr>
          <w:rFonts w:ascii="宋体" w:hAnsi="宋体"/>
          <w:sz w:val="24"/>
        </w:rPr>
      </w:pPr>
      <w:r>
        <w:rPr>
          <w:rFonts w:ascii="宋体" w:hAnsi="宋体"/>
          <w:sz w:val="24"/>
        </w:rPr>
        <w:t>投标人认为应附的其他材料。</w:t>
      </w:r>
      <w:bookmarkEnd w:id="290"/>
    </w:p>
    <w:p w14:paraId="0174CE2E">
      <w:pPr>
        <w:numPr>
          <w:ilvl w:val="0"/>
          <w:numId w:val="1"/>
        </w:numPr>
        <w:tabs>
          <w:tab w:val="left" w:pos="360"/>
        </w:tabs>
        <w:snapToGrid w:val="0"/>
        <w:spacing w:line="360" w:lineRule="auto"/>
        <w:ind w:left="357" w:hanging="357"/>
        <w:outlineLvl w:val="1"/>
        <w:rPr>
          <w:rFonts w:ascii="宋体" w:hAnsi="宋体"/>
          <w:sz w:val="24"/>
        </w:rPr>
      </w:pPr>
      <w:bookmarkStart w:id="291" w:name="_Toc142311032"/>
      <w:bookmarkStart w:id="292" w:name="_Toc150774630"/>
      <w:bookmarkStart w:id="293" w:name="_Toc164351624"/>
      <w:bookmarkStart w:id="294" w:name="_Toc150774735"/>
      <w:bookmarkStart w:id="295" w:name="_Toc150480768"/>
      <w:bookmarkStart w:id="296" w:name="_Toc151190157"/>
      <w:bookmarkStart w:id="297" w:name="_Toc164229371"/>
      <w:bookmarkStart w:id="298" w:name="_Toc127161444"/>
      <w:bookmarkStart w:id="299" w:name="_Toc149720823"/>
      <w:bookmarkStart w:id="300" w:name="_Toc150509281"/>
      <w:bookmarkStart w:id="301" w:name="_Toc127151731"/>
      <w:bookmarkStart w:id="302" w:name="_Toc520356155"/>
      <w:bookmarkStart w:id="303" w:name="_Toc151193918"/>
      <w:bookmarkStart w:id="304" w:name="_Toc164229225"/>
      <w:bookmarkStart w:id="305" w:name="_Toc127151530"/>
      <w:bookmarkStart w:id="306" w:name="_Toc151193772"/>
      <w:bookmarkStart w:id="307" w:name="_Toc164608644"/>
      <w:bookmarkStart w:id="308" w:name="_Toc151193700"/>
      <w:bookmarkStart w:id="309" w:name="_Toc195842895"/>
      <w:bookmarkStart w:id="310" w:name="_Toc151193844"/>
      <w:bookmarkStart w:id="311" w:name="_Toc164608799"/>
      <w:bookmarkStart w:id="312" w:name="_Toc151193628"/>
      <w:r>
        <w:rPr>
          <w:rFonts w:ascii="宋体" w:hAnsi="宋体"/>
          <w:sz w:val="24"/>
        </w:rPr>
        <w:t>投标报价</w:t>
      </w:r>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p>
    <w:p w14:paraId="58C92F31">
      <w:pPr>
        <w:numPr>
          <w:ilvl w:val="1"/>
          <w:numId w:val="1"/>
        </w:numPr>
        <w:tabs>
          <w:tab w:val="left" w:pos="1080"/>
          <w:tab w:val="left" w:pos="2014"/>
        </w:tabs>
        <w:snapToGrid w:val="0"/>
        <w:spacing w:line="360" w:lineRule="auto"/>
        <w:ind w:left="1077" w:hanging="720"/>
        <w:rPr>
          <w:rFonts w:ascii="宋体" w:hAnsi="宋体"/>
          <w:sz w:val="24"/>
        </w:rPr>
      </w:pPr>
      <w:r>
        <w:rPr>
          <w:rFonts w:ascii="宋体" w:hAnsi="宋体"/>
          <w:sz w:val="24"/>
        </w:rPr>
        <w:t>所有投标均以人民币报价。</w:t>
      </w:r>
    </w:p>
    <w:p w14:paraId="2B184168">
      <w:pPr>
        <w:numPr>
          <w:ilvl w:val="1"/>
          <w:numId w:val="1"/>
        </w:numPr>
        <w:tabs>
          <w:tab w:val="left" w:pos="1080"/>
          <w:tab w:val="left" w:pos="2014"/>
        </w:tabs>
        <w:snapToGrid w:val="0"/>
        <w:spacing w:line="360" w:lineRule="auto"/>
        <w:ind w:left="1077" w:hanging="720"/>
        <w:rPr>
          <w:rFonts w:ascii="宋体" w:hAnsi="宋体"/>
          <w:sz w:val="24"/>
        </w:rPr>
      </w:pPr>
      <w:r>
        <w:rPr>
          <w:rFonts w:ascii="宋体" w:hAnsi="宋体"/>
          <w:sz w:val="24"/>
        </w:rPr>
        <w:t>投标人的报价应包括为完成本项目所发生的一切费用和税费，</w:t>
      </w:r>
      <w:r>
        <w:rPr>
          <w:rFonts w:hint="eastAsia" w:ascii="宋体" w:hAnsi="宋体"/>
          <w:sz w:val="24"/>
        </w:rPr>
        <w:t>采购人</w:t>
      </w:r>
      <w:r>
        <w:rPr>
          <w:rFonts w:ascii="宋体" w:hAnsi="宋体"/>
          <w:sz w:val="24"/>
        </w:rPr>
        <w:t>将不再支付报价以外的任何费用。</w:t>
      </w:r>
      <w:r>
        <w:rPr>
          <w:rFonts w:hint="eastAsia" w:ascii="宋体" w:hAnsi="宋体"/>
          <w:sz w:val="24"/>
        </w:rPr>
        <w:t>投标人的报价应包括但不限于下列内容，《投标人须知资料表》中有特殊规定的，从其规定。</w:t>
      </w:r>
    </w:p>
    <w:p w14:paraId="015D4CD3">
      <w:pPr>
        <w:numPr>
          <w:ilvl w:val="2"/>
          <w:numId w:val="1"/>
        </w:numPr>
        <w:snapToGrid w:val="0"/>
        <w:spacing w:line="360" w:lineRule="auto"/>
        <w:rPr>
          <w:rFonts w:ascii="宋体" w:hAnsi="宋体"/>
          <w:sz w:val="24"/>
        </w:rPr>
      </w:pPr>
      <w:r>
        <w:rPr>
          <w:rFonts w:hint="eastAsia" w:ascii="宋体" w:hAnsi="宋体"/>
          <w:sz w:val="24"/>
        </w:rPr>
        <w:t>投标货物及标准附件、备品备件、专用工具等的出厂价（包括已在中国国内的进口货物完税后的仓库交货价、展室交货价或货架交货价）和运至最终目的地的运输费和保险费，安装调试、检验、技术服务、培训、质量保证、售后服务、税费等；</w:t>
      </w:r>
    </w:p>
    <w:p w14:paraId="1BDE9203">
      <w:pPr>
        <w:numPr>
          <w:ilvl w:val="2"/>
          <w:numId w:val="1"/>
        </w:numPr>
        <w:snapToGrid w:val="0"/>
        <w:spacing w:line="360" w:lineRule="auto"/>
        <w:rPr>
          <w:rFonts w:ascii="宋体" w:hAnsi="宋体"/>
          <w:sz w:val="24"/>
        </w:rPr>
      </w:pPr>
      <w:r>
        <w:rPr>
          <w:rFonts w:ascii="宋体" w:hAnsi="宋体"/>
          <w:sz w:val="24"/>
        </w:rPr>
        <w:t>按照招标文件要求完成本项目的全部相关服务费用。</w:t>
      </w:r>
    </w:p>
    <w:p w14:paraId="46BD5696">
      <w:pPr>
        <w:numPr>
          <w:ilvl w:val="1"/>
          <w:numId w:val="1"/>
        </w:numPr>
        <w:tabs>
          <w:tab w:val="left" w:pos="1080"/>
          <w:tab w:val="left" w:pos="2014"/>
        </w:tabs>
        <w:snapToGrid w:val="0"/>
        <w:spacing w:line="360" w:lineRule="auto"/>
        <w:ind w:left="1077" w:hanging="720"/>
        <w:rPr>
          <w:rFonts w:ascii="宋体" w:hAnsi="宋体"/>
          <w:sz w:val="24"/>
        </w:rPr>
      </w:pPr>
      <w:r>
        <w:rPr>
          <w:rFonts w:ascii="宋体" w:hAnsi="宋体"/>
          <w:sz w:val="24"/>
        </w:rPr>
        <w:t>采购人不得向供应商索要或者接受其给予的赠品、回扣或者与采购无关的其他商品、服务。</w:t>
      </w:r>
    </w:p>
    <w:p w14:paraId="6F7B290F">
      <w:pPr>
        <w:numPr>
          <w:ilvl w:val="1"/>
          <w:numId w:val="1"/>
        </w:numPr>
        <w:tabs>
          <w:tab w:val="left" w:pos="1080"/>
          <w:tab w:val="left" w:pos="2014"/>
        </w:tabs>
        <w:snapToGrid w:val="0"/>
        <w:spacing w:line="360" w:lineRule="auto"/>
        <w:ind w:left="1080" w:hanging="720"/>
        <w:rPr>
          <w:rFonts w:ascii="宋体" w:hAnsi="宋体"/>
          <w:sz w:val="24"/>
        </w:rPr>
      </w:pPr>
      <w:r>
        <w:rPr>
          <w:rFonts w:ascii="宋体" w:hAnsi="宋体"/>
          <w:sz w:val="24"/>
        </w:rPr>
        <w:t>投标人不能提供任何有选择性或可调整的报价</w:t>
      </w:r>
      <w:r>
        <w:rPr>
          <w:rFonts w:hint="eastAsia" w:ascii="宋体" w:hAnsi="宋体"/>
          <w:sz w:val="24"/>
        </w:rPr>
        <w:t>（招标文件另有规定的除外），</w:t>
      </w:r>
      <w:r>
        <w:rPr>
          <w:rFonts w:ascii="宋体" w:hAnsi="宋体"/>
          <w:sz w:val="24"/>
        </w:rPr>
        <w:t>否则其</w:t>
      </w:r>
      <w:r>
        <w:rPr>
          <w:rFonts w:ascii="宋体" w:hAnsi="宋体"/>
          <w:b/>
          <w:sz w:val="24"/>
        </w:rPr>
        <w:t>投标无效</w:t>
      </w:r>
      <w:r>
        <w:rPr>
          <w:rFonts w:ascii="宋体" w:hAnsi="宋体"/>
          <w:sz w:val="24"/>
        </w:rPr>
        <w:t>。</w:t>
      </w:r>
    </w:p>
    <w:p w14:paraId="2432DE52">
      <w:pPr>
        <w:numPr>
          <w:ilvl w:val="1"/>
          <w:numId w:val="1"/>
        </w:numPr>
        <w:tabs>
          <w:tab w:val="left" w:pos="1080"/>
          <w:tab w:val="left" w:pos="2014"/>
        </w:tabs>
        <w:snapToGrid w:val="0"/>
        <w:spacing w:line="360" w:lineRule="auto"/>
        <w:ind w:left="1080" w:hanging="720"/>
        <w:rPr>
          <w:rFonts w:ascii="宋体" w:hAnsi="宋体"/>
          <w:sz w:val="24"/>
        </w:rPr>
      </w:pPr>
      <w:r>
        <w:rPr>
          <w:rFonts w:hint="eastAsia" w:ascii="宋体" w:hAnsi="宋体"/>
          <w:sz w:val="24"/>
        </w:rPr>
        <w:t>投标报价超过招标文件中规定的项目/采购包预算金额或者项目/采购包最高限价或者单价最高限价的，其</w:t>
      </w:r>
      <w:r>
        <w:rPr>
          <w:rFonts w:ascii="宋体" w:hAnsi="宋体"/>
          <w:b/>
          <w:sz w:val="24"/>
        </w:rPr>
        <w:t>投标无效</w:t>
      </w:r>
      <w:r>
        <w:rPr>
          <w:rFonts w:hint="eastAsia" w:ascii="宋体" w:hAnsi="宋体" w:cs="宋体"/>
          <w:b/>
          <w:bCs/>
          <w:sz w:val="24"/>
        </w:rPr>
        <w:t>。</w:t>
      </w:r>
    </w:p>
    <w:p w14:paraId="46CEDC65">
      <w:pPr>
        <w:numPr>
          <w:ilvl w:val="0"/>
          <w:numId w:val="1"/>
        </w:numPr>
        <w:tabs>
          <w:tab w:val="left" w:pos="360"/>
        </w:tabs>
        <w:snapToGrid w:val="0"/>
        <w:spacing w:line="360" w:lineRule="auto"/>
        <w:ind w:left="357" w:hanging="357"/>
        <w:outlineLvl w:val="1"/>
        <w:rPr>
          <w:rFonts w:ascii="宋体" w:hAnsi="宋体"/>
          <w:sz w:val="24"/>
        </w:rPr>
      </w:pPr>
      <w:bookmarkStart w:id="313" w:name="_Toc226965721"/>
      <w:bookmarkStart w:id="314" w:name="_Toc164608800"/>
      <w:bookmarkStart w:id="315" w:name="_Toc150480769"/>
      <w:bookmarkStart w:id="316" w:name="_Toc226309775"/>
      <w:bookmarkStart w:id="317" w:name="_Toc151190158"/>
      <w:bookmarkStart w:id="318" w:name="_Toc151193701"/>
      <w:bookmarkStart w:id="319" w:name="_Toc264969221"/>
      <w:bookmarkStart w:id="320" w:name="_Toc151193845"/>
      <w:bookmarkStart w:id="321" w:name="_Toc195842896"/>
      <w:bookmarkStart w:id="322" w:name="_Toc226965804"/>
      <w:bookmarkStart w:id="323" w:name="_Toc142311033"/>
      <w:bookmarkStart w:id="324" w:name="_Toc164608645"/>
      <w:bookmarkStart w:id="325" w:name="_Toc305158873"/>
      <w:bookmarkStart w:id="326" w:name="_Toc164229372"/>
      <w:bookmarkStart w:id="327" w:name="_Toc151193629"/>
      <w:bookmarkStart w:id="328" w:name="_Toc164351625"/>
      <w:bookmarkStart w:id="329" w:name="_Toc150774736"/>
      <w:bookmarkStart w:id="330" w:name="_Toc265228369"/>
      <w:bookmarkStart w:id="331" w:name="_Toc164229226"/>
      <w:bookmarkStart w:id="332" w:name="_Toc150509282"/>
      <w:bookmarkStart w:id="333" w:name="_Ref467306513"/>
      <w:bookmarkStart w:id="334" w:name="_Toc226337227"/>
      <w:bookmarkStart w:id="335" w:name="_Toc149720824"/>
      <w:bookmarkStart w:id="336" w:name="_Toc151193919"/>
      <w:bookmarkStart w:id="337" w:name="_Toc127161445"/>
      <w:bookmarkStart w:id="338" w:name="_Toc127151531"/>
      <w:bookmarkStart w:id="339" w:name="_Toc305158799"/>
      <w:bookmarkStart w:id="340" w:name="_Toc520356156"/>
      <w:bookmarkStart w:id="341" w:name="_Toc150774631"/>
      <w:bookmarkStart w:id="342" w:name="_Toc127151732"/>
      <w:bookmarkStart w:id="343" w:name="_Toc151193773"/>
      <w:r>
        <w:rPr>
          <w:rFonts w:ascii="宋体" w:hAnsi="宋体"/>
          <w:sz w:val="24"/>
        </w:rPr>
        <w:t>投标保证金</w:t>
      </w:r>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p>
    <w:p w14:paraId="4946476A">
      <w:pPr>
        <w:numPr>
          <w:ilvl w:val="1"/>
          <w:numId w:val="1"/>
        </w:numPr>
        <w:tabs>
          <w:tab w:val="left" w:pos="1080"/>
          <w:tab w:val="left" w:pos="2014"/>
        </w:tabs>
        <w:snapToGrid w:val="0"/>
        <w:spacing w:line="360" w:lineRule="auto"/>
        <w:ind w:left="1077" w:hanging="720"/>
        <w:rPr>
          <w:rFonts w:ascii="宋体" w:hAnsi="宋体"/>
          <w:sz w:val="24"/>
        </w:rPr>
      </w:pPr>
      <w:r>
        <w:rPr>
          <w:rFonts w:hint="eastAsia" w:ascii="宋体" w:hAnsi="宋体"/>
          <w:sz w:val="24"/>
        </w:rPr>
        <w:t>投标人应按《投标人须知资料表》中规定的金额及要求交纳投标保证金，投标人自愿超额缴纳投标保证金的，投标文件不做无效处理。</w:t>
      </w:r>
    </w:p>
    <w:p w14:paraId="4EDD2F7D">
      <w:pPr>
        <w:numPr>
          <w:ilvl w:val="1"/>
          <w:numId w:val="1"/>
        </w:numPr>
        <w:tabs>
          <w:tab w:val="left" w:pos="1080"/>
          <w:tab w:val="left" w:pos="2014"/>
        </w:tabs>
        <w:snapToGrid w:val="0"/>
        <w:spacing w:line="360" w:lineRule="auto"/>
        <w:ind w:left="1077" w:hanging="720"/>
        <w:rPr>
          <w:rFonts w:ascii="宋体" w:hAnsi="宋体"/>
          <w:sz w:val="24"/>
        </w:rPr>
      </w:pPr>
      <w:r>
        <w:rPr>
          <w:rFonts w:ascii="宋体" w:hAnsi="宋体"/>
          <w:sz w:val="24"/>
        </w:rPr>
        <w:t>交纳投标保证金可采用的形式：政府采购法律法规接受的支票、汇票、本票、网上银行支付或者金融机构、担保机构出具的保函等非现金形式。</w:t>
      </w:r>
    </w:p>
    <w:p w14:paraId="0FD3F393">
      <w:pPr>
        <w:numPr>
          <w:ilvl w:val="1"/>
          <w:numId w:val="1"/>
        </w:numPr>
        <w:tabs>
          <w:tab w:val="left" w:pos="1080"/>
          <w:tab w:val="left" w:pos="2014"/>
        </w:tabs>
        <w:snapToGrid w:val="0"/>
        <w:spacing w:line="360" w:lineRule="auto"/>
        <w:ind w:left="1077" w:hanging="720"/>
        <w:rPr>
          <w:rFonts w:ascii="宋体" w:hAnsi="宋体"/>
          <w:sz w:val="24"/>
        </w:rPr>
      </w:pPr>
      <w:r>
        <w:rPr>
          <w:rFonts w:ascii="宋体" w:hAnsi="宋体"/>
          <w:sz w:val="24"/>
        </w:rPr>
        <w:t>投标保证金到账（保函提交）截止时间同投标截止时间。以支票、汇票、本票、网上银行支付等形式提交投标保证金的，应在投标截止时间前</w:t>
      </w:r>
      <w:r>
        <w:rPr>
          <w:rFonts w:hint="eastAsia" w:ascii="宋体" w:hAnsi="宋体"/>
          <w:sz w:val="24"/>
        </w:rPr>
        <w:t>到账</w:t>
      </w:r>
      <w:r>
        <w:rPr>
          <w:rFonts w:ascii="宋体" w:hAnsi="宋体"/>
          <w:sz w:val="24"/>
        </w:rPr>
        <w:t>；</w:t>
      </w:r>
      <w:r>
        <w:rPr>
          <w:rFonts w:hint="eastAsia" w:ascii="宋体" w:hAnsi="宋体"/>
          <w:sz w:val="24"/>
        </w:rPr>
        <w:t>以</w:t>
      </w:r>
      <w:r>
        <w:rPr>
          <w:rFonts w:ascii="宋体" w:hAnsi="宋体"/>
          <w:sz w:val="24"/>
        </w:rPr>
        <w:t>金融机构、担保机构出具的保函等形式提交投标保证金的，应在投标截止时间前将原件提交至</w:t>
      </w:r>
      <w:r>
        <w:rPr>
          <w:rFonts w:hint="eastAsia" w:ascii="宋体" w:hAnsi="宋体"/>
          <w:sz w:val="24"/>
        </w:rPr>
        <w:t>采购代理机构。由于到账时间晚于投标截止时间的，或者票据错误、印鉴不清等原因导致不能到账的，其</w:t>
      </w:r>
      <w:r>
        <w:rPr>
          <w:rFonts w:hint="eastAsia" w:ascii="宋体" w:hAnsi="宋体"/>
          <w:b/>
          <w:sz w:val="24"/>
        </w:rPr>
        <w:t>投标无效</w:t>
      </w:r>
      <w:r>
        <w:rPr>
          <w:rFonts w:hint="eastAsia" w:ascii="宋体" w:hAnsi="宋体"/>
          <w:sz w:val="24"/>
        </w:rPr>
        <w:t>。</w:t>
      </w:r>
    </w:p>
    <w:p w14:paraId="0BAB096D">
      <w:pPr>
        <w:numPr>
          <w:ilvl w:val="1"/>
          <w:numId w:val="1"/>
        </w:numPr>
        <w:tabs>
          <w:tab w:val="left" w:pos="1080"/>
          <w:tab w:val="left" w:pos="2014"/>
        </w:tabs>
        <w:snapToGrid w:val="0"/>
        <w:spacing w:line="360" w:lineRule="auto"/>
        <w:ind w:left="1077" w:hanging="720"/>
        <w:rPr>
          <w:rFonts w:ascii="宋体" w:hAnsi="宋体"/>
        </w:rPr>
      </w:pPr>
      <w:r>
        <w:rPr>
          <w:rFonts w:ascii="宋体" w:hAnsi="宋体"/>
          <w:sz w:val="24"/>
        </w:rPr>
        <w:t>投标人除需在投标文件中提供“投标保证金凭证</w:t>
      </w:r>
      <w:r>
        <w:rPr>
          <w:rFonts w:ascii="宋体" w:hAnsi="宋体" w:cs="Arial"/>
          <w:sz w:val="24"/>
        </w:rPr>
        <w:t>/</w:t>
      </w:r>
      <w:r>
        <w:rPr>
          <w:rFonts w:ascii="宋体" w:hAnsi="宋体"/>
          <w:sz w:val="24"/>
        </w:rPr>
        <w:t>交款单据电子件”，还需在投标截止时间前，通过电子交易平台上传“投标保证金凭证</w:t>
      </w:r>
      <w:r>
        <w:rPr>
          <w:rFonts w:ascii="宋体" w:hAnsi="宋体" w:cs="Arial"/>
          <w:sz w:val="24"/>
        </w:rPr>
        <w:t>/</w:t>
      </w:r>
      <w:r>
        <w:rPr>
          <w:rFonts w:ascii="宋体" w:hAnsi="宋体"/>
          <w:sz w:val="24"/>
        </w:rPr>
        <w:t>交款单据电子件”。</w:t>
      </w:r>
    </w:p>
    <w:p w14:paraId="45F1C95C">
      <w:pPr>
        <w:numPr>
          <w:ilvl w:val="1"/>
          <w:numId w:val="1"/>
        </w:numPr>
        <w:tabs>
          <w:tab w:val="left" w:pos="1080"/>
          <w:tab w:val="left" w:pos="2014"/>
        </w:tabs>
        <w:snapToGrid w:val="0"/>
        <w:spacing w:line="360" w:lineRule="auto"/>
        <w:ind w:left="1077" w:hanging="720"/>
        <w:rPr>
          <w:rFonts w:ascii="宋体" w:hAnsi="宋体"/>
          <w:sz w:val="24"/>
        </w:rPr>
      </w:pPr>
      <w:r>
        <w:rPr>
          <w:rFonts w:ascii="宋体" w:hAnsi="宋体"/>
          <w:sz w:val="24"/>
        </w:rPr>
        <w:t>投标保证金（保函）有效期同投标有效期。</w:t>
      </w:r>
    </w:p>
    <w:p w14:paraId="52818E6C">
      <w:pPr>
        <w:numPr>
          <w:ilvl w:val="1"/>
          <w:numId w:val="1"/>
        </w:numPr>
        <w:tabs>
          <w:tab w:val="left" w:pos="1080"/>
          <w:tab w:val="left" w:pos="2014"/>
        </w:tabs>
        <w:snapToGrid w:val="0"/>
        <w:spacing w:line="360" w:lineRule="auto"/>
        <w:ind w:left="1077" w:hanging="720"/>
        <w:rPr>
          <w:rFonts w:ascii="宋体" w:hAnsi="宋体"/>
          <w:sz w:val="24"/>
        </w:rPr>
      </w:pPr>
      <w:r>
        <w:rPr>
          <w:rFonts w:hint="eastAsia" w:ascii="宋体" w:hAnsi="宋体"/>
          <w:sz w:val="24"/>
        </w:rPr>
        <w:t>投标人为联合体的，可以由联合体中的一方或者多方共同交纳投标保证金，其交纳的投标保证金对联合体各方均具有约束力。</w:t>
      </w:r>
    </w:p>
    <w:p w14:paraId="6AFFFBE4">
      <w:pPr>
        <w:numPr>
          <w:ilvl w:val="1"/>
          <w:numId w:val="1"/>
        </w:numPr>
        <w:tabs>
          <w:tab w:val="left" w:pos="1080"/>
          <w:tab w:val="left" w:pos="2014"/>
        </w:tabs>
        <w:snapToGrid w:val="0"/>
        <w:spacing w:line="360" w:lineRule="auto"/>
        <w:ind w:left="1077" w:hanging="720"/>
        <w:rPr>
          <w:rFonts w:ascii="宋体" w:hAnsi="宋体"/>
          <w:sz w:val="24"/>
        </w:rPr>
      </w:pPr>
      <w:r>
        <w:rPr>
          <w:rFonts w:ascii="宋体" w:hAnsi="宋体"/>
          <w:sz w:val="24"/>
        </w:rPr>
        <w:t>采购人、采购代理机构将及时退还投标人的投标保证金，采用银行保函、担保机构担保函等形式递交的</w:t>
      </w:r>
      <w:r>
        <w:rPr>
          <w:rFonts w:hint="eastAsia" w:ascii="宋体" w:hAnsi="宋体"/>
          <w:sz w:val="24"/>
        </w:rPr>
        <w:t>投标</w:t>
      </w:r>
      <w:r>
        <w:rPr>
          <w:rFonts w:ascii="宋体" w:hAnsi="宋体"/>
          <w:sz w:val="24"/>
        </w:rPr>
        <w:t>保证金，经</w:t>
      </w:r>
      <w:r>
        <w:rPr>
          <w:rFonts w:hint="eastAsia" w:ascii="宋体" w:hAnsi="宋体"/>
          <w:sz w:val="24"/>
        </w:rPr>
        <w:t>投标人</w:t>
      </w:r>
      <w:r>
        <w:rPr>
          <w:rFonts w:ascii="宋体" w:hAnsi="宋体"/>
          <w:sz w:val="24"/>
        </w:rPr>
        <w:t>同意后采购人、采购代理机构可以不再退还，但因投标人自身原因导致无法及时退还的除外：</w:t>
      </w:r>
    </w:p>
    <w:p w14:paraId="2887FA0A">
      <w:pPr>
        <w:numPr>
          <w:ilvl w:val="2"/>
          <w:numId w:val="1"/>
        </w:numPr>
        <w:snapToGrid w:val="0"/>
        <w:spacing w:line="360" w:lineRule="auto"/>
        <w:rPr>
          <w:rFonts w:ascii="宋体" w:hAnsi="宋体"/>
          <w:sz w:val="24"/>
        </w:rPr>
      </w:pPr>
      <w:r>
        <w:rPr>
          <w:rFonts w:ascii="宋体" w:hAnsi="宋体"/>
          <w:sz w:val="24"/>
        </w:rPr>
        <w:t>投标人在投标截止时间前撤回已提交的投标文件的，自收到投标人书面撤回通知之日起5个工作日内退还已收取的投标保证金；</w:t>
      </w:r>
    </w:p>
    <w:p w14:paraId="11506E21">
      <w:pPr>
        <w:numPr>
          <w:ilvl w:val="2"/>
          <w:numId w:val="1"/>
        </w:numPr>
        <w:snapToGrid w:val="0"/>
        <w:spacing w:line="360" w:lineRule="auto"/>
        <w:rPr>
          <w:rFonts w:ascii="宋体" w:hAnsi="宋体"/>
          <w:sz w:val="24"/>
        </w:rPr>
      </w:pPr>
      <w:r>
        <w:rPr>
          <w:rFonts w:ascii="宋体" w:hAnsi="宋体"/>
          <w:sz w:val="24"/>
        </w:rPr>
        <w:t>中标人的投标保证金，自采购合同签订之日起5个工作日内退还中标人；</w:t>
      </w:r>
    </w:p>
    <w:p w14:paraId="6775B8E6">
      <w:pPr>
        <w:numPr>
          <w:ilvl w:val="2"/>
          <w:numId w:val="1"/>
        </w:numPr>
        <w:snapToGrid w:val="0"/>
        <w:spacing w:line="360" w:lineRule="auto"/>
        <w:rPr>
          <w:rFonts w:ascii="宋体" w:hAnsi="宋体"/>
          <w:sz w:val="24"/>
        </w:rPr>
      </w:pPr>
      <w:r>
        <w:rPr>
          <w:rFonts w:ascii="宋体" w:hAnsi="宋体"/>
          <w:sz w:val="24"/>
        </w:rPr>
        <w:t>未中标投标人的投标保证金，自中标通知书发出之日起5个工作日内退还未中标人；</w:t>
      </w:r>
    </w:p>
    <w:p w14:paraId="44C3DEF4">
      <w:pPr>
        <w:numPr>
          <w:ilvl w:val="2"/>
          <w:numId w:val="1"/>
        </w:numPr>
        <w:snapToGrid w:val="0"/>
        <w:spacing w:line="360" w:lineRule="auto"/>
        <w:rPr>
          <w:rFonts w:ascii="宋体" w:hAnsi="宋体"/>
          <w:sz w:val="24"/>
        </w:rPr>
      </w:pPr>
      <w:r>
        <w:rPr>
          <w:rFonts w:hint="eastAsia" w:ascii="宋体" w:hAnsi="宋体"/>
          <w:sz w:val="24"/>
        </w:rPr>
        <w:t>终止招标项目已经收取投标保证金的，自终止采购活动后5个工作日内退还已收取的投标保证金及其在银行产生的孳息。</w:t>
      </w:r>
    </w:p>
    <w:p w14:paraId="53730770">
      <w:pPr>
        <w:numPr>
          <w:ilvl w:val="1"/>
          <w:numId w:val="1"/>
        </w:numPr>
        <w:tabs>
          <w:tab w:val="left" w:pos="1080"/>
          <w:tab w:val="left" w:pos="2014"/>
        </w:tabs>
        <w:snapToGrid w:val="0"/>
        <w:spacing w:line="360" w:lineRule="auto"/>
        <w:ind w:left="1077" w:hanging="720"/>
        <w:rPr>
          <w:rFonts w:ascii="宋体" w:hAnsi="宋体"/>
          <w:sz w:val="24"/>
        </w:rPr>
      </w:pPr>
      <w:r>
        <w:rPr>
          <w:rFonts w:ascii="宋体" w:hAnsi="宋体"/>
          <w:sz w:val="24"/>
        </w:rPr>
        <w:t>有下列情形之一的，采购人或采购代理机构可以不予退还投标保证金：</w:t>
      </w:r>
    </w:p>
    <w:p w14:paraId="10C860C0">
      <w:pPr>
        <w:numPr>
          <w:ilvl w:val="2"/>
          <w:numId w:val="1"/>
        </w:numPr>
        <w:snapToGrid w:val="0"/>
        <w:spacing w:line="360" w:lineRule="auto"/>
        <w:rPr>
          <w:rFonts w:ascii="宋体" w:hAnsi="宋体"/>
          <w:sz w:val="24"/>
        </w:rPr>
      </w:pPr>
      <w:r>
        <w:rPr>
          <w:rFonts w:ascii="宋体" w:hAnsi="宋体"/>
          <w:sz w:val="24"/>
        </w:rPr>
        <w:t>投标有效期内投标人撤销投标文件的；</w:t>
      </w:r>
    </w:p>
    <w:p w14:paraId="18D9B0FB">
      <w:pPr>
        <w:numPr>
          <w:ilvl w:val="2"/>
          <w:numId w:val="1"/>
        </w:numPr>
        <w:tabs>
          <w:tab w:val="left" w:pos="900"/>
          <w:tab w:val="left" w:pos="1080"/>
          <w:tab w:val="left" w:pos="2014"/>
        </w:tabs>
        <w:snapToGrid w:val="0"/>
        <w:spacing w:line="360" w:lineRule="auto"/>
        <w:rPr>
          <w:rFonts w:ascii="宋体" w:hAnsi="宋体"/>
          <w:sz w:val="24"/>
        </w:rPr>
      </w:pPr>
      <w:r>
        <w:rPr>
          <w:rFonts w:ascii="宋体" w:hAnsi="宋体"/>
          <w:sz w:val="24"/>
        </w:rPr>
        <w:t>《投标人须知资料表》中规定的其他情形。</w:t>
      </w:r>
    </w:p>
    <w:p w14:paraId="7EEA5E2F">
      <w:pPr>
        <w:numPr>
          <w:ilvl w:val="0"/>
          <w:numId w:val="1"/>
        </w:numPr>
        <w:tabs>
          <w:tab w:val="left" w:pos="360"/>
        </w:tabs>
        <w:snapToGrid w:val="0"/>
        <w:spacing w:line="360" w:lineRule="auto"/>
        <w:ind w:left="357" w:hanging="357"/>
        <w:outlineLvl w:val="1"/>
        <w:rPr>
          <w:rFonts w:ascii="宋体" w:hAnsi="宋体"/>
          <w:sz w:val="24"/>
        </w:rPr>
      </w:pPr>
      <w:bookmarkStart w:id="344" w:name="_Toc151193702"/>
      <w:bookmarkStart w:id="345" w:name="_Toc142311034"/>
      <w:bookmarkStart w:id="346" w:name="_Toc150774632"/>
      <w:bookmarkStart w:id="347" w:name="_Toc150509283"/>
      <w:bookmarkStart w:id="348" w:name="_Toc150774737"/>
      <w:bookmarkStart w:id="349" w:name="_Toc265228370"/>
      <w:bookmarkStart w:id="350" w:name="_Toc264969222"/>
      <w:bookmarkStart w:id="351" w:name="_Toc127151733"/>
      <w:bookmarkStart w:id="352" w:name="_Toc151193630"/>
      <w:bookmarkStart w:id="353" w:name="_Toc520356157"/>
      <w:bookmarkStart w:id="354" w:name="_Toc226309776"/>
      <w:bookmarkStart w:id="355" w:name="_Toc164608801"/>
      <w:bookmarkStart w:id="356" w:name="_Toc195842897"/>
      <w:bookmarkStart w:id="357" w:name="_Toc151193920"/>
      <w:bookmarkStart w:id="358" w:name="_Toc127161446"/>
      <w:bookmarkStart w:id="359" w:name="_Toc226337228"/>
      <w:bookmarkStart w:id="360" w:name="_Toc226965805"/>
      <w:bookmarkStart w:id="361" w:name="_Toc164229373"/>
      <w:bookmarkStart w:id="362" w:name="_Toc151193846"/>
      <w:bookmarkStart w:id="363" w:name="_Toc226965722"/>
      <w:bookmarkStart w:id="364" w:name="_Toc151193774"/>
      <w:bookmarkStart w:id="365" w:name="_Toc149720825"/>
      <w:bookmarkStart w:id="366" w:name="_Toc305158874"/>
      <w:bookmarkStart w:id="367" w:name="_Toc164351626"/>
      <w:bookmarkStart w:id="368" w:name="_Toc164608646"/>
      <w:bookmarkStart w:id="369" w:name="_Toc150480770"/>
      <w:bookmarkStart w:id="370" w:name="_Toc151190159"/>
      <w:bookmarkStart w:id="371" w:name="_Toc164229227"/>
      <w:bookmarkStart w:id="372" w:name="_Toc127151532"/>
      <w:bookmarkStart w:id="373" w:name="_Toc305158800"/>
      <w:r>
        <w:rPr>
          <w:rFonts w:ascii="宋体" w:hAnsi="宋体"/>
          <w:sz w:val="24"/>
        </w:rPr>
        <w:t>投标有效期</w:t>
      </w:r>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p>
    <w:p w14:paraId="72F0784D">
      <w:pPr>
        <w:numPr>
          <w:ilvl w:val="1"/>
          <w:numId w:val="1"/>
        </w:numPr>
        <w:tabs>
          <w:tab w:val="left" w:pos="1080"/>
          <w:tab w:val="left" w:pos="2014"/>
        </w:tabs>
        <w:snapToGrid w:val="0"/>
        <w:spacing w:line="360" w:lineRule="auto"/>
        <w:ind w:left="1077" w:hanging="720"/>
        <w:rPr>
          <w:rFonts w:ascii="宋体" w:hAnsi="宋体"/>
          <w:sz w:val="24"/>
        </w:rPr>
      </w:pPr>
      <w:r>
        <w:rPr>
          <w:rFonts w:ascii="宋体" w:hAnsi="宋体"/>
          <w:sz w:val="24"/>
        </w:rPr>
        <w:t>投标</w:t>
      </w:r>
      <w:r>
        <w:rPr>
          <w:rFonts w:hint="eastAsia" w:ascii="宋体" w:hAnsi="宋体"/>
          <w:sz w:val="24"/>
        </w:rPr>
        <w:t>文件</w:t>
      </w:r>
      <w:r>
        <w:rPr>
          <w:rFonts w:ascii="宋体" w:hAnsi="宋体"/>
          <w:sz w:val="24"/>
        </w:rPr>
        <w:t>应在本招标文件《投标人须知资料表》中规定的投标有效期内保持有效，投标有效期少于招标文件规定期限的，其</w:t>
      </w:r>
      <w:r>
        <w:rPr>
          <w:rFonts w:ascii="宋体" w:hAnsi="宋体"/>
          <w:b/>
          <w:sz w:val="24"/>
        </w:rPr>
        <w:t>投标无效</w:t>
      </w:r>
      <w:r>
        <w:rPr>
          <w:rFonts w:ascii="宋体" w:hAnsi="宋体"/>
          <w:sz w:val="24"/>
        </w:rPr>
        <w:t>。</w:t>
      </w:r>
    </w:p>
    <w:p w14:paraId="7A35786F">
      <w:pPr>
        <w:numPr>
          <w:ilvl w:val="0"/>
          <w:numId w:val="1"/>
        </w:numPr>
        <w:tabs>
          <w:tab w:val="left" w:pos="360"/>
        </w:tabs>
        <w:snapToGrid w:val="0"/>
        <w:spacing w:line="360" w:lineRule="auto"/>
        <w:ind w:left="357" w:hanging="357"/>
        <w:outlineLvl w:val="1"/>
        <w:rPr>
          <w:rFonts w:ascii="宋体" w:hAnsi="宋体"/>
          <w:sz w:val="24"/>
        </w:rPr>
      </w:pPr>
      <w:bookmarkStart w:id="374" w:name="_Toc142311035"/>
      <w:bookmarkStart w:id="375" w:name="_Toc265228371"/>
      <w:bookmarkStart w:id="376" w:name="_Toc164608647"/>
      <w:bookmarkStart w:id="377" w:name="_Toc226337229"/>
      <w:bookmarkStart w:id="378" w:name="_Toc164351627"/>
      <w:bookmarkStart w:id="379" w:name="_Toc150774738"/>
      <w:bookmarkStart w:id="380" w:name="_Toc150480771"/>
      <w:bookmarkStart w:id="381" w:name="_Toc151193775"/>
      <w:bookmarkStart w:id="382" w:name="_Toc264969223"/>
      <w:bookmarkStart w:id="383" w:name="_Toc150509284"/>
      <w:bookmarkStart w:id="384" w:name="_Toc127161447"/>
      <w:bookmarkStart w:id="385" w:name="_Toc150774633"/>
      <w:bookmarkStart w:id="386" w:name="_Toc226965723"/>
      <w:bookmarkStart w:id="387" w:name="_Toc151193631"/>
      <w:bookmarkStart w:id="388" w:name="_Toc151193703"/>
      <w:bookmarkStart w:id="389" w:name="_Toc226965806"/>
      <w:bookmarkStart w:id="390" w:name="_Toc127151734"/>
      <w:bookmarkStart w:id="391" w:name="_Toc127151533"/>
      <w:bookmarkStart w:id="392" w:name="_Toc151193847"/>
      <w:bookmarkStart w:id="393" w:name="_Toc195842898"/>
      <w:bookmarkStart w:id="394" w:name="_Toc164229228"/>
      <w:bookmarkStart w:id="395" w:name="_Toc520356158"/>
      <w:bookmarkStart w:id="396" w:name="_Toc149720826"/>
      <w:bookmarkStart w:id="397" w:name="_Toc164608802"/>
      <w:bookmarkStart w:id="398" w:name="_Toc164229374"/>
      <w:bookmarkStart w:id="399" w:name="_Toc226309777"/>
      <w:bookmarkStart w:id="400" w:name="_Toc305158801"/>
      <w:bookmarkStart w:id="401" w:name="_Toc305158875"/>
      <w:bookmarkStart w:id="402" w:name="_Toc151190160"/>
      <w:bookmarkStart w:id="403" w:name="_Toc151193921"/>
      <w:bookmarkStart w:id="404" w:name="_Toc226965807"/>
      <w:bookmarkStart w:id="405" w:name="_Toc150774739"/>
      <w:bookmarkStart w:id="406" w:name="_Toc150509285"/>
      <w:bookmarkStart w:id="407" w:name="_Toc226965724"/>
      <w:bookmarkStart w:id="408" w:name="_Toc305158802"/>
      <w:bookmarkStart w:id="409" w:name="_Toc226337230"/>
      <w:bookmarkStart w:id="410" w:name="_Toc151193632"/>
      <w:bookmarkStart w:id="411" w:name="_Toc305158876"/>
      <w:bookmarkStart w:id="412" w:name="_Toc142311036"/>
      <w:bookmarkStart w:id="413" w:name="_Toc151193776"/>
      <w:bookmarkStart w:id="414" w:name="_Toc520356159"/>
      <w:bookmarkStart w:id="415" w:name="_Toc127151534"/>
      <w:bookmarkStart w:id="416" w:name="_Toc265228372"/>
      <w:bookmarkStart w:id="417" w:name="_Toc151190161"/>
      <w:bookmarkStart w:id="418" w:name="_Toc151193922"/>
      <w:bookmarkStart w:id="419" w:name="_Toc226309778"/>
      <w:bookmarkStart w:id="420" w:name="_Toc264969224"/>
      <w:bookmarkStart w:id="421" w:name="_Toc151193848"/>
      <w:bookmarkStart w:id="422" w:name="_Toc151193704"/>
      <w:bookmarkStart w:id="423" w:name="_Toc150480772"/>
      <w:bookmarkStart w:id="424" w:name="_Toc195842899"/>
      <w:bookmarkStart w:id="425" w:name="_Toc150774634"/>
      <w:r>
        <w:rPr>
          <w:rFonts w:ascii="宋体" w:hAnsi="宋体"/>
          <w:sz w:val="24"/>
        </w:rPr>
        <w:t>投标文件的签署</w:t>
      </w:r>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r>
        <w:rPr>
          <w:rFonts w:ascii="宋体" w:hAnsi="宋体"/>
          <w:sz w:val="24"/>
        </w:rPr>
        <w:t>、盖章</w:t>
      </w:r>
    </w:p>
    <w:p w14:paraId="60801C09">
      <w:pPr>
        <w:numPr>
          <w:ilvl w:val="1"/>
          <w:numId w:val="1"/>
        </w:numPr>
        <w:tabs>
          <w:tab w:val="left" w:pos="1080"/>
          <w:tab w:val="left" w:pos="2014"/>
        </w:tabs>
        <w:snapToGrid w:val="0"/>
        <w:spacing w:line="360" w:lineRule="auto"/>
        <w:ind w:left="1077" w:hanging="720"/>
        <w:rPr>
          <w:rFonts w:ascii="宋体" w:hAnsi="宋体"/>
          <w:sz w:val="24"/>
        </w:rPr>
      </w:pPr>
      <w:r>
        <w:rPr>
          <w:rFonts w:ascii="宋体" w:hAnsi="宋体"/>
          <w:sz w:val="24"/>
        </w:rPr>
        <w:t>招标文件要求签字的内容（如授权委托书等），</w:t>
      </w:r>
      <w:r>
        <w:rPr>
          <w:rFonts w:ascii="宋体" w:hAnsi="宋体" w:cs="宋体"/>
          <w:sz w:val="24"/>
        </w:rPr>
        <w:t>可以使用电子签章或使用原件电子件</w:t>
      </w:r>
      <w:r>
        <w:rPr>
          <w:rFonts w:hint="eastAsia" w:ascii="宋体" w:hAnsi="宋体"/>
          <w:sz w:val="24"/>
        </w:rPr>
        <w:t>；要求</w:t>
      </w:r>
      <w:r>
        <w:rPr>
          <w:rFonts w:ascii="宋体" w:hAnsi="宋体"/>
          <w:sz w:val="24"/>
        </w:rPr>
        <w:t>第三方出具的盖章件（如联合协议、分包意向协议、制造商授权书等）</w:t>
      </w:r>
      <w:r>
        <w:rPr>
          <w:rFonts w:hint="eastAsia" w:ascii="宋体" w:hAnsi="宋体"/>
          <w:sz w:val="24"/>
        </w:rPr>
        <w:t>的，应</w:t>
      </w:r>
      <w:r>
        <w:rPr>
          <w:rFonts w:ascii="宋体" w:hAnsi="宋体" w:cs="宋体"/>
          <w:sz w:val="24"/>
        </w:rPr>
        <w:t>使用原件电子件</w:t>
      </w:r>
      <w:r>
        <w:rPr>
          <w:rFonts w:hint="eastAsia" w:ascii="宋体" w:hAnsi="宋体"/>
          <w:sz w:val="24"/>
        </w:rPr>
        <w:t>。</w:t>
      </w:r>
    </w:p>
    <w:p w14:paraId="3E5FA2E0">
      <w:pPr>
        <w:numPr>
          <w:ilvl w:val="1"/>
          <w:numId w:val="1"/>
        </w:numPr>
        <w:tabs>
          <w:tab w:val="left" w:pos="1080"/>
          <w:tab w:val="left" w:pos="2014"/>
        </w:tabs>
        <w:snapToGrid w:val="0"/>
        <w:spacing w:line="360" w:lineRule="auto"/>
        <w:ind w:left="1077" w:hanging="720"/>
        <w:rPr>
          <w:rFonts w:ascii="宋体" w:hAnsi="宋体"/>
          <w:sz w:val="24"/>
        </w:rPr>
      </w:pPr>
      <w:r>
        <w:rPr>
          <w:rFonts w:ascii="宋体" w:hAnsi="宋体"/>
          <w:sz w:val="24"/>
        </w:rPr>
        <w:t>招标文件要求</w:t>
      </w:r>
      <w:r>
        <w:rPr>
          <w:rFonts w:hint="eastAsia" w:ascii="宋体" w:hAnsi="宋体"/>
          <w:sz w:val="24"/>
        </w:rPr>
        <w:t>的</w:t>
      </w:r>
      <w:r>
        <w:rPr>
          <w:rFonts w:ascii="宋体" w:hAnsi="宋体"/>
          <w:sz w:val="24"/>
        </w:rPr>
        <w:t>盖章，</w:t>
      </w:r>
      <w:r>
        <w:rPr>
          <w:rFonts w:hint="eastAsia" w:ascii="宋体" w:hAnsi="宋体"/>
          <w:sz w:val="24"/>
        </w:rPr>
        <w:t>一般是指加盖投标人单位公章。</w:t>
      </w:r>
    </w:p>
    <w:p w14:paraId="5A73254F">
      <w:pPr>
        <w:rPr>
          <w:rFonts w:ascii="宋体" w:hAnsi="宋体"/>
        </w:rPr>
      </w:pPr>
    </w:p>
    <w:p w14:paraId="16563C13">
      <w:pPr>
        <w:pStyle w:val="5"/>
        <w:spacing w:before="0" w:line="360" w:lineRule="auto"/>
        <w:rPr>
          <w:rFonts w:ascii="宋体" w:hAnsi="宋体" w:eastAsia="宋体"/>
          <w:sz w:val="28"/>
        </w:rPr>
      </w:pPr>
      <w:r>
        <w:rPr>
          <w:rFonts w:ascii="宋体" w:hAnsi="宋体" w:eastAsia="宋体"/>
          <w:sz w:val="28"/>
        </w:rPr>
        <w:t>四</w:t>
      </w:r>
      <w:r>
        <w:rPr>
          <w:rFonts w:hint="eastAsia" w:ascii="宋体" w:hAnsi="宋体" w:eastAsia="宋体"/>
          <w:sz w:val="28"/>
        </w:rPr>
        <w:t>、</w:t>
      </w:r>
      <w:r>
        <w:rPr>
          <w:rFonts w:ascii="宋体" w:hAnsi="宋体" w:eastAsia="宋体"/>
          <w:sz w:val="28"/>
        </w:rPr>
        <w:t>投标文件的提交</w:t>
      </w:r>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p>
    <w:p w14:paraId="1F48D512">
      <w:pPr>
        <w:numPr>
          <w:ilvl w:val="0"/>
          <w:numId w:val="1"/>
        </w:numPr>
        <w:tabs>
          <w:tab w:val="left" w:pos="360"/>
        </w:tabs>
        <w:snapToGrid w:val="0"/>
        <w:spacing w:line="360" w:lineRule="auto"/>
        <w:ind w:left="357" w:hanging="357"/>
        <w:outlineLvl w:val="1"/>
        <w:rPr>
          <w:rFonts w:ascii="宋体" w:hAnsi="宋体"/>
          <w:sz w:val="24"/>
        </w:rPr>
      </w:pPr>
      <w:bookmarkStart w:id="426" w:name="_Toc150480773"/>
      <w:bookmarkStart w:id="427" w:name="_Toc164229230"/>
      <w:bookmarkStart w:id="428" w:name="_Toc151193633"/>
      <w:bookmarkStart w:id="429" w:name="_Toc164351629"/>
      <w:bookmarkStart w:id="430" w:name="_Toc127151535"/>
      <w:bookmarkStart w:id="431" w:name="_Toc150509286"/>
      <w:bookmarkStart w:id="432" w:name="_Toc151193923"/>
      <w:bookmarkStart w:id="433" w:name="_Toc142311037"/>
      <w:bookmarkStart w:id="434" w:name="_Toc226337231"/>
      <w:bookmarkStart w:id="435" w:name="_Toc164608804"/>
      <w:bookmarkStart w:id="436" w:name="_Toc164229376"/>
      <w:bookmarkStart w:id="437" w:name="_Toc520356160"/>
      <w:bookmarkStart w:id="438" w:name="_Toc265228373"/>
      <w:bookmarkStart w:id="439" w:name="_Toc264969225"/>
      <w:bookmarkStart w:id="440" w:name="_Toc226965808"/>
      <w:bookmarkStart w:id="441" w:name="_Toc151190162"/>
      <w:bookmarkStart w:id="442" w:name="_Toc127151736"/>
      <w:bookmarkStart w:id="443" w:name="_Toc151193777"/>
      <w:bookmarkStart w:id="444" w:name="_Toc127161449"/>
      <w:bookmarkStart w:id="445" w:name="_Toc305158803"/>
      <w:bookmarkStart w:id="446" w:name="_Toc151193705"/>
      <w:bookmarkStart w:id="447" w:name="_Toc150774635"/>
      <w:bookmarkStart w:id="448" w:name="_Toc149720828"/>
      <w:bookmarkStart w:id="449" w:name="_Toc164608649"/>
      <w:bookmarkStart w:id="450" w:name="_Toc151193849"/>
      <w:bookmarkStart w:id="451" w:name="_Toc226309779"/>
      <w:bookmarkStart w:id="452" w:name="_Toc150774740"/>
      <w:bookmarkStart w:id="453" w:name="_Toc226965725"/>
      <w:bookmarkStart w:id="454" w:name="_Toc305158877"/>
      <w:bookmarkStart w:id="455" w:name="_Toc195842900"/>
      <w:bookmarkStart w:id="456" w:name="_Toc149720829"/>
      <w:bookmarkStart w:id="457" w:name="_Toc305158804"/>
      <w:bookmarkStart w:id="458" w:name="_Toc142311038"/>
      <w:bookmarkStart w:id="459" w:name="_Toc151193924"/>
      <w:bookmarkStart w:id="460" w:name="_Toc164229377"/>
      <w:bookmarkStart w:id="461" w:name="_Toc226309780"/>
      <w:bookmarkStart w:id="462" w:name="_Toc164229231"/>
      <w:bookmarkStart w:id="463" w:name="_Toc226965726"/>
      <w:bookmarkStart w:id="464" w:name="_Toc150509287"/>
      <w:bookmarkStart w:id="465" w:name="_Toc226337232"/>
      <w:bookmarkStart w:id="466" w:name="_Toc265228374"/>
      <w:bookmarkStart w:id="467" w:name="_Toc226965809"/>
      <w:bookmarkStart w:id="468" w:name="_Toc151190163"/>
      <w:bookmarkStart w:id="469" w:name="_Toc151193706"/>
      <w:bookmarkStart w:id="470" w:name="_Toc164608805"/>
      <w:bookmarkStart w:id="471" w:name="_Toc150774636"/>
      <w:bookmarkStart w:id="472" w:name="_Toc127151737"/>
      <w:bookmarkStart w:id="473" w:name="_Toc150774741"/>
      <w:bookmarkStart w:id="474" w:name="_Toc151193850"/>
      <w:bookmarkStart w:id="475" w:name="_Toc305158878"/>
      <w:bookmarkStart w:id="476" w:name="_Toc127161450"/>
      <w:bookmarkStart w:id="477" w:name="_Toc264969226"/>
      <w:bookmarkStart w:id="478" w:name="_Toc151193634"/>
      <w:bookmarkStart w:id="479" w:name="_Toc164608650"/>
      <w:bookmarkStart w:id="480" w:name="_Toc127151536"/>
      <w:bookmarkStart w:id="481" w:name="_Toc151193778"/>
      <w:bookmarkStart w:id="482" w:name="_Toc195842901"/>
      <w:bookmarkStart w:id="483" w:name="_Toc164351630"/>
      <w:bookmarkStart w:id="484" w:name="_Toc520356161"/>
      <w:bookmarkStart w:id="485" w:name="_Toc150480774"/>
      <w:r>
        <w:rPr>
          <w:rFonts w:ascii="宋体" w:hAnsi="宋体"/>
          <w:sz w:val="24"/>
        </w:rPr>
        <w:t>投标文件的</w:t>
      </w:r>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r>
        <w:rPr>
          <w:rFonts w:ascii="宋体" w:hAnsi="宋体"/>
          <w:sz w:val="24"/>
        </w:rPr>
        <w:t>提交</w:t>
      </w:r>
    </w:p>
    <w:p w14:paraId="5B869804">
      <w:pPr>
        <w:numPr>
          <w:ilvl w:val="1"/>
          <w:numId w:val="1"/>
        </w:numPr>
        <w:tabs>
          <w:tab w:val="left" w:pos="1080"/>
          <w:tab w:val="left" w:pos="2014"/>
        </w:tabs>
        <w:snapToGrid w:val="0"/>
        <w:spacing w:line="360" w:lineRule="auto"/>
        <w:ind w:left="1077" w:hanging="720"/>
        <w:rPr>
          <w:rFonts w:ascii="宋体" w:hAnsi="宋体"/>
          <w:sz w:val="24"/>
        </w:rPr>
      </w:pPr>
      <w:r>
        <w:rPr>
          <w:rFonts w:ascii="宋体" w:hAnsi="宋体"/>
          <w:sz w:val="24"/>
        </w:rPr>
        <w:t>本项目使用北京市政府采购电子交易平台 。投标人根据招标文件及电子交易 平台供应商操作手册要求编制、生成并提交电子投标文件。</w:t>
      </w:r>
    </w:p>
    <w:p w14:paraId="5CAEE26D">
      <w:pPr>
        <w:numPr>
          <w:ilvl w:val="1"/>
          <w:numId w:val="1"/>
        </w:numPr>
        <w:tabs>
          <w:tab w:val="left" w:pos="1080"/>
          <w:tab w:val="left" w:pos="2014"/>
        </w:tabs>
        <w:snapToGrid w:val="0"/>
        <w:spacing w:line="360" w:lineRule="auto"/>
        <w:ind w:left="1077" w:hanging="720"/>
        <w:rPr>
          <w:rFonts w:ascii="宋体" w:hAnsi="宋体"/>
          <w:sz w:val="24"/>
        </w:rPr>
      </w:pPr>
      <w:r>
        <w:rPr>
          <w:rFonts w:hint="eastAsia" w:ascii="宋体" w:hAnsi="宋体"/>
          <w:sz w:val="24"/>
        </w:rPr>
        <w:t>采购人及采购代理机构拒绝接受通过电子交易平台以外任何形式提交的投标文件，投标保证金除外。</w:t>
      </w:r>
    </w:p>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p w14:paraId="15D347DE">
      <w:pPr>
        <w:numPr>
          <w:ilvl w:val="0"/>
          <w:numId w:val="1"/>
        </w:numPr>
        <w:tabs>
          <w:tab w:val="left" w:pos="360"/>
        </w:tabs>
        <w:snapToGrid w:val="0"/>
        <w:spacing w:line="360" w:lineRule="auto"/>
        <w:ind w:left="357" w:hanging="357"/>
        <w:outlineLvl w:val="1"/>
        <w:rPr>
          <w:rFonts w:ascii="宋体" w:hAnsi="宋体"/>
          <w:sz w:val="24"/>
        </w:rPr>
      </w:pPr>
      <w:bookmarkStart w:id="486" w:name="_Toc11122"/>
      <w:r>
        <w:rPr>
          <w:rFonts w:ascii="宋体" w:hAnsi="宋体"/>
          <w:sz w:val="24"/>
        </w:rPr>
        <w:t>投标截止时间</w:t>
      </w:r>
    </w:p>
    <w:p w14:paraId="3681E509">
      <w:pPr>
        <w:numPr>
          <w:ilvl w:val="1"/>
          <w:numId w:val="1"/>
        </w:numPr>
        <w:tabs>
          <w:tab w:val="left" w:pos="1080"/>
          <w:tab w:val="left" w:pos="2014"/>
        </w:tabs>
        <w:snapToGrid w:val="0"/>
        <w:spacing w:line="360" w:lineRule="auto"/>
        <w:ind w:left="1077" w:hanging="720"/>
        <w:rPr>
          <w:rFonts w:ascii="宋体" w:hAnsi="宋体"/>
          <w:sz w:val="24"/>
        </w:rPr>
      </w:pPr>
      <w:r>
        <w:rPr>
          <w:rFonts w:hint="eastAsia" w:ascii="宋体" w:hAnsi="宋体"/>
          <w:sz w:val="24"/>
        </w:rPr>
        <w:t>投标人应在招标文件要求提交投标文件截止时间前，将电子投标文件提交至电子交易平台。</w:t>
      </w:r>
    </w:p>
    <w:bookmarkEnd w:id="486"/>
    <w:p w14:paraId="6F0BD483">
      <w:pPr>
        <w:numPr>
          <w:ilvl w:val="0"/>
          <w:numId w:val="1"/>
        </w:numPr>
        <w:tabs>
          <w:tab w:val="left" w:pos="360"/>
        </w:tabs>
        <w:snapToGrid w:val="0"/>
        <w:spacing w:line="360" w:lineRule="auto"/>
        <w:ind w:left="357" w:hanging="357"/>
        <w:outlineLvl w:val="1"/>
        <w:rPr>
          <w:rFonts w:ascii="宋体" w:hAnsi="宋体"/>
          <w:sz w:val="24"/>
        </w:rPr>
      </w:pPr>
      <w:bookmarkStart w:id="487" w:name="_Toc150480776"/>
      <w:bookmarkStart w:id="488" w:name="_Toc226965811"/>
      <w:bookmarkStart w:id="489" w:name="_Toc305158806"/>
      <w:bookmarkStart w:id="490" w:name="_Toc151193926"/>
      <w:bookmarkStart w:id="491" w:name="_Toc195842903"/>
      <w:bookmarkStart w:id="492" w:name="_Toc264969228"/>
      <w:bookmarkStart w:id="493" w:name="_Toc520356163"/>
      <w:bookmarkStart w:id="494" w:name="_Toc151193636"/>
      <w:bookmarkStart w:id="495" w:name="_Toc142311040"/>
      <w:bookmarkStart w:id="496" w:name="_Toc151193780"/>
      <w:bookmarkStart w:id="497" w:name="_Toc151193852"/>
      <w:bookmarkStart w:id="498" w:name="_Toc150774743"/>
      <w:bookmarkStart w:id="499" w:name="_Toc226309782"/>
      <w:bookmarkStart w:id="500" w:name="_Toc151193708"/>
      <w:bookmarkStart w:id="501" w:name="_Toc226337234"/>
      <w:bookmarkStart w:id="502" w:name="_Toc150774638"/>
      <w:bookmarkStart w:id="503" w:name="_Toc127151538"/>
      <w:bookmarkStart w:id="504" w:name="_Toc305158880"/>
      <w:bookmarkStart w:id="505" w:name="_Toc265228376"/>
      <w:bookmarkStart w:id="506" w:name="_Toc151190165"/>
      <w:bookmarkStart w:id="507" w:name="_Toc226965728"/>
      <w:bookmarkStart w:id="508" w:name="_Toc150509289"/>
      <w:r>
        <w:rPr>
          <w:rFonts w:hint="eastAsia" w:ascii="宋体" w:hAnsi="宋体"/>
          <w:sz w:val="24"/>
        </w:rPr>
        <w:t>投标文件的接收、修改与撤回</w:t>
      </w:r>
    </w:p>
    <w:p w14:paraId="2ED867D5">
      <w:pPr>
        <w:numPr>
          <w:ilvl w:val="1"/>
          <w:numId w:val="1"/>
        </w:numPr>
        <w:tabs>
          <w:tab w:val="left" w:pos="1080"/>
          <w:tab w:val="left" w:pos="2014"/>
        </w:tabs>
        <w:snapToGrid w:val="0"/>
        <w:spacing w:line="360" w:lineRule="auto"/>
        <w:ind w:left="1077" w:hanging="720"/>
        <w:rPr>
          <w:rFonts w:ascii="宋体" w:hAnsi="宋体"/>
          <w:sz w:val="24"/>
        </w:rPr>
      </w:pPr>
      <w:r>
        <w:rPr>
          <w:rFonts w:hint="eastAsia" w:ascii="宋体" w:hAnsi="宋体"/>
          <w:sz w:val="24"/>
        </w:rPr>
        <w:t>投标截止时间前，投标人可以通过电子交易平台对所提交的投标文件进行补充、修改或者撤回。投标保证金的补充、修改或者撤回无需通过电子交易平台，但应就其补充、修改或者撤回通知采购人或采购代理机构。</w:t>
      </w:r>
    </w:p>
    <w:p w14:paraId="00B81718">
      <w:pPr>
        <w:numPr>
          <w:ilvl w:val="1"/>
          <w:numId w:val="1"/>
        </w:numPr>
        <w:tabs>
          <w:tab w:val="left" w:pos="1080"/>
          <w:tab w:val="left" w:pos="2014"/>
        </w:tabs>
        <w:snapToGrid w:val="0"/>
        <w:spacing w:line="360" w:lineRule="auto"/>
        <w:ind w:left="1077" w:hanging="720"/>
        <w:rPr>
          <w:rFonts w:ascii="宋体" w:hAnsi="宋体"/>
          <w:sz w:val="24"/>
        </w:rPr>
      </w:pPr>
      <w:r>
        <w:rPr>
          <w:rFonts w:hint="eastAsia" w:ascii="宋体" w:hAnsi="宋体"/>
          <w:sz w:val="24"/>
        </w:rPr>
        <w:t>投标人对投标文件的补充、修改的内容应当按照招标文件要求签署、盖章，作为投标文件的组成部分。</w:t>
      </w:r>
    </w:p>
    <w:p w14:paraId="5095DBF9">
      <w:pPr>
        <w:rPr>
          <w:rFonts w:ascii="宋体" w:hAnsi="宋体"/>
        </w:rPr>
      </w:pPr>
    </w:p>
    <w:p w14:paraId="325279E4">
      <w:pPr>
        <w:pStyle w:val="5"/>
        <w:spacing w:before="0" w:line="360" w:lineRule="auto"/>
        <w:rPr>
          <w:rFonts w:ascii="宋体" w:hAnsi="宋体" w:eastAsia="宋体"/>
          <w:sz w:val="28"/>
        </w:rPr>
      </w:pPr>
      <w:r>
        <w:rPr>
          <w:rFonts w:ascii="宋体" w:hAnsi="宋体" w:eastAsia="宋体"/>
          <w:sz w:val="28"/>
        </w:rPr>
        <w:t>五</w:t>
      </w:r>
      <w:r>
        <w:rPr>
          <w:rFonts w:hint="eastAsia" w:ascii="宋体" w:hAnsi="宋体" w:eastAsia="宋体"/>
          <w:sz w:val="28"/>
        </w:rPr>
        <w:t>、</w:t>
      </w:r>
      <w:r>
        <w:rPr>
          <w:rFonts w:ascii="宋体" w:hAnsi="宋体" w:eastAsia="宋体"/>
          <w:sz w:val="28"/>
        </w:rPr>
        <w:t>开标、资格审查及评标</w:t>
      </w:r>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p>
    <w:p w14:paraId="6EAB7992">
      <w:pPr>
        <w:numPr>
          <w:ilvl w:val="0"/>
          <w:numId w:val="1"/>
        </w:numPr>
        <w:tabs>
          <w:tab w:val="left" w:pos="360"/>
        </w:tabs>
        <w:snapToGrid w:val="0"/>
        <w:spacing w:line="360" w:lineRule="auto"/>
        <w:ind w:left="357" w:hanging="357"/>
        <w:outlineLvl w:val="1"/>
        <w:rPr>
          <w:rFonts w:ascii="宋体" w:hAnsi="宋体"/>
          <w:sz w:val="24"/>
        </w:rPr>
      </w:pPr>
      <w:bookmarkStart w:id="509" w:name="_Toc195842904"/>
      <w:bookmarkStart w:id="510" w:name="_Toc151193927"/>
      <w:bookmarkStart w:id="511" w:name="_Toc150480777"/>
      <w:bookmarkStart w:id="512" w:name="_Toc151193637"/>
      <w:bookmarkStart w:id="513" w:name="_Toc164608653"/>
      <w:bookmarkStart w:id="514" w:name="_Toc164351633"/>
      <w:bookmarkStart w:id="515" w:name="_Toc226337235"/>
      <w:bookmarkStart w:id="516" w:name="_Toc164229234"/>
      <w:bookmarkStart w:id="517" w:name="_Toc127151740"/>
      <w:bookmarkStart w:id="518" w:name="_Toc520356164"/>
      <w:bookmarkStart w:id="519" w:name="_Toc164229380"/>
      <w:bookmarkStart w:id="520" w:name="_Toc151193709"/>
      <w:bookmarkStart w:id="521" w:name="_Toc305158807"/>
      <w:bookmarkStart w:id="522" w:name="_Toc151193781"/>
      <w:bookmarkStart w:id="523" w:name="_Toc127161453"/>
      <w:bookmarkStart w:id="524" w:name="_Toc150774639"/>
      <w:bookmarkStart w:id="525" w:name="_Toc226965729"/>
      <w:bookmarkStart w:id="526" w:name="_Toc164608808"/>
      <w:bookmarkStart w:id="527" w:name="_Toc265228377"/>
      <w:bookmarkStart w:id="528" w:name="_Toc149720832"/>
      <w:bookmarkStart w:id="529" w:name="_Toc226309783"/>
      <w:bookmarkStart w:id="530" w:name="_Toc226965812"/>
      <w:bookmarkStart w:id="531" w:name="_Toc127151539"/>
      <w:bookmarkStart w:id="532" w:name="_Toc142311041"/>
      <w:bookmarkStart w:id="533" w:name="_Toc151190166"/>
      <w:bookmarkStart w:id="534" w:name="_Toc264969229"/>
      <w:bookmarkStart w:id="535" w:name="_Toc150774744"/>
      <w:bookmarkStart w:id="536" w:name="_Toc150509290"/>
      <w:bookmarkStart w:id="537" w:name="_Toc305158881"/>
      <w:bookmarkStart w:id="538" w:name="_Toc151193853"/>
      <w:bookmarkStart w:id="539" w:name="_Toc520356165"/>
      <w:r>
        <w:rPr>
          <w:rFonts w:ascii="宋体" w:hAnsi="宋体"/>
          <w:sz w:val="24"/>
        </w:rPr>
        <w:t>开标</w:t>
      </w:r>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p>
    <w:p w14:paraId="44757198">
      <w:pPr>
        <w:numPr>
          <w:ilvl w:val="1"/>
          <w:numId w:val="1"/>
        </w:numPr>
        <w:tabs>
          <w:tab w:val="left" w:pos="1080"/>
          <w:tab w:val="left" w:pos="2014"/>
        </w:tabs>
        <w:snapToGrid w:val="0"/>
        <w:spacing w:line="360" w:lineRule="auto"/>
        <w:ind w:left="1077" w:hanging="720"/>
        <w:rPr>
          <w:rFonts w:ascii="宋体" w:hAnsi="宋体"/>
          <w:sz w:val="24"/>
        </w:rPr>
      </w:pPr>
      <w:r>
        <w:rPr>
          <w:rFonts w:hint="eastAsia" w:ascii="宋体" w:hAnsi="宋体"/>
          <w:sz w:val="24"/>
        </w:rPr>
        <w:t>采购人或采购代理机构将按招标文件的规定，在投标截止时间的同一时间和招标文件预先确定的地点组织开标。</w:t>
      </w:r>
    </w:p>
    <w:p w14:paraId="7D434897">
      <w:pPr>
        <w:numPr>
          <w:ilvl w:val="1"/>
          <w:numId w:val="1"/>
        </w:numPr>
        <w:tabs>
          <w:tab w:val="left" w:pos="1080"/>
          <w:tab w:val="left" w:pos="2014"/>
        </w:tabs>
        <w:snapToGrid w:val="0"/>
        <w:spacing w:line="360" w:lineRule="auto"/>
        <w:ind w:left="1077" w:hanging="720"/>
        <w:rPr>
          <w:rFonts w:ascii="宋体" w:hAnsi="宋体"/>
          <w:sz w:val="24"/>
        </w:rPr>
      </w:pPr>
      <w:r>
        <w:rPr>
          <w:rFonts w:hint="eastAsia" w:ascii="宋体" w:hAnsi="宋体"/>
          <w:sz w:val="24"/>
        </w:rPr>
        <w:t>本项目开标使用北京市政府采购电子交易平台。投标人应在</w:t>
      </w:r>
      <w:r>
        <w:rPr>
          <w:rFonts w:ascii="宋体" w:hAnsi="宋体"/>
          <w:sz w:val="24"/>
        </w:rPr>
        <w:t>《投标人须知资料表》</w:t>
      </w:r>
      <w:r>
        <w:rPr>
          <w:rFonts w:hint="eastAsia" w:ascii="宋体" w:hAnsi="宋体"/>
          <w:sz w:val="24"/>
        </w:rPr>
        <w:t>规定的时间内对投标文件进行解密，因非系统原因导致的解密失败，视为</w:t>
      </w:r>
      <w:r>
        <w:rPr>
          <w:rFonts w:hint="eastAsia" w:ascii="宋体" w:hAnsi="宋体"/>
          <w:b/>
          <w:bCs/>
          <w:sz w:val="24"/>
        </w:rPr>
        <w:t>投标无效</w:t>
      </w:r>
      <w:r>
        <w:rPr>
          <w:rFonts w:hint="eastAsia" w:ascii="宋体" w:hAnsi="宋体"/>
          <w:sz w:val="24"/>
        </w:rPr>
        <w:t>。</w:t>
      </w:r>
    </w:p>
    <w:p w14:paraId="5A08F039">
      <w:pPr>
        <w:numPr>
          <w:ilvl w:val="1"/>
          <w:numId w:val="1"/>
        </w:numPr>
        <w:tabs>
          <w:tab w:val="left" w:pos="1080"/>
          <w:tab w:val="left" w:pos="2014"/>
        </w:tabs>
        <w:snapToGrid w:val="0"/>
        <w:spacing w:line="360" w:lineRule="auto"/>
        <w:ind w:left="1077" w:hanging="720"/>
        <w:rPr>
          <w:rFonts w:ascii="宋体" w:hAnsi="宋体"/>
          <w:sz w:val="24"/>
        </w:rPr>
      </w:pPr>
      <w:r>
        <w:rPr>
          <w:rFonts w:hint="eastAsia" w:ascii="宋体" w:hAnsi="宋体"/>
          <w:sz w:val="24"/>
        </w:rPr>
        <w:t>开标过程将使用电子交易平台宣布投标人名称、投标价格和招标文件规定的需要宣布的其他内容并进行记录，并由参加开标的各投标人确认。投标人未在规定时间内提出疑义或确认一览表的，视同认可开标结果。</w:t>
      </w:r>
    </w:p>
    <w:p w14:paraId="0E6BC22E">
      <w:pPr>
        <w:numPr>
          <w:ilvl w:val="1"/>
          <w:numId w:val="1"/>
        </w:numPr>
        <w:tabs>
          <w:tab w:val="left" w:pos="1080"/>
          <w:tab w:val="left" w:pos="2014"/>
        </w:tabs>
        <w:snapToGrid w:val="0"/>
        <w:spacing w:line="360" w:lineRule="auto"/>
        <w:ind w:left="1077" w:hanging="720"/>
        <w:rPr>
          <w:rFonts w:ascii="宋体" w:hAnsi="宋体"/>
          <w:sz w:val="24"/>
        </w:rPr>
      </w:pPr>
      <w:r>
        <w:rPr>
          <w:rFonts w:hint="eastAsia" w:ascii="宋体" w:hAnsi="宋体"/>
          <w:sz w:val="24"/>
        </w:rPr>
        <w:t>投标人对开标过程和开标记录有疑义，以及认为采购人、采购代理机构相关工作人员有需要回避的情形的，应当场提出询问或者回避申请。采购人、采购代理机构对投标人提出的询问或者回避申请将及时处理。</w:t>
      </w:r>
    </w:p>
    <w:p w14:paraId="0EA70726">
      <w:pPr>
        <w:numPr>
          <w:ilvl w:val="1"/>
          <w:numId w:val="1"/>
        </w:numPr>
        <w:tabs>
          <w:tab w:val="left" w:pos="1080"/>
          <w:tab w:val="left" w:pos="2014"/>
        </w:tabs>
        <w:snapToGrid w:val="0"/>
        <w:spacing w:line="360" w:lineRule="auto"/>
        <w:ind w:left="1077" w:hanging="720"/>
        <w:rPr>
          <w:rFonts w:ascii="宋体" w:hAnsi="宋体"/>
          <w:sz w:val="24"/>
        </w:rPr>
      </w:pPr>
      <w:r>
        <w:rPr>
          <w:rFonts w:hint="eastAsia" w:ascii="宋体" w:hAnsi="宋体"/>
          <w:sz w:val="24"/>
        </w:rPr>
        <w:t>投标人不足3家的，不予开标。</w:t>
      </w:r>
    </w:p>
    <w:p w14:paraId="6CD04D9F">
      <w:pPr>
        <w:numPr>
          <w:ilvl w:val="0"/>
          <w:numId w:val="1"/>
        </w:numPr>
        <w:tabs>
          <w:tab w:val="left" w:pos="360"/>
        </w:tabs>
        <w:snapToGrid w:val="0"/>
        <w:spacing w:line="360" w:lineRule="auto"/>
        <w:ind w:left="357" w:hanging="357"/>
        <w:outlineLvl w:val="1"/>
        <w:rPr>
          <w:rFonts w:ascii="宋体" w:hAnsi="宋体"/>
          <w:sz w:val="24"/>
        </w:rPr>
      </w:pPr>
      <w:r>
        <w:rPr>
          <w:rFonts w:hint="eastAsia" w:ascii="宋体" w:hAnsi="宋体"/>
          <w:sz w:val="24"/>
        </w:rPr>
        <w:t>资格审查</w:t>
      </w:r>
    </w:p>
    <w:p w14:paraId="4A50E851">
      <w:pPr>
        <w:numPr>
          <w:ilvl w:val="1"/>
          <w:numId w:val="1"/>
        </w:numPr>
        <w:tabs>
          <w:tab w:val="left" w:pos="1080"/>
          <w:tab w:val="left" w:pos="2014"/>
        </w:tabs>
        <w:snapToGrid w:val="0"/>
        <w:spacing w:line="360" w:lineRule="auto"/>
        <w:ind w:left="1077" w:hanging="720"/>
        <w:rPr>
          <w:rFonts w:ascii="宋体" w:hAnsi="宋体"/>
          <w:sz w:val="24"/>
        </w:rPr>
      </w:pPr>
      <w:r>
        <w:rPr>
          <w:rFonts w:hint="eastAsia" w:ascii="宋体" w:hAnsi="宋体"/>
          <w:sz w:val="24"/>
        </w:rPr>
        <w:t>见第三章《资格审查》。</w:t>
      </w:r>
    </w:p>
    <w:bookmarkEnd w:id="539"/>
    <w:p w14:paraId="602E0EF7">
      <w:pPr>
        <w:numPr>
          <w:ilvl w:val="0"/>
          <w:numId w:val="1"/>
        </w:numPr>
        <w:tabs>
          <w:tab w:val="left" w:pos="360"/>
        </w:tabs>
        <w:snapToGrid w:val="0"/>
        <w:spacing w:line="360" w:lineRule="auto"/>
        <w:ind w:left="357" w:hanging="357"/>
        <w:outlineLvl w:val="1"/>
        <w:rPr>
          <w:rFonts w:ascii="宋体" w:hAnsi="宋体"/>
          <w:sz w:val="24"/>
        </w:rPr>
      </w:pPr>
      <w:bookmarkStart w:id="540" w:name="_Toc127161454"/>
      <w:bookmarkStart w:id="541" w:name="_Toc149720833"/>
      <w:bookmarkStart w:id="542" w:name="_Toc164229235"/>
      <w:bookmarkStart w:id="543" w:name="_Toc305158882"/>
      <w:bookmarkStart w:id="544" w:name="_Toc151193638"/>
      <w:bookmarkStart w:id="545" w:name="_Toc151193710"/>
      <w:bookmarkStart w:id="546" w:name="_Toc150774640"/>
      <w:bookmarkStart w:id="547" w:name="_Toc264969230"/>
      <w:bookmarkStart w:id="548" w:name="_Toc305158808"/>
      <w:bookmarkStart w:id="549" w:name="_Toc226965813"/>
      <w:bookmarkStart w:id="550" w:name="_Toc150480778"/>
      <w:bookmarkStart w:id="551" w:name="_Toc226309784"/>
      <w:bookmarkStart w:id="552" w:name="_Toc226337236"/>
      <w:bookmarkStart w:id="553" w:name="_Toc151193928"/>
      <w:bookmarkStart w:id="554" w:name="_Toc195842905"/>
      <w:bookmarkStart w:id="555" w:name="_Toc265228378"/>
      <w:bookmarkStart w:id="556" w:name="_Toc164229381"/>
      <w:bookmarkStart w:id="557" w:name="_Toc150509291"/>
      <w:bookmarkStart w:id="558" w:name="_Toc151190167"/>
      <w:bookmarkStart w:id="559" w:name="_Toc127151540"/>
      <w:bookmarkStart w:id="560" w:name="_Toc127151741"/>
      <w:bookmarkStart w:id="561" w:name="_Toc164351634"/>
      <w:bookmarkStart w:id="562" w:name="_Toc151193782"/>
      <w:bookmarkStart w:id="563" w:name="_Toc150774745"/>
      <w:bookmarkStart w:id="564" w:name="_Toc142311042"/>
      <w:bookmarkStart w:id="565" w:name="_Toc226965730"/>
      <w:bookmarkStart w:id="566" w:name="_Toc151193854"/>
      <w:bookmarkStart w:id="567" w:name="_Toc164608654"/>
      <w:bookmarkStart w:id="568" w:name="_Toc164608809"/>
      <w:r>
        <w:rPr>
          <w:rFonts w:ascii="宋体" w:hAnsi="宋体"/>
          <w:sz w:val="24"/>
        </w:rPr>
        <w:t>评标委员会</w:t>
      </w:r>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p>
    <w:p w14:paraId="5ED5037D">
      <w:pPr>
        <w:numPr>
          <w:ilvl w:val="1"/>
          <w:numId w:val="1"/>
        </w:numPr>
        <w:tabs>
          <w:tab w:val="left" w:pos="1080"/>
          <w:tab w:val="left" w:pos="2014"/>
        </w:tabs>
        <w:snapToGrid w:val="0"/>
        <w:spacing w:line="360" w:lineRule="auto"/>
        <w:ind w:left="1077" w:hanging="720"/>
        <w:rPr>
          <w:rFonts w:ascii="宋体" w:hAnsi="宋体"/>
          <w:sz w:val="24"/>
        </w:rPr>
      </w:pPr>
      <w:r>
        <w:rPr>
          <w:rFonts w:ascii="宋体" w:hAnsi="宋体"/>
          <w:sz w:val="24"/>
        </w:rPr>
        <w:t>评标委员会根据政府采购有关规定和本次招标采购项目的特点进行组建，并负责具体评标事务，独立履行职责。</w:t>
      </w:r>
      <w:bookmarkStart w:id="569" w:name="_Toc520356166"/>
    </w:p>
    <w:p w14:paraId="71AC7E25">
      <w:pPr>
        <w:numPr>
          <w:ilvl w:val="1"/>
          <w:numId w:val="1"/>
        </w:numPr>
        <w:tabs>
          <w:tab w:val="left" w:pos="1080"/>
          <w:tab w:val="left" w:pos="2014"/>
        </w:tabs>
        <w:snapToGrid w:val="0"/>
        <w:spacing w:line="360" w:lineRule="auto"/>
        <w:ind w:left="1077" w:hanging="720"/>
        <w:rPr>
          <w:rFonts w:ascii="宋体" w:hAnsi="宋体"/>
          <w:sz w:val="24"/>
        </w:rPr>
      </w:pPr>
      <w:r>
        <w:rPr>
          <w:rFonts w:ascii="宋体" w:hAnsi="宋体"/>
          <w:sz w:val="24"/>
        </w:rPr>
        <w:t>评审专家须符合《财政部关于在政府采购活动中查询及使用信用记录有关问题的通知》（财库〔2016〕125号）的规定。依法自行选定评审专家的，采购人和采购代理机构将查询有关信用记录，对具有行贿、受贿、欺诈等不良信用记录的人员，拒绝其参与政府采购活动。</w:t>
      </w:r>
      <w:bookmarkEnd w:id="569"/>
      <w:bookmarkStart w:id="570" w:name="_Toc520356169"/>
    </w:p>
    <w:p w14:paraId="251BF3FA">
      <w:pPr>
        <w:numPr>
          <w:ilvl w:val="0"/>
          <w:numId w:val="1"/>
        </w:numPr>
        <w:tabs>
          <w:tab w:val="left" w:pos="360"/>
        </w:tabs>
        <w:snapToGrid w:val="0"/>
        <w:spacing w:line="360" w:lineRule="auto"/>
        <w:ind w:left="357" w:hanging="357"/>
        <w:outlineLvl w:val="1"/>
        <w:rPr>
          <w:rFonts w:ascii="宋体" w:hAnsi="宋体"/>
          <w:sz w:val="24"/>
        </w:rPr>
      </w:pPr>
      <w:r>
        <w:rPr>
          <w:rFonts w:ascii="宋体" w:hAnsi="宋体"/>
          <w:sz w:val="24"/>
        </w:rPr>
        <w:t>评标程序、评标方法和评标标准</w:t>
      </w:r>
    </w:p>
    <w:p w14:paraId="47999EF1">
      <w:pPr>
        <w:numPr>
          <w:ilvl w:val="1"/>
          <w:numId w:val="1"/>
        </w:numPr>
        <w:tabs>
          <w:tab w:val="left" w:pos="1080"/>
          <w:tab w:val="left" w:pos="2014"/>
        </w:tabs>
        <w:snapToGrid w:val="0"/>
        <w:spacing w:line="360" w:lineRule="auto"/>
        <w:ind w:left="1077" w:hanging="720"/>
        <w:rPr>
          <w:rFonts w:ascii="宋体" w:hAnsi="宋体"/>
          <w:sz w:val="24"/>
        </w:rPr>
      </w:pPr>
      <w:r>
        <w:rPr>
          <w:rFonts w:ascii="宋体" w:hAnsi="宋体"/>
          <w:sz w:val="24"/>
        </w:rPr>
        <w:t>见第四章《评标程序、评标方法和评标标准》。</w:t>
      </w:r>
    </w:p>
    <w:p w14:paraId="161347FC">
      <w:pPr>
        <w:tabs>
          <w:tab w:val="left" w:pos="360"/>
          <w:tab w:val="left" w:pos="1080"/>
        </w:tabs>
        <w:snapToGrid w:val="0"/>
        <w:spacing w:line="360" w:lineRule="auto"/>
        <w:ind w:left="1080"/>
        <w:rPr>
          <w:rFonts w:ascii="宋体" w:hAnsi="宋体"/>
          <w:sz w:val="24"/>
        </w:rPr>
      </w:pPr>
    </w:p>
    <w:p w14:paraId="5B1CDA4A">
      <w:pPr>
        <w:pStyle w:val="5"/>
        <w:spacing w:before="0" w:line="360" w:lineRule="auto"/>
        <w:rPr>
          <w:rFonts w:ascii="宋体" w:hAnsi="宋体" w:eastAsia="宋体"/>
          <w:sz w:val="28"/>
        </w:rPr>
      </w:pPr>
      <w:bookmarkStart w:id="571" w:name="_Toc195842910"/>
      <w:bookmarkStart w:id="572" w:name="_Toc226309789"/>
      <w:bookmarkStart w:id="573" w:name="_Toc265228383"/>
      <w:bookmarkStart w:id="574" w:name="_Toc150480783"/>
      <w:bookmarkStart w:id="575" w:name="_Toc226965818"/>
      <w:bookmarkStart w:id="576" w:name="_Toc226337241"/>
      <w:bookmarkStart w:id="577" w:name="_Toc151193643"/>
      <w:bookmarkStart w:id="578" w:name="_Toc264969235"/>
      <w:bookmarkStart w:id="579" w:name="_Toc150509296"/>
      <w:bookmarkStart w:id="580" w:name="_Toc305158887"/>
      <w:bookmarkStart w:id="581" w:name="_Toc151193715"/>
      <w:bookmarkStart w:id="582" w:name="_Toc226965735"/>
      <w:bookmarkStart w:id="583" w:name="_Toc305158813"/>
      <w:bookmarkStart w:id="584" w:name="_Toc151193933"/>
      <w:bookmarkStart w:id="585" w:name="_Toc142311047"/>
      <w:bookmarkStart w:id="586" w:name="_Toc150774645"/>
      <w:bookmarkStart w:id="587" w:name="_Toc127151545"/>
      <w:bookmarkStart w:id="588" w:name="_Toc151193859"/>
      <w:bookmarkStart w:id="589" w:name="_Toc151190172"/>
      <w:bookmarkStart w:id="590" w:name="_Toc151193787"/>
      <w:bookmarkStart w:id="591" w:name="_Toc150774750"/>
      <w:r>
        <w:rPr>
          <w:rFonts w:ascii="宋体" w:hAnsi="宋体" w:eastAsia="宋体"/>
          <w:sz w:val="28"/>
        </w:rPr>
        <w:t>六</w:t>
      </w:r>
      <w:bookmarkEnd w:id="570"/>
      <w:r>
        <w:rPr>
          <w:rFonts w:hint="eastAsia" w:ascii="宋体" w:hAnsi="宋体" w:eastAsia="宋体"/>
          <w:sz w:val="28"/>
        </w:rPr>
        <w:t>、</w:t>
      </w:r>
      <w:r>
        <w:rPr>
          <w:rFonts w:ascii="宋体" w:hAnsi="宋体" w:eastAsia="宋体"/>
          <w:sz w:val="28"/>
        </w:rPr>
        <w:t>确定中标</w:t>
      </w:r>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Start w:id="592" w:name="_Toc142311049"/>
      <w:bookmarkStart w:id="593" w:name="_Toc226309791"/>
      <w:bookmarkStart w:id="594" w:name="_Toc150480785"/>
      <w:bookmarkStart w:id="595" w:name="_Toc151193861"/>
      <w:bookmarkStart w:id="596" w:name="_Toc151190174"/>
      <w:bookmarkStart w:id="597" w:name="_Toc164351641"/>
      <w:bookmarkStart w:id="598" w:name="_Toc226965820"/>
      <w:bookmarkStart w:id="599" w:name="_Toc305158815"/>
      <w:bookmarkStart w:id="600" w:name="_Toc226337243"/>
      <w:bookmarkStart w:id="601" w:name="_Toc127151748"/>
      <w:bookmarkStart w:id="602" w:name="_Toc151193717"/>
      <w:bookmarkStart w:id="603" w:name="_Toc150774752"/>
      <w:bookmarkStart w:id="604" w:name="_Toc127161461"/>
      <w:bookmarkStart w:id="605" w:name="_Toc150774647"/>
      <w:bookmarkStart w:id="606" w:name="_Toc305158889"/>
      <w:bookmarkStart w:id="607" w:name="_Toc264969237"/>
      <w:bookmarkStart w:id="608" w:name="_Toc164229388"/>
      <w:bookmarkStart w:id="609" w:name="_Toc226965737"/>
      <w:bookmarkStart w:id="610" w:name="_Toc149720840"/>
      <w:bookmarkStart w:id="611" w:name="_Toc164608816"/>
      <w:bookmarkStart w:id="612" w:name="_Toc151193935"/>
      <w:bookmarkStart w:id="613" w:name="_Toc164608661"/>
      <w:bookmarkStart w:id="614" w:name="_Toc195842912"/>
      <w:bookmarkStart w:id="615" w:name="_Toc151193789"/>
      <w:bookmarkStart w:id="616" w:name="_Toc127151547"/>
      <w:bookmarkStart w:id="617" w:name="_Toc150509298"/>
      <w:bookmarkStart w:id="618" w:name="_Toc151193645"/>
      <w:bookmarkStart w:id="619" w:name="_Toc164229242"/>
      <w:bookmarkStart w:id="620" w:name="_Toc265228385"/>
    </w:p>
    <w:p w14:paraId="0BD1E62C">
      <w:pPr>
        <w:numPr>
          <w:ilvl w:val="0"/>
          <w:numId w:val="1"/>
        </w:numPr>
        <w:tabs>
          <w:tab w:val="left" w:pos="360"/>
        </w:tabs>
        <w:snapToGrid w:val="0"/>
        <w:spacing w:line="360" w:lineRule="auto"/>
        <w:ind w:left="357" w:hanging="357"/>
        <w:outlineLvl w:val="1"/>
        <w:rPr>
          <w:rFonts w:ascii="宋体" w:hAnsi="宋体"/>
          <w:sz w:val="24"/>
        </w:rPr>
      </w:pPr>
      <w:r>
        <w:rPr>
          <w:rFonts w:ascii="宋体" w:hAnsi="宋体"/>
          <w:sz w:val="24"/>
        </w:rPr>
        <w:t>确定中标人</w:t>
      </w:r>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p>
    <w:p w14:paraId="175B3C7C">
      <w:pPr>
        <w:numPr>
          <w:ilvl w:val="1"/>
          <w:numId w:val="1"/>
        </w:numPr>
        <w:tabs>
          <w:tab w:val="left" w:pos="1080"/>
          <w:tab w:val="left" w:pos="2014"/>
        </w:tabs>
        <w:snapToGrid w:val="0"/>
        <w:spacing w:line="360" w:lineRule="auto"/>
        <w:ind w:left="1077" w:hanging="720"/>
        <w:rPr>
          <w:rFonts w:ascii="宋体" w:hAnsi="宋体"/>
          <w:sz w:val="24"/>
        </w:rPr>
      </w:pPr>
      <w:r>
        <w:rPr>
          <w:rFonts w:ascii="宋体" w:hAnsi="宋体"/>
          <w:sz w:val="24"/>
        </w:rPr>
        <w:t>采购人将在评标报告确定的中标候选人名单中按顺序确定中标人，中标候选人并列的，由采购人或者采购人委托评标委员会按照招标文件规定的方式确定中标人；招标文件未规定的，采取随机抽取的方式确定</w:t>
      </w:r>
      <w:r>
        <w:rPr>
          <w:rFonts w:hint="eastAsia" w:ascii="宋体" w:hAnsi="宋体"/>
          <w:sz w:val="24"/>
        </w:rPr>
        <w:t>。</w:t>
      </w:r>
      <w:r>
        <w:rPr>
          <w:rFonts w:ascii="宋体" w:hAnsi="宋体"/>
          <w:sz w:val="24"/>
        </w:rPr>
        <w:t>采购人是否委托评标委员会直接确定</w:t>
      </w:r>
      <w:r>
        <w:rPr>
          <w:rFonts w:hint="eastAsia" w:ascii="宋体" w:hAnsi="宋体"/>
          <w:sz w:val="24"/>
        </w:rPr>
        <w:t>中标人</w:t>
      </w:r>
      <w:r>
        <w:rPr>
          <w:rFonts w:ascii="宋体" w:hAnsi="宋体"/>
          <w:sz w:val="24"/>
        </w:rPr>
        <w:t>，见《</w:t>
      </w:r>
      <w:r>
        <w:rPr>
          <w:rFonts w:hint="eastAsia" w:ascii="宋体" w:hAnsi="宋体"/>
          <w:sz w:val="24"/>
        </w:rPr>
        <w:t>投标人</w:t>
      </w:r>
      <w:r>
        <w:rPr>
          <w:rFonts w:ascii="宋体" w:hAnsi="宋体"/>
          <w:sz w:val="24"/>
        </w:rPr>
        <w:t>须知资料表》。</w:t>
      </w:r>
      <w:r>
        <w:rPr>
          <w:rFonts w:hint="eastAsia" w:ascii="宋体" w:hAnsi="宋体"/>
          <w:sz w:val="24"/>
        </w:rPr>
        <w:t>中标</w:t>
      </w:r>
      <w:r>
        <w:rPr>
          <w:rFonts w:ascii="宋体" w:hAnsi="宋体"/>
          <w:sz w:val="24"/>
        </w:rPr>
        <w:t>候选人并列的，按照《</w:t>
      </w:r>
      <w:r>
        <w:rPr>
          <w:rFonts w:hint="eastAsia" w:ascii="宋体" w:hAnsi="宋体"/>
          <w:sz w:val="24"/>
        </w:rPr>
        <w:t>投标人</w:t>
      </w:r>
      <w:r>
        <w:rPr>
          <w:rFonts w:ascii="宋体" w:hAnsi="宋体"/>
          <w:sz w:val="24"/>
        </w:rPr>
        <w:t>须知资料表》</w:t>
      </w:r>
      <w:r>
        <w:rPr>
          <w:rFonts w:hint="eastAsia" w:ascii="宋体" w:hAnsi="宋体"/>
          <w:sz w:val="24"/>
        </w:rPr>
        <w:t>规定</w:t>
      </w:r>
      <w:r>
        <w:rPr>
          <w:rFonts w:ascii="宋体" w:hAnsi="宋体"/>
          <w:sz w:val="24"/>
        </w:rPr>
        <w:t>确定</w:t>
      </w:r>
      <w:r>
        <w:rPr>
          <w:rFonts w:hint="eastAsia" w:ascii="宋体" w:hAnsi="宋体"/>
          <w:sz w:val="24"/>
        </w:rPr>
        <w:t>中标人</w:t>
      </w:r>
      <w:r>
        <w:rPr>
          <w:rFonts w:ascii="宋体" w:hAnsi="宋体"/>
          <w:sz w:val="24"/>
        </w:rPr>
        <w:t>。</w:t>
      </w:r>
    </w:p>
    <w:p w14:paraId="7D44AA6C">
      <w:pPr>
        <w:numPr>
          <w:ilvl w:val="0"/>
          <w:numId w:val="1"/>
        </w:numPr>
        <w:tabs>
          <w:tab w:val="left" w:pos="360"/>
        </w:tabs>
        <w:snapToGrid w:val="0"/>
        <w:spacing w:line="360" w:lineRule="auto"/>
        <w:ind w:left="357" w:hanging="357"/>
        <w:outlineLvl w:val="1"/>
        <w:rPr>
          <w:rFonts w:ascii="宋体" w:hAnsi="宋体"/>
          <w:sz w:val="24"/>
        </w:rPr>
      </w:pPr>
      <w:bookmarkStart w:id="621" w:name="_Toc305158891"/>
      <w:bookmarkStart w:id="622" w:name="_Toc305158817"/>
      <w:bookmarkStart w:id="623" w:name="_Toc164229244"/>
      <w:bookmarkStart w:id="624" w:name="_Toc149720842"/>
      <w:bookmarkStart w:id="625" w:name="_Toc195842914"/>
      <w:bookmarkStart w:id="626" w:name="_Toc265228387"/>
      <w:bookmarkStart w:id="627" w:name="_Toc127151549"/>
      <w:bookmarkStart w:id="628" w:name="_Toc151193863"/>
      <w:bookmarkStart w:id="629" w:name="_Toc127151750"/>
      <w:bookmarkStart w:id="630" w:name="_Toc151193719"/>
      <w:bookmarkStart w:id="631" w:name="_Toc151193647"/>
      <w:bookmarkStart w:id="632" w:name="_Toc164608663"/>
      <w:bookmarkStart w:id="633" w:name="_Toc150774649"/>
      <w:bookmarkStart w:id="634" w:name="_Toc142311051"/>
      <w:bookmarkStart w:id="635" w:name="_Toc150509300"/>
      <w:bookmarkStart w:id="636" w:name="_Toc127161463"/>
      <w:bookmarkStart w:id="637" w:name="_Toc226337245"/>
      <w:bookmarkStart w:id="638" w:name="_Toc151190176"/>
      <w:bookmarkStart w:id="639" w:name="_Toc226965739"/>
      <w:bookmarkStart w:id="640" w:name="_Toc226965822"/>
      <w:bookmarkStart w:id="641" w:name="_Toc164229390"/>
      <w:bookmarkStart w:id="642" w:name="_Toc151193791"/>
      <w:bookmarkStart w:id="643" w:name="_Toc164351643"/>
      <w:bookmarkStart w:id="644" w:name="_Toc150774754"/>
      <w:bookmarkStart w:id="645" w:name="_Toc150480787"/>
      <w:bookmarkStart w:id="646" w:name="_Toc164608818"/>
      <w:bookmarkStart w:id="647" w:name="_Toc151193937"/>
      <w:bookmarkStart w:id="648" w:name="_Toc226309793"/>
      <w:bookmarkStart w:id="649" w:name="_Toc264969239"/>
      <w:bookmarkStart w:id="650" w:name="_Ref467306425"/>
      <w:bookmarkStart w:id="651" w:name="_Toc520356176"/>
      <w:bookmarkStart w:id="652" w:name="_Ref467307090"/>
      <w:r>
        <w:rPr>
          <w:rFonts w:ascii="宋体" w:hAnsi="宋体"/>
          <w:sz w:val="24"/>
        </w:rPr>
        <w:t>中标公告与中标通知书</w:t>
      </w:r>
      <w:bookmarkEnd w:id="621"/>
      <w:bookmarkEnd w:id="622"/>
    </w:p>
    <w:p w14:paraId="19C13019">
      <w:pPr>
        <w:numPr>
          <w:ilvl w:val="1"/>
          <w:numId w:val="1"/>
        </w:numPr>
        <w:tabs>
          <w:tab w:val="left" w:pos="1080"/>
          <w:tab w:val="left" w:pos="2014"/>
        </w:tabs>
        <w:snapToGrid w:val="0"/>
        <w:spacing w:line="360" w:lineRule="auto"/>
        <w:ind w:left="1077" w:hanging="720"/>
        <w:rPr>
          <w:rFonts w:ascii="宋体" w:hAnsi="宋体"/>
          <w:sz w:val="24"/>
        </w:rPr>
      </w:pPr>
      <w:r>
        <w:rPr>
          <w:rFonts w:ascii="宋体" w:hAnsi="宋体"/>
          <w:sz w:val="24"/>
        </w:rPr>
        <w:t>采购人或采购代理机构自中标人确定之日起2个工作日内，</w:t>
      </w:r>
      <w:r>
        <w:rPr>
          <w:rFonts w:ascii="宋体" w:hAnsi="宋体"/>
          <w:kern w:val="0"/>
          <w:sz w:val="24"/>
        </w:rPr>
        <w:t>在</w:t>
      </w:r>
      <w:r>
        <w:rPr>
          <w:rFonts w:hint="eastAsia" w:ascii="宋体" w:hAnsi="宋体"/>
          <w:kern w:val="0"/>
          <w:sz w:val="24"/>
        </w:rPr>
        <w:t>北京市政府采购网</w:t>
      </w:r>
      <w:r>
        <w:rPr>
          <w:rFonts w:ascii="宋体" w:hAnsi="宋体"/>
          <w:kern w:val="0"/>
          <w:sz w:val="24"/>
        </w:rPr>
        <w:t>公告中标结果</w:t>
      </w:r>
      <w:r>
        <w:rPr>
          <w:rFonts w:ascii="宋体" w:hAnsi="宋体"/>
          <w:sz w:val="24"/>
        </w:rPr>
        <w:t>，</w:t>
      </w:r>
      <w:r>
        <w:rPr>
          <w:rFonts w:hint="eastAsia" w:ascii="宋体" w:hAnsi="宋体"/>
          <w:sz w:val="24"/>
        </w:rPr>
        <w:t>同时向中标人发出中标通知书，</w:t>
      </w:r>
      <w:r>
        <w:rPr>
          <w:rFonts w:ascii="宋体" w:hAnsi="宋体"/>
          <w:sz w:val="24"/>
        </w:rPr>
        <w:t>中标公告期限为1个工作日。</w:t>
      </w:r>
    </w:p>
    <w:p w14:paraId="331A546D">
      <w:pPr>
        <w:numPr>
          <w:ilvl w:val="1"/>
          <w:numId w:val="1"/>
        </w:numPr>
        <w:tabs>
          <w:tab w:val="left" w:pos="1080"/>
          <w:tab w:val="left" w:pos="2014"/>
        </w:tabs>
        <w:snapToGrid w:val="0"/>
        <w:spacing w:line="360" w:lineRule="auto"/>
        <w:ind w:left="1077" w:hanging="720"/>
        <w:rPr>
          <w:rFonts w:ascii="宋体" w:hAnsi="宋体"/>
          <w:sz w:val="24"/>
        </w:rPr>
      </w:pPr>
      <w:r>
        <w:rPr>
          <w:rFonts w:ascii="宋体" w:hAnsi="宋体"/>
          <w:sz w:val="24"/>
        </w:rPr>
        <w:t>中标通知书对采购人和中标供应商均具有法律效力。中标通知书发出后，采购人改变中标结果的，或者中标供应商放弃中标项目的，应当依法承担法律责任。</w:t>
      </w:r>
    </w:p>
    <w:p w14:paraId="7F9EFDE1">
      <w:pPr>
        <w:numPr>
          <w:ilvl w:val="0"/>
          <w:numId w:val="1"/>
        </w:numPr>
        <w:tabs>
          <w:tab w:val="left" w:pos="360"/>
        </w:tabs>
        <w:snapToGrid w:val="0"/>
        <w:spacing w:line="360" w:lineRule="auto"/>
        <w:ind w:left="357" w:hanging="357"/>
        <w:outlineLvl w:val="1"/>
        <w:rPr>
          <w:rFonts w:ascii="宋体" w:hAnsi="宋体"/>
          <w:sz w:val="24"/>
        </w:rPr>
      </w:pPr>
      <w:r>
        <w:rPr>
          <w:rFonts w:ascii="宋体" w:hAnsi="宋体"/>
          <w:sz w:val="24"/>
        </w:rPr>
        <w:t>废标</w:t>
      </w:r>
    </w:p>
    <w:p w14:paraId="5D9BD08D">
      <w:pPr>
        <w:numPr>
          <w:ilvl w:val="1"/>
          <w:numId w:val="1"/>
        </w:numPr>
        <w:tabs>
          <w:tab w:val="left" w:pos="1080"/>
          <w:tab w:val="left" w:pos="2014"/>
        </w:tabs>
        <w:snapToGrid w:val="0"/>
        <w:spacing w:line="360" w:lineRule="auto"/>
        <w:ind w:left="1077" w:hanging="720"/>
        <w:rPr>
          <w:rFonts w:ascii="宋体" w:hAnsi="宋体"/>
          <w:sz w:val="24"/>
        </w:rPr>
      </w:pPr>
      <w:r>
        <w:rPr>
          <w:rFonts w:ascii="宋体" w:hAnsi="宋体"/>
          <w:sz w:val="24"/>
        </w:rPr>
        <w:t>在招标采购中，出现下列情形之一的，应予废标：</w:t>
      </w:r>
    </w:p>
    <w:p w14:paraId="7B81D97E">
      <w:pPr>
        <w:numPr>
          <w:ilvl w:val="2"/>
          <w:numId w:val="1"/>
        </w:numPr>
        <w:snapToGrid w:val="0"/>
        <w:spacing w:line="360" w:lineRule="auto"/>
        <w:rPr>
          <w:rFonts w:ascii="宋体" w:hAnsi="宋体"/>
          <w:sz w:val="24"/>
        </w:rPr>
      </w:pPr>
      <w:r>
        <w:rPr>
          <w:rFonts w:ascii="宋体" w:hAnsi="宋体"/>
          <w:sz w:val="24"/>
        </w:rPr>
        <w:t>符合专业条件的供应商或者对招标文件作实质响应的供应商不足三家的；</w:t>
      </w:r>
    </w:p>
    <w:p w14:paraId="255987B6">
      <w:pPr>
        <w:numPr>
          <w:ilvl w:val="2"/>
          <w:numId w:val="1"/>
        </w:numPr>
        <w:snapToGrid w:val="0"/>
        <w:spacing w:line="360" w:lineRule="auto"/>
        <w:rPr>
          <w:rFonts w:ascii="宋体" w:hAnsi="宋体"/>
          <w:sz w:val="24"/>
        </w:rPr>
      </w:pPr>
      <w:r>
        <w:rPr>
          <w:rFonts w:ascii="宋体" w:hAnsi="宋体"/>
          <w:sz w:val="24"/>
        </w:rPr>
        <w:t>出现影响采购公正的违法、违规行为的；</w:t>
      </w:r>
    </w:p>
    <w:p w14:paraId="3386218A">
      <w:pPr>
        <w:numPr>
          <w:ilvl w:val="2"/>
          <w:numId w:val="1"/>
        </w:numPr>
        <w:snapToGrid w:val="0"/>
        <w:spacing w:line="360" w:lineRule="auto"/>
        <w:rPr>
          <w:rFonts w:ascii="宋体" w:hAnsi="宋体"/>
          <w:sz w:val="24"/>
        </w:rPr>
      </w:pPr>
      <w:r>
        <w:rPr>
          <w:rFonts w:ascii="宋体" w:hAnsi="宋体"/>
          <w:sz w:val="24"/>
        </w:rPr>
        <w:t>投标人的报价均超过了采购预算，采购人不能支付的；</w:t>
      </w:r>
    </w:p>
    <w:p w14:paraId="17EACE49">
      <w:pPr>
        <w:numPr>
          <w:ilvl w:val="2"/>
          <w:numId w:val="1"/>
        </w:numPr>
        <w:snapToGrid w:val="0"/>
        <w:spacing w:line="360" w:lineRule="auto"/>
        <w:rPr>
          <w:rFonts w:ascii="宋体" w:hAnsi="宋体"/>
          <w:sz w:val="24"/>
        </w:rPr>
      </w:pPr>
      <w:r>
        <w:rPr>
          <w:rFonts w:ascii="宋体" w:hAnsi="宋体"/>
          <w:sz w:val="24"/>
        </w:rPr>
        <w:t>因重大变故，采购任务取消的。</w:t>
      </w:r>
    </w:p>
    <w:p w14:paraId="7D52249D">
      <w:pPr>
        <w:numPr>
          <w:ilvl w:val="1"/>
          <w:numId w:val="1"/>
        </w:numPr>
        <w:tabs>
          <w:tab w:val="left" w:pos="1080"/>
          <w:tab w:val="left" w:pos="2014"/>
        </w:tabs>
        <w:snapToGrid w:val="0"/>
        <w:spacing w:line="360" w:lineRule="auto"/>
        <w:ind w:left="1077" w:hanging="720"/>
        <w:rPr>
          <w:rFonts w:ascii="宋体" w:hAnsi="宋体"/>
          <w:sz w:val="24"/>
        </w:rPr>
      </w:pPr>
      <w:r>
        <w:rPr>
          <w:rFonts w:ascii="宋体" w:hAnsi="宋体"/>
          <w:sz w:val="24"/>
        </w:rPr>
        <w:t>废标后，采购</w:t>
      </w:r>
      <w:r>
        <w:rPr>
          <w:rFonts w:hint="eastAsia" w:ascii="宋体" w:hAnsi="宋体"/>
          <w:sz w:val="24"/>
        </w:rPr>
        <w:t>代理机构</w:t>
      </w:r>
      <w:r>
        <w:rPr>
          <w:rFonts w:ascii="宋体" w:hAnsi="宋体"/>
          <w:sz w:val="24"/>
        </w:rPr>
        <w:t>将废标理由通知所有投标人。</w:t>
      </w:r>
    </w:p>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p w14:paraId="62FE31D8">
      <w:pPr>
        <w:numPr>
          <w:ilvl w:val="0"/>
          <w:numId w:val="1"/>
        </w:numPr>
        <w:tabs>
          <w:tab w:val="left" w:pos="360"/>
        </w:tabs>
        <w:snapToGrid w:val="0"/>
        <w:spacing w:line="360" w:lineRule="auto"/>
        <w:ind w:left="357" w:hanging="357"/>
        <w:outlineLvl w:val="1"/>
        <w:rPr>
          <w:rFonts w:ascii="宋体" w:hAnsi="宋体"/>
          <w:sz w:val="24"/>
        </w:rPr>
      </w:pPr>
      <w:bookmarkStart w:id="653" w:name="_Toc150509301"/>
      <w:bookmarkStart w:id="654" w:name="_Toc195842915"/>
      <w:bookmarkStart w:id="655" w:name="_Toc142311052"/>
      <w:bookmarkStart w:id="656" w:name="_Ref467307062"/>
      <w:bookmarkStart w:id="657" w:name="_Toc149720843"/>
      <w:bookmarkStart w:id="658" w:name="_Ref467307204"/>
      <w:bookmarkStart w:id="659" w:name="_Toc226965823"/>
      <w:bookmarkStart w:id="660" w:name="_Toc127151751"/>
      <w:bookmarkStart w:id="661" w:name="_Toc127161464"/>
      <w:bookmarkStart w:id="662" w:name="_Toc164608819"/>
      <w:bookmarkStart w:id="663" w:name="_Toc150774650"/>
      <w:bookmarkStart w:id="664" w:name="_Toc151193720"/>
      <w:bookmarkStart w:id="665" w:name="_Toc151193938"/>
      <w:bookmarkStart w:id="666" w:name="_Toc265228388"/>
      <w:bookmarkStart w:id="667" w:name="_Toc305158892"/>
      <w:bookmarkStart w:id="668" w:name="_Toc226337246"/>
      <w:bookmarkStart w:id="669" w:name="_Toc164608664"/>
      <w:bookmarkStart w:id="670" w:name="_Toc226965740"/>
      <w:bookmarkStart w:id="671" w:name="_Toc151193792"/>
      <w:bookmarkStart w:id="672" w:name="_Toc150774755"/>
      <w:bookmarkStart w:id="673" w:name="_Toc164229245"/>
      <w:bookmarkStart w:id="674" w:name="_Toc164351644"/>
      <w:bookmarkStart w:id="675" w:name="_Toc164229391"/>
      <w:bookmarkStart w:id="676" w:name="_Toc127151550"/>
      <w:bookmarkStart w:id="677" w:name="_Toc151193864"/>
      <w:bookmarkStart w:id="678" w:name="_Ref467306377"/>
      <w:bookmarkStart w:id="679" w:name="_Ref467306978"/>
      <w:bookmarkStart w:id="680" w:name="_Toc150480788"/>
      <w:bookmarkStart w:id="681" w:name="_Toc151190177"/>
      <w:bookmarkStart w:id="682" w:name="_Toc520356175"/>
      <w:bookmarkStart w:id="683" w:name="_Toc264969240"/>
      <w:bookmarkStart w:id="684" w:name="_Toc151193648"/>
      <w:bookmarkStart w:id="685" w:name="_Toc305158818"/>
      <w:bookmarkStart w:id="686" w:name="_Toc226309794"/>
      <w:r>
        <w:rPr>
          <w:rFonts w:ascii="宋体" w:hAnsi="宋体"/>
          <w:sz w:val="24"/>
        </w:rPr>
        <w:t>签订合同</w:t>
      </w:r>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p>
    <w:p w14:paraId="4E16E8B0">
      <w:pPr>
        <w:numPr>
          <w:ilvl w:val="1"/>
          <w:numId w:val="1"/>
        </w:numPr>
        <w:tabs>
          <w:tab w:val="left" w:pos="1080"/>
          <w:tab w:val="left" w:pos="2014"/>
        </w:tabs>
        <w:snapToGrid w:val="0"/>
        <w:spacing w:line="360" w:lineRule="auto"/>
        <w:ind w:left="1077" w:hanging="720"/>
        <w:rPr>
          <w:rFonts w:ascii="宋体" w:hAnsi="宋体"/>
          <w:sz w:val="24"/>
        </w:rPr>
      </w:pPr>
      <w:r>
        <w:rPr>
          <w:rFonts w:ascii="宋体" w:hAnsi="宋体"/>
          <w:sz w:val="24"/>
        </w:rPr>
        <w:t>中标人、采购人应当自中标通知书发出之日起30日内，按照招标文件和中标人投标文件的规定签订书面合同。所签订的合同不得对招标文件确定的事项和中标人投标文件作实质性修改。</w:t>
      </w:r>
    </w:p>
    <w:p w14:paraId="635F43DF">
      <w:pPr>
        <w:numPr>
          <w:ilvl w:val="1"/>
          <w:numId w:val="1"/>
        </w:numPr>
        <w:tabs>
          <w:tab w:val="left" w:pos="1080"/>
          <w:tab w:val="left" w:pos="2014"/>
        </w:tabs>
        <w:snapToGrid w:val="0"/>
        <w:spacing w:line="360" w:lineRule="auto"/>
        <w:ind w:left="1077" w:hanging="720"/>
        <w:rPr>
          <w:rFonts w:ascii="宋体" w:hAnsi="宋体"/>
          <w:sz w:val="24"/>
        </w:rPr>
      </w:pPr>
      <w:r>
        <w:rPr>
          <w:rFonts w:ascii="宋体" w:hAnsi="宋体"/>
          <w:sz w:val="24"/>
        </w:rPr>
        <w:t>中标人</w:t>
      </w:r>
      <w:r>
        <w:rPr>
          <w:rFonts w:hint="eastAsia" w:ascii="宋体" w:hAnsi="宋体"/>
          <w:sz w:val="24"/>
        </w:rPr>
        <w:t>拒绝</w:t>
      </w:r>
      <w:r>
        <w:rPr>
          <w:rFonts w:ascii="宋体" w:hAnsi="宋体"/>
          <w:sz w:val="24"/>
        </w:rPr>
        <w:t>与采购人签订合同的，采购人</w:t>
      </w:r>
      <w:r>
        <w:rPr>
          <w:rFonts w:hint="eastAsia" w:ascii="宋体" w:hAnsi="宋体"/>
          <w:sz w:val="24"/>
        </w:rPr>
        <w:t>可以</w:t>
      </w:r>
      <w:r>
        <w:rPr>
          <w:rFonts w:ascii="宋体" w:hAnsi="宋体"/>
          <w:sz w:val="24"/>
        </w:rPr>
        <w:t>按照评</w:t>
      </w:r>
      <w:r>
        <w:rPr>
          <w:rFonts w:hint="eastAsia" w:ascii="宋体" w:hAnsi="宋体"/>
          <w:sz w:val="24"/>
        </w:rPr>
        <w:t>标</w:t>
      </w:r>
      <w:r>
        <w:rPr>
          <w:rFonts w:ascii="宋体" w:hAnsi="宋体"/>
          <w:sz w:val="24"/>
        </w:rPr>
        <w:t>报告推荐的中标候选人名单排序，确定下一候选人为中标人，</w:t>
      </w:r>
      <w:r>
        <w:rPr>
          <w:rFonts w:hint="eastAsia" w:ascii="宋体" w:hAnsi="宋体"/>
          <w:sz w:val="24"/>
        </w:rPr>
        <w:t>也可以</w:t>
      </w:r>
      <w:r>
        <w:rPr>
          <w:rFonts w:ascii="宋体" w:hAnsi="宋体"/>
          <w:sz w:val="24"/>
        </w:rPr>
        <w:t>重新开展政府采购活动。</w:t>
      </w:r>
    </w:p>
    <w:p w14:paraId="14270562">
      <w:pPr>
        <w:numPr>
          <w:ilvl w:val="1"/>
          <w:numId w:val="1"/>
        </w:numPr>
        <w:tabs>
          <w:tab w:val="left" w:pos="1080"/>
          <w:tab w:val="left" w:pos="2014"/>
        </w:tabs>
        <w:snapToGrid w:val="0"/>
        <w:spacing w:line="360" w:lineRule="auto"/>
        <w:ind w:left="1077" w:hanging="720"/>
        <w:rPr>
          <w:rFonts w:ascii="宋体" w:hAnsi="宋体"/>
          <w:sz w:val="24"/>
        </w:rPr>
      </w:pPr>
      <w:r>
        <w:rPr>
          <w:rFonts w:ascii="宋体" w:hAnsi="宋体"/>
          <w:sz w:val="24"/>
        </w:rPr>
        <w:t>联合体中标的，</w:t>
      </w:r>
      <w:r>
        <w:rPr>
          <w:rFonts w:hint="eastAsia" w:ascii="宋体" w:hAnsi="宋体"/>
          <w:sz w:val="24"/>
        </w:rPr>
        <w:t>联合体各方应当共同与采购人签订合同，就采购合同约定的事项向采购人承担连带责任。</w:t>
      </w:r>
    </w:p>
    <w:p w14:paraId="1236AD6A">
      <w:pPr>
        <w:numPr>
          <w:ilvl w:val="1"/>
          <w:numId w:val="1"/>
        </w:numPr>
        <w:tabs>
          <w:tab w:val="left" w:pos="1080"/>
          <w:tab w:val="left" w:pos="2014"/>
        </w:tabs>
        <w:snapToGrid w:val="0"/>
        <w:spacing w:line="360" w:lineRule="auto"/>
        <w:ind w:left="1077" w:hanging="720"/>
        <w:rPr>
          <w:rFonts w:ascii="宋体" w:hAnsi="宋体"/>
          <w:sz w:val="24"/>
        </w:rPr>
      </w:pPr>
      <w:r>
        <w:rPr>
          <w:rFonts w:ascii="宋体" w:hAnsi="宋体"/>
          <w:sz w:val="24"/>
        </w:rPr>
        <w:t>政府采购合同不能转包。</w:t>
      </w:r>
    </w:p>
    <w:p w14:paraId="6ACB14F1">
      <w:pPr>
        <w:numPr>
          <w:ilvl w:val="1"/>
          <w:numId w:val="1"/>
        </w:numPr>
        <w:tabs>
          <w:tab w:val="left" w:pos="1080"/>
          <w:tab w:val="left" w:pos="2014"/>
        </w:tabs>
        <w:snapToGrid w:val="0"/>
        <w:spacing w:line="360" w:lineRule="auto"/>
        <w:ind w:left="1077" w:hanging="720"/>
        <w:rPr>
          <w:rFonts w:ascii="宋体" w:hAnsi="宋体"/>
        </w:rPr>
      </w:pPr>
      <w:r>
        <w:rPr>
          <w:rFonts w:ascii="宋体" w:hAnsi="宋体"/>
          <w:sz w:val="24"/>
        </w:rPr>
        <w:t>采购人允许采用分包方式履行合同的，中标人可以依法在中标后将中标项目的非主体、非关键性工作采取分包方式履行合同。本项目的非主体、非关键性工作是否允许分包，见《投标人须知资料表》。政府采购合同分包履行的，应当在投标文件中载明分包承担主体，分包承担主体应当具备相应资质条件且不得再次分包</w:t>
      </w:r>
      <w:r>
        <w:rPr>
          <w:rFonts w:ascii="宋体" w:hAnsi="宋体"/>
          <w:b/>
          <w:sz w:val="24"/>
        </w:rPr>
        <w:t>，</w:t>
      </w:r>
      <w:r>
        <w:rPr>
          <w:rFonts w:ascii="宋体" w:hAnsi="宋体"/>
          <w:sz w:val="24"/>
        </w:rPr>
        <w:t>否则</w:t>
      </w:r>
      <w:r>
        <w:rPr>
          <w:rFonts w:ascii="宋体" w:hAnsi="宋体"/>
          <w:b/>
          <w:sz w:val="24"/>
        </w:rPr>
        <w:t>投标无效</w:t>
      </w:r>
      <w:r>
        <w:rPr>
          <w:rFonts w:ascii="宋体" w:hAnsi="宋体"/>
          <w:sz w:val="24"/>
        </w:rPr>
        <w:t>。中标人就采购项目和分包项目向采购人负责，分包供应商就分包项目承担责任。</w:t>
      </w:r>
    </w:p>
    <w:p w14:paraId="79933E9C">
      <w:pPr>
        <w:numPr>
          <w:ilvl w:val="1"/>
          <w:numId w:val="1"/>
        </w:numPr>
        <w:tabs>
          <w:tab w:val="left" w:pos="1080"/>
          <w:tab w:val="left" w:pos="2014"/>
        </w:tabs>
        <w:snapToGrid w:val="0"/>
        <w:spacing w:line="360" w:lineRule="auto"/>
        <w:ind w:left="1077" w:hanging="720"/>
        <w:rPr>
          <w:rFonts w:ascii="宋体" w:hAnsi="宋体"/>
          <w:sz w:val="24"/>
        </w:rPr>
      </w:pPr>
      <w:r>
        <w:rPr>
          <w:rFonts w:hint="eastAsia" w:ascii="宋体" w:hAnsi="宋体"/>
          <w:sz w:val="24"/>
        </w:rPr>
        <w:t>“</w:t>
      </w:r>
      <w:r>
        <w:rPr>
          <w:rFonts w:ascii="宋体" w:hAnsi="宋体"/>
          <w:sz w:val="24"/>
        </w:rPr>
        <w:t>政采贷</w:t>
      </w:r>
      <w:r>
        <w:rPr>
          <w:rFonts w:hint="eastAsia" w:ascii="宋体" w:hAnsi="宋体"/>
          <w:sz w:val="24"/>
        </w:rPr>
        <w:t>”</w:t>
      </w:r>
      <w:r>
        <w:rPr>
          <w:rFonts w:ascii="宋体" w:hAnsi="宋体"/>
          <w:sz w:val="24"/>
        </w:rPr>
        <w:t>融资指引：详见《投标人须知资料表》。</w:t>
      </w:r>
    </w:p>
    <w:bookmarkEnd w:id="650"/>
    <w:bookmarkEnd w:id="651"/>
    <w:bookmarkEnd w:id="652"/>
    <w:p w14:paraId="4EA95C0A">
      <w:pPr>
        <w:numPr>
          <w:ilvl w:val="0"/>
          <w:numId w:val="1"/>
        </w:numPr>
        <w:tabs>
          <w:tab w:val="left" w:pos="360"/>
        </w:tabs>
        <w:snapToGrid w:val="0"/>
        <w:spacing w:line="360" w:lineRule="auto"/>
        <w:ind w:left="0" w:hanging="357"/>
        <w:outlineLvl w:val="1"/>
        <w:rPr>
          <w:rFonts w:ascii="宋体" w:hAnsi="宋体"/>
          <w:sz w:val="24"/>
        </w:rPr>
      </w:pPr>
      <w:r>
        <w:rPr>
          <w:rFonts w:ascii="宋体" w:hAnsi="宋体"/>
          <w:sz w:val="24"/>
        </w:rPr>
        <w:t>询问与质疑</w:t>
      </w:r>
    </w:p>
    <w:p w14:paraId="13D6726C">
      <w:pPr>
        <w:numPr>
          <w:ilvl w:val="1"/>
          <w:numId w:val="1"/>
        </w:numPr>
        <w:tabs>
          <w:tab w:val="left" w:pos="1080"/>
          <w:tab w:val="left" w:pos="2014"/>
        </w:tabs>
        <w:snapToGrid w:val="0"/>
        <w:spacing w:line="360" w:lineRule="auto"/>
        <w:ind w:left="1077" w:hanging="720"/>
        <w:rPr>
          <w:rFonts w:ascii="宋体" w:hAnsi="宋体"/>
          <w:sz w:val="24"/>
        </w:rPr>
      </w:pPr>
      <w:r>
        <w:rPr>
          <w:rFonts w:ascii="宋体" w:hAnsi="宋体"/>
          <w:sz w:val="24"/>
        </w:rPr>
        <w:t>询问</w:t>
      </w:r>
    </w:p>
    <w:p w14:paraId="7D8A0DDD">
      <w:pPr>
        <w:numPr>
          <w:ilvl w:val="2"/>
          <w:numId w:val="1"/>
        </w:numPr>
        <w:snapToGrid w:val="0"/>
        <w:spacing w:line="360" w:lineRule="auto"/>
        <w:rPr>
          <w:rFonts w:ascii="宋体" w:hAnsi="宋体"/>
          <w:sz w:val="24"/>
        </w:rPr>
      </w:pPr>
      <w:r>
        <w:rPr>
          <w:rFonts w:ascii="宋体" w:hAnsi="宋体"/>
          <w:sz w:val="24"/>
        </w:rPr>
        <w:t>投标人对政府采购活动事项有疑问的，可依法提出询问，并按《投标人须知资料表》载明的形式送达采购人或采购代理机构。</w:t>
      </w:r>
    </w:p>
    <w:p w14:paraId="2F73E9ED">
      <w:pPr>
        <w:numPr>
          <w:ilvl w:val="2"/>
          <w:numId w:val="1"/>
        </w:numPr>
        <w:snapToGrid w:val="0"/>
        <w:spacing w:line="360" w:lineRule="auto"/>
        <w:rPr>
          <w:rFonts w:ascii="宋体" w:hAnsi="宋体"/>
          <w:sz w:val="24"/>
        </w:rPr>
      </w:pPr>
      <w:r>
        <w:rPr>
          <w:rFonts w:ascii="宋体" w:hAnsi="宋体"/>
          <w:sz w:val="24"/>
        </w:rPr>
        <w:t>采购人或采购代理机构对供应商依法提出的询问，在3个工作日内作出答复，但答复的内容不得涉及商业秘密。</w:t>
      </w:r>
    </w:p>
    <w:p w14:paraId="11CA5D70">
      <w:pPr>
        <w:numPr>
          <w:ilvl w:val="1"/>
          <w:numId w:val="1"/>
        </w:numPr>
        <w:tabs>
          <w:tab w:val="left" w:pos="1080"/>
          <w:tab w:val="left" w:pos="2014"/>
        </w:tabs>
        <w:snapToGrid w:val="0"/>
        <w:spacing w:line="360" w:lineRule="auto"/>
        <w:ind w:left="1077" w:hanging="720"/>
        <w:rPr>
          <w:rFonts w:ascii="宋体" w:hAnsi="宋体"/>
          <w:sz w:val="24"/>
        </w:rPr>
      </w:pPr>
      <w:r>
        <w:rPr>
          <w:rFonts w:ascii="宋体" w:hAnsi="宋体"/>
          <w:sz w:val="24"/>
        </w:rPr>
        <w:t>质疑</w:t>
      </w:r>
    </w:p>
    <w:p w14:paraId="2FFD4B9F">
      <w:pPr>
        <w:numPr>
          <w:ilvl w:val="2"/>
          <w:numId w:val="1"/>
        </w:numPr>
        <w:snapToGrid w:val="0"/>
        <w:spacing w:line="360" w:lineRule="auto"/>
        <w:rPr>
          <w:rFonts w:ascii="宋体" w:hAnsi="宋体"/>
          <w:sz w:val="24"/>
        </w:rPr>
      </w:pPr>
      <w:r>
        <w:rPr>
          <w:rFonts w:ascii="宋体" w:hAnsi="宋体"/>
          <w:sz w:val="24"/>
        </w:rPr>
        <w:t>投标人认为采购文件、采购过程、中标结果使自己的权益受到损害的，可以在知道或者应知其权益受到损害之日起7个工作日内，由投标人派授权代表以书面形式向采购人、采购代理机构提出质疑。采购人、采购代理机构在收到质疑函后7个工作日内作出答复。</w:t>
      </w:r>
    </w:p>
    <w:p w14:paraId="29303487">
      <w:pPr>
        <w:numPr>
          <w:ilvl w:val="2"/>
          <w:numId w:val="1"/>
        </w:numPr>
        <w:snapToGrid w:val="0"/>
        <w:spacing w:line="360" w:lineRule="auto"/>
        <w:rPr>
          <w:rFonts w:ascii="宋体" w:hAnsi="宋体"/>
          <w:sz w:val="24"/>
        </w:rPr>
      </w:pPr>
      <w:r>
        <w:rPr>
          <w:rFonts w:ascii="宋体" w:hAnsi="宋体"/>
          <w:sz w:val="24"/>
        </w:rPr>
        <w:t>质疑函须使用财政部制定的范本文件</w:t>
      </w:r>
      <w:r>
        <w:rPr>
          <w:rFonts w:hint="eastAsia" w:ascii="宋体" w:hAnsi="宋体"/>
          <w:sz w:val="24"/>
        </w:rPr>
        <w:t>。投标人为自然人的，质疑函应当由本人签字；投标人为法人或者其他组织的，质疑函应当由法定代表人、主要负责人，或者其授权代表签字或者盖章，并加盖公章</w:t>
      </w:r>
      <w:r>
        <w:rPr>
          <w:rFonts w:ascii="宋体" w:hAnsi="宋体"/>
          <w:sz w:val="24"/>
        </w:rPr>
        <w:t>。</w:t>
      </w:r>
    </w:p>
    <w:p w14:paraId="6C1BFD26">
      <w:pPr>
        <w:numPr>
          <w:ilvl w:val="2"/>
          <w:numId w:val="1"/>
        </w:numPr>
        <w:snapToGrid w:val="0"/>
        <w:spacing w:line="360" w:lineRule="auto"/>
        <w:rPr>
          <w:rFonts w:ascii="宋体" w:hAnsi="宋体"/>
          <w:sz w:val="24"/>
        </w:rPr>
      </w:pPr>
      <w:r>
        <w:rPr>
          <w:rFonts w:hint="eastAsia" w:ascii="宋体" w:hAnsi="宋体"/>
          <w:sz w:val="24"/>
        </w:rPr>
        <w:t>投标人委托代理人进行质疑的，应当随质疑函同时提交投标人签署的授权委托书。授权委托书应当载明代理人的姓名或者名称、代理事项、具体权限、期限和相关事项。投标人为自然人的，应当由本人签字；投标人为法人或者其他组织的，应当由法定代表人、主要负责人签字或者盖章，并加盖公章</w:t>
      </w:r>
      <w:r>
        <w:rPr>
          <w:rFonts w:ascii="宋体" w:hAnsi="宋体"/>
          <w:sz w:val="24"/>
        </w:rPr>
        <w:t>。</w:t>
      </w:r>
    </w:p>
    <w:p w14:paraId="434645E6">
      <w:pPr>
        <w:numPr>
          <w:ilvl w:val="2"/>
          <w:numId w:val="1"/>
        </w:numPr>
        <w:snapToGrid w:val="0"/>
        <w:spacing w:line="360" w:lineRule="auto"/>
        <w:rPr>
          <w:rFonts w:ascii="宋体" w:hAnsi="宋体"/>
          <w:sz w:val="24"/>
        </w:rPr>
      </w:pPr>
      <w:r>
        <w:rPr>
          <w:rFonts w:ascii="宋体" w:hAnsi="宋体"/>
          <w:sz w:val="24"/>
        </w:rPr>
        <w:t>投标人应在法定质疑期内一次性提出针对同一采购程序环节的质疑，法定质疑期内针对同一采购程序环节再次提出的质疑，采购人、采购代理机构有权不予答复。</w:t>
      </w:r>
    </w:p>
    <w:p w14:paraId="0CD7A061">
      <w:pPr>
        <w:numPr>
          <w:ilvl w:val="1"/>
          <w:numId w:val="1"/>
        </w:numPr>
        <w:tabs>
          <w:tab w:val="left" w:pos="1080"/>
          <w:tab w:val="left" w:pos="2014"/>
        </w:tabs>
        <w:snapToGrid w:val="0"/>
        <w:spacing w:line="360" w:lineRule="auto"/>
        <w:ind w:left="1077" w:hanging="720"/>
        <w:rPr>
          <w:rFonts w:ascii="宋体" w:hAnsi="宋体"/>
          <w:sz w:val="24"/>
        </w:rPr>
      </w:pPr>
      <w:r>
        <w:rPr>
          <w:rFonts w:ascii="宋体" w:hAnsi="宋体"/>
          <w:sz w:val="24"/>
        </w:rPr>
        <w:t>接收询问和质疑的联系部门、联系电话和通讯地址见《投标人须知资料表》</w:t>
      </w:r>
      <w:r>
        <w:rPr>
          <w:rFonts w:hint="eastAsia" w:ascii="宋体" w:hAnsi="宋体"/>
          <w:sz w:val="24"/>
        </w:rPr>
        <w:t>。</w:t>
      </w:r>
    </w:p>
    <w:p w14:paraId="391C8AB4">
      <w:pPr>
        <w:numPr>
          <w:ilvl w:val="0"/>
          <w:numId w:val="1"/>
        </w:numPr>
        <w:tabs>
          <w:tab w:val="left" w:pos="360"/>
        </w:tabs>
        <w:snapToGrid w:val="0"/>
        <w:spacing w:line="360" w:lineRule="auto"/>
        <w:ind w:left="357" w:hanging="357"/>
        <w:outlineLvl w:val="1"/>
        <w:rPr>
          <w:rFonts w:ascii="宋体" w:hAnsi="宋体"/>
          <w:sz w:val="24"/>
        </w:rPr>
      </w:pPr>
      <w:r>
        <w:rPr>
          <w:rFonts w:ascii="宋体" w:hAnsi="宋体"/>
          <w:sz w:val="24"/>
        </w:rPr>
        <w:t>代理费</w:t>
      </w:r>
    </w:p>
    <w:p w14:paraId="5DF2477C">
      <w:pPr>
        <w:numPr>
          <w:ilvl w:val="1"/>
          <w:numId w:val="1"/>
        </w:numPr>
        <w:tabs>
          <w:tab w:val="left" w:pos="1080"/>
          <w:tab w:val="left" w:pos="2014"/>
        </w:tabs>
        <w:snapToGrid w:val="0"/>
        <w:spacing w:line="360" w:lineRule="auto"/>
        <w:ind w:left="1077" w:hanging="720"/>
        <w:rPr>
          <w:rFonts w:ascii="宋体" w:hAnsi="宋体"/>
          <w:sz w:val="24"/>
        </w:rPr>
      </w:pPr>
      <w:r>
        <w:rPr>
          <w:rFonts w:ascii="宋体" w:hAnsi="宋体"/>
          <w:sz w:val="24"/>
        </w:rPr>
        <w:t>收费对象、收费标准及缴纳时间见《投标人须知资料表》。由中标人支付的，中标人须一次性向采购代理机构缴纳代理费，投标报价应包含代理费用。</w:t>
      </w:r>
    </w:p>
    <w:p w14:paraId="093E0A1F">
      <w:pPr>
        <w:rPr>
          <w:rFonts w:ascii="宋体" w:hAnsi="宋体"/>
          <w:sz w:val="24"/>
        </w:rPr>
      </w:pPr>
      <w:r>
        <w:rPr>
          <w:rFonts w:ascii="宋体" w:hAnsi="宋体"/>
          <w:sz w:val="24"/>
        </w:rPr>
        <w:br w:type="page"/>
      </w:r>
    </w:p>
    <w:p w14:paraId="24142DD2">
      <w:pPr>
        <w:spacing w:line="360" w:lineRule="auto"/>
        <w:jc w:val="center"/>
        <w:outlineLvl w:val="0"/>
        <w:rPr>
          <w:rFonts w:ascii="宋体" w:hAnsi="宋体"/>
          <w:b/>
          <w:sz w:val="36"/>
          <w:szCs w:val="36"/>
        </w:rPr>
      </w:pPr>
      <w:bookmarkStart w:id="687" w:name="_Toc353873664"/>
      <w:bookmarkStart w:id="688" w:name="_Toc305158896"/>
      <w:bookmarkStart w:id="689" w:name="_Toc226337250"/>
      <w:bookmarkStart w:id="690" w:name="_Toc265228392"/>
      <w:bookmarkStart w:id="691" w:name="_Toc353873934"/>
      <w:bookmarkStart w:id="692" w:name="_Toc150774759"/>
      <w:bookmarkStart w:id="693" w:name="_Toc142311056"/>
      <w:bookmarkStart w:id="694" w:name="_Toc127151554"/>
      <w:bookmarkStart w:id="695" w:name="_Toc353825544"/>
      <w:bookmarkStart w:id="696" w:name="_Toc150480792"/>
      <w:bookmarkStart w:id="697" w:name="_Toc264969244"/>
      <w:bookmarkStart w:id="698" w:name="_Toc226965827"/>
      <w:bookmarkStart w:id="699" w:name="_Toc305158822"/>
      <w:bookmarkStart w:id="700" w:name="_Toc20465"/>
      <w:r>
        <w:rPr>
          <w:rFonts w:ascii="宋体" w:hAnsi="宋体"/>
          <w:b/>
          <w:sz w:val="36"/>
          <w:szCs w:val="36"/>
        </w:rPr>
        <w:t>第三章</w:t>
      </w:r>
      <w:bookmarkEnd w:id="687"/>
      <w:bookmarkEnd w:id="688"/>
      <w:bookmarkEnd w:id="689"/>
      <w:bookmarkEnd w:id="690"/>
      <w:bookmarkEnd w:id="691"/>
      <w:bookmarkEnd w:id="692"/>
      <w:bookmarkEnd w:id="693"/>
      <w:bookmarkEnd w:id="694"/>
      <w:bookmarkEnd w:id="695"/>
      <w:bookmarkEnd w:id="696"/>
      <w:bookmarkEnd w:id="697"/>
      <w:bookmarkEnd w:id="698"/>
      <w:bookmarkEnd w:id="699"/>
      <w:r>
        <w:rPr>
          <w:rFonts w:hint="eastAsia" w:ascii="宋体" w:hAnsi="宋体"/>
          <w:b/>
          <w:sz w:val="36"/>
          <w:szCs w:val="36"/>
        </w:rPr>
        <w:t xml:space="preserve">  </w:t>
      </w:r>
      <w:r>
        <w:rPr>
          <w:rFonts w:ascii="宋体" w:hAnsi="宋体"/>
          <w:b/>
          <w:sz w:val="36"/>
          <w:szCs w:val="36"/>
        </w:rPr>
        <w:t>资格审查</w:t>
      </w:r>
      <w:bookmarkEnd w:id="700"/>
      <w:bookmarkStart w:id="701" w:name="_Toc487900382"/>
    </w:p>
    <w:p w14:paraId="1CE97B7C">
      <w:pPr>
        <w:tabs>
          <w:tab w:val="left" w:pos="360"/>
          <w:tab w:val="left" w:pos="900"/>
        </w:tabs>
        <w:snapToGrid w:val="0"/>
        <w:spacing w:line="360" w:lineRule="auto"/>
        <w:jc w:val="center"/>
        <w:outlineLvl w:val="1"/>
        <w:rPr>
          <w:rFonts w:ascii="宋体" w:hAnsi="宋体"/>
          <w:b/>
          <w:sz w:val="24"/>
        </w:rPr>
      </w:pPr>
      <w:bookmarkStart w:id="702" w:name="_Toc99301422"/>
      <w:r>
        <w:rPr>
          <w:rFonts w:ascii="宋体" w:hAnsi="宋体"/>
          <w:b/>
          <w:sz w:val="24"/>
        </w:rPr>
        <w:t>一、资格审查程序</w:t>
      </w:r>
      <w:bookmarkEnd w:id="702"/>
    </w:p>
    <w:p w14:paraId="7F5AC64E">
      <w:pPr>
        <w:numPr>
          <w:ilvl w:val="0"/>
          <w:numId w:val="3"/>
        </w:numPr>
        <w:tabs>
          <w:tab w:val="left" w:pos="426"/>
          <w:tab w:val="left" w:pos="851"/>
          <w:tab w:val="clear" w:pos="900"/>
        </w:tabs>
        <w:snapToGrid w:val="0"/>
        <w:spacing w:line="360" w:lineRule="auto"/>
        <w:ind w:left="426" w:hanging="426"/>
        <w:outlineLvl w:val="1"/>
        <w:rPr>
          <w:rFonts w:ascii="宋体" w:hAnsi="宋体"/>
          <w:sz w:val="24"/>
        </w:rPr>
      </w:pPr>
      <w:r>
        <w:rPr>
          <w:rFonts w:ascii="宋体" w:hAnsi="宋体"/>
          <w:sz w:val="24"/>
        </w:rPr>
        <w:t>开标结束后，采购人或采购代理机构将根据《资格审查要求</w:t>
      </w:r>
      <w:r>
        <w:rPr>
          <w:rFonts w:hint="eastAsia" w:ascii="宋体" w:hAnsi="宋体"/>
          <w:sz w:val="24"/>
        </w:rPr>
        <w:t>》</w:t>
      </w:r>
      <w:r>
        <w:rPr>
          <w:rFonts w:ascii="宋体" w:hAnsi="宋体"/>
          <w:sz w:val="24"/>
        </w:rPr>
        <w:t>的规定，对投标人进行资格审查，并形成资格审查结果。</w:t>
      </w:r>
    </w:p>
    <w:p w14:paraId="1970D8B5">
      <w:pPr>
        <w:numPr>
          <w:ilvl w:val="0"/>
          <w:numId w:val="3"/>
        </w:numPr>
        <w:tabs>
          <w:tab w:val="left" w:pos="426"/>
          <w:tab w:val="left" w:pos="851"/>
          <w:tab w:val="clear" w:pos="900"/>
        </w:tabs>
        <w:snapToGrid w:val="0"/>
        <w:spacing w:line="360" w:lineRule="auto"/>
        <w:ind w:left="426" w:hanging="426"/>
        <w:outlineLvl w:val="1"/>
        <w:rPr>
          <w:rFonts w:ascii="宋体" w:hAnsi="宋体"/>
          <w:sz w:val="24"/>
        </w:rPr>
      </w:pPr>
      <w:r>
        <w:rPr>
          <w:rFonts w:ascii="宋体" w:hAnsi="宋体"/>
          <w:sz w:val="24"/>
        </w:rPr>
        <w:t>《资格审查要求》中对格式有要求的，除招标文件另有规定外，均为“实质性格式”文件。</w:t>
      </w:r>
    </w:p>
    <w:p w14:paraId="6EB48001">
      <w:pPr>
        <w:numPr>
          <w:ilvl w:val="0"/>
          <w:numId w:val="3"/>
        </w:numPr>
        <w:tabs>
          <w:tab w:val="left" w:pos="426"/>
          <w:tab w:val="left" w:pos="851"/>
          <w:tab w:val="clear" w:pos="900"/>
        </w:tabs>
        <w:snapToGrid w:val="0"/>
        <w:spacing w:line="360" w:lineRule="auto"/>
        <w:ind w:left="426" w:hanging="426"/>
        <w:outlineLvl w:val="1"/>
        <w:rPr>
          <w:rFonts w:ascii="宋体" w:hAnsi="宋体"/>
          <w:sz w:val="24"/>
        </w:rPr>
      </w:pPr>
      <w:r>
        <w:rPr>
          <w:rFonts w:ascii="宋体" w:hAnsi="宋体"/>
          <w:sz w:val="24"/>
        </w:rPr>
        <w:t>投标人《资格证明文件》有任何一项不符合《资格审查要求》的，资格审查不合格，其</w:t>
      </w:r>
      <w:r>
        <w:rPr>
          <w:rFonts w:ascii="宋体" w:hAnsi="宋体"/>
          <w:b/>
          <w:sz w:val="24"/>
        </w:rPr>
        <w:t>投标无效</w:t>
      </w:r>
      <w:r>
        <w:rPr>
          <w:rFonts w:ascii="宋体" w:hAnsi="宋体"/>
          <w:sz w:val="24"/>
        </w:rPr>
        <w:t>。</w:t>
      </w:r>
    </w:p>
    <w:p w14:paraId="06675E5A">
      <w:pPr>
        <w:numPr>
          <w:ilvl w:val="0"/>
          <w:numId w:val="3"/>
        </w:numPr>
        <w:tabs>
          <w:tab w:val="left" w:pos="426"/>
          <w:tab w:val="left" w:pos="851"/>
          <w:tab w:val="clear" w:pos="900"/>
        </w:tabs>
        <w:snapToGrid w:val="0"/>
        <w:spacing w:line="360" w:lineRule="auto"/>
        <w:ind w:left="426" w:hanging="426"/>
        <w:outlineLvl w:val="1"/>
        <w:rPr>
          <w:rFonts w:ascii="宋体" w:hAnsi="宋体"/>
          <w:sz w:val="24"/>
        </w:rPr>
      </w:pPr>
      <w:r>
        <w:rPr>
          <w:rFonts w:ascii="宋体" w:hAnsi="宋体"/>
          <w:sz w:val="24"/>
        </w:rPr>
        <w:t>资格审查合格的投标人不足3家的，不进行评标。</w:t>
      </w:r>
    </w:p>
    <w:p w14:paraId="4BAAA8CB">
      <w:pPr>
        <w:widowControl/>
        <w:jc w:val="left"/>
        <w:rPr>
          <w:rFonts w:ascii="宋体" w:hAnsi="宋体"/>
          <w:sz w:val="24"/>
        </w:rPr>
      </w:pPr>
    </w:p>
    <w:p w14:paraId="0A32F4EB">
      <w:pPr>
        <w:tabs>
          <w:tab w:val="left" w:pos="360"/>
          <w:tab w:val="left" w:pos="900"/>
        </w:tabs>
        <w:snapToGrid w:val="0"/>
        <w:spacing w:line="360" w:lineRule="auto"/>
        <w:jc w:val="center"/>
        <w:outlineLvl w:val="1"/>
        <w:rPr>
          <w:rFonts w:ascii="宋体" w:hAnsi="宋体"/>
          <w:b/>
          <w:sz w:val="24"/>
        </w:rPr>
      </w:pPr>
      <w:r>
        <w:rPr>
          <w:rFonts w:ascii="宋体" w:hAnsi="宋体"/>
          <w:b/>
          <w:sz w:val="24"/>
        </w:rPr>
        <w:t>二、资格审查要求</w:t>
      </w:r>
    </w:p>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01"/>
    <w:tbl>
      <w:tblPr>
        <w:tblStyle w:val="27"/>
        <w:tblW w:w="9288"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46"/>
        <w:gridCol w:w="1956"/>
        <w:gridCol w:w="4703"/>
        <w:gridCol w:w="1783"/>
      </w:tblGrid>
      <w:tr w14:paraId="558CCB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blHeader/>
        </w:trPr>
        <w:tc>
          <w:tcPr>
            <w:tcW w:w="846" w:type="dxa"/>
            <w:vAlign w:val="center"/>
          </w:tcPr>
          <w:p w14:paraId="046C8AA3">
            <w:pPr>
              <w:tabs>
                <w:tab w:val="left" w:pos="1080"/>
              </w:tabs>
              <w:snapToGrid w:val="0"/>
              <w:jc w:val="center"/>
              <w:rPr>
                <w:rFonts w:ascii="宋体" w:hAnsi="宋体"/>
                <w:b/>
                <w:sz w:val="24"/>
              </w:rPr>
            </w:pPr>
            <w:bookmarkStart w:id="703" w:name="_Hlt487972895"/>
            <w:bookmarkEnd w:id="703"/>
            <w:bookmarkStart w:id="704" w:name="_Toc127161490"/>
            <w:bookmarkStart w:id="705" w:name="_Toc353825550"/>
            <w:bookmarkStart w:id="706" w:name="_Toc127151779"/>
            <w:bookmarkStart w:id="707" w:name="_Toc353873940"/>
            <w:bookmarkStart w:id="708" w:name="_Toc226965858"/>
            <w:r>
              <w:rPr>
                <w:rFonts w:ascii="宋体" w:hAnsi="宋体"/>
                <w:b/>
                <w:sz w:val="24"/>
              </w:rPr>
              <w:t>序号</w:t>
            </w:r>
          </w:p>
        </w:tc>
        <w:tc>
          <w:tcPr>
            <w:tcW w:w="1956" w:type="dxa"/>
            <w:vAlign w:val="center"/>
          </w:tcPr>
          <w:p w14:paraId="2993AB76">
            <w:pPr>
              <w:tabs>
                <w:tab w:val="left" w:pos="1080"/>
              </w:tabs>
              <w:snapToGrid w:val="0"/>
              <w:jc w:val="center"/>
              <w:rPr>
                <w:rFonts w:ascii="宋体" w:hAnsi="宋体"/>
                <w:b/>
                <w:sz w:val="24"/>
              </w:rPr>
            </w:pPr>
            <w:r>
              <w:rPr>
                <w:rFonts w:ascii="宋体" w:hAnsi="宋体"/>
                <w:b/>
                <w:sz w:val="24"/>
              </w:rPr>
              <w:t>审查因素</w:t>
            </w:r>
          </w:p>
        </w:tc>
        <w:tc>
          <w:tcPr>
            <w:tcW w:w="4703" w:type="dxa"/>
            <w:vAlign w:val="center"/>
          </w:tcPr>
          <w:p w14:paraId="691165ED">
            <w:pPr>
              <w:tabs>
                <w:tab w:val="left" w:pos="1080"/>
              </w:tabs>
              <w:snapToGrid w:val="0"/>
              <w:jc w:val="center"/>
              <w:rPr>
                <w:rFonts w:ascii="宋体" w:hAnsi="宋体"/>
                <w:b/>
                <w:sz w:val="24"/>
              </w:rPr>
            </w:pPr>
            <w:r>
              <w:rPr>
                <w:rFonts w:ascii="宋体" w:hAnsi="宋体"/>
                <w:b/>
                <w:sz w:val="24"/>
              </w:rPr>
              <w:t>审查内容</w:t>
            </w:r>
          </w:p>
        </w:tc>
        <w:tc>
          <w:tcPr>
            <w:tcW w:w="1783" w:type="dxa"/>
            <w:vAlign w:val="center"/>
          </w:tcPr>
          <w:p w14:paraId="0F579755">
            <w:pPr>
              <w:tabs>
                <w:tab w:val="left" w:pos="1080"/>
              </w:tabs>
              <w:snapToGrid w:val="0"/>
              <w:jc w:val="center"/>
              <w:rPr>
                <w:rFonts w:ascii="宋体" w:hAnsi="宋体"/>
                <w:b/>
                <w:sz w:val="24"/>
              </w:rPr>
            </w:pPr>
            <w:r>
              <w:rPr>
                <w:rFonts w:ascii="宋体" w:hAnsi="宋体"/>
                <w:b/>
                <w:sz w:val="24"/>
              </w:rPr>
              <w:t>格式要求</w:t>
            </w:r>
          </w:p>
        </w:tc>
      </w:tr>
      <w:tr w14:paraId="64C3E6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46" w:type="dxa"/>
            <w:vAlign w:val="center"/>
          </w:tcPr>
          <w:p w14:paraId="3ECD0DBF">
            <w:pPr>
              <w:tabs>
                <w:tab w:val="left" w:pos="1080"/>
              </w:tabs>
              <w:snapToGrid w:val="0"/>
              <w:jc w:val="center"/>
              <w:rPr>
                <w:rFonts w:ascii="宋体" w:hAnsi="宋体"/>
                <w:sz w:val="24"/>
              </w:rPr>
            </w:pPr>
            <w:r>
              <w:rPr>
                <w:rFonts w:ascii="宋体" w:hAnsi="宋体"/>
                <w:sz w:val="24"/>
              </w:rPr>
              <w:t>1</w:t>
            </w:r>
          </w:p>
        </w:tc>
        <w:tc>
          <w:tcPr>
            <w:tcW w:w="1956" w:type="dxa"/>
            <w:vAlign w:val="center"/>
          </w:tcPr>
          <w:p w14:paraId="4957A0C1">
            <w:pPr>
              <w:tabs>
                <w:tab w:val="left" w:pos="1080"/>
              </w:tabs>
              <w:snapToGrid w:val="0"/>
              <w:rPr>
                <w:rFonts w:ascii="宋体" w:hAnsi="宋体"/>
                <w:sz w:val="24"/>
              </w:rPr>
            </w:pPr>
            <w:r>
              <w:rPr>
                <w:rFonts w:ascii="宋体" w:hAnsi="宋体"/>
                <w:sz w:val="24"/>
              </w:rPr>
              <w:t>满足《中华人民共和国政府采购法》第二十二条规定</w:t>
            </w:r>
          </w:p>
        </w:tc>
        <w:tc>
          <w:tcPr>
            <w:tcW w:w="4703" w:type="dxa"/>
            <w:vAlign w:val="center"/>
          </w:tcPr>
          <w:p w14:paraId="46623853">
            <w:pPr>
              <w:tabs>
                <w:tab w:val="left" w:pos="1080"/>
              </w:tabs>
              <w:snapToGrid w:val="0"/>
              <w:rPr>
                <w:rFonts w:ascii="宋体" w:hAnsi="宋体"/>
                <w:sz w:val="24"/>
              </w:rPr>
            </w:pPr>
            <w:r>
              <w:rPr>
                <w:rFonts w:ascii="宋体" w:hAnsi="宋体"/>
                <w:sz w:val="24"/>
              </w:rPr>
              <w:t>具体规定见第一章《投标邀请》</w:t>
            </w:r>
          </w:p>
        </w:tc>
        <w:tc>
          <w:tcPr>
            <w:tcW w:w="1783" w:type="dxa"/>
            <w:vAlign w:val="center"/>
          </w:tcPr>
          <w:p w14:paraId="0BA0D3C7">
            <w:pPr>
              <w:tabs>
                <w:tab w:val="left" w:pos="1080"/>
              </w:tabs>
              <w:snapToGrid w:val="0"/>
              <w:jc w:val="center"/>
              <w:rPr>
                <w:rFonts w:ascii="宋体" w:hAnsi="宋体"/>
                <w:sz w:val="24"/>
              </w:rPr>
            </w:pPr>
          </w:p>
        </w:tc>
      </w:tr>
      <w:tr w14:paraId="64F516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46" w:type="dxa"/>
            <w:vAlign w:val="center"/>
          </w:tcPr>
          <w:p w14:paraId="26D18AF7">
            <w:pPr>
              <w:tabs>
                <w:tab w:val="left" w:pos="1080"/>
              </w:tabs>
              <w:snapToGrid w:val="0"/>
              <w:jc w:val="center"/>
              <w:rPr>
                <w:rFonts w:ascii="宋体" w:hAnsi="宋体"/>
                <w:sz w:val="24"/>
              </w:rPr>
            </w:pPr>
            <w:r>
              <w:rPr>
                <w:rFonts w:ascii="宋体" w:hAnsi="宋体"/>
                <w:sz w:val="24"/>
              </w:rPr>
              <w:t>1-1</w:t>
            </w:r>
          </w:p>
        </w:tc>
        <w:tc>
          <w:tcPr>
            <w:tcW w:w="1956" w:type="dxa"/>
            <w:vAlign w:val="center"/>
          </w:tcPr>
          <w:p w14:paraId="424843A1">
            <w:pPr>
              <w:tabs>
                <w:tab w:val="left" w:pos="1080"/>
              </w:tabs>
              <w:snapToGrid w:val="0"/>
              <w:rPr>
                <w:rFonts w:ascii="宋体" w:hAnsi="宋体"/>
                <w:sz w:val="24"/>
              </w:rPr>
            </w:pPr>
            <w:r>
              <w:rPr>
                <w:rFonts w:ascii="宋体" w:hAnsi="宋体"/>
                <w:sz w:val="24"/>
              </w:rPr>
              <w:t>营业执照等证明文件</w:t>
            </w:r>
          </w:p>
        </w:tc>
        <w:tc>
          <w:tcPr>
            <w:tcW w:w="4703" w:type="dxa"/>
            <w:vAlign w:val="center"/>
          </w:tcPr>
          <w:p w14:paraId="24F37439">
            <w:pPr>
              <w:tabs>
                <w:tab w:val="left" w:pos="1080"/>
              </w:tabs>
              <w:snapToGrid w:val="0"/>
              <w:rPr>
                <w:rFonts w:ascii="宋体" w:hAnsi="宋体" w:cs="宋体"/>
                <w:sz w:val="24"/>
              </w:rPr>
            </w:pPr>
            <w:r>
              <w:rPr>
                <w:rFonts w:hint="eastAsia" w:ascii="宋体" w:hAnsi="宋体" w:cs="宋体"/>
                <w:sz w:val="24"/>
              </w:rPr>
              <w:t>投标人为企业（包括合伙企业）的，应提供有效的“营业执照”；</w:t>
            </w:r>
          </w:p>
          <w:p w14:paraId="1A71783E">
            <w:pPr>
              <w:tabs>
                <w:tab w:val="left" w:pos="1080"/>
              </w:tabs>
              <w:snapToGrid w:val="0"/>
              <w:rPr>
                <w:rFonts w:ascii="宋体" w:hAnsi="宋体" w:cs="宋体"/>
                <w:sz w:val="24"/>
              </w:rPr>
            </w:pPr>
            <w:r>
              <w:rPr>
                <w:rFonts w:hint="eastAsia" w:ascii="宋体" w:hAnsi="宋体" w:cs="宋体"/>
                <w:sz w:val="24"/>
              </w:rPr>
              <w:t>投标人为事业单位的，应提供有效的“事业单位法人证书”；</w:t>
            </w:r>
          </w:p>
          <w:p w14:paraId="26EDB7CD">
            <w:pPr>
              <w:tabs>
                <w:tab w:val="left" w:pos="1080"/>
              </w:tabs>
              <w:snapToGrid w:val="0"/>
              <w:rPr>
                <w:rFonts w:ascii="宋体" w:hAnsi="宋体" w:cs="宋体"/>
                <w:sz w:val="24"/>
              </w:rPr>
            </w:pPr>
            <w:r>
              <w:rPr>
                <w:rFonts w:hint="eastAsia" w:ascii="宋体" w:hAnsi="宋体" w:cs="宋体"/>
                <w:sz w:val="24"/>
              </w:rPr>
              <w:t>投标人是非企业机构的，应提供有效的“执业许可证”、“登记证书”等证明文件；</w:t>
            </w:r>
          </w:p>
          <w:p w14:paraId="1A27ECDC">
            <w:pPr>
              <w:tabs>
                <w:tab w:val="left" w:pos="1080"/>
              </w:tabs>
              <w:snapToGrid w:val="0"/>
              <w:rPr>
                <w:rFonts w:ascii="宋体" w:hAnsi="宋体" w:cs="宋体"/>
                <w:sz w:val="24"/>
              </w:rPr>
            </w:pPr>
            <w:r>
              <w:rPr>
                <w:rFonts w:hint="eastAsia" w:ascii="宋体" w:hAnsi="宋体" w:cs="宋体"/>
                <w:sz w:val="24"/>
              </w:rPr>
              <w:t>投标人是个体工商户的，应提供有效的“个体工商户营业执照”；</w:t>
            </w:r>
          </w:p>
          <w:p w14:paraId="04A91838">
            <w:pPr>
              <w:tabs>
                <w:tab w:val="left" w:pos="1080"/>
              </w:tabs>
              <w:snapToGrid w:val="0"/>
              <w:rPr>
                <w:rFonts w:ascii="宋体" w:hAnsi="宋体" w:cs="宋体"/>
                <w:sz w:val="24"/>
              </w:rPr>
            </w:pPr>
            <w:r>
              <w:rPr>
                <w:rFonts w:hint="eastAsia" w:ascii="宋体" w:hAnsi="宋体" w:cs="宋体"/>
                <w:sz w:val="24"/>
              </w:rPr>
              <w:t>投标人是自然人的，应提供有效的自然人身份证明。</w:t>
            </w:r>
          </w:p>
          <w:p w14:paraId="3849DEAB">
            <w:pPr>
              <w:tabs>
                <w:tab w:val="left" w:pos="1080"/>
              </w:tabs>
              <w:snapToGrid w:val="0"/>
              <w:rPr>
                <w:rFonts w:ascii="宋体" w:hAnsi="宋体"/>
                <w:sz w:val="24"/>
              </w:rPr>
            </w:pPr>
            <w:r>
              <w:rPr>
                <w:rFonts w:hint="eastAsia" w:ascii="宋体" w:hAnsi="宋体" w:cs="宋体"/>
                <w:sz w:val="24"/>
              </w:rPr>
              <w:t>分支机构参加投标的，应提供该分支机构或其所属法人/其他组织的相应证明文件；同时还应提供其所属法人/其他组织出具的授权其参与本项目的授权书（格式自拟，须加盖其所属法人/其他组织的公章）；对于银行、保险、石油石化、电力、电信等行业的分支机构，可以提供上述授权，也可以提供其所属法人/其他组织的有关文件或制度等能够证明授权其独立开展业务的证明材料。</w:t>
            </w:r>
          </w:p>
        </w:tc>
        <w:tc>
          <w:tcPr>
            <w:tcW w:w="1783" w:type="dxa"/>
            <w:vAlign w:val="center"/>
          </w:tcPr>
          <w:p w14:paraId="1BB36495">
            <w:pPr>
              <w:tabs>
                <w:tab w:val="left" w:pos="1080"/>
              </w:tabs>
              <w:snapToGrid w:val="0"/>
              <w:jc w:val="center"/>
              <w:rPr>
                <w:rFonts w:ascii="宋体" w:hAnsi="宋体"/>
                <w:sz w:val="24"/>
              </w:rPr>
            </w:pPr>
            <w:r>
              <w:rPr>
                <w:rFonts w:hint="eastAsia" w:ascii="宋体" w:hAnsi="宋体"/>
                <w:sz w:val="24"/>
              </w:rPr>
              <w:t>提供证明文件的电子件或电子证照</w:t>
            </w:r>
          </w:p>
        </w:tc>
      </w:tr>
      <w:tr w14:paraId="024C27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46" w:type="dxa"/>
            <w:vAlign w:val="center"/>
          </w:tcPr>
          <w:p w14:paraId="5C1DC3B4">
            <w:pPr>
              <w:tabs>
                <w:tab w:val="left" w:pos="1080"/>
              </w:tabs>
              <w:snapToGrid w:val="0"/>
              <w:jc w:val="center"/>
              <w:rPr>
                <w:rFonts w:ascii="宋体" w:hAnsi="宋体"/>
                <w:sz w:val="24"/>
              </w:rPr>
            </w:pPr>
            <w:r>
              <w:rPr>
                <w:rFonts w:ascii="宋体" w:hAnsi="宋体"/>
                <w:sz w:val="24"/>
              </w:rPr>
              <w:t>1-2</w:t>
            </w:r>
          </w:p>
        </w:tc>
        <w:tc>
          <w:tcPr>
            <w:tcW w:w="1956" w:type="dxa"/>
            <w:vAlign w:val="center"/>
          </w:tcPr>
          <w:p w14:paraId="6A9E60AD">
            <w:pPr>
              <w:tabs>
                <w:tab w:val="left" w:pos="1080"/>
              </w:tabs>
              <w:snapToGrid w:val="0"/>
              <w:rPr>
                <w:rFonts w:ascii="宋体" w:hAnsi="宋体"/>
                <w:sz w:val="24"/>
              </w:rPr>
            </w:pPr>
            <w:r>
              <w:rPr>
                <w:rFonts w:ascii="宋体" w:hAnsi="宋体"/>
                <w:sz w:val="24"/>
              </w:rPr>
              <w:t>投标人资格声明书</w:t>
            </w:r>
          </w:p>
        </w:tc>
        <w:tc>
          <w:tcPr>
            <w:tcW w:w="4703" w:type="dxa"/>
            <w:vAlign w:val="center"/>
          </w:tcPr>
          <w:p w14:paraId="7F6B70D0">
            <w:pPr>
              <w:tabs>
                <w:tab w:val="left" w:pos="1080"/>
              </w:tabs>
              <w:snapToGrid w:val="0"/>
              <w:rPr>
                <w:rFonts w:ascii="宋体" w:hAnsi="宋体"/>
                <w:sz w:val="24"/>
              </w:rPr>
            </w:pPr>
            <w:r>
              <w:rPr>
                <w:rFonts w:ascii="宋体" w:hAnsi="宋体"/>
                <w:sz w:val="24"/>
              </w:rPr>
              <w:t>提供了符合招标文件要求的《投标人资格声明书》。</w:t>
            </w:r>
          </w:p>
        </w:tc>
        <w:tc>
          <w:tcPr>
            <w:tcW w:w="1783" w:type="dxa"/>
            <w:vAlign w:val="center"/>
          </w:tcPr>
          <w:p w14:paraId="52F8EB6D">
            <w:pPr>
              <w:tabs>
                <w:tab w:val="left" w:pos="1080"/>
              </w:tabs>
              <w:snapToGrid w:val="0"/>
              <w:jc w:val="center"/>
              <w:rPr>
                <w:rFonts w:ascii="宋体" w:hAnsi="宋体"/>
                <w:sz w:val="24"/>
              </w:rPr>
            </w:pPr>
            <w:r>
              <w:rPr>
                <w:rFonts w:ascii="宋体" w:hAnsi="宋体"/>
                <w:sz w:val="24"/>
              </w:rPr>
              <w:t>格式见《投标文件格式》</w:t>
            </w:r>
          </w:p>
        </w:tc>
      </w:tr>
      <w:tr w14:paraId="6FC9B7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46" w:type="dxa"/>
            <w:vAlign w:val="center"/>
          </w:tcPr>
          <w:p w14:paraId="605298E7">
            <w:pPr>
              <w:tabs>
                <w:tab w:val="left" w:pos="1080"/>
              </w:tabs>
              <w:snapToGrid w:val="0"/>
              <w:jc w:val="center"/>
              <w:rPr>
                <w:rFonts w:ascii="宋体" w:hAnsi="宋体"/>
                <w:sz w:val="24"/>
              </w:rPr>
            </w:pPr>
            <w:r>
              <w:rPr>
                <w:rFonts w:hint="eastAsia" w:ascii="宋体" w:hAnsi="宋体"/>
                <w:sz w:val="24"/>
              </w:rPr>
              <w:t>1-</w:t>
            </w:r>
            <w:r>
              <w:rPr>
                <w:rFonts w:ascii="宋体" w:hAnsi="宋体"/>
                <w:sz w:val="24"/>
              </w:rPr>
              <w:t>3</w:t>
            </w:r>
          </w:p>
        </w:tc>
        <w:tc>
          <w:tcPr>
            <w:tcW w:w="1956" w:type="dxa"/>
            <w:vAlign w:val="center"/>
          </w:tcPr>
          <w:p w14:paraId="42677933">
            <w:pPr>
              <w:tabs>
                <w:tab w:val="left" w:pos="1080"/>
              </w:tabs>
              <w:snapToGrid w:val="0"/>
              <w:rPr>
                <w:rFonts w:ascii="宋体" w:hAnsi="宋体"/>
                <w:sz w:val="24"/>
              </w:rPr>
            </w:pPr>
            <w:r>
              <w:rPr>
                <w:rFonts w:ascii="宋体" w:hAnsi="宋体"/>
                <w:sz w:val="24"/>
              </w:rPr>
              <w:t>投标人信用记录</w:t>
            </w:r>
          </w:p>
        </w:tc>
        <w:tc>
          <w:tcPr>
            <w:tcW w:w="4703" w:type="dxa"/>
            <w:vAlign w:val="center"/>
          </w:tcPr>
          <w:p w14:paraId="4253063B">
            <w:pPr>
              <w:pStyle w:val="47"/>
              <w:rPr>
                <w:rFonts w:ascii="宋体" w:hAnsi="宋体"/>
                <w:sz w:val="24"/>
              </w:rPr>
            </w:pPr>
            <w:r>
              <w:rPr>
                <w:rFonts w:ascii="宋体" w:hAnsi="宋体"/>
                <w:sz w:val="24"/>
              </w:rPr>
              <w:t>查询渠道：信用中国网站和中国政府采购网（</w:t>
            </w:r>
            <w:r>
              <w:rPr>
                <w:rFonts w:ascii="宋体" w:hAnsi="宋体"/>
              </w:rPr>
              <w:t>www.creditchina.gov.cn</w:t>
            </w:r>
            <w:r>
              <w:rPr>
                <w:rFonts w:ascii="宋体" w:hAnsi="宋体"/>
                <w:sz w:val="24"/>
              </w:rPr>
              <w:t>、</w:t>
            </w:r>
            <w:r>
              <w:rPr>
                <w:rFonts w:ascii="宋体" w:hAnsi="宋体"/>
              </w:rPr>
              <w:t>www.ccgp.gov.cn</w:t>
            </w:r>
            <w:r>
              <w:rPr>
                <w:rFonts w:ascii="宋体" w:hAnsi="宋体"/>
                <w:sz w:val="24"/>
              </w:rPr>
              <w:t>）；</w:t>
            </w:r>
          </w:p>
          <w:p w14:paraId="539272A9">
            <w:pPr>
              <w:tabs>
                <w:tab w:val="left" w:pos="900"/>
                <w:tab w:val="left" w:pos="1980"/>
              </w:tabs>
              <w:snapToGrid w:val="0"/>
              <w:rPr>
                <w:rFonts w:ascii="宋体" w:hAnsi="宋体"/>
                <w:sz w:val="24"/>
              </w:rPr>
            </w:pPr>
            <w:r>
              <w:rPr>
                <w:rFonts w:ascii="宋体" w:hAnsi="宋体"/>
                <w:sz w:val="24"/>
              </w:rPr>
              <w:t>截止时点：</w:t>
            </w:r>
            <w:r>
              <w:rPr>
                <w:rFonts w:hint="eastAsia" w:ascii="宋体" w:hAnsi="宋体"/>
                <w:sz w:val="24"/>
              </w:rPr>
              <w:t>投标截止时间以后 、资格审查阶段采购人或采购代理机构的实际查询时间</w:t>
            </w:r>
            <w:r>
              <w:rPr>
                <w:rFonts w:ascii="宋体" w:hAnsi="宋体"/>
                <w:sz w:val="24"/>
              </w:rPr>
              <w:t>；</w:t>
            </w:r>
          </w:p>
          <w:p w14:paraId="25C4C33C">
            <w:pPr>
              <w:tabs>
                <w:tab w:val="left" w:pos="900"/>
                <w:tab w:val="left" w:pos="1980"/>
              </w:tabs>
              <w:snapToGrid w:val="0"/>
              <w:rPr>
                <w:rFonts w:ascii="宋体" w:hAnsi="宋体"/>
                <w:sz w:val="24"/>
              </w:rPr>
            </w:pPr>
            <w:r>
              <w:rPr>
                <w:rFonts w:ascii="宋体" w:hAnsi="宋体"/>
                <w:sz w:val="24"/>
              </w:rPr>
              <w:t>信用信息查询记录和证据留存具体方式：查询结果网页打印页作为查询记录和证据，与其他采购文件一并保存；</w:t>
            </w:r>
          </w:p>
          <w:p w14:paraId="759D3CCE">
            <w:pPr>
              <w:tabs>
                <w:tab w:val="left" w:pos="1080"/>
              </w:tabs>
              <w:snapToGrid w:val="0"/>
              <w:rPr>
                <w:rFonts w:ascii="宋体" w:hAnsi="宋体"/>
                <w:sz w:val="24"/>
              </w:rPr>
            </w:pPr>
            <w:r>
              <w:rPr>
                <w:rFonts w:ascii="宋体" w:hAnsi="宋体"/>
                <w:sz w:val="24"/>
              </w:rPr>
              <w:t>信用信息的使用原则：经认定的被列入失信被执行人、重大税收违法案件当事人名单、政府采购严重违法失信行为记录名单的投标人，其</w:t>
            </w:r>
            <w:r>
              <w:rPr>
                <w:rFonts w:ascii="宋体" w:hAnsi="宋体"/>
                <w:b/>
                <w:sz w:val="24"/>
              </w:rPr>
              <w:t>投标无效</w:t>
            </w:r>
            <w:r>
              <w:rPr>
                <w:rFonts w:ascii="宋体" w:hAnsi="宋体"/>
                <w:sz w:val="24"/>
              </w:rPr>
              <w:t>。联合体形式投标的，联合体</w:t>
            </w:r>
            <w:r>
              <w:rPr>
                <w:rFonts w:hint="eastAsia" w:ascii="宋体" w:hAnsi="宋体"/>
                <w:sz w:val="24"/>
              </w:rPr>
              <w:t>任何</w:t>
            </w:r>
            <w:r>
              <w:rPr>
                <w:rFonts w:ascii="宋体" w:hAnsi="宋体"/>
                <w:sz w:val="24"/>
              </w:rPr>
              <w:t>成员存在不良信用记录，视同联合体存在不良信用记录。</w:t>
            </w:r>
          </w:p>
        </w:tc>
        <w:tc>
          <w:tcPr>
            <w:tcW w:w="1783" w:type="dxa"/>
            <w:vAlign w:val="center"/>
          </w:tcPr>
          <w:p w14:paraId="22F35A96">
            <w:pPr>
              <w:tabs>
                <w:tab w:val="left" w:pos="1080"/>
              </w:tabs>
              <w:snapToGrid w:val="0"/>
              <w:jc w:val="center"/>
              <w:rPr>
                <w:rFonts w:ascii="宋体" w:hAnsi="宋体"/>
                <w:sz w:val="24"/>
              </w:rPr>
            </w:pPr>
            <w:r>
              <w:rPr>
                <w:rFonts w:ascii="宋体" w:hAnsi="宋体"/>
                <w:sz w:val="24"/>
              </w:rPr>
              <w:t>无</w:t>
            </w:r>
            <w:r>
              <w:rPr>
                <w:rFonts w:hint="eastAsia" w:ascii="宋体" w:hAnsi="宋体"/>
                <w:sz w:val="24"/>
              </w:rPr>
              <w:t>需</w:t>
            </w:r>
            <w:r>
              <w:rPr>
                <w:rFonts w:ascii="宋体" w:hAnsi="宋体"/>
                <w:sz w:val="24"/>
              </w:rPr>
              <w:t>投标人提供，由采购人或采购代理机构查询。</w:t>
            </w:r>
          </w:p>
        </w:tc>
      </w:tr>
      <w:tr w14:paraId="0CAC22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46" w:type="dxa"/>
          </w:tcPr>
          <w:p w14:paraId="38B7931E">
            <w:pPr>
              <w:pStyle w:val="45"/>
              <w:spacing w:before="216" w:line="199" w:lineRule="auto"/>
              <w:jc w:val="center"/>
              <w:rPr>
                <w:rFonts w:ascii="宋体" w:hAnsi="宋体" w:eastAsia="宋体"/>
                <w:sz w:val="24"/>
              </w:rPr>
            </w:pPr>
            <w:r>
              <w:rPr>
                <w:rFonts w:hint="eastAsia" w:ascii="宋体" w:hAnsi="宋体" w:eastAsia="宋体" w:cs="宋体"/>
                <w:sz w:val="24"/>
                <w:szCs w:val="24"/>
              </w:rPr>
              <w:t>1-4</w:t>
            </w:r>
          </w:p>
        </w:tc>
        <w:tc>
          <w:tcPr>
            <w:tcW w:w="1956" w:type="dxa"/>
            <w:vAlign w:val="center"/>
          </w:tcPr>
          <w:p w14:paraId="2831E3EF">
            <w:pPr>
              <w:pStyle w:val="45"/>
              <w:spacing w:line="258" w:lineRule="auto"/>
              <w:jc w:val="center"/>
              <w:rPr>
                <w:rFonts w:ascii="宋体" w:hAnsi="宋体" w:eastAsia="宋体" w:cs="宋体"/>
                <w:sz w:val="24"/>
                <w:szCs w:val="24"/>
                <w:lang w:eastAsia="zh-CN"/>
              </w:rPr>
            </w:pPr>
            <w:r>
              <w:rPr>
                <w:rFonts w:ascii="宋体" w:hAnsi="宋体" w:eastAsia="宋体" w:cs="宋体"/>
                <w:sz w:val="24"/>
                <w:szCs w:val="24"/>
                <w:lang w:eastAsia="zh-CN"/>
              </w:rPr>
              <w:t>法律、行政法规规定的其他条件</w:t>
            </w:r>
          </w:p>
        </w:tc>
        <w:tc>
          <w:tcPr>
            <w:tcW w:w="4703" w:type="dxa"/>
            <w:vAlign w:val="center"/>
          </w:tcPr>
          <w:p w14:paraId="2A4A7A9A">
            <w:pPr>
              <w:tabs>
                <w:tab w:val="left" w:pos="1080"/>
              </w:tabs>
              <w:snapToGrid w:val="0"/>
              <w:rPr>
                <w:rFonts w:ascii="宋体" w:hAnsi="宋体"/>
                <w:sz w:val="24"/>
              </w:rPr>
            </w:pPr>
            <w:r>
              <w:rPr>
                <w:rFonts w:ascii="宋体" w:hAnsi="宋体"/>
                <w:sz w:val="24"/>
              </w:rPr>
              <w:t>法律、行政法规规定的其他条件</w:t>
            </w:r>
          </w:p>
        </w:tc>
        <w:tc>
          <w:tcPr>
            <w:tcW w:w="1783" w:type="dxa"/>
          </w:tcPr>
          <w:p w14:paraId="191C675A">
            <w:pPr>
              <w:pStyle w:val="45"/>
              <w:spacing w:before="217" w:line="215" w:lineRule="auto"/>
              <w:ind w:left="777"/>
              <w:jc w:val="center"/>
              <w:rPr>
                <w:rFonts w:ascii="宋体" w:hAnsi="宋体" w:eastAsia="宋体"/>
                <w:sz w:val="24"/>
                <w:lang w:eastAsia="zh-CN"/>
              </w:rPr>
            </w:pPr>
          </w:p>
        </w:tc>
      </w:tr>
      <w:tr w14:paraId="68F6A8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46" w:type="dxa"/>
            <w:vAlign w:val="center"/>
          </w:tcPr>
          <w:p w14:paraId="41AAA9B6">
            <w:pPr>
              <w:tabs>
                <w:tab w:val="left" w:pos="1080"/>
              </w:tabs>
              <w:snapToGrid w:val="0"/>
              <w:jc w:val="center"/>
              <w:rPr>
                <w:rFonts w:ascii="宋体" w:hAnsi="宋体"/>
                <w:sz w:val="24"/>
              </w:rPr>
            </w:pPr>
            <w:r>
              <w:rPr>
                <w:rFonts w:ascii="宋体" w:hAnsi="宋体"/>
                <w:sz w:val="24"/>
              </w:rPr>
              <w:t>2</w:t>
            </w:r>
          </w:p>
        </w:tc>
        <w:tc>
          <w:tcPr>
            <w:tcW w:w="1956" w:type="dxa"/>
            <w:vAlign w:val="center"/>
          </w:tcPr>
          <w:p w14:paraId="461258E3">
            <w:pPr>
              <w:pStyle w:val="45"/>
              <w:spacing w:line="258" w:lineRule="auto"/>
              <w:jc w:val="center"/>
              <w:rPr>
                <w:rFonts w:ascii="宋体" w:hAnsi="宋体" w:eastAsia="宋体" w:cs="宋体"/>
                <w:sz w:val="24"/>
                <w:szCs w:val="24"/>
                <w:lang w:eastAsia="zh-CN"/>
              </w:rPr>
            </w:pPr>
            <w:r>
              <w:rPr>
                <w:rFonts w:ascii="宋体" w:hAnsi="宋体" w:eastAsia="宋体" w:cs="宋体"/>
                <w:sz w:val="24"/>
                <w:szCs w:val="24"/>
                <w:lang w:eastAsia="zh-CN"/>
              </w:rPr>
              <w:t>落实政府采购政策需满足的资格要求</w:t>
            </w:r>
          </w:p>
        </w:tc>
        <w:tc>
          <w:tcPr>
            <w:tcW w:w="4703" w:type="dxa"/>
            <w:vAlign w:val="center"/>
          </w:tcPr>
          <w:p w14:paraId="22E16B3D">
            <w:pPr>
              <w:tabs>
                <w:tab w:val="left" w:pos="1080"/>
              </w:tabs>
              <w:snapToGrid w:val="0"/>
              <w:rPr>
                <w:rFonts w:ascii="宋体" w:hAnsi="宋体"/>
                <w:sz w:val="24"/>
              </w:rPr>
            </w:pPr>
            <w:r>
              <w:rPr>
                <w:rFonts w:ascii="宋体" w:hAnsi="宋体"/>
                <w:sz w:val="24"/>
              </w:rPr>
              <w:t>具体要求见第一章《投标邀请》</w:t>
            </w:r>
          </w:p>
        </w:tc>
        <w:tc>
          <w:tcPr>
            <w:tcW w:w="1783" w:type="dxa"/>
            <w:vAlign w:val="center"/>
          </w:tcPr>
          <w:p w14:paraId="18875BA8">
            <w:pPr>
              <w:tabs>
                <w:tab w:val="left" w:pos="1080"/>
              </w:tabs>
              <w:snapToGrid w:val="0"/>
              <w:jc w:val="center"/>
              <w:rPr>
                <w:rFonts w:ascii="宋体" w:hAnsi="宋体"/>
                <w:sz w:val="24"/>
              </w:rPr>
            </w:pPr>
          </w:p>
        </w:tc>
      </w:tr>
      <w:tr w14:paraId="3FC8B7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46" w:type="dxa"/>
          </w:tcPr>
          <w:p w14:paraId="0FE79A20">
            <w:pPr>
              <w:pStyle w:val="45"/>
              <w:spacing w:before="137" w:line="201" w:lineRule="auto"/>
              <w:ind w:left="243"/>
              <w:rPr>
                <w:rFonts w:ascii="宋体" w:hAnsi="宋体" w:eastAsia="宋体"/>
                <w:sz w:val="24"/>
              </w:rPr>
            </w:pPr>
            <w:r>
              <w:rPr>
                <w:rFonts w:hint="eastAsia" w:ascii="宋体" w:hAnsi="宋体" w:eastAsia="宋体" w:cs="宋体"/>
                <w:sz w:val="24"/>
                <w:szCs w:val="24"/>
              </w:rPr>
              <w:t>2-1</w:t>
            </w:r>
          </w:p>
        </w:tc>
        <w:tc>
          <w:tcPr>
            <w:tcW w:w="1956" w:type="dxa"/>
            <w:vAlign w:val="center"/>
          </w:tcPr>
          <w:p w14:paraId="28764091">
            <w:pPr>
              <w:pStyle w:val="45"/>
              <w:spacing w:line="258" w:lineRule="auto"/>
              <w:jc w:val="center"/>
              <w:rPr>
                <w:rFonts w:ascii="宋体" w:hAnsi="宋体" w:eastAsia="宋体" w:cs="宋体"/>
                <w:sz w:val="24"/>
                <w:szCs w:val="24"/>
                <w:lang w:eastAsia="zh-CN"/>
              </w:rPr>
            </w:pPr>
            <w:r>
              <w:rPr>
                <w:rFonts w:ascii="宋体" w:hAnsi="宋体" w:eastAsia="宋体" w:cs="宋体"/>
                <w:sz w:val="24"/>
                <w:szCs w:val="24"/>
                <w:lang w:eastAsia="zh-CN"/>
              </w:rPr>
              <w:t>中小企业政策证明文件</w:t>
            </w:r>
          </w:p>
        </w:tc>
        <w:tc>
          <w:tcPr>
            <w:tcW w:w="4703" w:type="dxa"/>
            <w:vAlign w:val="center"/>
          </w:tcPr>
          <w:p w14:paraId="22B407BF">
            <w:pPr>
              <w:tabs>
                <w:tab w:val="left" w:pos="1080"/>
              </w:tabs>
              <w:snapToGrid w:val="0"/>
              <w:rPr>
                <w:rFonts w:ascii="宋体" w:hAnsi="宋体"/>
                <w:sz w:val="24"/>
              </w:rPr>
            </w:pPr>
            <w:r>
              <w:rPr>
                <w:rFonts w:ascii="宋体" w:hAnsi="宋体"/>
                <w:sz w:val="24"/>
              </w:rPr>
              <w:t>具体要求见第一章《投标邀请》</w:t>
            </w:r>
          </w:p>
        </w:tc>
        <w:tc>
          <w:tcPr>
            <w:tcW w:w="1783" w:type="dxa"/>
            <w:vAlign w:val="center"/>
          </w:tcPr>
          <w:p w14:paraId="2C218EAE">
            <w:pPr>
              <w:tabs>
                <w:tab w:val="left" w:pos="1080"/>
              </w:tabs>
              <w:snapToGrid w:val="0"/>
              <w:jc w:val="center"/>
              <w:rPr>
                <w:rFonts w:ascii="宋体" w:hAnsi="宋体"/>
                <w:sz w:val="24"/>
              </w:rPr>
            </w:pPr>
          </w:p>
        </w:tc>
      </w:tr>
      <w:tr w14:paraId="696940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46" w:type="dxa"/>
            <w:vAlign w:val="center"/>
          </w:tcPr>
          <w:p w14:paraId="484AF884">
            <w:pPr>
              <w:tabs>
                <w:tab w:val="left" w:pos="1080"/>
              </w:tabs>
              <w:snapToGrid w:val="0"/>
              <w:jc w:val="center"/>
              <w:rPr>
                <w:rFonts w:ascii="宋体" w:hAnsi="宋体"/>
                <w:sz w:val="24"/>
              </w:rPr>
            </w:pPr>
            <w:r>
              <w:rPr>
                <w:rFonts w:ascii="宋体" w:hAnsi="宋体"/>
                <w:sz w:val="24"/>
              </w:rPr>
              <w:t>2-1</w:t>
            </w:r>
            <w:r>
              <w:rPr>
                <w:rFonts w:hint="eastAsia" w:ascii="宋体" w:hAnsi="宋体"/>
                <w:sz w:val="24"/>
              </w:rPr>
              <w:t>-1</w:t>
            </w:r>
          </w:p>
        </w:tc>
        <w:tc>
          <w:tcPr>
            <w:tcW w:w="1956" w:type="dxa"/>
            <w:vAlign w:val="center"/>
          </w:tcPr>
          <w:p w14:paraId="474B16C6">
            <w:pPr>
              <w:pStyle w:val="45"/>
              <w:spacing w:line="258" w:lineRule="auto"/>
              <w:jc w:val="center"/>
              <w:rPr>
                <w:rFonts w:ascii="宋体" w:hAnsi="宋体" w:eastAsia="宋体" w:cs="宋体"/>
                <w:sz w:val="24"/>
                <w:szCs w:val="24"/>
                <w:lang w:eastAsia="zh-CN"/>
              </w:rPr>
            </w:pPr>
            <w:r>
              <w:rPr>
                <w:rFonts w:hint="eastAsia" w:ascii="宋体" w:hAnsi="宋体" w:eastAsia="宋体" w:cs="宋体"/>
                <w:sz w:val="24"/>
                <w:szCs w:val="24"/>
                <w:lang w:eastAsia="zh-CN"/>
              </w:rPr>
              <w:t>中小企业证明文件</w:t>
            </w:r>
          </w:p>
        </w:tc>
        <w:tc>
          <w:tcPr>
            <w:tcW w:w="4703" w:type="dxa"/>
            <w:vAlign w:val="center"/>
          </w:tcPr>
          <w:p w14:paraId="4DC1A8CE">
            <w:pPr>
              <w:spacing w:before="193" w:line="220" w:lineRule="auto"/>
              <w:rPr>
                <w:rFonts w:ascii="宋体" w:hAnsi="宋体" w:cs="宋体"/>
                <w:sz w:val="24"/>
              </w:rPr>
            </w:pPr>
            <w:r>
              <w:rPr>
                <w:rFonts w:hint="eastAsia" w:ascii="宋体" w:hAnsi="宋体" w:cs="宋体"/>
                <w:sz w:val="24"/>
              </w:rPr>
              <w:t>当本项目（包）涉及预留份额专门面向中小企业采购，此时建议在《资格证明文件》中提供。</w:t>
            </w:r>
          </w:p>
          <w:p w14:paraId="057B67FE">
            <w:pPr>
              <w:spacing w:before="193" w:line="220" w:lineRule="auto"/>
              <w:rPr>
                <w:rFonts w:ascii="宋体" w:hAnsi="宋体" w:cs="宋体"/>
                <w:sz w:val="24"/>
              </w:rPr>
            </w:pPr>
            <w:r>
              <w:rPr>
                <w:rFonts w:hint="eastAsia" w:ascii="宋体" w:hAnsi="宋体" w:cs="宋体"/>
                <w:sz w:val="24"/>
              </w:rPr>
              <w:t>1.投标人单独投标的，应提供《中小企业声明函》或《残疾人福利性单位声明函》或由省级以上监狱管理局、戒毒管理局（含新疆生产建设兵团）出具的属于监狱企业的证明文件。</w:t>
            </w:r>
          </w:p>
          <w:p w14:paraId="5DB1D892">
            <w:pPr>
              <w:spacing w:before="193" w:line="220" w:lineRule="auto"/>
              <w:rPr>
                <w:rFonts w:ascii="宋体" w:hAnsi="宋体"/>
                <w:bCs/>
              </w:rPr>
            </w:pPr>
            <w:r>
              <w:rPr>
                <w:rFonts w:hint="eastAsia" w:ascii="宋体" w:hAnsi="宋体" w:cs="宋体"/>
                <w:sz w:val="24"/>
              </w:rPr>
              <w:t>2.如招标文件要求以联合体形式参加或者要求合同分包的，且投标人为联合体或拟进行合同分包的，则联合体中的中小企业、签订分包意向协议的中小企业具体情况须在《中小企业声明函》或《残疾人福利性单位声明函》或由省级以上监狱管理局、戒毒管理局（含新疆生产建设兵团）出具的属于监狱企业的证明文件中如实填报，且满足招标文件关于预留份额的要求。</w:t>
            </w:r>
          </w:p>
        </w:tc>
        <w:tc>
          <w:tcPr>
            <w:tcW w:w="1783" w:type="dxa"/>
            <w:vAlign w:val="center"/>
          </w:tcPr>
          <w:p w14:paraId="3B92917D">
            <w:pPr>
              <w:tabs>
                <w:tab w:val="left" w:pos="1080"/>
              </w:tabs>
              <w:snapToGrid w:val="0"/>
              <w:jc w:val="center"/>
              <w:rPr>
                <w:rFonts w:ascii="宋体" w:hAnsi="宋体"/>
                <w:sz w:val="24"/>
              </w:rPr>
            </w:pPr>
            <w:r>
              <w:rPr>
                <w:rFonts w:ascii="宋体" w:hAnsi="宋体"/>
                <w:sz w:val="24"/>
              </w:rPr>
              <w:t>格式见《投标文件格式》</w:t>
            </w:r>
          </w:p>
        </w:tc>
      </w:tr>
      <w:tr w14:paraId="6051E9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46" w:type="dxa"/>
            <w:vAlign w:val="center"/>
          </w:tcPr>
          <w:p w14:paraId="6D32184A">
            <w:pPr>
              <w:tabs>
                <w:tab w:val="left" w:pos="1080"/>
              </w:tabs>
              <w:snapToGrid w:val="0"/>
              <w:jc w:val="center"/>
              <w:rPr>
                <w:rFonts w:ascii="宋体" w:hAnsi="宋体"/>
                <w:sz w:val="24"/>
              </w:rPr>
            </w:pPr>
            <w:r>
              <w:rPr>
                <w:rFonts w:ascii="宋体" w:hAnsi="宋体"/>
                <w:sz w:val="24"/>
              </w:rPr>
              <w:t>2-</w:t>
            </w:r>
            <w:r>
              <w:rPr>
                <w:rFonts w:hint="eastAsia" w:ascii="宋体" w:hAnsi="宋体"/>
                <w:sz w:val="24"/>
              </w:rPr>
              <w:t>2</w:t>
            </w:r>
          </w:p>
        </w:tc>
        <w:tc>
          <w:tcPr>
            <w:tcW w:w="1956" w:type="dxa"/>
            <w:vAlign w:val="center"/>
          </w:tcPr>
          <w:p w14:paraId="47A1E488">
            <w:pPr>
              <w:pStyle w:val="45"/>
              <w:spacing w:line="258" w:lineRule="auto"/>
              <w:jc w:val="center"/>
              <w:rPr>
                <w:rFonts w:ascii="宋体" w:hAnsi="宋体" w:eastAsia="宋体" w:cs="宋体"/>
                <w:sz w:val="24"/>
                <w:szCs w:val="24"/>
                <w:lang w:eastAsia="zh-CN"/>
              </w:rPr>
            </w:pPr>
            <w:r>
              <w:rPr>
                <w:rFonts w:ascii="宋体" w:hAnsi="宋体" w:eastAsia="宋体" w:cs="宋体"/>
                <w:sz w:val="24"/>
                <w:szCs w:val="24"/>
                <w:lang w:eastAsia="zh-CN"/>
              </w:rPr>
              <w:t>其它落实政府采购政策的资格要求</w:t>
            </w:r>
          </w:p>
        </w:tc>
        <w:tc>
          <w:tcPr>
            <w:tcW w:w="4703" w:type="dxa"/>
            <w:vAlign w:val="center"/>
          </w:tcPr>
          <w:p w14:paraId="634FA7A0">
            <w:pPr>
              <w:tabs>
                <w:tab w:val="left" w:pos="1080"/>
              </w:tabs>
              <w:snapToGrid w:val="0"/>
              <w:rPr>
                <w:rFonts w:ascii="宋体" w:hAnsi="宋体"/>
                <w:sz w:val="24"/>
              </w:rPr>
            </w:pPr>
            <w:r>
              <w:rPr>
                <w:rFonts w:ascii="宋体" w:hAnsi="宋体"/>
                <w:sz w:val="24"/>
              </w:rPr>
              <w:t>如有，见第一章《投标邀请》</w:t>
            </w:r>
          </w:p>
        </w:tc>
        <w:tc>
          <w:tcPr>
            <w:tcW w:w="1783" w:type="dxa"/>
            <w:vAlign w:val="center"/>
          </w:tcPr>
          <w:p w14:paraId="71CD9EFF">
            <w:pPr>
              <w:tabs>
                <w:tab w:val="left" w:pos="1080"/>
              </w:tabs>
              <w:snapToGrid w:val="0"/>
              <w:jc w:val="center"/>
              <w:rPr>
                <w:rFonts w:ascii="宋体" w:hAnsi="宋体"/>
                <w:sz w:val="24"/>
              </w:rPr>
            </w:pPr>
            <w:r>
              <w:rPr>
                <w:rFonts w:hint="eastAsia" w:ascii="宋体" w:hAnsi="宋体"/>
                <w:sz w:val="24"/>
              </w:rPr>
              <w:t>提供证明文件的电子件或电子证照</w:t>
            </w:r>
          </w:p>
        </w:tc>
      </w:tr>
      <w:tr w14:paraId="1D83EC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46" w:type="dxa"/>
            <w:vAlign w:val="center"/>
          </w:tcPr>
          <w:p w14:paraId="6DB41A42">
            <w:pPr>
              <w:tabs>
                <w:tab w:val="left" w:pos="1080"/>
              </w:tabs>
              <w:snapToGrid w:val="0"/>
              <w:jc w:val="center"/>
              <w:rPr>
                <w:rFonts w:ascii="宋体" w:hAnsi="宋体"/>
                <w:sz w:val="24"/>
              </w:rPr>
            </w:pPr>
            <w:r>
              <w:rPr>
                <w:rFonts w:ascii="宋体" w:hAnsi="宋体"/>
                <w:sz w:val="24"/>
              </w:rPr>
              <w:t>3</w:t>
            </w:r>
          </w:p>
        </w:tc>
        <w:tc>
          <w:tcPr>
            <w:tcW w:w="1956" w:type="dxa"/>
            <w:vAlign w:val="center"/>
          </w:tcPr>
          <w:p w14:paraId="2AED87FF">
            <w:pPr>
              <w:pStyle w:val="45"/>
              <w:spacing w:line="258" w:lineRule="auto"/>
              <w:jc w:val="center"/>
              <w:rPr>
                <w:rFonts w:ascii="宋体" w:hAnsi="宋体" w:eastAsia="宋体" w:cs="宋体"/>
                <w:sz w:val="24"/>
                <w:szCs w:val="24"/>
                <w:lang w:eastAsia="zh-CN"/>
              </w:rPr>
            </w:pPr>
            <w:r>
              <w:rPr>
                <w:rFonts w:ascii="宋体" w:hAnsi="宋体" w:eastAsia="宋体" w:cs="宋体"/>
                <w:sz w:val="24"/>
                <w:szCs w:val="24"/>
                <w:lang w:eastAsia="zh-CN"/>
              </w:rPr>
              <w:t>本项目的特定资格要求</w:t>
            </w:r>
          </w:p>
        </w:tc>
        <w:tc>
          <w:tcPr>
            <w:tcW w:w="4703" w:type="dxa"/>
            <w:vAlign w:val="center"/>
          </w:tcPr>
          <w:p w14:paraId="68EEAD52">
            <w:pPr>
              <w:tabs>
                <w:tab w:val="left" w:pos="1080"/>
              </w:tabs>
              <w:snapToGrid w:val="0"/>
              <w:rPr>
                <w:rFonts w:ascii="宋体" w:hAnsi="宋体"/>
                <w:sz w:val="24"/>
              </w:rPr>
            </w:pPr>
            <w:r>
              <w:rPr>
                <w:rFonts w:ascii="宋体" w:hAnsi="宋体"/>
                <w:sz w:val="24"/>
              </w:rPr>
              <w:t>如有，见第一章《投标邀请》</w:t>
            </w:r>
          </w:p>
        </w:tc>
        <w:tc>
          <w:tcPr>
            <w:tcW w:w="1783" w:type="dxa"/>
            <w:vAlign w:val="center"/>
          </w:tcPr>
          <w:p w14:paraId="3BF3BB75">
            <w:pPr>
              <w:tabs>
                <w:tab w:val="left" w:pos="1080"/>
              </w:tabs>
              <w:snapToGrid w:val="0"/>
              <w:jc w:val="center"/>
              <w:rPr>
                <w:rFonts w:ascii="宋体" w:hAnsi="宋体"/>
                <w:sz w:val="24"/>
              </w:rPr>
            </w:pPr>
          </w:p>
        </w:tc>
      </w:tr>
      <w:tr w14:paraId="7F6080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68" w:hRule="atLeast"/>
        </w:trPr>
        <w:tc>
          <w:tcPr>
            <w:tcW w:w="846" w:type="dxa"/>
            <w:vAlign w:val="center"/>
          </w:tcPr>
          <w:p w14:paraId="297C74F1">
            <w:pPr>
              <w:tabs>
                <w:tab w:val="left" w:pos="1080"/>
              </w:tabs>
              <w:snapToGrid w:val="0"/>
              <w:jc w:val="center"/>
              <w:rPr>
                <w:rFonts w:ascii="宋体" w:hAnsi="宋体"/>
                <w:sz w:val="24"/>
              </w:rPr>
            </w:pPr>
            <w:r>
              <w:rPr>
                <w:rFonts w:ascii="宋体" w:hAnsi="宋体"/>
                <w:sz w:val="24"/>
              </w:rPr>
              <w:t>3-1</w:t>
            </w:r>
          </w:p>
        </w:tc>
        <w:tc>
          <w:tcPr>
            <w:tcW w:w="1956" w:type="dxa"/>
            <w:vAlign w:val="center"/>
          </w:tcPr>
          <w:p w14:paraId="6E30B099">
            <w:pPr>
              <w:pStyle w:val="45"/>
              <w:spacing w:line="258" w:lineRule="auto"/>
              <w:jc w:val="center"/>
              <w:rPr>
                <w:rFonts w:ascii="宋体" w:hAnsi="宋体" w:eastAsia="宋体" w:cs="宋体"/>
                <w:sz w:val="24"/>
                <w:szCs w:val="24"/>
                <w:lang w:eastAsia="zh-CN"/>
              </w:rPr>
            </w:pPr>
            <w:r>
              <w:rPr>
                <w:rFonts w:hint="eastAsia" w:ascii="宋体" w:hAnsi="宋体" w:eastAsia="宋体" w:cs="宋体"/>
                <w:sz w:val="24"/>
                <w:szCs w:val="24"/>
                <w:lang w:eastAsia="zh-CN"/>
              </w:rPr>
              <w:t>本项目对于联合体的要求</w:t>
            </w:r>
          </w:p>
        </w:tc>
        <w:tc>
          <w:tcPr>
            <w:tcW w:w="4703" w:type="dxa"/>
            <w:vAlign w:val="center"/>
          </w:tcPr>
          <w:p w14:paraId="6651C3C2">
            <w:pPr>
              <w:tabs>
                <w:tab w:val="left" w:pos="1080"/>
              </w:tabs>
              <w:snapToGrid w:val="0"/>
              <w:rPr>
                <w:rFonts w:ascii="宋体" w:hAnsi="宋体"/>
                <w:sz w:val="24"/>
              </w:rPr>
            </w:pPr>
            <w:r>
              <w:rPr>
                <w:rFonts w:ascii="宋体" w:hAnsi="宋体"/>
                <w:sz w:val="24"/>
              </w:rPr>
              <w:t>本项目不接受联合体投标</w:t>
            </w:r>
            <w:r>
              <w:rPr>
                <w:rFonts w:hint="eastAsia" w:ascii="宋体" w:hAnsi="宋体"/>
                <w:sz w:val="24"/>
              </w:rPr>
              <w:t>时</w:t>
            </w:r>
            <w:r>
              <w:rPr>
                <w:rFonts w:ascii="宋体" w:hAnsi="宋体"/>
                <w:sz w:val="24"/>
              </w:rPr>
              <w:t>，</w:t>
            </w:r>
            <w:r>
              <w:rPr>
                <w:rFonts w:hint="eastAsia" w:ascii="宋体" w:hAnsi="宋体"/>
                <w:sz w:val="24"/>
              </w:rPr>
              <w:t>投标人不得为联合体</w:t>
            </w:r>
            <w:r>
              <w:rPr>
                <w:rFonts w:ascii="宋体" w:hAnsi="宋体"/>
                <w:sz w:val="24"/>
              </w:rPr>
              <w:t>。</w:t>
            </w:r>
          </w:p>
        </w:tc>
        <w:tc>
          <w:tcPr>
            <w:tcW w:w="1783" w:type="dxa"/>
            <w:vAlign w:val="center"/>
          </w:tcPr>
          <w:p w14:paraId="6E582236">
            <w:pPr>
              <w:tabs>
                <w:tab w:val="left" w:pos="1080"/>
              </w:tabs>
              <w:snapToGrid w:val="0"/>
              <w:jc w:val="center"/>
              <w:rPr>
                <w:rFonts w:ascii="宋体" w:hAnsi="宋体"/>
                <w:sz w:val="24"/>
              </w:rPr>
            </w:pPr>
          </w:p>
        </w:tc>
      </w:tr>
      <w:tr w14:paraId="32E55F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0" w:hRule="atLeast"/>
        </w:trPr>
        <w:tc>
          <w:tcPr>
            <w:tcW w:w="846" w:type="dxa"/>
            <w:vAlign w:val="center"/>
          </w:tcPr>
          <w:p w14:paraId="24F4B679">
            <w:pPr>
              <w:tabs>
                <w:tab w:val="left" w:pos="1080"/>
              </w:tabs>
              <w:snapToGrid w:val="0"/>
              <w:jc w:val="center"/>
              <w:rPr>
                <w:rFonts w:ascii="宋体" w:hAnsi="宋体"/>
                <w:sz w:val="24"/>
              </w:rPr>
            </w:pPr>
            <w:r>
              <w:rPr>
                <w:rFonts w:ascii="宋体" w:hAnsi="宋体"/>
                <w:sz w:val="24"/>
              </w:rPr>
              <w:t>3-2</w:t>
            </w:r>
          </w:p>
        </w:tc>
        <w:tc>
          <w:tcPr>
            <w:tcW w:w="1956" w:type="dxa"/>
            <w:vAlign w:val="center"/>
          </w:tcPr>
          <w:p w14:paraId="54A3B01B">
            <w:pPr>
              <w:pStyle w:val="45"/>
              <w:spacing w:line="258" w:lineRule="auto"/>
              <w:jc w:val="center"/>
              <w:rPr>
                <w:rFonts w:ascii="宋体" w:hAnsi="宋体" w:eastAsia="宋体" w:cs="宋体"/>
                <w:sz w:val="24"/>
                <w:szCs w:val="24"/>
                <w:lang w:eastAsia="zh-CN"/>
              </w:rPr>
            </w:pPr>
            <w:r>
              <w:rPr>
                <w:rFonts w:hint="eastAsia" w:ascii="宋体" w:hAnsi="宋体" w:eastAsia="宋体" w:cs="宋体"/>
                <w:sz w:val="24"/>
                <w:szCs w:val="24"/>
                <w:lang w:eastAsia="zh-CN"/>
              </w:rPr>
              <w:t>政府购买服务承接主体的要求</w:t>
            </w:r>
          </w:p>
        </w:tc>
        <w:tc>
          <w:tcPr>
            <w:tcW w:w="4703" w:type="dxa"/>
            <w:vAlign w:val="center"/>
          </w:tcPr>
          <w:p w14:paraId="79A37D20">
            <w:pPr>
              <w:pStyle w:val="45"/>
              <w:spacing w:line="258" w:lineRule="auto"/>
              <w:rPr>
                <w:rFonts w:ascii="宋体" w:hAnsi="宋体" w:eastAsia="宋体"/>
                <w:sz w:val="24"/>
                <w:lang w:eastAsia="zh-CN"/>
              </w:rPr>
            </w:pPr>
            <w:r>
              <w:rPr>
                <w:rFonts w:hint="eastAsia" w:ascii="宋体" w:hAnsi="宋体" w:eastAsia="宋体" w:cs="宋体"/>
                <w:sz w:val="24"/>
                <w:szCs w:val="24"/>
                <w:lang w:eastAsia="zh-CN"/>
              </w:rPr>
              <w:t>如本项目属于政府购买服务，投标人不属于公益一类事业单位、使用事业编制且由财政拨款保障的群团组织</w:t>
            </w:r>
          </w:p>
        </w:tc>
        <w:tc>
          <w:tcPr>
            <w:tcW w:w="1783" w:type="dxa"/>
          </w:tcPr>
          <w:p w14:paraId="1FE60D94">
            <w:pPr>
              <w:tabs>
                <w:tab w:val="left" w:pos="1080"/>
              </w:tabs>
              <w:snapToGrid w:val="0"/>
              <w:jc w:val="center"/>
              <w:rPr>
                <w:rFonts w:ascii="宋体" w:hAnsi="宋体"/>
                <w:sz w:val="24"/>
              </w:rPr>
            </w:pPr>
            <w:r>
              <w:rPr>
                <w:rFonts w:ascii="宋体" w:hAnsi="宋体"/>
                <w:sz w:val="24"/>
              </w:rPr>
              <w:t>格式见《投标文件格式》</w:t>
            </w:r>
            <w:r>
              <w:rPr>
                <w:rFonts w:hint="eastAsia" w:ascii="宋体" w:hAnsi="宋体"/>
                <w:sz w:val="24"/>
              </w:rPr>
              <w:t>“1-2 投标人资格声明书”</w:t>
            </w:r>
          </w:p>
        </w:tc>
      </w:tr>
      <w:tr w14:paraId="78F921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0" w:hRule="atLeast"/>
        </w:trPr>
        <w:tc>
          <w:tcPr>
            <w:tcW w:w="846" w:type="dxa"/>
            <w:vAlign w:val="center"/>
          </w:tcPr>
          <w:p w14:paraId="5342C4BB">
            <w:pPr>
              <w:tabs>
                <w:tab w:val="left" w:pos="1080"/>
              </w:tabs>
              <w:snapToGrid w:val="0"/>
              <w:jc w:val="center"/>
              <w:rPr>
                <w:rFonts w:ascii="宋体" w:hAnsi="宋体"/>
                <w:sz w:val="24"/>
              </w:rPr>
            </w:pPr>
            <w:r>
              <w:rPr>
                <w:rFonts w:ascii="宋体" w:hAnsi="宋体"/>
                <w:sz w:val="24"/>
              </w:rPr>
              <w:t>3-</w:t>
            </w:r>
            <w:r>
              <w:rPr>
                <w:rFonts w:hint="eastAsia" w:ascii="宋体" w:hAnsi="宋体"/>
                <w:sz w:val="24"/>
              </w:rPr>
              <w:t>3</w:t>
            </w:r>
          </w:p>
        </w:tc>
        <w:tc>
          <w:tcPr>
            <w:tcW w:w="1956" w:type="dxa"/>
            <w:vAlign w:val="center"/>
          </w:tcPr>
          <w:p w14:paraId="70FE9CD9">
            <w:pPr>
              <w:pStyle w:val="45"/>
              <w:spacing w:line="258" w:lineRule="auto"/>
              <w:jc w:val="center"/>
              <w:rPr>
                <w:rFonts w:ascii="宋体" w:hAnsi="宋体" w:eastAsia="宋体" w:cs="宋体"/>
                <w:sz w:val="24"/>
                <w:szCs w:val="24"/>
                <w:lang w:eastAsia="zh-CN"/>
              </w:rPr>
            </w:pPr>
            <w:r>
              <w:rPr>
                <w:rFonts w:ascii="宋体" w:hAnsi="宋体" w:eastAsia="宋体" w:cs="宋体"/>
                <w:sz w:val="24"/>
                <w:szCs w:val="24"/>
                <w:lang w:eastAsia="zh-CN"/>
              </w:rPr>
              <w:t>其他特定资格要求</w:t>
            </w:r>
          </w:p>
        </w:tc>
        <w:tc>
          <w:tcPr>
            <w:tcW w:w="4703" w:type="dxa"/>
            <w:vAlign w:val="center"/>
          </w:tcPr>
          <w:p w14:paraId="4F1A6F18">
            <w:pPr>
              <w:tabs>
                <w:tab w:val="left" w:pos="1080"/>
              </w:tabs>
              <w:snapToGrid w:val="0"/>
              <w:rPr>
                <w:rFonts w:ascii="宋体" w:hAnsi="宋体"/>
                <w:sz w:val="24"/>
              </w:rPr>
            </w:pPr>
            <w:r>
              <w:rPr>
                <w:rFonts w:ascii="宋体" w:hAnsi="宋体"/>
                <w:sz w:val="24"/>
              </w:rPr>
              <w:t>如有，见第一章《投标邀请》</w:t>
            </w:r>
          </w:p>
        </w:tc>
        <w:tc>
          <w:tcPr>
            <w:tcW w:w="1783" w:type="dxa"/>
            <w:vAlign w:val="center"/>
          </w:tcPr>
          <w:p w14:paraId="76FB5629">
            <w:pPr>
              <w:tabs>
                <w:tab w:val="left" w:pos="1080"/>
              </w:tabs>
              <w:snapToGrid w:val="0"/>
              <w:jc w:val="center"/>
              <w:rPr>
                <w:rFonts w:ascii="宋体" w:hAnsi="宋体"/>
                <w:sz w:val="24"/>
              </w:rPr>
            </w:pPr>
            <w:r>
              <w:rPr>
                <w:rFonts w:ascii="宋体" w:hAnsi="宋体"/>
                <w:sz w:val="24"/>
              </w:rPr>
              <w:t>提供证明文件的电子件或电子证照</w:t>
            </w:r>
          </w:p>
        </w:tc>
      </w:tr>
      <w:tr w14:paraId="7AC548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46" w:type="dxa"/>
            <w:vAlign w:val="center"/>
          </w:tcPr>
          <w:p w14:paraId="7114353D">
            <w:pPr>
              <w:tabs>
                <w:tab w:val="left" w:pos="1080"/>
              </w:tabs>
              <w:snapToGrid w:val="0"/>
              <w:jc w:val="center"/>
              <w:rPr>
                <w:rFonts w:ascii="宋体" w:hAnsi="宋体"/>
                <w:sz w:val="24"/>
              </w:rPr>
            </w:pPr>
            <w:r>
              <w:rPr>
                <w:rFonts w:ascii="宋体" w:hAnsi="宋体"/>
                <w:sz w:val="24"/>
              </w:rPr>
              <w:t>4</w:t>
            </w:r>
          </w:p>
        </w:tc>
        <w:tc>
          <w:tcPr>
            <w:tcW w:w="1956" w:type="dxa"/>
            <w:vAlign w:val="center"/>
          </w:tcPr>
          <w:p w14:paraId="2D097F06">
            <w:pPr>
              <w:pStyle w:val="45"/>
              <w:spacing w:line="258" w:lineRule="auto"/>
              <w:jc w:val="center"/>
              <w:rPr>
                <w:rFonts w:ascii="宋体" w:hAnsi="宋体" w:eastAsia="宋体" w:cs="宋体"/>
                <w:sz w:val="24"/>
                <w:szCs w:val="24"/>
                <w:lang w:eastAsia="zh-CN"/>
              </w:rPr>
            </w:pPr>
            <w:r>
              <w:rPr>
                <w:rFonts w:hint="eastAsia" w:ascii="宋体" w:hAnsi="宋体" w:eastAsia="宋体" w:cs="宋体"/>
                <w:sz w:val="24"/>
                <w:szCs w:val="24"/>
                <w:lang w:eastAsia="zh-CN"/>
              </w:rPr>
              <w:t>投标保证金</w:t>
            </w:r>
          </w:p>
        </w:tc>
        <w:tc>
          <w:tcPr>
            <w:tcW w:w="4703" w:type="dxa"/>
            <w:vAlign w:val="center"/>
          </w:tcPr>
          <w:p w14:paraId="59145E89">
            <w:pPr>
              <w:tabs>
                <w:tab w:val="left" w:pos="1080"/>
              </w:tabs>
              <w:snapToGrid w:val="0"/>
              <w:rPr>
                <w:rFonts w:ascii="宋体" w:hAnsi="宋体"/>
                <w:sz w:val="24"/>
              </w:rPr>
            </w:pPr>
            <w:r>
              <w:rPr>
                <w:rFonts w:ascii="宋体" w:hAnsi="宋体"/>
                <w:sz w:val="24"/>
              </w:rPr>
              <w:t>按照招标文件的规定提交</w:t>
            </w:r>
            <w:r>
              <w:rPr>
                <w:rFonts w:hint="eastAsia" w:asciiTheme="minorEastAsia" w:hAnsiTheme="minorEastAsia" w:eastAsiaTheme="minorEastAsia"/>
                <w:sz w:val="24"/>
              </w:rPr>
              <w:t>投标保证金</w:t>
            </w:r>
            <w:r>
              <w:rPr>
                <w:rFonts w:hint="eastAsia" w:asciiTheme="minorEastAsia" w:hAnsiTheme="minorEastAsia" w:eastAsiaTheme="minorEastAsia"/>
                <w:kern w:val="0"/>
                <w:sz w:val="24"/>
              </w:rPr>
              <w:t>。</w:t>
            </w:r>
          </w:p>
        </w:tc>
        <w:tc>
          <w:tcPr>
            <w:tcW w:w="1783" w:type="dxa"/>
            <w:vAlign w:val="center"/>
          </w:tcPr>
          <w:p w14:paraId="2CADAE1A">
            <w:pPr>
              <w:tabs>
                <w:tab w:val="left" w:pos="1080"/>
              </w:tabs>
              <w:snapToGrid w:val="0"/>
              <w:jc w:val="center"/>
              <w:rPr>
                <w:rFonts w:ascii="宋体" w:hAnsi="宋体"/>
                <w:sz w:val="24"/>
              </w:rPr>
            </w:pPr>
            <w:r>
              <w:rPr>
                <w:rFonts w:hint="eastAsia" w:ascii="宋体" w:hAnsi="宋体"/>
                <w:sz w:val="24"/>
              </w:rPr>
              <w:t>提供提交投标</w:t>
            </w:r>
            <w:r>
              <w:rPr>
                <w:rFonts w:ascii="宋体" w:hAnsi="宋体"/>
                <w:sz w:val="24"/>
              </w:rPr>
              <w:t>保证金凭证/交款单据</w:t>
            </w:r>
            <w:r>
              <w:rPr>
                <w:rFonts w:hint="eastAsia" w:ascii="宋体" w:hAnsi="宋体"/>
                <w:sz w:val="24"/>
              </w:rPr>
              <w:t>电子件并加盖投标人单位公章</w:t>
            </w:r>
          </w:p>
        </w:tc>
        <w:bookmarkStart w:id="709" w:name="_Hlt487900425"/>
        <w:bookmarkStart w:id="710" w:name="_Hlt522424701"/>
      </w:tr>
      <w:tr w14:paraId="55FD26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46" w:type="dxa"/>
            <w:vAlign w:val="center"/>
          </w:tcPr>
          <w:p w14:paraId="7AAAC722">
            <w:pPr>
              <w:tabs>
                <w:tab w:val="left" w:pos="1080"/>
              </w:tabs>
              <w:snapToGrid w:val="0"/>
              <w:jc w:val="center"/>
              <w:rPr>
                <w:rFonts w:ascii="宋体" w:hAnsi="宋体"/>
                <w:sz w:val="24"/>
              </w:rPr>
            </w:pPr>
            <w:r>
              <w:rPr>
                <w:rFonts w:hint="eastAsia" w:ascii="宋体" w:hAnsi="宋体"/>
                <w:sz w:val="24"/>
              </w:rPr>
              <w:t>5</w:t>
            </w:r>
          </w:p>
        </w:tc>
        <w:tc>
          <w:tcPr>
            <w:tcW w:w="1956" w:type="dxa"/>
            <w:vAlign w:val="center"/>
          </w:tcPr>
          <w:p w14:paraId="726AB450">
            <w:pPr>
              <w:pStyle w:val="45"/>
              <w:spacing w:line="258" w:lineRule="auto"/>
              <w:jc w:val="center"/>
              <w:rPr>
                <w:rFonts w:ascii="宋体" w:hAnsi="宋体" w:eastAsia="宋体" w:cs="宋体"/>
                <w:sz w:val="24"/>
                <w:szCs w:val="24"/>
                <w:lang w:eastAsia="zh-CN"/>
              </w:rPr>
            </w:pPr>
            <w:r>
              <w:rPr>
                <w:rFonts w:hint="eastAsia" w:ascii="宋体" w:hAnsi="宋体" w:eastAsia="宋体" w:cs="宋体"/>
                <w:sz w:val="24"/>
                <w:szCs w:val="24"/>
                <w:lang w:eastAsia="zh-CN"/>
              </w:rPr>
              <w:t>获取招标文件</w:t>
            </w:r>
          </w:p>
        </w:tc>
        <w:tc>
          <w:tcPr>
            <w:tcW w:w="4703" w:type="dxa"/>
            <w:vAlign w:val="center"/>
          </w:tcPr>
          <w:p w14:paraId="02C02E0C">
            <w:pPr>
              <w:tabs>
                <w:tab w:val="left" w:pos="1080"/>
              </w:tabs>
              <w:snapToGrid w:val="0"/>
              <w:rPr>
                <w:rFonts w:ascii="宋体" w:hAnsi="宋体"/>
                <w:kern w:val="0"/>
                <w:sz w:val="24"/>
              </w:rPr>
            </w:pPr>
            <w:r>
              <w:rPr>
                <w:rFonts w:hint="eastAsia" w:ascii="宋体" w:hAnsi="宋体"/>
                <w:kern w:val="0"/>
                <w:sz w:val="24"/>
              </w:rPr>
              <w:t>在规定期限内通过北京市政府采购电子交易平台获取所参与项目/采购包的招标文件。</w:t>
            </w:r>
          </w:p>
          <w:p w14:paraId="64A5EC83">
            <w:pPr>
              <w:tabs>
                <w:tab w:val="left" w:pos="1080"/>
              </w:tabs>
              <w:snapToGrid w:val="0"/>
              <w:rPr>
                <w:rFonts w:ascii="宋体" w:hAnsi="宋体"/>
                <w:kern w:val="0"/>
                <w:sz w:val="24"/>
              </w:rPr>
            </w:pPr>
            <w:r>
              <w:rPr>
                <w:rFonts w:hint="eastAsia" w:ascii="宋体" w:hAnsi="宋体"/>
                <w:kern w:val="0"/>
                <w:sz w:val="24"/>
              </w:rPr>
              <w:t>注：如本项目接受联合体，且投标人为联合体时，联合体中任一成员在规定期限内通过北京市政府采购电子交易平台获取所参与项目/采购包的招标文件即视为满足要求。</w:t>
            </w:r>
          </w:p>
        </w:tc>
        <w:tc>
          <w:tcPr>
            <w:tcW w:w="1783" w:type="dxa"/>
            <w:vAlign w:val="center"/>
          </w:tcPr>
          <w:p w14:paraId="2BF47A3B">
            <w:pPr>
              <w:tabs>
                <w:tab w:val="left" w:pos="1080"/>
              </w:tabs>
              <w:snapToGrid w:val="0"/>
              <w:jc w:val="center"/>
              <w:rPr>
                <w:rFonts w:ascii="宋体" w:hAnsi="宋体"/>
                <w:sz w:val="24"/>
              </w:rPr>
            </w:pPr>
          </w:p>
        </w:tc>
      </w:tr>
      <w:bookmarkEnd w:id="709"/>
      <w:bookmarkEnd w:id="710"/>
    </w:tbl>
    <w:p w14:paraId="7056638F">
      <w:pPr>
        <w:widowControl/>
        <w:jc w:val="left"/>
        <w:rPr>
          <w:rFonts w:ascii="宋体" w:hAnsi="宋体"/>
          <w:sz w:val="24"/>
        </w:rPr>
      </w:pPr>
      <w:r>
        <w:rPr>
          <w:rFonts w:ascii="宋体" w:hAnsi="宋体"/>
          <w:sz w:val="24"/>
        </w:rPr>
        <w:br w:type="page"/>
      </w:r>
    </w:p>
    <w:p w14:paraId="44CFD2C4">
      <w:pPr>
        <w:spacing w:line="360" w:lineRule="auto"/>
        <w:jc w:val="center"/>
        <w:outlineLvl w:val="0"/>
        <w:rPr>
          <w:rFonts w:ascii="宋体" w:hAnsi="宋体"/>
          <w:b/>
          <w:sz w:val="36"/>
          <w:szCs w:val="36"/>
        </w:rPr>
      </w:pPr>
      <w:bookmarkStart w:id="711" w:name="_Toc19763"/>
      <w:r>
        <w:rPr>
          <w:rFonts w:ascii="宋体" w:hAnsi="宋体"/>
          <w:b/>
          <w:sz w:val="36"/>
          <w:szCs w:val="36"/>
        </w:rPr>
        <w:t>第四章</w:t>
      </w:r>
      <w:bookmarkEnd w:id="704"/>
      <w:bookmarkEnd w:id="705"/>
      <w:bookmarkEnd w:id="706"/>
      <w:bookmarkEnd w:id="707"/>
      <w:bookmarkEnd w:id="708"/>
      <w:bookmarkStart w:id="712" w:name="_Hlt164229061"/>
      <w:bookmarkEnd w:id="712"/>
      <w:r>
        <w:rPr>
          <w:rFonts w:hint="eastAsia" w:ascii="宋体" w:hAnsi="宋体"/>
          <w:b/>
          <w:sz w:val="36"/>
          <w:szCs w:val="36"/>
        </w:rPr>
        <w:t xml:space="preserve">  </w:t>
      </w:r>
      <w:r>
        <w:rPr>
          <w:rFonts w:ascii="宋体" w:hAnsi="宋体"/>
          <w:b/>
          <w:sz w:val="36"/>
          <w:szCs w:val="36"/>
        </w:rPr>
        <w:t>评标程序、评标方法和评标标准</w:t>
      </w:r>
      <w:bookmarkEnd w:id="711"/>
    </w:p>
    <w:p w14:paraId="15CFA438">
      <w:pPr>
        <w:tabs>
          <w:tab w:val="left" w:pos="360"/>
          <w:tab w:val="left" w:pos="900"/>
        </w:tabs>
        <w:snapToGrid w:val="0"/>
        <w:spacing w:line="360" w:lineRule="auto"/>
        <w:jc w:val="center"/>
        <w:outlineLvl w:val="1"/>
        <w:rPr>
          <w:rFonts w:ascii="宋体" w:hAnsi="宋体"/>
          <w:b/>
        </w:rPr>
      </w:pPr>
      <w:r>
        <w:rPr>
          <w:rFonts w:ascii="宋体" w:hAnsi="宋体"/>
          <w:b/>
          <w:sz w:val="24"/>
        </w:rPr>
        <w:t>一、评标方法</w:t>
      </w:r>
    </w:p>
    <w:p w14:paraId="3D951366">
      <w:pPr>
        <w:numPr>
          <w:ilvl w:val="0"/>
          <w:numId w:val="4"/>
        </w:numPr>
        <w:tabs>
          <w:tab w:val="left" w:pos="360"/>
        </w:tabs>
        <w:snapToGrid w:val="0"/>
        <w:spacing w:line="360" w:lineRule="auto"/>
        <w:outlineLvl w:val="1"/>
        <w:rPr>
          <w:rFonts w:ascii="宋体" w:hAnsi="宋体"/>
          <w:sz w:val="24"/>
        </w:rPr>
      </w:pPr>
      <w:bookmarkStart w:id="713" w:name="_Toc151193929"/>
      <w:bookmarkStart w:id="714" w:name="_Toc150480779"/>
      <w:bookmarkStart w:id="715" w:name="_Toc305158809"/>
      <w:bookmarkStart w:id="716" w:name="_Toc265228379"/>
      <w:bookmarkStart w:id="717" w:name="_Toc164608655"/>
      <w:bookmarkStart w:id="718" w:name="_Toc142311043"/>
      <w:bookmarkStart w:id="719" w:name="_Toc151193855"/>
      <w:bookmarkStart w:id="720" w:name="_Toc150774641"/>
      <w:bookmarkStart w:id="721" w:name="_Toc151193639"/>
      <w:bookmarkStart w:id="722" w:name="_Toc164229236"/>
      <w:bookmarkStart w:id="723" w:name="_Toc127151541"/>
      <w:bookmarkStart w:id="724" w:name="_Toc127151742"/>
      <w:bookmarkStart w:id="725" w:name="_Toc151193711"/>
      <w:bookmarkStart w:id="726" w:name="_Toc151190168"/>
      <w:bookmarkStart w:id="727" w:name="_Toc150509292"/>
      <w:bookmarkStart w:id="728" w:name="_Toc264969231"/>
      <w:bookmarkStart w:id="729" w:name="_Toc164608810"/>
      <w:bookmarkStart w:id="730" w:name="_Toc149720834"/>
      <w:bookmarkStart w:id="731" w:name="_Toc150774746"/>
      <w:bookmarkStart w:id="732" w:name="_Toc195842906"/>
      <w:bookmarkStart w:id="733" w:name="_Toc226309785"/>
      <w:bookmarkStart w:id="734" w:name="_Toc164351635"/>
      <w:bookmarkStart w:id="735" w:name="_Toc151193783"/>
      <w:bookmarkStart w:id="736" w:name="_Toc226965731"/>
      <w:bookmarkStart w:id="737" w:name="_Toc305158883"/>
      <w:bookmarkStart w:id="738" w:name="_Toc127161455"/>
      <w:bookmarkStart w:id="739" w:name="_Toc226337237"/>
      <w:bookmarkStart w:id="740" w:name="_Toc164229382"/>
      <w:bookmarkStart w:id="741" w:name="_Toc226965814"/>
      <w:bookmarkStart w:id="742" w:name="_Toc353873941"/>
      <w:bookmarkStart w:id="743" w:name="_Toc353825551"/>
      <w:bookmarkStart w:id="744" w:name="_Toc142311057"/>
      <w:bookmarkStart w:id="745" w:name="_Toc265228393"/>
      <w:bookmarkStart w:id="746" w:name="_Toc226337251"/>
      <w:bookmarkStart w:id="747" w:name="_Toc226965828"/>
      <w:bookmarkStart w:id="748" w:name="_Toc195842920"/>
      <w:bookmarkStart w:id="749" w:name="_Toc305158823"/>
      <w:bookmarkStart w:id="750" w:name="_Toc353825545"/>
      <w:bookmarkStart w:id="751" w:name="_Toc150774760"/>
      <w:bookmarkStart w:id="752" w:name="_Toc127151555"/>
      <w:bookmarkStart w:id="753" w:name="_Toc353873935"/>
      <w:bookmarkStart w:id="754" w:name="_Toc353873665"/>
      <w:bookmarkStart w:id="755" w:name="_Toc305158897"/>
      <w:bookmarkStart w:id="756" w:name="_Toc150480793"/>
      <w:bookmarkStart w:id="757" w:name="_Toc264969245"/>
      <w:r>
        <w:rPr>
          <w:rFonts w:ascii="宋体" w:hAnsi="宋体"/>
          <w:sz w:val="24"/>
        </w:rPr>
        <w:t>投标文件的符合性审查</w:t>
      </w:r>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p>
    <w:p w14:paraId="7F9A1001">
      <w:pPr>
        <w:numPr>
          <w:ilvl w:val="1"/>
          <w:numId w:val="4"/>
        </w:numPr>
        <w:tabs>
          <w:tab w:val="left" w:pos="1080"/>
        </w:tabs>
        <w:snapToGrid w:val="0"/>
        <w:spacing w:line="360" w:lineRule="auto"/>
        <w:ind w:left="1077" w:hanging="720"/>
        <w:rPr>
          <w:rFonts w:ascii="宋体" w:hAnsi="宋体"/>
          <w:sz w:val="24"/>
        </w:rPr>
      </w:pPr>
      <w:r>
        <w:rPr>
          <w:rFonts w:ascii="宋体" w:hAnsi="宋体"/>
          <w:sz w:val="24"/>
        </w:rPr>
        <w:t>评标委员会对资格审查合格的投标人的投标文件进行符合性审查，以确定其是否满足招标文件的实质性要求。</w:t>
      </w:r>
      <w:bookmarkStart w:id="758" w:name="_Toc520356167"/>
    </w:p>
    <w:p w14:paraId="68FF59A6">
      <w:pPr>
        <w:numPr>
          <w:ilvl w:val="1"/>
          <w:numId w:val="4"/>
        </w:numPr>
        <w:tabs>
          <w:tab w:val="left" w:pos="1080"/>
        </w:tabs>
        <w:snapToGrid w:val="0"/>
        <w:spacing w:line="360" w:lineRule="auto"/>
        <w:ind w:left="1077" w:hanging="720"/>
        <w:rPr>
          <w:rFonts w:ascii="宋体" w:hAnsi="宋体"/>
          <w:sz w:val="24"/>
        </w:rPr>
      </w:pPr>
      <w:r>
        <w:rPr>
          <w:rFonts w:ascii="宋体" w:hAnsi="宋体"/>
          <w:sz w:val="24"/>
        </w:rPr>
        <w:t>评标委员会根据《符合性审查</w:t>
      </w:r>
      <w:r>
        <w:rPr>
          <w:rFonts w:hint="eastAsia" w:ascii="宋体" w:hAnsi="宋体"/>
          <w:sz w:val="24"/>
        </w:rPr>
        <w:t>要求</w:t>
      </w:r>
      <w:r>
        <w:rPr>
          <w:rFonts w:ascii="宋体" w:hAnsi="宋体"/>
          <w:sz w:val="24"/>
        </w:rPr>
        <w:t>》中规定的审查因素和审查内容，对投标人的投标文件是否实质上响应招标文件进行符合性审查，并形成符合性审查评审结果。</w:t>
      </w:r>
      <w:r>
        <w:rPr>
          <w:rFonts w:hint="eastAsia" w:ascii="宋体" w:hAnsi="宋体"/>
          <w:sz w:val="24"/>
        </w:rPr>
        <w:t>投标人《商务技术文件》有任何一项不符合</w:t>
      </w:r>
      <w:r>
        <w:rPr>
          <w:rFonts w:ascii="宋体" w:hAnsi="宋体"/>
          <w:sz w:val="24"/>
        </w:rPr>
        <w:t>《符合性审查</w:t>
      </w:r>
      <w:r>
        <w:rPr>
          <w:rFonts w:hint="eastAsia" w:ascii="宋体" w:hAnsi="宋体"/>
          <w:sz w:val="24"/>
        </w:rPr>
        <w:t>要求</w:t>
      </w:r>
      <w:r>
        <w:rPr>
          <w:rFonts w:ascii="宋体" w:hAnsi="宋体"/>
          <w:sz w:val="24"/>
        </w:rPr>
        <w:t>》</w:t>
      </w:r>
      <w:bookmarkEnd w:id="758"/>
      <w:r>
        <w:rPr>
          <w:rFonts w:hint="eastAsia" w:ascii="宋体" w:hAnsi="宋体"/>
          <w:sz w:val="24"/>
        </w:rPr>
        <w:t>要求的，其</w:t>
      </w:r>
      <w:r>
        <w:rPr>
          <w:rFonts w:hint="eastAsia" w:ascii="宋体" w:hAnsi="宋体"/>
          <w:b/>
          <w:sz w:val="24"/>
        </w:rPr>
        <w:t>投标无效</w:t>
      </w:r>
      <w:r>
        <w:rPr>
          <w:rFonts w:hint="eastAsia" w:ascii="宋体" w:hAnsi="宋体"/>
          <w:sz w:val="24"/>
        </w:rPr>
        <w:t>。</w:t>
      </w:r>
    </w:p>
    <w:p w14:paraId="54841B82">
      <w:pPr>
        <w:tabs>
          <w:tab w:val="left" w:pos="900"/>
          <w:tab w:val="left" w:pos="1080"/>
          <w:tab w:val="left" w:pos="1589"/>
        </w:tabs>
        <w:snapToGrid w:val="0"/>
        <w:spacing w:line="360" w:lineRule="auto"/>
        <w:ind w:leftChars="-170" w:hanging="357" w:hangingChars="148"/>
        <w:jc w:val="center"/>
        <w:rPr>
          <w:rFonts w:ascii="宋体" w:hAnsi="宋体"/>
          <w:b/>
          <w:sz w:val="24"/>
        </w:rPr>
      </w:pPr>
      <w:r>
        <w:rPr>
          <w:rFonts w:ascii="宋体" w:hAnsi="宋体"/>
          <w:b/>
          <w:sz w:val="24"/>
        </w:rPr>
        <w:t>符合性审查</w:t>
      </w:r>
      <w:r>
        <w:rPr>
          <w:rFonts w:hint="eastAsia" w:ascii="宋体" w:hAnsi="宋体"/>
          <w:b/>
          <w:sz w:val="24"/>
        </w:rPr>
        <w:t>要求</w:t>
      </w:r>
    </w:p>
    <w:tbl>
      <w:tblPr>
        <w:tblStyle w:val="27"/>
        <w:tblW w:w="86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9"/>
        <w:gridCol w:w="1889"/>
        <w:gridCol w:w="6082"/>
      </w:tblGrid>
      <w:tr w14:paraId="3E9C56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9" w:type="dxa"/>
            <w:vAlign w:val="center"/>
          </w:tcPr>
          <w:p w14:paraId="37088254">
            <w:pPr>
              <w:widowControl/>
              <w:jc w:val="center"/>
              <w:rPr>
                <w:rFonts w:ascii="宋体" w:hAnsi="宋体"/>
                <w:b/>
                <w:kern w:val="0"/>
                <w:sz w:val="24"/>
              </w:rPr>
            </w:pPr>
            <w:r>
              <w:rPr>
                <w:rFonts w:ascii="宋体" w:hAnsi="宋体"/>
                <w:b/>
                <w:kern w:val="0"/>
                <w:sz w:val="24"/>
              </w:rPr>
              <w:t>序号</w:t>
            </w:r>
          </w:p>
        </w:tc>
        <w:tc>
          <w:tcPr>
            <w:tcW w:w="1889" w:type="dxa"/>
            <w:vAlign w:val="center"/>
          </w:tcPr>
          <w:p w14:paraId="46875AB3">
            <w:pPr>
              <w:widowControl/>
              <w:jc w:val="center"/>
              <w:rPr>
                <w:rFonts w:ascii="宋体" w:hAnsi="宋体"/>
                <w:b/>
                <w:kern w:val="0"/>
                <w:sz w:val="24"/>
              </w:rPr>
            </w:pPr>
            <w:r>
              <w:rPr>
                <w:rFonts w:ascii="宋体" w:hAnsi="宋体"/>
                <w:b/>
                <w:kern w:val="0"/>
                <w:sz w:val="24"/>
              </w:rPr>
              <w:t>审查因素</w:t>
            </w:r>
          </w:p>
        </w:tc>
        <w:tc>
          <w:tcPr>
            <w:tcW w:w="6082" w:type="dxa"/>
            <w:vAlign w:val="center"/>
          </w:tcPr>
          <w:p w14:paraId="17745E86">
            <w:pPr>
              <w:widowControl/>
              <w:jc w:val="center"/>
              <w:rPr>
                <w:rFonts w:ascii="宋体" w:hAnsi="宋体"/>
                <w:b/>
                <w:kern w:val="0"/>
                <w:sz w:val="24"/>
              </w:rPr>
            </w:pPr>
            <w:r>
              <w:rPr>
                <w:rFonts w:ascii="宋体" w:hAnsi="宋体"/>
                <w:b/>
                <w:kern w:val="0"/>
                <w:sz w:val="24"/>
              </w:rPr>
              <w:t>审查内容</w:t>
            </w:r>
          </w:p>
        </w:tc>
      </w:tr>
      <w:tr w14:paraId="68AD07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9" w:type="dxa"/>
            <w:vAlign w:val="center"/>
          </w:tcPr>
          <w:p w14:paraId="4BC6F6DD">
            <w:pPr>
              <w:widowControl/>
              <w:jc w:val="center"/>
              <w:rPr>
                <w:rFonts w:ascii="宋体" w:hAnsi="宋体"/>
                <w:kern w:val="0"/>
                <w:sz w:val="24"/>
              </w:rPr>
            </w:pPr>
            <w:r>
              <w:rPr>
                <w:rFonts w:ascii="宋体" w:hAnsi="宋体"/>
                <w:kern w:val="0"/>
                <w:sz w:val="24"/>
              </w:rPr>
              <w:t>1</w:t>
            </w:r>
          </w:p>
        </w:tc>
        <w:tc>
          <w:tcPr>
            <w:tcW w:w="1889" w:type="dxa"/>
            <w:vAlign w:val="center"/>
          </w:tcPr>
          <w:p w14:paraId="4462A403">
            <w:pPr>
              <w:widowControl/>
              <w:jc w:val="center"/>
              <w:rPr>
                <w:rFonts w:ascii="宋体" w:hAnsi="宋体"/>
                <w:kern w:val="0"/>
                <w:sz w:val="24"/>
              </w:rPr>
            </w:pPr>
            <w:r>
              <w:rPr>
                <w:rFonts w:ascii="宋体" w:hAnsi="宋体"/>
                <w:kern w:val="0"/>
                <w:sz w:val="24"/>
              </w:rPr>
              <w:t>授权委托书</w:t>
            </w:r>
          </w:p>
        </w:tc>
        <w:tc>
          <w:tcPr>
            <w:tcW w:w="6082" w:type="dxa"/>
            <w:vAlign w:val="center"/>
          </w:tcPr>
          <w:p w14:paraId="7E6034F2">
            <w:pPr>
              <w:widowControl/>
              <w:jc w:val="left"/>
              <w:rPr>
                <w:rFonts w:ascii="宋体" w:hAnsi="宋体"/>
                <w:kern w:val="0"/>
                <w:sz w:val="24"/>
              </w:rPr>
            </w:pPr>
            <w:r>
              <w:rPr>
                <w:rFonts w:hint="eastAsia" w:ascii="宋体" w:hAnsi="宋体"/>
                <w:kern w:val="0"/>
                <w:sz w:val="24"/>
              </w:rPr>
              <w:t>如非法定代表人签署投标文件，则应</w:t>
            </w:r>
            <w:r>
              <w:rPr>
                <w:rFonts w:ascii="宋体" w:hAnsi="宋体"/>
                <w:kern w:val="0"/>
                <w:sz w:val="24"/>
              </w:rPr>
              <w:t>按招标文件要求提供授权委托书；</w:t>
            </w:r>
          </w:p>
        </w:tc>
      </w:tr>
      <w:tr w14:paraId="7C5EC6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9" w:type="dxa"/>
            <w:vAlign w:val="center"/>
          </w:tcPr>
          <w:p w14:paraId="7B4A9898">
            <w:pPr>
              <w:widowControl/>
              <w:jc w:val="center"/>
              <w:rPr>
                <w:rFonts w:ascii="宋体" w:hAnsi="宋体"/>
                <w:kern w:val="0"/>
                <w:sz w:val="24"/>
              </w:rPr>
            </w:pPr>
            <w:r>
              <w:rPr>
                <w:rFonts w:ascii="宋体" w:hAnsi="宋体"/>
                <w:kern w:val="0"/>
                <w:sz w:val="24"/>
              </w:rPr>
              <w:t>2</w:t>
            </w:r>
          </w:p>
        </w:tc>
        <w:tc>
          <w:tcPr>
            <w:tcW w:w="1889" w:type="dxa"/>
            <w:vAlign w:val="center"/>
          </w:tcPr>
          <w:p w14:paraId="2D8C2097">
            <w:pPr>
              <w:widowControl/>
              <w:jc w:val="center"/>
              <w:rPr>
                <w:rFonts w:ascii="宋体" w:hAnsi="宋体"/>
                <w:kern w:val="0"/>
                <w:sz w:val="24"/>
              </w:rPr>
            </w:pPr>
            <w:r>
              <w:rPr>
                <w:rFonts w:ascii="宋体" w:hAnsi="宋体"/>
                <w:kern w:val="0"/>
                <w:sz w:val="24"/>
              </w:rPr>
              <w:t>投标完整性</w:t>
            </w:r>
          </w:p>
        </w:tc>
        <w:tc>
          <w:tcPr>
            <w:tcW w:w="6082" w:type="dxa"/>
            <w:vAlign w:val="center"/>
          </w:tcPr>
          <w:p w14:paraId="00A672C0">
            <w:pPr>
              <w:widowControl/>
              <w:jc w:val="left"/>
              <w:rPr>
                <w:rFonts w:ascii="宋体" w:hAnsi="宋体"/>
                <w:kern w:val="0"/>
                <w:sz w:val="24"/>
              </w:rPr>
            </w:pPr>
            <w:r>
              <w:rPr>
                <w:rFonts w:hint="eastAsia" w:ascii="宋体" w:hAnsi="宋体"/>
                <w:kern w:val="0"/>
                <w:sz w:val="24"/>
              </w:rPr>
              <w:t>未</w:t>
            </w:r>
            <w:r>
              <w:rPr>
                <w:rFonts w:ascii="宋体" w:hAnsi="宋体"/>
                <w:kern w:val="0"/>
                <w:sz w:val="24"/>
              </w:rPr>
              <w:t>将</w:t>
            </w:r>
            <w:r>
              <w:rPr>
                <w:rFonts w:hint="eastAsia" w:ascii="宋体" w:hAnsi="宋体"/>
                <w:kern w:val="0"/>
                <w:sz w:val="24"/>
              </w:rPr>
              <w:t>项目</w:t>
            </w:r>
            <w:r>
              <w:rPr>
                <w:rFonts w:ascii="宋体" w:hAnsi="宋体"/>
                <w:kern w:val="0"/>
                <w:sz w:val="24"/>
              </w:rPr>
              <w:t>中的内容拆开投标；</w:t>
            </w:r>
          </w:p>
        </w:tc>
      </w:tr>
      <w:tr w14:paraId="6A1301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9" w:type="dxa"/>
            <w:vAlign w:val="center"/>
          </w:tcPr>
          <w:p w14:paraId="76A0A346">
            <w:pPr>
              <w:widowControl/>
              <w:jc w:val="center"/>
              <w:rPr>
                <w:rFonts w:ascii="宋体" w:hAnsi="宋体"/>
                <w:kern w:val="0"/>
                <w:sz w:val="24"/>
              </w:rPr>
            </w:pPr>
            <w:r>
              <w:rPr>
                <w:rFonts w:ascii="宋体" w:hAnsi="宋体"/>
                <w:kern w:val="0"/>
                <w:sz w:val="24"/>
              </w:rPr>
              <w:t>3</w:t>
            </w:r>
          </w:p>
        </w:tc>
        <w:tc>
          <w:tcPr>
            <w:tcW w:w="1889" w:type="dxa"/>
            <w:vAlign w:val="center"/>
          </w:tcPr>
          <w:p w14:paraId="26EF039F">
            <w:pPr>
              <w:widowControl/>
              <w:jc w:val="center"/>
              <w:rPr>
                <w:rFonts w:ascii="宋体" w:hAnsi="宋体"/>
                <w:kern w:val="0"/>
                <w:sz w:val="24"/>
              </w:rPr>
            </w:pPr>
            <w:r>
              <w:rPr>
                <w:rFonts w:ascii="宋体" w:hAnsi="宋体"/>
                <w:kern w:val="0"/>
                <w:sz w:val="24"/>
              </w:rPr>
              <w:t>投标报价</w:t>
            </w:r>
          </w:p>
        </w:tc>
        <w:tc>
          <w:tcPr>
            <w:tcW w:w="6082" w:type="dxa"/>
            <w:vAlign w:val="center"/>
          </w:tcPr>
          <w:p w14:paraId="62AB46D2">
            <w:pPr>
              <w:widowControl/>
              <w:jc w:val="left"/>
              <w:rPr>
                <w:rFonts w:ascii="宋体" w:hAnsi="宋体"/>
                <w:kern w:val="0"/>
                <w:sz w:val="24"/>
              </w:rPr>
            </w:pPr>
            <w:r>
              <w:rPr>
                <w:rFonts w:hint="eastAsia" w:ascii="宋体" w:hAnsi="宋体"/>
                <w:kern w:val="0"/>
                <w:sz w:val="24"/>
              </w:rPr>
              <w:t>投标报价总价未超过招标文件中规定的</w:t>
            </w:r>
            <w:r>
              <w:rPr>
                <w:rFonts w:ascii="宋体" w:hAnsi="宋体"/>
                <w:kern w:val="0"/>
                <w:sz w:val="24"/>
              </w:rPr>
              <w:t>项目预算金额</w:t>
            </w:r>
            <w:r>
              <w:rPr>
                <w:rFonts w:hint="eastAsia" w:ascii="宋体" w:hAnsi="宋体"/>
                <w:kern w:val="0"/>
                <w:sz w:val="24"/>
              </w:rPr>
              <w:t>或项目最高限价</w:t>
            </w:r>
            <w:r>
              <w:rPr>
                <w:rFonts w:ascii="宋体" w:hAnsi="宋体"/>
                <w:kern w:val="0"/>
                <w:sz w:val="24"/>
              </w:rPr>
              <w:t>或</w:t>
            </w:r>
            <w:r>
              <w:rPr>
                <w:rFonts w:hint="eastAsia" w:ascii="宋体" w:hAnsi="宋体"/>
                <w:kern w:val="0"/>
                <w:sz w:val="24"/>
              </w:rPr>
              <w:t>投标报价单价未超过</w:t>
            </w:r>
            <w:r>
              <w:rPr>
                <w:rFonts w:ascii="宋体" w:hAnsi="宋体"/>
                <w:kern w:val="0"/>
                <w:sz w:val="24"/>
              </w:rPr>
              <w:t>各标的</w:t>
            </w:r>
            <w:r>
              <w:rPr>
                <w:rFonts w:hint="eastAsia" w:ascii="宋体" w:hAnsi="宋体"/>
                <w:kern w:val="0"/>
                <w:sz w:val="24"/>
              </w:rPr>
              <w:t>对应的单价最高限价。</w:t>
            </w:r>
          </w:p>
        </w:tc>
      </w:tr>
      <w:tr w14:paraId="3AF66B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9" w:type="dxa"/>
            <w:vAlign w:val="center"/>
          </w:tcPr>
          <w:p w14:paraId="6C2C8CA1">
            <w:pPr>
              <w:widowControl/>
              <w:jc w:val="center"/>
              <w:rPr>
                <w:rFonts w:ascii="宋体" w:hAnsi="宋体"/>
                <w:kern w:val="0"/>
                <w:sz w:val="24"/>
              </w:rPr>
            </w:pPr>
            <w:r>
              <w:rPr>
                <w:rFonts w:ascii="宋体" w:hAnsi="宋体"/>
                <w:kern w:val="0"/>
                <w:sz w:val="24"/>
              </w:rPr>
              <w:t>4</w:t>
            </w:r>
          </w:p>
        </w:tc>
        <w:tc>
          <w:tcPr>
            <w:tcW w:w="1889" w:type="dxa"/>
            <w:vAlign w:val="center"/>
          </w:tcPr>
          <w:p w14:paraId="28DCF79C">
            <w:pPr>
              <w:widowControl/>
              <w:jc w:val="center"/>
              <w:rPr>
                <w:rFonts w:ascii="宋体" w:hAnsi="宋体"/>
                <w:kern w:val="0"/>
                <w:sz w:val="24"/>
              </w:rPr>
            </w:pPr>
            <w:r>
              <w:rPr>
                <w:rFonts w:ascii="宋体" w:hAnsi="宋体"/>
                <w:kern w:val="0"/>
                <w:sz w:val="24"/>
              </w:rPr>
              <w:t>报价唯一性</w:t>
            </w:r>
          </w:p>
        </w:tc>
        <w:tc>
          <w:tcPr>
            <w:tcW w:w="6082" w:type="dxa"/>
            <w:vAlign w:val="center"/>
          </w:tcPr>
          <w:p w14:paraId="3A252DB3">
            <w:pPr>
              <w:widowControl/>
              <w:jc w:val="left"/>
              <w:rPr>
                <w:rFonts w:ascii="宋体" w:hAnsi="宋体"/>
                <w:kern w:val="0"/>
                <w:sz w:val="24"/>
              </w:rPr>
            </w:pPr>
            <w:r>
              <w:rPr>
                <w:rFonts w:ascii="宋体" w:hAnsi="宋体"/>
                <w:kern w:val="0"/>
                <w:sz w:val="24"/>
              </w:rPr>
              <w:t>投标文件</w:t>
            </w:r>
            <w:r>
              <w:rPr>
                <w:rFonts w:hint="eastAsia" w:ascii="宋体" w:hAnsi="宋体"/>
                <w:kern w:val="0"/>
                <w:sz w:val="24"/>
              </w:rPr>
              <w:t>未出现可选择性或可调整的报价（招标文件另有规定的除外）</w:t>
            </w:r>
            <w:r>
              <w:rPr>
                <w:rFonts w:ascii="宋体" w:hAnsi="宋体"/>
                <w:kern w:val="0"/>
                <w:sz w:val="24"/>
              </w:rPr>
              <w:t>；</w:t>
            </w:r>
          </w:p>
        </w:tc>
      </w:tr>
      <w:tr w14:paraId="77D2A8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9" w:type="dxa"/>
            <w:vAlign w:val="center"/>
          </w:tcPr>
          <w:p w14:paraId="413E4E47">
            <w:pPr>
              <w:widowControl/>
              <w:jc w:val="center"/>
              <w:rPr>
                <w:rFonts w:ascii="宋体" w:hAnsi="宋体"/>
                <w:kern w:val="0"/>
                <w:sz w:val="24"/>
              </w:rPr>
            </w:pPr>
            <w:r>
              <w:rPr>
                <w:rFonts w:ascii="宋体" w:hAnsi="宋体"/>
                <w:kern w:val="0"/>
                <w:sz w:val="24"/>
              </w:rPr>
              <w:t>5</w:t>
            </w:r>
          </w:p>
        </w:tc>
        <w:tc>
          <w:tcPr>
            <w:tcW w:w="1889" w:type="dxa"/>
            <w:vAlign w:val="center"/>
          </w:tcPr>
          <w:p w14:paraId="6B3393F3">
            <w:pPr>
              <w:widowControl/>
              <w:jc w:val="center"/>
              <w:rPr>
                <w:rFonts w:ascii="宋体" w:hAnsi="宋体"/>
                <w:kern w:val="0"/>
                <w:sz w:val="24"/>
              </w:rPr>
            </w:pPr>
            <w:r>
              <w:rPr>
                <w:rFonts w:ascii="宋体" w:hAnsi="宋体"/>
                <w:kern w:val="0"/>
                <w:sz w:val="24"/>
              </w:rPr>
              <w:t>投标有效期</w:t>
            </w:r>
          </w:p>
        </w:tc>
        <w:tc>
          <w:tcPr>
            <w:tcW w:w="6082" w:type="dxa"/>
            <w:vAlign w:val="center"/>
          </w:tcPr>
          <w:p w14:paraId="119D8822">
            <w:pPr>
              <w:widowControl/>
              <w:jc w:val="left"/>
              <w:rPr>
                <w:rFonts w:ascii="宋体" w:hAnsi="宋体"/>
                <w:kern w:val="0"/>
                <w:sz w:val="24"/>
              </w:rPr>
            </w:pPr>
            <w:r>
              <w:rPr>
                <w:rFonts w:ascii="宋体" w:hAnsi="宋体"/>
                <w:kern w:val="0"/>
                <w:sz w:val="24"/>
              </w:rPr>
              <w:t>投标文件中承诺的投标有效期</w:t>
            </w:r>
            <w:r>
              <w:rPr>
                <w:rFonts w:hint="eastAsia" w:ascii="宋体" w:hAnsi="宋体"/>
                <w:kern w:val="0"/>
                <w:sz w:val="24"/>
              </w:rPr>
              <w:t>满足</w:t>
            </w:r>
            <w:r>
              <w:rPr>
                <w:rFonts w:ascii="宋体" w:hAnsi="宋体"/>
                <w:kern w:val="0"/>
                <w:sz w:val="24"/>
              </w:rPr>
              <w:t>招标文件中载明的投标有效期；</w:t>
            </w:r>
          </w:p>
        </w:tc>
      </w:tr>
      <w:tr w14:paraId="4B7979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9" w:type="dxa"/>
            <w:vAlign w:val="center"/>
          </w:tcPr>
          <w:p w14:paraId="22C8B729">
            <w:pPr>
              <w:widowControl/>
              <w:jc w:val="center"/>
              <w:rPr>
                <w:rFonts w:ascii="宋体" w:hAnsi="宋体"/>
                <w:kern w:val="0"/>
                <w:sz w:val="24"/>
              </w:rPr>
            </w:pPr>
            <w:r>
              <w:rPr>
                <w:rFonts w:hint="eastAsia" w:ascii="宋体" w:hAnsi="宋体"/>
                <w:kern w:val="0"/>
                <w:sz w:val="24"/>
              </w:rPr>
              <w:t>6</w:t>
            </w:r>
          </w:p>
        </w:tc>
        <w:tc>
          <w:tcPr>
            <w:tcW w:w="1889" w:type="dxa"/>
            <w:vAlign w:val="center"/>
          </w:tcPr>
          <w:p w14:paraId="12FE3126">
            <w:pPr>
              <w:widowControl/>
              <w:jc w:val="center"/>
              <w:rPr>
                <w:rFonts w:ascii="宋体" w:hAnsi="宋体"/>
                <w:kern w:val="0"/>
                <w:sz w:val="24"/>
              </w:rPr>
            </w:pPr>
            <w:r>
              <w:rPr>
                <w:rFonts w:hint="eastAsia" w:ascii="宋体" w:hAnsi="宋体"/>
                <w:kern w:val="0"/>
                <w:sz w:val="24"/>
              </w:rPr>
              <w:t>实质性格式</w:t>
            </w:r>
          </w:p>
        </w:tc>
        <w:tc>
          <w:tcPr>
            <w:tcW w:w="6082" w:type="dxa"/>
            <w:vAlign w:val="center"/>
          </w:tcPr>
          <w:p w14:paraId="1DCC2CD0">
            <w:pPr>
              <w:widowControl/>
              <w:jc w:val="left"/>
              <w:rPr>
                <w:rFonts w:ascii="宋体" w:hAnsi="宋体"/>
                <w:kern w:val="0"/>
                <w:sz w:val="24"/>
              </w:rPr>
            </w:pPr>
            <w:r>
              <w:rPr>
                <w:rFonts w:hint="eastAsia" w:ascii="宋体" w:hAnsi="宋体"/>
                <w:kern w:val="0"/>
                <w:sz w:val="24"/>
              </w:rPr>
              <w:t>标记为“实质性格式”的文件均按招标文件要求提供且签署、盖章；</w:t>
            </w:r>
          </w:p>
        </w:tc>
      </w:tr>
      <w:tr w14:paraId="092932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9" w:type="dxa"/>
            <w:vAlign w:val="center"/>
          </w:tcPr>
          <w:p w14:paraId="36910234">
            <w:pPr>
              <w:widowControl/>
              <w:jc w:val="center"/>
              <w:rPr>
                <w:rFonts w:ascii="宋体" w:hAnsi="宋体"/>
                <w:kern w:val="0"/>
                <w:sz w:val="24"/>
              </w:rPr>
            </w:pPr>
            <w:r>
              <w:rPr>
                <w:rFonts w:hint="eastAsia" w:ascii="宋体" w:hAnsi="宋体"/>
                <w:kern w:val="0"/>
                <w:sz w:val="24"/>
              </w:rPr>
              <w:t>7</w:t>
            </w:r>
          </w:p>
        </w:tc>
        <w:tc>
          <w:tcPr>
            <w:tcW w:w="1889" w:type="dxa"/>
            <w:vAlign w:val="center"/>
          </w:tcPr>
          <w:p w14:paraId="7B264C6D">
            <w:pPr>
              <w:widowControl/>
              <w:jc w:val="center"/>
              <w:rPr>
                <w:rFonts w:ascii="宋体" w:hAnsi="宋体"/>
                <w:kern w:val="0"/>
                <w:sz w:val="24"/>
              </w:rPr>
            </w:pPr>
            <w:r>
              <w:rPr>
                <w:rFonts w:ascii="宋体" w:hAnsi="宋体"/>
                <w:kern w:val="0"/>
                <w:sz w:val="24"/>
              </w:rPr>
              <w:t>★号条款响应</w:t>
            </w:r>
          </w:p>
          <w:p w14:paraId="43C357E0">
            <w:pPr>
              <w:widowControl/>
              <w:jc w:val="center"/>
              <w:rPr>
                <w:rFonts w:ascii="宋体" w:hAnsi="宋体"/>
                <w:kern w:val="0"/>
                <w:sz w:val="24"/>
              </w:rPr>
            </w:pPr>
            <w:r>
              <w:rPr>
                <w:rFonts w:ascii="宋体" w:hAnsi="宋体"/>
                <w:kern w:val="0"/>
                <w:sz w:val="24"/>
              </w:rPr>
              <w:t>（如有）</w:t>
            </w:r>
          </w:p>
        </w:tc>
        <w:tc>
          <w:tcPr>
            <w:tcW w:w="6082" w:type="dxa"/>
            <w:vAlign w:val="center"/>
          </w:tcPr>
          <w:p w14:paraId="070B331E">
            <w:pPr>
              <w:widowControl/>
              <w:jc w:val="left"/>
              <w:rPr>
                <w:rFonts w:ascii="宋体" w:hAnsi="宋体"/>
                <w:kern w:val="0"/>
                <w:sz w:val="24"/>
              </w:rPr>
            </w:pPr>
            <w:r>
              <w:rPr>
                <w:rFonts w:ascii="宋体" w:hAnsi="宋体"/>
                <w:kern w:val="0"/>
                <w:sz w:val="24"/>
              </w:rPr>
              <w:t>投标文件满足招标文件第五章《采购需求》中★号条款要求；</w:t>
            </w:r>
          </w:p>
        </w:tc>
      </w:tr>
      <w:tr w14:paraId="1CB11B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9" w:type="dxa"/>
            <w:vAlign w:val="center"/>
          </w:tcPr>
          <w:p w14:paraId="0121DBD5">
            <w:pPr>
              <w:widowControl/>
              <w:jc w:val="center"/>
              <w:rPr>
                <w:rFonts w:ascii="宋体" w:hAnsi="宋体"/>
                <w:kern w:val="0"/>
                <w:sz w:val="24"/>
              </w:rPr>
            </w:pPr>
            <w:r>
              <w:rPr>
                <w:rFonts w:hint="eastAsia" w:ascii="宋体" w:hAnsi="宋体"/>
                <w:kern w:val="0"/>
                <w:sz w:val="24"/>
              </w:rPr>
              <w:t>8</w:t>
            </w:r>
          </w:p>
        </w:tc>
        <w:tc>
          <w:tcPr>
            <w:tcW w:w="1889" w:type="dxa"/>
            <w:vAlign w:val="center"/>
          </w:tcPr>
          <w:p w14:paraId="4D6DAFE5">
            <w:pPr>
              <w:widowControl/>
              <w:jc w:val="center"/>
              <w:rPr>
                <w:rFonts w:ascii="宋体" w:hAnsi="宋体"/>
                <w:kern w:val="0"/>
                <w:sz w:val="24"/>
              </w:rPr>
            </w:pPr>
            <w:r>
              <w:rPr>
                <w:rFonts w:ascii="宋体" w:hAnsi="宋体"/>
                <w:kern w:val="0"/>
                <w:sz w:val="24"/>
              </w:rPr>
              <w:t>报价的修正</w:t>
            </w:r>
          </w:p>
          <w:p w14:paraId="230420B6">
            <w:pPr>
              <w:widowControl/>
              <w:jc w:val="center"/>
              <w:rPr>
                <w:rFonts w:ascii="宋体" w:hAnsi="宋体"/>
                <w:kern w:val="0"/>
                <w:sz w:val="24"/>
              </w:rPr>
            </w:pPr>
            <w:r>
              <w:rPr>
                <w:rFonts w:ascii="宋体" w:hAnsi="宋体"/>
                <w:kern w:val="0"/>
                <w:sz w:val="24"/>
              </w:rPr>
              <w:t>（如有）</w:t>
            </w:r>
          </w:p>
        </w:tc>
        <w:tc>
          <w:tcPr>
            <w:tcW w:w="6082" w:type="dxa"/>
            <w:vAlign w:val="center"/>
          </w:tcPr>
          <w:p w14:paraId="008C2A65">
            <w:pPr>
              <w:widowControl/>
              <w:jc w:val="left"/>
              <w:rPr>
                <w:rFonts w:ascii="宋体" w:hAnsi="宋体"/>
                <w:kern w:val="0"/>
                <w:sz w:val="24"/>
              </w:rPr>
            </w:pPr>
            <w:r>
              <w:rPr>
                <w:rFonts w:hint="eastAsia" w:ascii="宋体" w:hAnsi="宋体"/>
                <w:kern w:val="0"/>
                <w:sz w:val="24"/>
              </w:rPr>
              <w:t>不涉及报价修正;</w:t>
            </w:r>
            <w:r>
              <w:rPr>
                <w:rFonts w:ascii="宋体" w:hAnsi="宋体"/>
                <w:kern w:val="0"/>
                <w:sz w:val="24"/>
              </w:rPr>
              <w:t>或投标文件报价出现前后不一致</w:t>
            </w:r>
            <w:r>
              <w:rPr>
                <w:rFonts w:hint="eastAsia" w:ascii="宋体" w:hAnsi="宋体"/>
                <w:kern w:val="0"/>
                <w:sz w:val="24"/>
              </w:rPr>
              <w:t>时</w:t>
            </w:r>
            <w:r>
              <w:rPr>
                <w:rFonts w:ascii="宋体" w:hAnsi="宋体"/>
                <w:kern w:val="0"/>
                <w:sz w:val="24"/>
              </w:rPr>
              <w:t>，投标人对修正后的报价予</w:t>
            </w:r>
            <w:r>
              <w:rPr>
                <w:rFonts w:hint="eastAsia" w:ascii="宋体" w:hAnsi="宋体"/>
                <w:kern w:val="0"/>
                <w:sz w:val="24"/>
              </w:rPr>
              <w:t>以</w:t>
            </w:r>
            <w:r>
              <w:rPr>
                <w:rFonts w:ascii="宋体" w:hAnsi="宋体"/>
                <w:kern w:val="0"/>
                <w:sz w:val="24"/>
              </w:rPr>
              <w:t>确认</w:t>
            </w:r>
            <w:r>
              <w:rPr>
                <w:rFonts w:hint="eastAsia" w:ascii="宋体" w:hAnsi="宋体"/>
                <w:kern w:val="0"/>
                <w:sz w:val="24"/>
              </w:rPr>
              <w:t>；</w:t>
            </w:r>
            <w:r>
              <w:rPr>
                <w:rFonts w:ascii="宋体" w:hAnsi="宋体"/>
                <w:kern w:val="0"/>
                <w:sz w:val="24"/>
              </w:rPr>
              <w:t xml:space="preserve"> </w:t>
            </w:r>
          </w:p>
        </w:tc>
      </w:tr>
      <w:tr w14:paraId="2D4619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9" w:type="dxa"/>
            <w:vAlign w:val="center"/>
          </w:tcPr>
          <w:p w14:paraId="6845D0FE">
            <w:pPr>
              <w:widowControl/>
              <w:jc w:val="center"/>
              <w:rPr>
                <w:rFonts w:ascii="宋体" w:hAnsi="宋体"/>
                <w:kern w:val="0"/>
                <w:sz w:val="24"/>
              </w:rPr>
            </w:pPr>
            <w:r>
              <w:rPr>
                <w:rFonts w:hint="eastAsia" w:ascii="宋体" w:hAnsi="宋体"/>
                <w:kern w:val="0"/>
                <w:sz w:val="24"/>
              </w:rPr>
              <w:t>9</w:t>
            </w:r>
          </w:p>
        </w:tc>
        <w:tc>
          <w:tcPr>
            <w:tcW w:w="1889" w:type="dxa"/>
            <w:vAlign w:val="center"/>
          </w:tcPr>
          <w:p w14:paraId="7061412E">
            <w:pPr>
              <w:widowControl/>
              <w:jc w:val="center"/>
              <w:rPr>
                <w:rFonts w:ascii="宋体" w:hAnsi="宋体"/>
                <w:kern w:val="0"/>
                <w:sz w:val="24"/>
              </w:rPr>
            </w:pPr>
            <w:r>
              <w:rPr>
                <w:rFonts w:ascii="宋体" w:hAnsi="宋体"/>
                <w:kern w:val="0"/>
                <w:sz w:val="24"/>
              </w:rPr>
              <w:t>报价合理性</w:t>
            </w:r>
          </w:p>
        </w:tc>
        <w:tc>
          <w:tcPr>
            <w:tcW w:w="6082" w:type="dxa"/>
            <w:vAlign w:val="center"/>
          </w:tcPr>
          <w:p w14:paraId="3788480F">
            <w:pPr>
              <w:widowControl/>
              <w:jc w:val="left"/>
              <w:rPr>
                <w:rFonts w:ascii="宋体" w:hAnsi="宋体"/>
                <w:kern w:val="0"/>
                <w:sz w:val="24"/>
              </w:rPr>
            </w:pPr>
            <w:r>
              <w:rPr>
                <w:rFonts w:ascii="宋体" w:hAnsi="宋体"/>
                <w:kern w:val="0"/>
                <w:sz w:val="24"/>
              </w:rPr>
              <w:t>报价合理</w:t>
            </w:r>
            <w:r>
              <w:rPr>
                <w:rFonts w:hint="eastAsia" w:ascii="宋体" w:hAnsi="宋体"/>
                <w:kern w:val="0"/>
                <w:sz w:val="24"/>
              </w:rPr>
              <w:t>；</w:t>
            </w:r>
            <w:r>
              <w:rPr>
                <w:rFonts w:ascii="宋体" w:hAnsi="宋体"/>
                <w:kern w:val="0"/>
                <w:sz w:val="24"/>
              </w:rPr>
              <w:t>或</w:t>
            </w:r>
            <w:r>
              <w:rPr>
                <w:rFonts w:hint="eastAsia" w:ascii="宋体" w:hAnsi="宋体"/>
                <w:kern w:val="0"/>
                <w:sz w:val="24"/>
              </w:rPr>
              <w:t>投标人的报价明显低于其他通过符合性审查投标人的报价，</w:t>
            </w:r>
            <w:r>
              <w:rPr>
                <w:rFonts w:ascii="宋体" w:hAnsi="宋体"/>
                <w:kern w:val="0"/>
                <w:sz w:val="24"/>
              </w:rPr>
              <w:t>有可能影响产品质量或者不能诚信履约的</w:t>
            </w:r>
            <w:r>
              <w:rPr>
                <w:rFonts w:hint="eastAsia" w:ascii="宋体" w:hAnsi="宋体"/>
                <w:kern w:val="0"/>
                <w:sz w:val="24"/>
              </w:rPr>
              <w:t>，能够应评标委员会要求在规定时间内证明其报价合理性</w:t>
            </w:r>
            <w:r>
              <w:rPr>
                <w:rFonts w:ascii="宋体" w:hAnsi="宋体"/>
                <w:kern w:val="0"/>
                <w:sz w:val="24"/>
              </w:rPr>
              <w:t>；</w:t>
            </w:r>
          </w:p>
        </w:tc>
      </w:tr>
      <w:tr w14:paraId="10CFDE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9" w:type="dxa"/>
            <w:vAlign w:val="center"/>
          </w:tcPr>
          <w:p w14:paraId="22859DCE">
            <w:pPr>
              <w:widowControl/>
              <w:jc w:val="center"/>
              <w:rPr>
                <w:rFonts w:ascii="宋体" w:hAnsi="宋体"/>
                <w:kern w:val="0"/>
                <w:sz w:val="24"/>
              </w:rPr>
            </w:pPr>
            <w:r>
              <w:rPr>
                <w:rFonts w:hint="eastAsia" w:ascii="宋体" w:hAnsi="宋体"/>
                <w:kern w:val="0"/>
                <w:sz w:val="24"/>
              </w:rPr>
              <w:t>10</w:t>
            </w:r>
          </w:p>
        </w:tc>
        <w:tc>
          <w:tcPr>
            <w:tcW w:w="1889" w:type="dxa"/>
            <w:vAlign w:val="center"/>
          </w:tcPr>
          <w:p w14:paraId="1F01C2D5">
            <w:pPr>
              <w:widowControl/>
              <w:jc w:val="center"/>
              <w:rPr>
                <w:rFonts w:ascii="宋体" w:hAnsi="宋体"/>
                <w:kern w:val="0"/>
                <w:sz w:val="24"/>
              </w:rPr>
            </w:pPr>
            <w:r>
              <w:rPr>
                <w:rFonts w:hint="eastAsia" w:ascii="宋体" w:hAnsi="宋体"/>
                <w:kern w:val="0"/>
                <w:sz w:val="24"/>
              </w:rPr>
              <w:t>进口产品</w:t>
            </w:r>
          </w:p>
          <w:p w14:paraId="22F32932">
            <w:pPr>
              <w:widowControl/>
              <w:jc w:val="center"/>
              <w:rPr>
                <w:rFonts w:ascii="宋体" w:hAnsi="宋体"/>
                <w:kern w:val="0"/>
                <w:sz w:val="24"/>
              </w:rPr>
            </w:pPr>
            <w:r>
              <w:rPr>
                <w:rFonts w:hint="eastAsia" w:ascii="宋体" w:hAnsi="宋体"/>
                <w:kern w:val="0"/>
                <w:sz w:val="24"/>
              </w:rPr>
              <w:t>（如有）</w:t>
            </w:r>
          </w:p>
        </w:tc>
        <w:tc>
          <w:tcPr>
            <w:tcW w:w="6082" w:type="dxa"/>
            <w:vAlign w:val="center"/>
          </w:tcPr>
          <w:p w14:paraId="6691EF25">
            <w:pPr>
              <w:widowControl/>
              <w:jc w:val="left"/>
              <w:rPr>
                <w:rFonts w:ascii="宋体" w:hAnsi="宋体"/>
                <w:sz w:val="24"/>
              </w:rPr>
            </w:pPr>
            <w:r>
              <w:rPr>
                <w:rFonts w:hint="eastAsia" w:ascii="宋体" w:hAnsi="宋体"/>
                <w:sz w:val="24"/>
              </w:rPr>
              <w:t>招标文件不接受进口产品投标的内容时，投标人所投产品不含进口产品；</w:t>
            </w:r>
          </w:p>
        </w:tc>
      </w:tr>
      <w:tr w14:paraId="53E4BB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9" w:type="dxa"/>
            <w:vAlign w:val="center"/>
          </w:tcPr>
          <w:p w14:paraId="7323EF76">
            <w:pPr>
              <w:widowControl/>
              <w:jc w:val="center"/>
              <w:rPr>
                <w:rFonts w:ascii="宋体" w:hAnsi="宋体"/>
                <w:kern w:val="0"/>
                <w:sz w:val="24"/>
              </w:rPr>
            </w:pPr>
            <w:r>
              <w:rPr>
                <w:rFonts w:hint="eastAsia" w:ascii="宋体" w:hAnsi="宋体"/>
                <w:kern w:val="0"/>
                <w:sz w:val="24"/>
              </w:rPr>
              <w:t>11</w:t>
            </w:r>
          </w:p>
        </w:tc>
        <w:tc>
          <w:tcPr>
            <w:tcW w:w="1889" w:type="dxa"/>
            <w:vAlign w:val="center"/>
          </w:tcPr>
          <w:p w14:paraId="466D9340">
            <w:pPr>
              <w:widowControl/>
              <w:jc w:val="center"/>
              <w:rPr>
                <w:rFonts w:ascii="宋体" w:hAnsi="宋体"/>
                <w:kern w:val="0"/>
                <w:sz w:val="24"/>
              </w:rPr>
            </w:pPr>
            <w:r>
              <w:rPr>
                <w:rFonts w:hint="eastAsia" w:ascii="宋体" w:hAnsi="宋体"/>
                <w:kern w:val="0"/>
                <w:sz w:val="24"/>
              </w:rPr>
              <w:t>国家有关部门</w:t>
            </w:r>
          </w:p>
          <w:p w14:paraId="017785B3">
            <w:pPr>
              <w:widowControl/>
              <w:jc w:val="center"/>
              <w:rPr>
                <w:rFonts w:ascii="宋体" w:hAnsi="宋体"/>
                <w:kern w:val="0"/>
                <w:sz w:val="24"/>
              </w:rPr>
            </w:pPr>
            <w:r>
              <w:rPr>
                <w:rFonts w:hint="eastAsia" w:ascii="宋体" w:hAnsi="宋体"/>
                <w:kern w:val="0"/>
                <w:sz w:val="24"/>
              </w:rPr>
              <w:t>对投标人的投</w:t>
            </w:r>
          </w:p>
          <w:p w14:paraId="34A9C97D">
            <w:pPr>
              <w:widowControl/>
              <w:jc w:val="center"/>
              <w:rPr>
                <w:rFonts w:ascii="宋体" w:hAnsi="宋体"/>
                <w:kern w:val="0"/>
                <w:sz w:val="24"/>
              </w:rPr>
            </w:pPr>
            <w:r>
              <w:rPr>
                <w:rFonts w:hint="eastAsia" w:ascii="宋体" w:hAnsi="宋体"/>
                <w:kern w:val="0"/>
                <w:sz w:val="24"/>
              </w:rPr>
              <w:t>标产品有强制</w:t>
            </w:r>
          </w:p>
          <w:p w14:paraId="4A7E5DEB">
            <w:pPr>
              <w:widowControl/>
              <w:jc w:val="center"/>
              <w:rPr>
                <w:rFonts w:ascii="宋体" w:hAnsi="宋体"/>
                <w:kern w:val="0"/>
                <w:sz w:val="24"/>
              </w:rPr>
            </w:pPr>
            <w:r>
              <w:rPr>
                <w:rFonts w:hint="eastAsia" w:ascii="宋体" w:hAnsi="宋体"/>
                <w:kern w:val="0"/>
                <w:sz w:val="24"/>
              </w:rPr>
              <w:t>性规定或要求</w:t>
            </w:r>
          </w:p>
          <w:p w14:paraId="7782C52E">
            <w:pPr>
              <w:widowControl/>
              <w:jc w:val="center"/>
              <w:rPr>
                <w:rFonts w:ascii="宋体" w:hAnsi="宋体"/>
                <w:kern w:val="0"/>
                <w:sz w:val="24"/>
              </w:rPr>
            </w:pPr>
            <w:r>
              <w:rPr>
                <w:rFonts w:hint="eastAsia" w:ascii="宋体" w:hAnsi="宋体"/>
                <w:kern w:val="0"/>
                <w:sz w:val="24"/>
              </w:rPr>
              <w:t>的</w:t>
            </w:r>
          </w:p>
        </w:tc>
        <w:tc>
          <w:tcPr>
            <w:tcW w:w="6082" w:type="dxa"/>
            <w:vAlign w:val="center"/>
          </w:tcPr>
          <w:p w14:paraId="37D2468F">
            <w:pPr>
              <w:widowControl/>
              <w:jc w:val="left"/>
              <w:rPr>
                <w:rFonts w:ascii="宋体" w:hAnsi="宋体"/>
                <w:kern w:val="0"/>
                <w:sz w:val="24"/>
              </w:rPr>
            </w:pPr>
            <w:r>
              <w:rPr>
                <w:rFonts w:ascii="宋体" w:hAnsi="宋体"/>
                <w:kern w:val="0"/>
                <w:sz w:val="24"/>
              </w:rPr>
              <w:t>国家有关部门对投标人的投标产品有强制性规定或要求的（如相应技术、安全、节能和环保等），投标人的投标产品应符合相应规定或要求，并提供证明文件电子件：</w:t>
            </w:r>
          </w:p>
          <w:p w14:paraId="0984C048">
            <w:pPr>
              <w:widowControl/>
              <w:jc w:val="left"/>
              <w:rPr>
                <w:rFonts w:ascii="宋体" w:hAnsi="宋体"/>
                <w:kern w:val="0"/>
                <w:sz w:val="24"/>
              </w:rPr>
            </w:pPr>
            <w:r>
              <w:rPr>
                <w:rFonts w:ascii="宋体" w:hAnsi="宋体"/>
                <w:kern w:val="0"/>
                <w:sz w:val="24"/>
              </w:rPr>
              <w:t>1）采购的产品若属于《节能产品政府采购品目清单》范围中政府强制采购产品，则投标人所报产品必须获得国家确定的认证机构出具的、处于有效期之内的节能产品认证证书；</w:t>
            </w:r>
          </w:p>
          <w:p w14:paraId="456C04F8">
            <w:pPr>
              <w:widowControl/>
              <w:jc w:val="left"/>
              <w:rPr>
                <w:rFonts w:ascii="宋体" w:hAnsi="宋体"/>
                <w:sz w:val="24"/>
              </w:rPr>
            </w:pPr>
            <w:r>
              <w:rPr>
                <w:rFonts w:ascii="宋体" w:hAnsi="宋体"/>
                <w:kern w:val="0"/>
                <w:sz w:val="24"/>
              </w:rPr>
              <w:t>2）</w:t>
            </w:r>
            <w:r>
              <w:rPr>
                <w:rFonts w:ascii="宋体" w:hAnsi="宋体"/>
                <w:sz w:val="24"/>
              </w:rPr>
              <w:t>所投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如该产品已经获得</w:t>
            </w:r>
            <w:r>
              <w:rPr>
                <w:rFonts w:ascii="宋体" w:hAnsi="宋体"/>
                <w:kern w:val="0"/>
                <w:sz w:val="24"/>
              </w:rPr>
              <w:t>公安部颁发的计算机信息系统安全专用产品销售许可证</w:t>
            </w:r>
            <w:r>
              <w:rPr>
                <w:rFonts w:ascii="宋体" w:hAnsi="宋体"/>
                <w:sz w:val="24"/>
              </w:rPr>
              <w:t>，且在有效期内，亦视为符合要求）</w:t>
            </w:r>
          </w:p>
        </w:tc>
      </w:tr>
      <w:tr w14:paraId="6971FA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9" w:type="dxa"/>
            <w:vAlign w:val="center"/>
          </w:tcPr>
          <w:p w14:paraId="4CA74704">
            <w:pPr>
              <w:widowControl/>
              <w:jc w:val="center"/>
              <w:rPr>
                <w:rFonts w:ascii="宋体" w:hAnsi="宋体"/>
                <w:kern w:val="0"/>
                <w:sz w:val="24"/>
              </w:rPr>
            </w:pPr>
            <w:r>
              <w:rPr>
                <w:rFonts w:hint="eastAsia" w:ascii="宋体" w:hAnsi="宋体"/>
                <w:kern w:val="0"/>
                <w:sz w:val="24"/>
              </w:rPr>
              <w:t>12</w:t>
            </w:r>
          </w:p>
        </w:tc>
        <w:tc>
          <w:tcPr>
            <w:tcW w:w="1889" w:type="dxa"/>
            <w:vAlign w:val="center"/>
          </w:tcPr>
          <w:p w14:paraId="6E0B6F8A">
            <w:pPr>
              <w:widowControl/>
              <w:jc w:val="center"/>
              <w:rPr>
                <w:rFonts w:ascii="宋体" w:hAnsi="宋体"/>
                <w:kern w:val="0"/>
                <w:sz w:val="24"/>
              </w:rPr>
            </w:pPr>
            <w:r>
              <w:rPr>
                <w:rFonts w:ascii="宋体" w:hAnsi="宋体"/>
                <w:kern w:val="0"/>
                <w:sz w:val="24"/>
              </w:rPr>
              <w:t>公平竞争</w:t>
            </w:r>
          </w:p>
        </w:tc>
        <w:tc>
          <w:tcPr>
            <w:tcW w:w="6082" w:type="dxa"/>
            <w:vAlign w:val="center"/>
          </w:tcPr>
          <w:p w14:paraId="2DD5681B">
            <w:pPr>
              <w:widowControl/>
              <w:jc w:val="left"/>
              <w:rPr>
                <w:rFonts w:ascii="宋体" w:hAnsi="宋体"/>
                <w:kern w:val="0"/>
                <w:sz w:val="24"/>
              </w:rPr>
            </w:pPr>
            <w:r>
              <w:rPr>
                <w:rFonts w:ascii="宋体" w:hAnsi="宋体"/>
                <w:sz w:val="24"/>
              </w:rPr>
              <w:t>投标人遵循公平竞争的原则，不存在恶意串通，妨碍其他投标人的竞争行为，不存在损害采购人或者其他投标人的合法权益情形；</w:t>
            </w:r>
          </w:p>
        </w:tc>
      </w:tr>
      <w:tr w14:paraId="3F070D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9" w:type="dxa"/>
            <w:vAlign w:val="center"/>
          </w:tcPr>
          <w:p w14:paraId="786B93B4">
            <w:pPr>
              <w:widowControl/>
              <w:jc w:val="center"/>
              <w:rPr>
                <w:rFonts w:ascii="宋体" w:hAnsi="宋体"/>
                <w:kern w:val="0"/>
                <w:sz w:val="24"/>
              </w:rPr>
            </w:pPr>
            <w:r>
              <w:rPr>
                <w:rFonts w:hint="eastAsia" w:ascii="宋体" w:hAnsi="宋体"/>
                <w:kern w:val="0"/>
                <w:sz w:val="24"/>
              </w:rPr>
              <w:t>13</w:t>
            </w:r>
          </w:p>
        </w:tc>
        <w:tc>
          <w:tcPr>
            <w:tcW w:w="1889" w:type="dxa"/>
            <w:vAlign w:val="center"/>
          </w:tcPr>
          <w:p w14:paraId="72AFB21C">
            <w:pPr>
              <w:widowControl/>
              <w:jc w:val="center"/>
              <w:rPr>
                <w:rFonts w:ascii="宋体" w:hAnsi="宋体"/>
                <w:kern w:val="0"/>
                <w:sz w:val="24"/>
              </w:rPr>
            </w:pPr>
            <w:r>
              <w:rPr>
                <w:rFonts w:ascii="宋体" w:hAnsi="宋体"/>
                <w:kern w:val="0"/>
                <w:sz w:val="24"/>
              </w:rPr>
              <w:t>串通投标</w:t>
            </w:r>
          </w:p>
        </w:tc>
        <w:tc>
          <w:tcPr>
            <w:tcW w:w="6082" w:type="dxa"/>
            <w:vAlign w:val="center"/>
          </w:tcPr>
          <w:p w14:paraId="7B3FCD57">
            <w:pPr>
              <w:widowControl/>
              <w:jc w:val="left"/>
              <w:rPr>
                <w:rFonts w:ascii="宋体" w:hAnsi="宋体"/>
                <w:kern w:val="0"/>
                <w:sz w:val="24"/>
              </w:rPr>
            </w:pPr>
            <w:r>
              <w:rPr>
                <w:rFonts w:hint="eastAsia" w:ascii="宋体" w:hAnsi="宋体"/>
                <w:sz w:val="24"/>
              </w:rPr>
              <w:t>不存在《政府采购货物和服务招标投标管理办法》视为投标人串通投标的情形：（一）不同投标人的投标文件由同一单位或者个人编制；（二）不同投标人委托同一单位或者个人办理投标事宜；（三）不同投标人的投标文件载明的项目管理成员或者联系人员为同一人；（四）不同投标人的投标文件异常一致或者投标报价呈规律性差异；（五）不同投标人的投标文件相互混装；（六）不同投标人的投标保证金从同一单位或者个人的账户转出</w:t>
            </w:r>
            <w:r>
              <w:rPr>
                <w:rFonts w:ascii="宋体" w:hAnsi="宋体"/>
                <w:sz w:val="24"/>
              </w:rPr>
              <w:t>；</w:t>
            </w:r>
          </w:p>
        </w:tc>
      </w:tr>
      <w:tr w14:paraId="30DB2E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9" w:type="dxa"/>
            <w:vAlign w:val="center"/>
          </w:tcPr>
          <w:p w14:paraId="78A6DAD0">
            <w:pPr>
              <w:widowControl/>
              <w:jc w:val="center"/>
              <w:rPr>
                <w:rFonts w:ascii="宋体" w:hAnsi="宋体"/>
                <w:kern w:val="0"/>
                <w:sz w:val="24"/>
              </w:rPr>
            </w:pPr>
            <w:r>
              <w:rPr>
                <w:rFonts w:hint="eastAsia" w:ascii="宋体" w:hAnsi="宋体"/>
                <w:kern w:val="0"/>
                <w:sz w:val="24"/>
              </w:rPr>
              <w:t>14</w:t>
            </w:r>
          </w:p>
        </w:tc>
        <w:tc>
          <w:tcPr>
            <w:tcW w:w="1889" w:type="dxa"/>
            <w:vAlign w:val="center"/>
          </w:tcPr>
          <w:p w14:paraId="1712FA6C">
            <w:pPr>
              <w:widowControl/>
              <w:jc w:val="center"/>
              <w:rPr>
                <w:rFonts w:ascii="宋体" w:hAnsi="宋体"/>
                <w:kern w:val="0"/>
                <w:sz w:val="24"/>
              </w:rPr>
            </w:pPr>
            <w:r>
              <w:rPr>
                <w:rFonts w:ascii="宋体" w:hAnsi="宋体"/>
                <w:kern w:val="0"/>
                <w:sz w:val="24"/>
              </w:rPr>
              <w:t>附加条件</w:t>
            </w:r>
          </w:p>
        </w:tc>
        <w:tc>
          <w:tcPr>
            <w:tcW w:w="6082" w:type="dxa"/>
            <w:vAlign w:val="center"/>
          </w:tcPr>
          <w:p w14:paraId="4EB82711">
            <w:pPr>
              <w:widowControl/>
              <w:jc w:val="left"/>
              <w:rPr>
                <w:rFonts w:ascii="宋体" w:hAnsi="宋体"/>
                <w:kern w:val="0"/>
                <w:sz w:val="24"/>
              </w:rPr>
            </w:pPr>
            <w:r>
              <w:rPr>
                <w:rFonts w:ascii="宋体" w:hAnsi="宋体"/>
                <w:kern w:val="0"/>
                <w:sz w:val="24"/>
              </w:rPr>
              <w:t>投标文件</w:t>
            </w:r>
            <w:r>
              <w:rPr>
                <w:rFonts w:hint="eastAsia" w:ascii="宋体" w:hAnsi="宋体"/>
                <w:kern w:val="0"/>
                <w:sz w:val="24"/>
              </w:rPr>
              <w:t>未</w:t>
            </w:r>
            <w:r>
              <w:rPr>
                <w:rFonts w:ascii="宋体" w:hAnsi="宋体"/>
                <w:kern w:val="0"/>
                <w:sz w:val="24"/>
              </w:rPr>
              <w:t>含有采购人不能接受的附加条件；</w:t>
            </w:r>
          </w:p>
        </w:tc>
      </w:tr>
      <w:tr w14:paraId="00DA41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9" w:type="dxa"/>
            <w:vAlign w:val="center"/>
          </w:tcPr>
          <w:p w14:paraId="599E952E">
            <w:pPr>
              <w:widowControl/>
              <w:jc w:val="center"/>
              <w:rPr>
                <w:rFonts w:ascii="宋体" w:hAnsi="宋体"/>
                <w:kern w:val="0"/>
                <w:sz w:val="24"/>
              </w:rPr>
            </w:pPr>
            <w:r>
              <w:rPr>
                <w:rFonts w:hint="eastAsia" w:ascii="宋体" w:hAnsi="宋体"/>
                <w:kern w:val="0"/>
                <w:sz w:val="24"/>
              </w:rPr>
              <w:t>15</w:t>
            </w:r>
          </w:p>
        </w:tc>
        <w:tc>
          <w:tcPr>
            <w:tcW w:w="1889" w:type="dxa"/>
            <w:vAlign w:val="center"/>
          </w:tcPr>
          <w:p w14:paraId="53377122">
            <w:pPr>
              <w:widowControl/>
              <w:jc w:val="center"/>
              <w:rPr>
                <w:rFonts w:ascii="宋体" w:hAnsi="宋体"/>
                <w:kern w:val="0"/>
                <w:sz w:val="24"/>
              </w:rPr>
            </w:pPr>
            <w:r>
              <w:rPr>
                <w:rFonts w:ascii="宋体" w:hAnsi="宋体"/>
                <w:kern w:val="0"/>
                <w:sz w:val="24"/>
              </w:rPr>
              <w:t>其他无效情形</w:t>
            </w:r>
          </w:p>
        </w:tc>
        <w:tc>
          <w:tcPr>
            <w:tcW w:w="6082" w:type="dxa"/>
            <w:vAlign w:val="center"/>
          </w:tcPr>
          <w:p w14:paraId="66901691">
            <w:pPr>
              <w:widowControl/>
              <w:jc w:val="left"/>
              <w:rPr>
                <w:rFonts w:ascii="宋体" w:hAnsi="宋体"/>
                <w:kern w:val="0"/>
                <w:sz w:val="24"/>
              </w:rPr>
            </w:pPr>
            <w:r>
              <w:rPr>
                <w:rFonts w:ascii="宋体" w:hAnsi="宋体"/>
                <w:sz w:val="24"/>
              </w:rPr>
              <w:t>投标人、投标文件</w:t>
            </w:r>
            <w:r>
              <w:rPr>
                <w:rFonts w:hint="eastAsia" w:ascii="宋体" w:hAnsi="宋体"/>
                <w:sz w:val="24"/>
              </w:rPr>
              <w:t>不存在</w:t>
            </w:r>
            <w:r>
              <w:rPr>
                <w:rFonts w:ascii="宋体" w:hAnsi="宋体"/>
                <w:sz w:val="24"/>
              </w:rPr>
              <w:t>不符合</w:t>
            </w:r>
            <w:r>
              <w:rPr>
                <w:rFonts w:hint="eastAsia" w:ascii="宋体" w:hAnsi="宋体"/>
                <w:sz w:val="24"/>
              </w:rPr>
              <w:t>法律法规</w:t>
            </w:r>
            <w:r>
              <w:rPr>
                <w:rFonts w:ascii="宋体" w:hAnsi="宋体"/>
                <w:sz w:val="24"/>
              </w:rPr>
              <w:t>和招标文件规定的其他无效情形。</w:t>
            </w:r>
          </w:p>
        </w:tc>
      </w:tr>
    </w:tbl>
    <w:p w14:paraId="299C9774">
      <w:pPr>
        <w:numPr>
          <w:ilvl w:val="0"/>
          <w:numId w:val="5"/>
        </w:numPr>
        <w:tabs>
          <w:tab w:val="left" w:pos="1080"/>
          <w:tab w:val="left" w:pos="1589"/>
        </w:tabs>
        <w:snapToGrid w:val="0"/>
        <w:spacing w:line="360" w:lineRule="auto"/>
        <w:rPr>
          <w:rFonts w:ascii="宋体" w:hAnsi="宋体"/>
          <w:sz w:val="24"/>
        </w:rPr>
        <w:sectPr>
          <w:headerReference r:id="rId12" w:type="first"/>
          <w:footerReference r:id="rId15" w:type="first"/>
          <w:footerReference r:id="rId13" w:type="default"/>
          <w:headerReference r:id="rId11" w:type="even"/>
          <w:footerReference r:id="rId14" w:type="even"/>
          <w:pgSz w:w="11907" w:h="16840"/>
          <w:pgMar w:top="1440" w:right="1800" w:bottom="1440" w:left="1800" w:header="851" w:footer="851" w:gutter="0"/>
          <w:cols w:space="720" w:num="1"/>
          <w:docGrid w:linePitch="462" w:charSpace="0"/>
        </w:sectPr>
      </w:pPr>
    </w:p>
    <w:p w14:paraId="0F6017C4">
      <w:pPr>
        <w:numPr>
          <w:ilvl w:val="0"/>
          <w:numId w:val="4"/>
        </w:numPr>
        <w:tabs>
          <w:tab w:val="left" w:pos="360"/>
        </w:tabs>
        <w:snapToGrid w:val="0"/>
        <w:spacing w:line="360" w:lineRule="auto"/>
        <w:outlineLvl w:val="1"/>
        <w:rPr>
          <w:rFonts w:ascii="宋体" w:hAnsi="宋体"/>
          <w:sz w:val="24"/>
        </w:rPr>
      </w:pPr>
      <w:r>
        <w:rPr>
          <w:rFonts w:ascii="宋体" w:hAnsi="宋体"/>
          <w:sz w:val="24"/>
        </w:rPr>
        <w:t>投标文件有关事项的澄清或者说明</w:t>
      </w:r>
    </w:p>
    <w:p w14:paraId="4DB2362C">
      <w:pPr>
        <w:numPr>
          <w:ilvl w:val="1"/>
          <w:numId w:val="4"/>
        </w:numPr>
        <w:tabs>
          <w:tab w:val="left" w:pos="1080"/>
        </w:tabs>
        <w:snapToGrid w:val="0"/>
        <w:spacing w:line="360" w:lineRule="auto"/>
        <w:ind w:left="1077" w:hanging="720"/>
        <w:rPr>
          <w:rFonts w:ascii="宋体" w:hAnsi="宋体"/>
          <w:sz w:val="24"/>
        </w:rPr>
      </w:pPr>
      <w:r>
        <w:rPr>
          <w:rFonts w:ascii="宋体" w:hAnsi="宋体"/>
          <w:sz w:val="24"/>
        </w:rPr>
        <w:t>评标过程中，评标委员会将以书面形式要求投标人对其投标文件中含义不明确、同类问题表述不一致或者有明显文字和计算错误的内容，作出必要的澄清、说明或者补正。投标人的澄清、说明或者补正应当采用书面形式，并加盖公章，或者由法定代表人（</w:t>
      </w:r>
      <w:bookmarkStart w:id="759" w:name="_Hlk144225607"/>
      <w:r>
        <w:rPr>
          <w:rFonts w:ascii="宋体" w:hAnsi="宋体"/>
          <w:sz w:val="24"/>
          <w:szCs w:val="20"/>
        </w:rPr>
        <w:t>若投标人为事业单位或其他组织或分支机构，可为单位负责人</w:t>
      </w:r>
      <w:bookmarkEnd w:id="759"/>
      <w:r>
        <w:rPr>
          <w:rFonts w:ascii="宋体" w:hAnsi="宋体"/>
          <w:sz w:val="24"/>
        </w:rPr>
        <w:t>）或其授权的代表签字。投标人的澄清、说明或者补正不得超出投标文件的范围或者改变投标文件的实质性内容。澄清文件将作为投标文件内容的一部分。</w:t>
      </w:r>
    </w:p>
    <w:p w14:paraId="6FDD7AF3">
      <w:pPr>
        <w:numPr>
          <w:ilvl w:val="1"/>
          <w:numId w:val="4"/>
        </w:numPr>
        <w:tabs>
          <w:tab w:val="left" w:pos="1080"/>
        </w:tabs>
        <w:snapToGrid w:val="0"/>
        <w:spacing w:line="360" w:lineRule="auto"/>
        <w:ind w:left="1077" w:hanging="720"/>
        <w:rPr>
          <w:rFonts w:ascii="宋体" w:hAnsi="宋体"/>
          <w:sz w:val="24"/>
        </w:rPr>
      </w:pPr>
      <w:r>
        <w:rPr>
          <w:rFonts w:hint="eastAsia" w:ascii="宋体" w:hAnsi="宋体"/>
          <w:sz w:val="24"/>
        </w:rPr>
        <w:t>异常低价处理</w:t>
      </w:r>
    </w:p>
    <w:p w14:paraId="64A17A4F">
      <w:pPr>
        <w:numPr>
          <w:ilvl w:val="2"/>
          <w:numId w:val="4"/>
        </w:numPr>
        <w:tabs>
          <w:tab w:val="left" w:pos="1134"/>
          <w:tab w:val="left" w:pos="1276"/>
          <w:tab w:val="left" w:pos="1560"/>
          <w:tab w:val="left" w:pos="1701"/>
          <w:tab w:val="clear" w:pos="1980"/>
        </w:tabs>
        <w:snapToGrid w:val="0"/>
        <w:spacing w:line="360" w:lineRule="auto"/>
        <w:ind w:left="1843" w:hanging="709"/>
        <w:rPr>
          <w:rFonts w:ascii="宋体" w:hAnsi="宋体"/>
          <w:sz w:val="24"/>
        </w:rPr>
      </w:pPr>
      <w:r>
        <w:rPr>
          <w:rFonts w:hint="eastAsia" w:ascii="宋体" w:hAnsi="宋体"/>
          <w:sz w:val="24"/>
        </w:rPr>
        <w:t>政府采购评审中出现下列情形之一的，评审委员会应当启动异常低价投标（响应）审查程序：</w:t>
      </w:r>
    </w:p>
    <w:p w14:paraId="41DD5671">
      <w:pPr>
        <w:tabs>
          <w:tab w:val="left" w:pos="1589"/>
          <w:tab w:val="left" w:pos="1701"/>
          <w:tab w:val="left" w:pos="2035"/>
          <w:tab w:val="left" w:pos="2114"/>
        </w:tabs>
        <w:snapToGrid w:val="0"/>
        <w:spacing w:line="360" w:lineRule="auto"/>
        <w:ind w:left="1843" w:hanging="2"/>
        <w:rPr>
          <w:rFonts w:ascii="宋体" w:hAnsi="宋体"/>
          <w:sz w:val="24"/>
        </w:rPr>
      </w:pPr>
      <w:r>
        <w:rPr>
          <w:rFonts w:hint="eastAsia" w:ascii="宋体" w:hAnsi="宋体"/>
          <w:sz w:val="24"/>
        </w:rPr>
        <w:t>（1）投标（响应）报价低于全部通过符合性审查供应商投标（响应）报价平均值</w:t>
      </w:r>
      <w:r>
        <w:rPr>
          <w:rFonts w:hint="eastAsia" w:ascii="宋体" w:hAnsi="宋体"/>
          <w:sz w:val="24"/>
          <w:u w:val="single"/>
        </w:rPr>
        <w:t>50</w:t>
      </w:r>
      <w:r>
        <w:rPr>
          <w:rFonts w:hint="eastAsia" w:ascii="宋体" w:hAnsi="宋体"/>
          <w:sz w:val="24"/>
        </w:rPr>
        <w:t>%的，即投标（响应）报价〈全部通过符合性审查供应商投标（响应）报价平均值×50%；</w:t>
      </w:r>
    </w:p>
    <w:p w14:paraId="21163E31">
      <w:pPr>
        <w:tabs>
          <w:tab w:val="left" w:pos="1589"/>
          <w:tab w:val="left" w:pos="1701"/>
          <w:tab w:val="left" w:pos="2035"/>
          <w:tab w:val="left" w:pos="2114"/>
        </w:tabs>
        <w:snapToGrid w:val="0"/>
        <w:spacing w:line="360" w:lineRule="auto"/>
        <w:ind w:left="1843" w:hanging="2"/>
        <w:rPr>
          <w:rFonts w:ascii="宋体" w:hAnsi="宋体"/>
          <w:sz w:val="24"/>
        </w:rPr>
      </w:pPr>
      <w:r>
        <w:rPr>
          <w:rFonts w:hint="eastAsia" w:ascii="宋体" w:hAnsi="宋体"/>
          <w:sz w:val="24"/>
        </w:rPr>
        <w:t>（2）投标（响应）报价低于通过符合性审查的次低报价供应商投标（响应）报价</w:t>
      </w:r>
      <w:r>
        <w:rPr>
          <w:rFonts w:hint="eastAsia" w:ascii="宋体" w:hAnsi="宋体"/>
          <w:sz w:val="24"/>
          <w:u w:val="single"/>
        </w:rPr>
        <w:t>50</w:t>
      </w:r>
      <w:r>
        <w:rPr>
          <w:rFonts w:ascii="宋体" w:hAnsi="宋体"/>
          <w:sz w:val="24"/>
          <w:u w:val="single"/>
        </w:rPr>
        <w:t>_</w:t>
      </w:r>
      <w:r>
        <w:rPr>
          <w:rFonts w:hint="eastAsia" w:ascii="宋体" w:hAnsi="宋体"/>
          <w:sz w:val="24"/>
        </w:rPr>
        <w:t>%的，即投标（响应）报价〈通过符合性审查的次低报价供应商投标（响应）报价×</w:t>
      </w:r>
      <w:r>
        <w:rPr>
          <w:rFonts w:hint="eastAsia" w:ascii="宋体" w:hAnsi="宋体"/>
          <w:sz w:val="24"/>
          <w:u w:val="single"/>
        </w:rPr>
        <w:t>50</w:t>
      </w:r>
      <w:r>
        <w:rPr>
          <w:rFonts w:hint="eastAsia" w:ascii="宋体" w:hAnsi="宋体"/>
          <w:sz w:val="24"/>
        </w:rPr>
        <w:t>%；</w:t>
      </w:r>
    </w:p>
    <w:p w14:paraId="49C6A85F">
      <w:pPr>
        <w:tabs>
          <w:tab w:val="left" w:pos="1589"/>
          <w:tab w:val="left" w:pos="1701"/>
          <w:tab w:val="left" w:pos="2035"/>
          <w:tab w:val="left" w:pos="2114"/>
        </w:tabs>
        <w:snapToGrid w:val="0"/>
        <w:spacing w:line="360" w:lineRule="auto"/>
        <w:ind w:left="1843" w:hanging="2"/>
        <w:rPr>
          <w:rFonts w:ascii="宋体" w:hAnsi="宋体"/>
          <w:sz w:val="24"/>
        </w:rPr>
      </w:pPr>
      <w:r>
        <w:rPr>
          <w:rFonts w:hint="eastAsia" w:ascii="宋体" w:hAnsi="宋体"/>
          <w:sz w:val="24"/>
        </w:rPr>
        <w:t>（3）投标（响应）报价低于采购项目最高限价</w:t>
      </w:r>
      <w:r>
        <w:rPr>
          <w:rFonts w:hint="eastAsia" w:ascii="宋体" w:hAnsi="宋体"/>
          <w:sz w:val="24"/>
          <w:u w:val="single"/>
        </w:rPr>
        <w:t>45%</w:t>
      </w:r>
      <w:r>
        <w:rPr>
          <w:rFonts w:hint="eastAsia" w:ascii="宋体" w:hAnsi="宋体"/>
          <w:sz w:val="24"/>
        </w:rPr>
        <w:t>的，即投标（响应）报价〈采购项目最高限价×</w:t>
      </w:r>
      <w:r>
        <w:rPr>
          <w:rFonts w:hint="eastAsia" w:ascii="宋体" w:hAnsi="宋体"/>
          <w:sz w:val="24"/>
          <w:u w:val="single"/>
        </w:rPr>
        <w:t>45</w:t>
      </w:r>
      <w:r>
        <w:rPr>
          <w:rFonts w:hint="eastAsia" w:ascii="宋体" w:hAnsi="宋体"/>
          <w:sz w:val="24"/>
        </w:rPr>
        <w:t>%；</w:t>
      </w:r>
      <w:r>
        <w:rPr>
          <w:rFonts w:ascii="宋体" w:hAnsi="宋体"/>
          <w:sz w:val="24"/>
        </w:rPr>
        <w:t>未设定最高限价的采购项目，以采购项目预算金额作为最高限价</w:t>
      </w:r>
      <w:r>
        <w:rPr>
          <w:rFonts w:hint="eastAsia" w:ascii="宋体" w:hAnsi="宋体"/>
          <w:sz w:val="24"/>
        </w:rPr>
        <w:t>；</w:t>
      </w:r>
    </w:p>
    <w:p w14:paraId="773CAD31">
      <w:pPr>
        <w:tabs>
          <w:tab w:val="left" w:pos="1589"/>
          <w:tab w:val="left" w:pos="1701"/>
          <w:tab w:val="left" w:pos="2035"/>
          <w:tab w:val="left" w:pos="2114"/>
        </w:tabs>
        <w:snapToGrid w:val="0"/>
        <w:spacing w:line="360" w:lineRule="auto"/>
        <w:ind w:left="1843" w:hanging="2"/>
        <w:rPr>
          <w:rFonts w:ascii="宋体" w:hAnsi="宋体"/>
          <w:sz w:val="24"/>
        </w:rPr>
      </w:pPr>
      <w:r>
        <w:rPr>
          <w:rFonts w:hint="eastAsia" w:ascii="宋体" w:hAnsi="宋体"/>
          <w:sz w:val="24"/>
        </w:rPr>
        <w:t>（4）评审委员会基于专业判断，认为供应商报价过低，有可能影响产品质量或者不能诚信履约的其他情形。</w:t>
      </w:r>
    </w:p>
    <w:p w14:paraId="1BD11759">
      <w:pPr>
        <w:numPr>
          <w:ilvl w:val="2"/>
          <w:numId w:val="4"/>
        </w:numPr>
        <w:tabs>
          <w:tab w:val="left" w:pos="1134"/>
          <w:tab w:val="left" w:pos="1276"/>
          <w:tab w:val="left" w:pos="1560"/>
          <w:tab w:val="left" w:pos="1701"/>
          <w:tab w:val="clear" w:pos="1980"/>
        </w:tabs>
        <w:snapToGrid w:val="0"/>
        <w:spacing w:line="360" w:lineRule="auto"/>
        <w:ind w:left="1843" w:hanging="709"/>
        <w:rPr>
          <w:rFonts w:ascii="宋体" w:hAnsi="宋体"/>
          <w:sz w:val="24"/>
        </w:rPr>
      </w:pPr>
      <w:r>
        <w:rPr>
          <w:rFonts w:ascii="宋体" w:hAnsi="宋体"/>
          <w:sz w:val="24"/>
        </w:rPr>
        <w:t>评审委员会启动异常低价投标（响应）审查后，属于前述第</w:t>
      </w:r>
      <w:r>
        <w:rPr>
          <w:rFonts w:hint="eastAsia" w:ascii="宋体" w:hAnsi="宋体"/>
          <w:sz w:val="24"/>
        </w:rPr>
        <w:t>（1）</w:t>
      </w:r>
      <w:r>
        <w:rPr>
          <w:rFonts w:ascii="宋体" w:hAnsi="宋体"/>
          <w:sz w:val="24"/>
        </w:rPr>
        <w:t>项至第</w:t>
      </w:r>
      <w:r>
        <w:rPr>
          <w:rFonts w:hint="eastAsia" w:ascii="宋体" w:hAnsi="宋体"/>
          <w:sz w:val="24"/>
        </w:rPr>
        <w:t>（</w:t>
      </w:r>
      <w:r>
        <w:rPr>
          <w:rFonts w:ascii="宋体" w:hAnsi="宋体"/>
          <w:sz w:val="24"/>
        </w:rPr>
        <w:t>4</w:t>
      </w:r>
      <w:r>
        <w:rPr>
          <w:rFonts w:hint="eastAsia" w:ascii="宋体" w:hAnsi="宋体"/>
          <w:sz w:val="24"/>
        </w:rPr>
        <w:t>）</w:t>
      </w:r>
      <w:r>
        <w:rPr>
          <w:rFonts w:ascii="宋体" w:hAnsi="宋体"/>
          <w:sz w:val="24"/>
        </w:rPr>
        <w:t>项情形的，应当要求相关供应商在评审现场合理的时间内对投标（响应）价格作出解释</w:t>
      </w:r>
      <w:r>
        <w:rPr>
          <w:rFonts w:hint="eastAsia" w:ascii="宋体" w:hAnsi="宋体"/>
          <w:sz w:val="24"/>
        </w:rPr>
        <w:t>，并</w:t>
      </w:r>
      <w:r>
        <w:rPr>
          <w:rFonts w:ascii="宋体" w:hAnsi="宋体"/>
          <w:sz w:val="24"/>
        </w:rPr>
        <w:t>提供项目具体成本测算等与报价合理性相关的书面说明及必要的证明材料，包括但不限于原材料成本、人工成本、制造费用等，给予相关供应商的合理时间一般不少于30分钟。其中，属于第</w:t>
      </w:r>
      <w:r>
        <w:rPr>
          <w:rFonts w:hint="eastAsia" w:ascii="宋体" w:hAnsi="宋体"/>
          <w:sz w:val="24"/>
        </w:rPr>
        <w:t>（</w:t>
      </w:r>
      <w:r>
        <w:rPr>
          <w:rFonts w:ascii="宋体" w:hAnsi="宋体"/>
          <w:sz w:val="24"/>
        </w:rPr>
        <w:t>3</w:t>
      </w:r>
      <w:r>
        <w:rPr>
          <w:rFonts w:hint="eastAsia" w:ascii="宋体" w:hAnsi="宋体"/>
          <w:sz w:val="24"/>
        </w:rPr>
        <w:t>）</w:t>
      </w:r>
      <w:r>
        <w:rPr>
          <w:rFonts w:ascii="宋体" w:hAnsi="宋体"/>
          <w:sz w:val="24"/>
        </w:rPr>
        <w:t>项情形，供应商已随投标（响应）文件一并提交相关书面说明及必要的证明材料的，在评审现场可不再重复提交。</w:t>
      </w:r>
    </w:p>
    <w:p w14:paraId="76CC3DC0">
      <w:pPr>
        <w:numPr>
          <w:ilvl w:val="2"/>
          <w:numId w:val="4"/>
        </w:numPr>
        <w:tabs>
          <w:tab w:val="left" w:pos="1134"/>
          <w:tab w:val="left" w:pos="1276"/>
          <w:tab w:val="left" w:pos="1560"/>
          <w:tab w:val="left" w:pos="1701"/>
          <w:tab w:val="clear" w:pos="1980"/>
        </w:tabs>
        <w:snapToGrid w:val="0"/>
        <w:spacing w:line="360" w:lineRule="auto"/>
        <w:ind w:left="1843" w:hanging="709"/>
        <w:rPr>
          <w:rFonts w:ascii="宋体" w:hAnsi="宋体"/>
          <w:sz w:val="24"/>
        </w:rPr>
      </w:pPr>
      <w:r>
        <w:rPr>
          <w:rFonts w:ascii="宋体" w:hAnsi="宋体"/>
          <w:sz w:val="24"/>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w:t>
      </w:r>
      <w:r>
        <w:rPr>
          <w:rFonts w:ascii="宋体" w:hAnsi="宋体"/>
          <w:b/>
          <w:bCs/>
          <w:sz w:val="24"/>
        </w:rPr>
        <w:t>无效投标（响应）</w:t>
      </w:r>
      <w:r>
        <w:rPr>
          <w:rFonts w:ascii="宋体" w:hAnsi="宋体"/>
          <w:sz w:val="24"/>
        </w:rPr>
        <w:t>处理。</w:t>
      </w:r>
    </w:p>
    <w:p w14:paraId="09353E40">
      <w:pPr>
        <w:numPr>
          <w:ilvl w:val="2"/>
          <w:numId w:val="0"/>
        </w:numPr>
        <w:tabs>
          <w:tab w:val="left" w:pos="1080"/>
          <w:tab w:val="left" w:pos="1589"/>
          <w:tab w:val="left" w:pos="2035"/>
        </w:tabs>
        <w:snapToGrid w:val="0"/>
        <w:spacing w:line="360" w:lineRule="auto"/>
        <w:ind w:firstLine="1840" w:firstLineChars="767"/>
        <w:rPr>
          <w:rFonts w:ascii="宋体" w:hAnsi="宋体"/>
        </w:rPr>
      </w:pPr>
      <w:bookmarkStart w:id="760" w:name="_Hlk190337965"/>
      <w:r>
        <w:rPr>
          <w:rFonts w:hint="eastAsia" w:ascii="宋体" w:hAnsi="宋体"/>
          <w:sz w:val="24"/>
        </w:rPr>
        <w:t>上述投标（响应）报价指按照本章2.4修正后的报价</w:t>
      </w:r>
      <w:bookmarkEnd w:id="760"/>
      <w:r>
        <w:rPr>
          <w:rFonts w:hint="eastAsia" w:ascii="宋体" w:hAnsi="宋体"/>
          <w:sz w:val="24"/>
        </w:rPr>
        <w:t>。</w:t>
      </w:r>
    </w:p>
    <w:p w14:paraId="27E763DD">
      <w:pPr>
        <w:numPr>
          <w:ilvl w:val="1"/>
          <w:numId w:val="4"/>
        </w:numPr>
        <w:tabs>
          <w:tab w:val="left" w:pos="1080"/>
        </w:tabs>
        <w:snapToGrid w:val="0"/>
        <w:spacing w:line="360" w:lineRule="auto"/>
        <w:ind w:left="1077" w:hanging="720"/>
        <w:rPr>
          <w:rFonts w:ascii="宋体" w:hAnsi="宋体"/>
          <w:sz w:val="24"/>
        </w:rPr>
      </w:pPr>
      <w:r>
        <w:rPr>
          <w:rFonts w:ascii="宋体" w:hAnsi="宋体"/>
          <w:sz w:val="24"/>
        </w:rPr>
        <w:t>投标报价须包含招标文件全部内容，如分项报价表有缺漏视为已含在其他各项报价中，将不对投标总价进行调整。评标委员会有权要求投标人在评标现场合理的时间内对此进行书面确认，投标人不确认的，视为将一个采购包中的内容拆分投标，其</w:t>
      </w:r>
      <w:r>
        <w:rPr>
          <w:rFonts w:ascii="宋体" w:hAnsi="宋体"/>
          <w:b/>
          <w:sz w:val="24"/>
        </w:rPr>
        <w:t>投标无效</w:t>
      </w:r>
      <w:r>
        <w:rPr>
          <w:rFonts w:ascii="宋体" w:hAnsi="宋体"/>
          <w:sz w:val="24"/>
        </w:rPr>
        <w:t>。</w:t>
      </w:r>
    </w:p>
    <w:p w14:paraId="7853D8BB">
      <w:pPr>
        <w:numPr>
          <w:ilvl w:val="1"/>
          <w:numId w:val="4"/>
        </w:numPr>
        <w:tabs>
          <w:tab w:val="left" w:pos="1080"/>
        </w:tabs>
        <w:snapToGrid w:val="0"/>
        <w:spacing w:line="360" w:lineRule="auto"/>
        <w:ind w:left="1077" w:hanging="720"/>
        <w:rPr>
          <w:rFonts w:ascii="宋体" w:hAnsi="宋体"/>
          <w:sz w:val="24"/>
        </w:rPr>
      </w:pPr>
      <w:r>
        <w:rPr>
          <w:rFonts w:ascii="宋体" w:hAnsi="宋体"/>
          <w:sz w:val="24"/>
        </w:rPr>
        <w:t>投标文件报价出现前后不一致的，按照下列规定修正：</w:t>
      </w:r>
    </w:p>
    <w:p w14:paraId="6FB0F5DE">
      <w:pPr>
        <w:numPr>
          <w:ilvl w:val="2"/>
          <w:numId w:val="4"/>
        </w:numPr>
        <w:tabs>
          <w:tab w:val="left" w:pos="1080"/>
          <w:tab w:val="left" w:pos="1589"/>
          <w:tab w:val="left" w:pos="2035"/>
          <w:tab w:val="left" w:pos="2114"/>
        </w:tabs>
        <w:snapToGrid w:val="0"/>
        <w:spacing w:line="360" w:lineRule="auto"/>
        <w:ind w:left="2035"/>
        <w:rPr>
          <w:rFonts w:ascii="宋体" w:hAnsi="宋体"/>
          <w:sz w:val="24"/>
        </w:rPr>
      </w:pPr>
      <w:r>
        <w:rPr>
          <w:rFonts w:ascii="宋体" w:hAnsi="宋体"/>
          <w:sz w:val="24"/>
        </w:rPr>
        <w:t>招标文件对于报价修正是否另有规定：</w:t>
      </w:r>
    </w:p>
    <w:p w14:paraId="5B31AEB5">
      <w:pPr>
        <w:tabs>
          <w:tab w:val="left" w:pos="1080"/>
          <w:tab w:val="left" w:pos="1589"/>
          <w:tab w:val="left" w:pos="2035"/>
          <w:tab w:val="left" w:pos="2114"/>
        </w:tabs>
        <w:snapToGrid w:val="0"/>
        <w:spacing w:line="360" w:lineRule="auto"/>
        <w:ind w:left="2035"/>
        <w:rPr>
          <w:rFonts w:ascii="宋体" w:hAnsi="宋体"/>
          <w:sz w:val="24"/>
          <w:u w:val="single"/>
        </w:rPr>
      </w:pPr>
      <w:r>
        <w:rPr>
          <w:rFonts w:ascii="宋体" w:hAnsi="宋体"/>
          <w:sz w:val="24"/>
        </w:rPr>
        <w:t>□有，具体规定为：</w:t>
      </w:r>
      <w:r>
        <w:rPr>
          <w:rFonts w:ascii="宋体" w:hAnsi="宋体"/>
          <w:sz w:val="24"/>
          <w:u w:val="single"/>
        </w:rPr>
        <w:t xml:space="preserve">   /   </w:t>
      </w:r>
    </w:p>
    <w:p w14:paraId="585A711C">
      <w:pPr>
        <w:tabs>
          <w:tab w:val="left" w:pos="1080"/>
          <w:tab w:val="left" w:pos="1589"/>
          <w:tab w:val="left" w:pos="2035"/>
          <w:tab w:val="left" w:pos="2114"/>
        </w:tabs>
        <w:snapToGrid w:val="0"/>
        <w:spacing w:line="360" w:lineRule="auto"/>
        <w:ind w:left="2035"/>
        <w:rPr>
          <w:rFonts w:ascii="宋体" w:hAnsi="宋体"/>
          <w:sz w:val="24"/>
        </w:rPr>
      </w:pPr>
      <w:r>
        <w:rPr>
          <w:rFonts w:ascii="宋体" w:hAnsi="宋体"/>
          <w:sz w:val="24"/>
        </w:rPr>
        <w:t>■无，按下述2.4.2-2.4.</w:t>
      </w:r>
      <w:r>
        <w:rPr>
          <w:rFonts w:hint="eastAsia" w:ascii="宋体" w:hAnsi="宋体"/>
          <w:sz w:val="24"/>
        </w:rPr>
        <w:t>7</w:t>
      </w:r>
      <w:r>
        <w:rPr>
          <w:rFonts w:ascii="宋体" w:hAnsi="宋体"/>
          <w:sz w:val="24"/>
        </w:rPr>
        <w:t>项规定修正。</w:t>
      </w:r>
    </w:p>
    <w:p w14:paraId="3503FDC4">
      <w:pPr>
        <w:numPr>
          <w:ilvl w:val="2"/>
          <w:numId w:val="4"/>
        </w:numPr>
        <w:tabs>
          <w:tab w:val="left" w:pos="2035"/>
          <w:tab w:val="left" w:pos="2114"/>
          <w:tab w:val="left" w:pos="2977"/>
        </w:tabs>
        <w:snapToGrid w:val="0"/>
        <w:spacing w:line="360" w:lineRule="auto"/>
        <w:ind w:left="2035"/>
        <w:rPr>
          <w:rFonts w:ascii="宋体" w:hAnsi="宋体"/>
          <w:sz w:val="24"/>
        </w:rPr>
      </w:pPr>
      <w:r>
        <w:rPr>
          <w:rFonts w:ascii="宋体" w:hAnsi="宋体"/>
          <w:sz w:val="24"/>
        </w:rPr>
        <w:t>单独递交的开标一览表（报价表）与投标文件中开标一览表（报价表）内容不一致的，以单独递交的开标一览表（报价表）为准；</w:t>
      </w:r>
    </w:p>
    <w:p w14:paraId="4D46ED96">
      <w:pPr>
        <w:numPr>
          <w:ilvl w:val="2"/>
          <w:numId w:val="4"/>
        </w:numPr>
        <w:tabs>
          <w:tab w:val="left" w:pos="2035"/>
          <w:tab w:val="left" w:pos="2114"/>
          <w:tab w:val="left" w:pos="2977"/>
        </w:tabs>
        <w:snapToGrid w:val="0"/>
        <w:spacing w:line="360" w:lineRule="auto"/>
        <w:ind w:left="2035"/>
        <w:rPr>
          <w:rFonts w:ascii="宋体" w:hAnsi="宋体"/>
          <w:sz w:val="24"/>
        </w:rPr>
      </w:pPr>
      <w:r>
        <w:rPr>
          <w:rFonts w:ascii="宋体" w:hAnsi="宋体"/>
          <w:sz w:val="24"/>
        </w:rPr>
        <w:t>投标文件中开标一览表（报价表）内容与投标文件中相应内容不一致的，以开标一览表（报价表）为准；</w:t>
      </w:r>
    </w:p>
    <w:p w14:paraId="50A11E9F">
      <w:pPr>
        <w:numPr>
          <w:ilvl w:val="2"/>
          <w:numId w:val="4"/>
        </w:numPr>
        <w:tabs>
          <w:tab w:val="left" w:pos="2035"/>
          <w:tab w:val="left" w:pos="2114"/>
          <w:tab w:val="left" w:pos="2977"/>
        </w:tabs>
        <w:snapToGrid w:val="0"/>
        <w:spacing w:line="360" w:lineRule="auto"/>
        <w:ind w:left="2035"/>
        <w:rPr>
          <w:rFonts w:ascii="宋体" w:hAnsi="宋体"/>
          <w:sz w:val="24"/>
        </w:rPr>
      </w:pPr>
      <w:r>
        <w:rPr>
          <w:rFonts w:ascii="宋体" w:hAnsi="宋体"/>
          <w:sz w:val="24"/>
        </w:rPr>
        <w:t>大写金额和小写金额不一致的，以大写金额为准；</w:t>
      </w:r>
    </w:p>
    <w:p w14:paraId="56AB8FB4">
      <w:pPr>
        <w:numPr>
          <w:ilvl w:val="2"/>
          <w:numId w:val="4"/>
        </w:numPr>
        <w:tabs>
          <w:tab w:val="left" w:pos="2035"/>
          <w:tab w:val="left" w:pos="2114"/>
          <w:tab w:val="left" w:pos="2977"/>
        </w:tabs>
        <w:snapToGrid w:val="0"/>
        <w:spacing w:line="360" w:lineRule="auto"/>
        <w:ind w:left="2035"/>
        <w:rPr>
          <w:rFonts w:ascii="宋体" w:hAnsi="宋体"/>
          <w:sz w:val="24"/>
        </w:rPr>
      </w:pPr>
      <w:r>
        <w:rPr>
          <w:rFonts w:ascii="宋体" w:hAnsi="宋体"/>
          <w:sz w:val="24"/>
        </w:rPr>
        <w:t>单价金额小数点或者百分比有明显错位的，以开标一览表的总价为准，并修改单价；</w:t>
      </w:r>
    </w:p>
    <w:p w14:paraId="4CF3A433">
      <w:pPr>
        <w:numPr>
          <w:ilvl w:val="2"/>
          <w:numId w:val="4"/>
        </w:numPr>
        <w:tabs>
          <w:tab w:val="left" w:pos="2035"/>
          <w:tab w:val="left" w:pos="2114"/>
          <w:tab w:val="left" w:pos="2977"/>
        </w:tabs>
        <w:snapToGrid w:val="0"/>
        <w:spacing w:line="360" w:lineRule="auto"/>
        <w:ind w:left="2035"/>
        <w:rPr>
          <w:rFonts w:ascii="宋体" w:hAnsi="宋体"/>
          <w:sz w:val="24"/>
        </w:rPr>
      </w:pPr>
      <w:r>
        <w:rPr>
          <w:rFonts w:ascii="宋体" w:hAnsi="宋体"/>
          <w:sz w:val="24"/>
        </w:rPr>
        <w:t>总价金额与按单价汇总金额不一致的，以单价金额计算结果为准。</w:t>
      </w:r>
    </w:p>
    <w:p w14:paraId="679760E1">
      <w:pPr>
        <w:numPr>
          <w:ilvl w:val="2"/>
          <w:numId w:val="4"/>
        </w:numPr>
        <w:tabs>
          <w:tab w:val="left" w:pos="1080"/>
          <w:tab w:val="left" w:pos="1589"/>
          <w:tab w:val="left" w:pos="2035"/>
          <w:tab w:val="left" w:pos="2114"/>
        </w:tabs>
        <w:snapToGrid w:val="0"/>
        <w:spacing w:line="360" w:lineRule="auto"/>
        <w:ind w:left="2035"/>
        <w:rPr>
          <w:rFonts w:ascii="宋体" w:hAnsi="宋体"/>
          <w:sz w:val="24"/>
        </w:rPr>
      </w:pPr>
      <w:r>
        <w:rPr>
          <w:rFonts w:ascii="宋体" w:hAnsi="宋体"/>
          <w:sz w:val="24"/>
        </w:rPr>
        <w:t>同时出现两种以上不一致的，按照前款规定的顺序修正。</w:t>
      </w:r>
    </w:p>
    <w:p w14:paraId="7114A514">
      <w:pPr>
        <w:numPr>
          <w:ilvl w:val="2"/>
          <w:numId w:val="4"/>
        </w:numPr>
        <w:tabs>
          <w:tab w:val="left" w:pos="1080"/>
          <w:tab w:val="left" w:pos="1589"/>
          <w:tab w:val="left" w:pos="2035"/>
          <w:tab w:val="left" w:pos="2114"/>
        </w:tabs>
        <w:snapToGrid w:val="0"/>
        <w:spacing w:line="360" w:lineRule="auto"/>
        <w:ind w:left="2035"/>
        <w:rPr>
          <w:rFonts w:ascii="宋体" w:hAnsi="宋体"/>
          <w:sz w:val="24"/>
        </w:rPr>
      </w:pPr>
      <w:r>
        <w:rPr>
          <w:rFonts w:ascii="宋体" w:hAnsi="宋体"/>
          <w:sz w:val="24"/>
        </w:rPr>
        <w:t>修正后的报价经投标人书面确认后产生约束力，投标人不确认的，其</w:t>
      </w:r>
      <w:r>
        <w:rPr>
          <w:rFonts w:ascii="宋体" w:hAnsi="宋体"/>
          <w:b/>
          <w:sz w:val="24"/>
        </w:rPr>
        <w:t>投标无效</w:t>
      </w:r>
      <w:r>
        <w:rPr>
          <w:rFonts w:ascii="宋体" w:hAnsi="宋体"/>
          <w:sz w:val="24"/>
        </w:rPr>
        <w:t>。</w:t>
      </w:r>
    </w:p>
    <w:p w14:paraId="1B5B091F">
      <w:pPr>
        <w:numPr>
          <w:ilvl w:val="1"/>
          <w:numId w:val="4"/>
        </w:numPr>
        <w:tabs>
          <w:tab w:val="left" w:pos="1080"/>
        </w:tabs>
        <w:snapToGrid w:val="0"/>
        <w:spacing w:line="360" w:lineRule="auto"/>
        <w:ind w:left="1077" w:hanging="720"/>
        <w:rPr>
          <w:rFonts w:ascii="宋体" w:hAnsi="宋体"/>
          <w:sz w:val="24"/>
        </w:rPr>
      </w:pPr>
      <w:r>
        <w:rPr>
          <w:rFonts w:hint="eastAsia" w:ascii="宋体" w:hAnsi="宋体"/>
          <w:sz w:val="24"/>
        </w:rPr>
        <w:t>支持中小企业</w:t>
      </w:r>
      <w:r>
        <w:rPr>
          <w:rFonts w:ascii="宋体" w:hAnsi="宋体"/>
          <w:sz w:val="24"/>
        </w:rPr>
        <w:t>政府采购政策的价格调整：只有符合第二章《投标人须知</w:t>
      </w:r>
      <w:r>
        <w:rPr>
          <w:rFonts w:hint="eastAsia" w:ascii="宋体" w:hAnsi="宋体"/>
          <w:sz w:val="24"/>
        </w:rPr>
        <w:t>》第</w:t>
      </w:r>
      <w:r>
        <w:rPr>
          <w:rFonts w:ascii="宋体" w:hAnsi="宋体"/>
          <w:sz w:val="24"/>
        </w:rPr>
        <w:t>5.3条规定情形的，可以享受中小企业扶持政策，用扣除后的价格参加评审；否则，评标时价格不予扣除。</w:t>
      </w:r>
      <w:r>
        <w:rPr>
          <w:rFonts w:hint="eastAsia" w:ascii="宋体" w:hAnsi="宋体"/>
          <w:sz w:val="24"/>
        </w:rPr>
        <w:t>注：专门面向中小企业采购的情形不享受中小企业扶持政策。</w:t>
      </w:r>
    </w:p>
    <w:p w14:paraId="25404602">
      <w:pPr>
        <w:numPr>
          <w:ilvl w:val="2"/>
          <w:numId w:val="4"/>
        </w:numPr>
        <w:tabs>
          <w:tab w:val="left" w:pos="1080"/>
          <w:tab w:val="left" w:pos="1589"/>
          <w:tab w:val="left" w:pos="2035"/>
        </w:tabs>
        <w:snapToGrid w:val="0"/>
        <w:spacing w:line="360" w:lineRule="auto"/>
        <w:ind w:left="2035"/>
        <w:rPr>
          <w:rFonts w:ascii="宋体" w:hAnsi="宋体"/>
          <w:sz w:val="24"/>
        </w:rPr>
      </w:pPr>
      <w:r>
        <w:rPr>
          <w:rFonts w:ascii="宋体" w:hAnsi="宋体"/>
          <w:sz w:val="24"/>
        </w:rPr>
        <w:t>对于未预留份额专门面向中小企业采购的采购项目，以及预留份额项目中的非预留部分采购包，对小微企业报价给予</w:t>
      </w:r>
      <w:r>
        <w:rPr>
          <w:rFonts w:hint="eastAsia" w:ascii="宋体" w:hAnsi="宋体"/>
          <w:sz w:val="24"/>
          <w:u w:val="single"/>
        </w:rPr>
        <w:t>10</w:t>
      </w:r>
      <w:r>
        <w:rPr>
          <w:rFonts w:ascii="宋体" w:hAnsi="宋体"/>
          <w:sz w:val="24"/>
        </w:rPr>
        <w:t>%的扣除，用扣除后的价格参加评审。</w:t>
      </w:r>
    </w:p>
    <w:p w14:paraId="0F2C8899">
      <w:pPr>
        <w:numPr>
          <w:ilvl w:val="2"/>
          <w:numId w:val="4"/>
        </w:numPr>
        <w:tabs>
          <w:tab w:val="left" w:pos="1080"/>
          <w:tab w:val="left" w:pos="1589"/>
          <w:tab w:val="left" w:pos="2035"/>
        </w:tabs>
        <w:snapToGrid w:val="0"/>
        <w:spacing w:line="360" w:lineRule="auto"/>
        <w:ind w:left="2035"/>
        <w:rPr>
          <w:rFonts w:ascii="宋体" w:hAnsi="宋体"/>
          <w:sz w:val="24"/>
        </w:rPr>
      </w:pPr>
      <w:r>
        <w:rPr>
          <w:rFonts w:ascii="宋体" w:hAnsi="宋体"/>
          <w:sz w:val="24"/>
        </w:rPr>
        <w:t>对于未预留份额专门面向中小企业采购的采购项目，以及预留份额项目中的非预留部分采购包，且接受大中型企业与小微企业组成联合体或者允许大中型企业向一家或者多家小微企业分包的采购项目，对于联合协议或者分包意向协议约定小微企业的合同份额占到合同总金额 30%以上的联合体或者大中型企业的报价给予</w:t>
      </w:r>
      <w:r>
        <w:rPr>
          <w:rFonts w:hint="eastAsia" w:ascii="宋体" w:hAnsi="宋体"/>
          <w:sz w:val="24"/>
          <w:u w:val="single"/>
        </w:rPr>
        <w:t>4</w:t>
      </w:r>
      <w:r>
        <w:rPr>
          <w:rFonts w:ascii="宋体" w:hAnsi="宋体"/>
          <w:sz w:val="24"/>
          <w:u w:val="single"/>
        </w:rPr>
        <w:t>%</w:t>
      </w:r>
      <w:r>
        <w:rPr>
          <w:rFonts w:ascii="宋体" w:hAnsi="宋体"/>
          <w:sz w:val="24"/>
        </w:rPr>
        <w:t>的扣除，用扣除后的价格参加评审。</w:t>
      </w:r>
    </w:p>
    <w:p w14:paraId="33E7E589">
      <w:pPr>
        <w:numPr>
          <w:ilvl w:val="2"/>
          <w:numId w:val="4"/>
        </w:numPr>
        <w:tabs>
          <w:tab w:val="left" w:pos="1080"/>
          <w:tab w:val="left" w:pos="1589"/>
          <w:tab w:val="left" w:pos="2035"/>
        </w:tabs>
        <w:snapToGrid w:val="0"/>
        <w:spacing w:line="360" w:lineRule="auto"/>
        <w:ind w:left="2035"/>
        <w:rPr>
          <w:rFonts w:ascii="宋体" w:hAnsi="宋体"/>
          <w:sz w:val="24"/>
        </w:rPr>
      </w:pPr>
      <w:r>
        <w:rPr>
          <w:rFonts w:ascii="宋体" w:hAnsi="宋体"/>
          <w:sz w:val="24"/>
        </w:rPr>
        <w:t>组成联合体或者接受分包的小微企业与联合体内其他企业、分包企业之间存在直接控股、管理关系的，不享受价格扣除优惠政策。</w:t>
      </w:r>
    </w:p>
    <w:p w14:paraId="7F2377A9">
      <w:pPr>
        <w:numPr>
          <w:ilvl w:val="2"/>
          <w:numId w:val="4"/>
        </w:numPr>
        <w:tabs>
          <w:tab w:val="left" w:pos="1080"/>
          <w:tab w:val="left" w:pos="1589"/>
          <w:tab w:val="left" w:pos="2035"/>
        </w:tabs>
        <w:snapToGrid w:val="0"/>
        <w:spacing w:line="360" w:lineRule="auto"/>
        <w:ind w:left="2035"/>
        <w:rPr>
          <w:rFonts w:ascii="宋体" w:hAnsi="宋体"/>
          <w:sz w:val="24"/>
        </w:rPr>
      </w:pPr>
      <w:r>
        <w:rPr>
          <w:rFonts w:ascii="宋体" w:hAnsi="宋体"/>
          <w:sz w:val="24"/>
        </w:rPr>
        <w:t>价格扣除比例对小型企业和微型企业同等对待，不作区分。</w:t>
      </w:r>
    </w:p>
    <w:p w14:paraId="4179141A">
      <w:pPr>
        <w:numPr>
          <w:ilvl w:val="2"/>
          <w:numId w:val="4"/>
        </w:numPr>
        <w:tabs>
          <w:tab w:val="left" w:pos="1080"/>
          <w:tab w:val="left" w:pos="1589"/>
          <w:tab w:val="left" w:pos="2035"/>
        </w:tabs>
        <w:snapToGrid w:val="0"/>
        <w:spacing w:line="360" w:lineRule="auto"/>
        <w:ind w:left="2035" w:right="-197" w:rightChars="-94"/>
        <w:rPr>
          <w:rFonts w:ascii="宋体" w:hAnsi="宋体"/>
          <w:sz w:val="24"/>
        </w:rPr>
      </w:pPr>
      <w:r>
        <w:rPr>
          <w:rFonts w:ascii="宋体" w:hAnsi="宋体"/>
          <w:sz w:val="24"/>
        </w:rPr>
        <w:t>中小企业参加政府采购活动，应当按照招标文件给定的格式出具《中小企业声明函》，否则不得享受相关中小企业扶持政策。</w:t>
      </w:r>
    </w:p>
    <w:p w14:paraId="6DEAEE50">
      <w:pPr>
        <w:numPr>
          <w:ilvl w:val="2"/>
          <w:numId w:val="4"/>
        </w:numPr>
        <w:tabs>
          <w:tab w:val="left" w:pos="1080"/>
          <w:tab w:val="left" w:pos="1589"/>
          <w:tab w:val="left" w:pos="2035"/>
        </w:tabs>
        <w:snapToGrid w:val="0"/>
        <w:spacing w:line="360" w:lineRule="auto"/>
        <w:ind w:left="2035"/>
        <w:rPr>
          <w:rFonts w:ascii="宋体" w:hAnsi="宋体"/>
          <w:sz w:val="24"/>
        </w:rPr>
      </w:pPr>
      <w:r>
        <w:rPr>
          <w:rFonts w:ascii="宋体" w:hAnsi="宋体"/>
          <w:sz w:val="24"/>
        </w:rPr>
        <w:t>监狱企业提供了由省级以上监狱管理局、戒毒管理局（含新疆生产建设兵团）出具的属于监狱企业的证明文件的，视同小微企业。</w:t>
      </w:r>
    </w:p>
    <w:p w14:paraId="05AEAF38">
      <w:pPr>
        <w:numPr>
          <w:ilvl w:val="2"/>
          <w:numId w:val="4"/>
        </w:numPr>
        <w:tabs>
          <w:tab w:val="left" w:pos="1080"/>
          <w:tab w:val="left" w:pos="1589"/>
          <w:tab w:val="left" w:pos="2035"/>
        </w:tabs>
        <w:snapToGrid w:val="0"/>
        <w:spacing w:line="360" w:lineRule="auto"/>
        <w:ind w:left="2035"/>
        <w:rPr>
          <w:rFonts w:ascii="宋体" w:hAnsi="宋体"/>
          <w:sz w:val="24"/>
        </w:rPr>
      </w:pPr>
      <w:r>
        <w:rPr>
          <w:rFonts w:ascii="宋体" w:hAnsi="宋体"/>
          <w:sz w:val="24"/>
        </w:rPr>
        <w:t>残疾人福利性单位按招标文件要求提供了《残疾人福利性单位声明函》的，视同小微企业。</w:t>
      </w:r>
    </w:p>
    <w:p w14:paraId="0DEA004B">
      <w:pPr>
        <w:numPr>
          <w:ilvl w:val="2"/>
          <w:numId w:val="4"/>
        </w:numPr>
        <w:tabs>
          <w:tab w:val="left" w:pos="1080"/>
          <w:tab w:val="left" w:pos="1589"/>
          <w:tab w:val="left" w:pos="2014"/>
          <w:tab w:val="clear" w:pos="1980"/>
        </w:tabs>
        <w:snapToGrid w:val="0"/>
        <w:spacing w:line="360" w:lineRule="auto"/>
        <w:ind w:left="2035"/>
        <w:rPr>
          <w:rFonts w:ascii="宋体" w:hAnsi="宋体"/>
          <w:sz w:val="24"/>
        </w:rPr>
      </w:pPr>
      <w:r>
        <w:rPr>
          <w:rFonts w:ascii="宋体" w:hAnsi="宋体"/>
          <w:sz w:val="24"/>
        </w:rPr>
        <w:t>若投标人同时属于小型或微型企业、监狱企业、残疾人福利性单位中的两种及以上，将不重复享受小微企业价格扣减的优惠政策。</w:t>
      </w:r>
    </w:p>
    <w:p w14:paraId="1A6F443F">
      <w:pPr>
        <w:numPr>
          <w:ilvl w:val="1"/>
          <w:numId w:val="4"/>
        </w:numPr>
        <w:tabs>
          <w:tab w:val="left" w:pos="1080"/>
        </w:tabs>
        <w:snapToGrid w:val="0"/>
        <w:spacing w:line="360" w:lineRule="auto"/>
        <w:ind w:left="1077" w:hanging="720"/>
        <w:rPr>
          <w:rFonts w:ascii="宋体" w:hAnsi="宋体"/>
          <w:sz w:val="24"/>
        </w:rPr>
      </w:pPr>
      <w:r>
        <w:rPr>
          <w:rFonts w:hint="eastAsia" w:ascii="宋体" w:hAnsi="宋体"/>
          <w:sz w:val="24"/>
        </w:rPr>
        <w:t>支持本国产品政府采购</w:t>
      </w:r>
      <w:r>
        <w:rPr>
          <w:rFonts w:ascii="宋体" w:hAnsi="宋体"/>
          <w:sz w:val="24"/>
        </w:rPr>
        <w:t>的价格调整：只有符合第二章《投标人须知</w:t>
      </w:r>
      <w:r>
        <w:rPr>
          <w:rFonts w:hint="eastAsia" w:ascii="宋体" w:hAnsi="宋体"/>
          <w:sz w:val="24"/>
        </w:rPr>
        <w:t>》第</w:t>
      </w:r>
      <w:r>
        <w:rPr>
          <w:rFonts w:ascii="宋体" w:hAnsi="宋体"/>
          <w:sz w:val="24"/>
        </w:rPr>
        <w:t>5.2条规定情形的，可以享受</w:t>
      </w:r>
      <w:r>
        <w:rPr>
          <w:rFonts w:hint="eastAsia" w:ascii="宋体" w:hAnsi="宋体"/>
          <w:sz w:val="24"/>
        </w:rPr>
        <w:t>本国产品支持</w:t>
      </w:r>
      <w:r>
        <w:rPr>
          <w:rFonts w:ascii="宋体" w:hAnsi="宋体"/>
          <w:sz w:val="24"/>
        </w:rPr>
        <w:t>政策，用扣除后的价格参加评审；否则，评标时价格不予扣除。</w:t>
      </w:r>
    </w:p>
    <w:p w14:paraId="1AB17D47">
      <w:pPr>
        <w:numPr>
          <w:ilvl w:val="2"/>
          <w:numId w:val="4"/>
        </w:numPr>
        <w:tabs>
          <w:tab w:val="left" w:pos="1080"/>
          <w:tab w:val="left" w:pos="2100"/>
          <w:tab w:val="clear" w:pos="1980"/>
        </w:tabs>
        <w:snapToGrid w:val="0"/>
        <w:spacing w:line="360" w:lineRule="auto"/>
        <w:ind w:left="2088" w:leftChars="502" w:hanging="1034" w:hangingChars="431"/>
        <w:rPr>
          <w:rFonts w:ascii="宋体" w:hAnsi="宋体"/>
          <w:sz w:val="24"/>
        </w:rPr>
      </w:pPr>
      <w:r>
        <w:rPr>
          <w:rFonts w:hint="eastAsia" w:ascii="宋体" w:hAnsi="宋体"/>
          <w:sz w:val="24"/>
        </w:rPr>
        <w:t>本项目既有本国产品又有非本国产品参与竞争的，依法对本国产品给予价格评审优惠，对本国产品的报价给予20%的价格扣除，用扣除后的价格参与评审。</w:t>
      </w:r>
    </w:p>
    <w:p w14:paraId="73B25509">
      <w:pPr>
        <w:numPr>
          <w:ilvl w:val="2"/>
          <w:numId w:val="4"/>
        </w:numPr>
        <w:tabs>
          <w:tab w:val="left" w:pos="1080"/>
          <w:tab w:val="left" w:pos="2100"/>
          <w:tab w:val="clear" w:pos="1980"/>
        </w:tabs>
        <w:snapToGrid w:val="0"/>
        <w:spacing w:line="360" w:lineRule="auto"/>
        <w:ind w:left="2088" w:leftChars="502" w:hanging="1034" w:hangingChars="431"/>
        <w:rPr>
          <w:rFonts w:ascii="宋体" w:hAnsi="宋体"/>
          <w:sz w:val="24"/>
        </w:rPr>
      </w:pPr>
      <w:r>
        <w:rPr>
          <w:rFonts w:hint="eastAsia" w:ascii="宋体" w:hAnsi="宋体"/>
          <w:sz w:val="24"/>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0B0ECE4C">
      <w:pPr>
        <w:tabs>
          <w:tab w:val="left" w:pos="900"/>
          <w:tab w:val="left" w:pos="1080"/>
          <w:tab w:val="left" w:pos="1589"/>
          <w:tab w:val="left" w:pos="2014"/>
        </w:tabs>
        <w:snapToGrid w:val="0"/>
        <w:spacing w:line="360" w:lineRule="auto"/>
        <w:ind w:left="1050" w:leftChars="500"/>
        <w:rPr>
          <w:rFonts w:ascii="宋体" w:hAnsi="宋体"/>
          <w:sz w:val="24"/>
        </w:rPr>
      </w:pPr>
      <w:r>
        <w:rPr>
          <w:rFonts w:hint="eastAsia" w:ascii="宋体" w:hAnsi="宋体"/>
          <w:sz w:val="24"/>
        </w:rPr>
        <w:t>供应商提供本国产品参加政府采购活动的，</w:t>
      </w:r>
      <w:r>
        <w:rPr>
          <w:rFonts w:ascii="宋体" w:hAnsi="宋体"/>
          <w:sz w:val="24"/>
        </w:rPr>
        <w:t>应当按照招标文件给定的格式出具《</w:t>
      </w:r>
      <w:r>
        <w:rPr>
          <w:rFonts w:hint="eastAsia" w:ascii="宋体" w:hAnsi="宋体"/>
          <w:sz w:val="24"/>
        </w:rPr>
        <w:t>关于符合本国产品标准的</w:t>
      </w:r>
      <w:r>
        <w:rPr>
          <w:rFonts w:ascii="宋体" w:hAnsi="宋体"/>
          <w:sz w:val="24"/>
        </w:rPr>
        <w:t>声明函》</w:t>
      </w:r>
      <w:r>
        <w:rPr>
          <w:rFonts w:hint="eastAsia" w:ascii="宋体" w:hAnsi="宋体"/>
          <w:sz w:val="24"/>
        </w:rPr>
        <w:t>或提供财政部会同有关部门规定的有关证明文件</w:t>
      </w:r>
      <w:r>
        <w:rPr>
          <w:rFonts w:ascii="宋体" w:hAnsi="宋体"/>
          <w:sz w:val="24"/>
        </w:rPr>
        <w:t>，否则</w:t>
      </w:r>
      <w:r>
        <w:rPr>
          <w:rFonts w:hint="eastAsia" w:ascii="宋体" w:hAnsi="宋体"/>
          <w:sz w:val="24"/>
        </w:rPr>
        <w:t>视为非本国产品。</w:t>
      </w:r>
    </w:p>
    <w:bookmarkEnd w:id="742"/>
    <w:bookmarkEnd w:id="743"/>
    <w:p w14:paraId="2B95F66B">
      <w:pPr>
        <w:numPr>
          <w:ilvl w:val="0"/>
          <w:numId w:val="4"/>
        </w:numPr>
        <w:tabs>
          <w:tab w:val="left" w:pos="360"/>
        </w:tabs>
        <w:snapToGrid w:val="0"/>
        <w:spacing w:line="360" w:lineRule="auto"/>
        <w:outlineLvl w:val="1"/>
        <w:rPr>
          <w:rFonts w:ascii="宋体" w:hAnsi="宋体"/>
          <w:sz w:val="24"/>
        </w:rPr>
      </w:pPr>
      <w:r>
        <w:rPr>
          <w:rFonts w:ascii="宋体" w:hAnsi="宋体"/>
          <w:sz w:val="24"/>
        </w:rPr>
        <w:t>投标文件的比较和评价</w:t>
      </w:r>
    </w:p>
    <w:p w14:paraId="303AF1A6">
      <w:pPr>
        <w:numPr>
          <w:ilvl w:val="1"/>
          <w:numId w:val="4"/>
        </w:numPr>
        <w:tabs>
          <w:tab w:val="left" w:pos="1080"/>
        </w:tabs>
        <w:snapToGrid w:val="0"/>
        <w:spacing w:line="360" w:lineRule="auto"/>
        <w:ind w:left="1077" w:hanging="720"/>
        <w:rPr>
          <w:rFonts w:ascii="宋体" w:hAnsi="宋体"/>
          <w:sz w:val="24"/>
        </w:rPr>
      </w:pPr>
      <w:r>
        <w:rPr>
          <w:rFonts w:ascii="宋体" w:hAnsi="宋体"/>
          <w:sz w:val="24"/>
        </w:rPr>
        <w:t>评标委员会将按照招标文件中规定的评标方法和标准，对符合性审查合格的投标文件进行商务和技术评估，综合比较与评价；未通过符合性审查的投标文件不得进入比较与评价。</w:t>
      </w:r>
    </w:p>
    <w:p w14:paraId="36CB7232">
      <w:pPr>
        <w:numPr>
          <w:ilvl w:val="1"/>
          <w:numId w:val="4"/>
        </w:numPr>
        <w:tabs>
          <w:tab w:val="left" w:pos="1080"/>
        </w:tabs>
        <w:snapToGrid w:val="0"/>
        <w:spacing w:line="360" w:lineRule="auto"/>
        <w:ind w:left="1077" w:hanging="720"/>
        <w:rPr>
          <w:rFonts w:ascii="宋体" w:hAnsi="宋体"/>
          <w:sz w:val="24"/>
        </w:rPr>
      </w:pPr>
      <w:r>
        <w:rPr>
          <w:rFonts w:ascii="宋体" w:hAnsi="宋体"/>
          <w:sz w:val="24"/>
        </w:rPr>
        <w:t>评标方法和评标标准</w:t>
      </w:r>
    </w:p>
    <w:p w14:paraId="62AA9DEE">
      <w:pPr>
        <w:numPr>
          <w:ilvl w:val="2"/>
          <w:numId w:val="4"/>
        </w:numPr>
        <w:tabs>
          <w:tab w:val="left" w:pos="1080"/>
          <w:tab w:val="left" w:pos="1589"/>
          <w:tab w:val="left" w:pos="2035"/>
        </w:tabs>
        <w:snapToGrid w:val="0"/>
        <w:spacing w:line="360" w:lineRule="auto"/>
        <w:ind w:left="2035"/>
        <w:rPr>
          <w:rFonts w:ascii="宋体" w:hAnsi="宋体"/>
          <w:sz w:val="24"/>
        </w:rPr>
      </w:pPr>
      <w:r>
        <w:rPr>
          <w:rFonts w:ascii="宋体" w:hAnsi="宋体"/>
          <w:sz w:val="24"/>
        </w:rPr>
        <w:t>本项目采用的评标方法为：</w:t>
      </w:r>
    </w:p>
    <w:p w14:paraId="383A33C4">
      <w:pPr>
        <w:tabs>
          <w:tab w:val="left" w:pos="900"/>
          <w:tab w:val="left" w:pos="1589"/>
          <w:tab w:val="left" w:pos="1701"/>
        </w:tabs>
        <w:snapToGrid w:val="0"/>
        <w:spacing w:line="360" w:lineRule="auto"/>
        <w:ind w:left="1985"/>
        <w:rPr>
          <w:rFonts w:ascii="宋体" w:hAnsi="宋体"/>
          <w:sz w:val="24"/>
        </w:rPr>
      </w:pPr>
      <w:r>
        <w:rPr>
          <w:rFonts w:ascii="宋体" w:hAnsi="宋体"/>
          <w:sz w:val="24"/>
        </w:rPr>
        <w:t>■综合评分法，指投标文件满足招标文件全部实质性要求，且按照评审因素的量化指标评审得分最高的投标人为中标候选人的评标方法，见《评标标准》，招标文件中没有规定的评标标准不得作为评审的依据。</w:t>
      </w:r>
    </w:p>
    <w:p w14:paraId="76A8C286">
      <w:pPr>
        <w:tabs>
          <w:tab w:val="left" w:pos="900"/>
          <w:tab w:val="left" w:pos="1589"/>
          <w:tab w:val="left" w:pos="1701"/>
        </w:tabs>
        <w:snapToGrid w:val="0"/>
        <w:spacing w:line="360" w:lineRule="auto"/>
        <w:ind w:left="1985"/>
        <w:rPr>
          <w:rFonts w:ascii="宋体" w:hAnsi="宋体"/>
          <w:sz w:val="24"/>
        </w:rPr>
      </w:pPr>
      <w:r>
        <w:rPr>
          <w:rFonts w:ascii="宋体" w:hAnsi="宋体"/>
          <w:sz w:val="24"/>
        </w:rPr>
        <w:t>□最低评标价法，指投标文件满足招标文件全部实质性要求，且投标报价最低的投标人为中标候选人的评标方法。</w:t>
      </w:r>
    </w:p>
    <w:p w14:paraId="0A18647B">
      <w:pPr>
        <w:numPr>
          <w:ilvl w:val="2"/>
          <w:numId w:val="4"/>
        </w:numPr>
        <w:tabs>
          <w:tab w:val="left" w:pos="1080"/>
          <w:tab w:val="left" w:pos="1589"/>
          <w:tab w:val="left" w:pos="2035"/>
        </w:tabs>
        <w:snapToGrid w:val="0"/>
        <w:spacing w:line="360" w:lineRule="auto"/>
        <w:ind w:left="2035"/>
        <w:rPr>
          <w:rFonts w:ascii="宋体" w:hAnsi="宋体"/>
          <w:sz w:val="24"/>
        </w:rPr>
      </w:pPr>
      <w:r>
        <w:rPr>
          <w:rFonts w:ascii="宋体" w:hAnsi="宋体"/>
          <w:sz w:val="24"/>
        </w:rPr>
        <w:t>采用最低评标价法时，提供相同品牌产品（单一产品或核心产品品牌相同）的不同投标人参加同一合同项下投标的，以其中通过资格审查、符合性审查且报价最低的参加评标；报价相同的，由采购人或者采购人委托评标委员会按照下述方法确定一个参加评标的投标人，其他</w:t>
      </w:r>
      <w:r>
        <w:rPr>
          <w:rFonts w:ascii="宋体" w:hAnsi="宋体"/>
          <w:b/>
          <w:sz w:val="24"/>
        </w:rPr>
        <w:t>投标无效</w:t>
      </w:r>
      <w:r>
        <w:rPr>
          <w:rFonts w:ascii="宋体" w:hAnsi="宋体"/>
          <w:sz w:val="24"/>
        </w:rPr>
        <w:t>。</w:t>
      </w:r>
    </w:p>
    <w:p w14:paraId="11F3EF96">
      <w:pPr>
        <w:tabs>
          <w:tab w:val="left" w:pos="1080"/>
          <w:tab w:val="left" w:pos="1589"/>
          <w:tab w:val="left" w:pos="2035"/>
        </w:tabs>
        <w:snapToGrid w:val="0"/>
        <w:spacing w:line="360" w:lineRule="auto"/>
        <w:ind w:left="2035"/>
        <w:rPr>
          <w:rFonts w:ascii="宋体" w:hAnsi="宋体"/>
          <w:sz w:val="24"/>
        </w:rPr>
      </w:pPr>
      <w:r>
        <w:rPr>
          <w:rFonts w:ascii="宋体" w:hAnsi="宋体"/>
          <w:sz w:val="24"/>
        </w:rPr>
        <w:t>□随机抽取</w:t>
      </w:r>
    </w:p>
    <w:p w14:paraId="1AD43363">
      <w:pPr>
        <w:tabs>
          <w:tab w:val="left" w:pos="1080"/>
          <w:tab w:val="left" w:pos="1589"/>
          <w:tab w:val="left" w:pos="2035"/>
        </w:tabs>
        <w:snapToGrid w:val="0"/>
        <w:spacing w:line="360" w:lineRule="auto"/>
        <w:ind w:left="2035"/>
        <w:rPr>
          <w:rFonts w:ascii="宋体" w:hAnsi="宋体"/>
          <w:sz w:val="24"/>
          <w:u w:val="single"/>
        </w:rPr>
      </w:pPr>
      <w:r>
        <w:rPr>
          <w:rFonts w:ascii="宋体" w:hAnsi="宋体"/>
          <w:sz w:val="24"/>
        </w:rPr>
        <w:t>□其他方式，具体要求：</w:t>
      </w:r>
      <w:r>
        <w:rPr>
          <w:rFonts w:hint="eastAsia" w:ascii="宋体" w:hAnsi="宋体"/>
          <w:sz w:val="24"/>
          <w:u w:val="single"/>
        </w:rPr>
        <w:t xml:space="preserve">   /   </w:t>
      </w:r>
    </w:p>
    <w:p w14:paraId="38CDA4E1">
      <w:pPr>
        <w:numPr>
          <w:ilvl w:val="2"/>
          <w:numId w:val="4"/>
        </w:numPr>
        <w:tabs>
          <w:tab w:val="left" w:pos="1080"/>
          <w:tab w:val="left" w:pos="1589"/>
          <w:tab w:val="left" w:pos="2035"/>
        </w:tabs>
        <w:snapToGrid w:val="0"/>
        <w:spacing w:line="360" w:lineRule="auto"/>
        <w:ind w:left="2035"/>
        <w:rPr>
          <w:rFonts w:ascii="宋体" w:hAnsi="宋体"/>
          <w:sz w:val="24"/>
        </w:rPr>
      </w:pPr>
      <w:r>
        <w:rPr>
          <w:rFonts w:ascii="宋体" w:hAnsi="宋体"/>
          <w:sz w:val="24"/>
        </w:rPr>
        <w:t>非政府强制采购的节能产品或环境标志产品，依据品目清单和认证证书实施政府优先采购。优先采购的具体规定（如涉及）</w:t>
      </w:r>
      <w:r>
        <w:rPr>
          <w:rFonts w:hint="eastAsia" w:ascii="宋体" w:hAnsi="宋体"/>
          <w:sz w:val="24"/>
          <w:u w:val="single"/>
        </w:rPr>
        <w:t xml:space="preserve">   /   </w:t>
      </w:r>
    </w:p>
    <w:p w14:paraId="6A989275">
      <w:pPr>
        <w:numPr>
          <w:ilvl w:val="0"/>
          <w:numId w:val="4"/>
        </w:numPr>
        <w:tabs>
          <w:tab w:val="left" w:pos="360"/>
        </w:tabs>
        <w:snapToGrid w:val="0"/>
        <w:spacing w:line="360" w:lineRule="auto"/>
        <w:outlineLvl w:val="1"/>
        <w:rPr>
          <w:rFonts w:ascii="宋体" w:hAnsi="宋体"/>
          <w:sz w:val="24"/>
        </w:rPr>
      </w:pPr>
      <w:r>
        <w:rPr>
          <w:rFonts w:ascii="宋体" w:hAnsi="宋体"/>
          <w:sz w:val="24"/>
        </w:rPr>
        <w:t>确定</w:t>
      </w:r>
      <w:bookmarkStart w:id="761" w:name="_Toc151193644"/>
      <w:bookmarkStart w:id="762" w:name="_Toc149720839"/>
      <w:bookmarkStart w:id="763" w:name="_Toc226309790"/>
      <w:bookmarkStart w:id="764" w:name="_Toc127161460"/>
      <w:bookmarkStart w:id="765" w:name="_Toc265228384"/>
      <w:bookmarkStart w:id="766" w:name="_Toc226965736"/>
      <w:bookmarkStart w:id="767" w:name="_Toc127151747"/>
      <w:bookmarkStart w:id="768" w:name="_Toc151193934"/>
      <w:bookmarkStart w:id="769" w:name="_Toc151193788"/>
      <w:bookmarkStart w:id="770" w:name="_Toc150774751"/>
      <w:bookmarkStart w:id="771" w:name="_Toc164608660"/>
      <w:bookmarkStart w:id="772" w:name="_Toc195842911"/>
      <w:bookmarkStart w:id="773" w:name="_Toc305158888"/>
      <w:bookmarkStart w:id="774" w:name="_Toc151193860"/>
      <w:bookmarkStart w:id="775" w:name="_Toc150774646"/>
      <w:bookmarkStart w:id="776" w:name="_Toc142311048"/>
      <w:bookmarkStart w:id="777" w:name="_Toc226965819"/>
      <w:bookmarkStart w:id="778" w:name="_Toc150509297"/>
      <w:bookmarkStart w:id="779" w:name="_Toc164229241"/>
      <w:bookmarkStart w:id="780" w:name="_Toc164229387"/>
      <w:bookmarkStart w:id="781" w:name="_Toc151193716"/>
      <w:bookmarkStart w:id="782" w:name="_Toc264969236"/>
      <w:bookmarkStart w:id="783" w:name="_Ref467307010"/>
      <w:bookmarkStart w:id="784" w:name="_Toc164608815"/>
      <w:bookmarkStart w:id="785" w:name="_Toc520356170"/>
      <w:bookmarkStart w:id="786" w:name="_Toc150480784"/>
      <w:bookmarkStart w:id="787" w:name="_Toc305158814"/>
      <w:bookmarkStart w:id="788" w:name="_Toc226337242"/>
      <w:bookmarkStart w:id="789" w:name="_Toc151190173"/>
      <w:bookmarkStart w:id="790" w:name="_Toc164351640"/>
      <w:bookmarkStart w:id="791" w:name="_Toc127151546"/>
      <w:r>
        <w:rPr>
          <w:rFonts w:ascii="宋体" w:hAnsi="宋体"/>
          <w:sz w:val="24"/>
        </w:rPr>
        <w:t>中标候选人名单</w:t>
      </w:r>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p>
    <w:p w14:paraId="2D5B8F72">
      <w:pPr>
        <w:numPr>
          <w:ilvl w:val="1"/>
          <w:numId w:val="4"/>
        </w:numPr>
        <w:tabs>
          <w:tab w:val="left" w:pos="1080"/>
        </w:tabs>
        <w:snapToGrid w:val="0"/>
        <w:spacing w:line="360" w:lineRule="auto"/>
        <w:ind w:left="1077" w:hanging="720"/>
        <w:rPr>
          <w:rFonts w:ascii="宋体" w:hAnsi="宋体"/>
          <w:sz w:val="24"/>
        </w:rPr>
      </w:pPr>
      <w:r>
        <w:rPr>
          <w:rFonts w:ascii="宋体" w:hAnsi="宋体"/>
          <w:sz w:val="24"/>
        </w:rPr>
        <w:t>采用综合评分法时，提供相同品牌产品（单一产品或核心产品品牌相同）且通过资格审查、符合性审查的不同投标人参加同一合同项下投标的，按一家投标人计算，评审后得分最高的同品牌投标人获得中标人推荐资格；评审得分相同的，评标委员会按照下述规定确定一个投标人获得中标人推荐资格，其他同品牌投标人不作为中标候选人。</w:t>
      </w:r>
    </w:p>
    <w:p w14:paraId="06A8CAB3">
      <w:pPr>
        <w:pStyle w:val="13"/>
        <w:tabs>
          <w:tab w:val="left" w:pos="900"/>
          <w:tab w:val="left" w:pos="2127"/>
        </w:tabs>
        <w:adjustRightInd w:val="0"/>
        <w:snapToGrid w:val="0"/>
        <w:spacing w:line="360" w:lineRule="auto"/>
        <w:ind w:left="993" w:firstLine="136" w:firstLineChars="57"/>
        <w:rPr>
          <w:rFonts w:hint="default" w:hAnsi="宋体"/>
          <w:sz w:val="24"/>
          <w:szCs w:val="24"/>
        </w:rPr>
      </w:pPr>
      <w:r>
        <w:rPr>
          <w:rFonts w:hAnsi="宋体"/>
          <w:sz w:val="24"/>
        </w:rPr>
        <w:t xml:space="preserve">□ </w:t>
      </w:r>
      <w:r>
        <w:rPr>
          <w:rFonts w:hint="default" w:hAnsi="宋体"/>
          <w:sz w:val="24"/>
          <w:szCs w:val="24"/>
        </w:rPr>
        <w:t>随机抽取</w:t>
      </w:r>
    </w:p>
    <w:p w14:paraId="12854A05">
      <w:pPr>
        <w:pStyle w:val="13"/>
        <w:tabs>
          <w:tab w:val="left" w:pos="900"/>
          <w:tab w:val="left" w:pos="2127"/>
        </w:tabs>
        <w:adjustRightInd w:val="0"/>
        <w:snapToGrid w:val="0"/>
        <w:spacing w:line="360" w:lineRule="auto"/>
        <w:ind w:left="993" w:firstLine="136" w:firstLineChars="57"/>
        <w:rPr>
          <w:rFonts w:hint="default" w:hAnsi="宋体"/>
          <w:sz w:val="24"/>
          <w:szCs w:val="24"/>
          <w:u w:val="single"/>
        </w:rPr>
      </w:pPr>
      <w:r>
        <w:rPr>
          <w:rFonts w:hAnsi="宋体"/>
          <w:sz w:val="24"/>
        </w:rPr>
        <w:t xml:space="preserve">■ </w:t>
      </w:r>
      <w:r>
        <w:rPr>
          <w:rFonts w:hint="default" w:hAnsi="宋体"/>
          <w:sz w:val="24"/>
          <w:szCs w:val="24"/>
        </w:rPr>
        <w:t>其他方式，具体要求：</w:t>
      </w:r>
      <w:r>
        <w:rPr>
          <w:rFonts w:hint="default" w:hAnsi="宋体"/>
          <w:sz w:val="24"/>
          <w:szCs w:val="24"/>
          <w:u w:val="single"/>
        </w:rPr>
        <w:t>投标报价低的同品牌投标人获得中标候选人推荐资格。投标报价相同的，技术部分得分高的同品牌投标人获得中标候选人推荐资格。如投标报价相同、技术部分得分也相同，则由评标委员会在评审现场以随机抽取的方式确定一个投标人获得中标候选人推荐资格。</w:t>
      </w:r>
    </w:p>
    <w:p w14:paraId="74013B66">
      <w:pPr>
        <w:numPr>
          <w:ilvl w:val="1"/>
          <w:numId w:val="4"/>
        </w:numPr>
        <w:tabs>
          <w:tab w:val="left" w:pos="1080"/>
          <w:tab w:val="left" w:pos="1447"/>
          <w:tab w:val="clear" w:pos="1589"/>
        </w:tabs>
        <w:snapToGrid w:val="0"/>
        <w:spacing w:line="360" w:lineRule="auto"/>
        <w:ind w:left="1077" w:hanging="720"/>
        <w:rPr>
          <w:rFonts w:ascii="宋体" w:hAnsi="宋体"/>
          <w:sz w:val="24"/>
        </w:rPr>
      </w:pPr>
      <w:r>
        <w:rPr>
          <w:rFonts w:ascii="宋体" w:hAnsi="宋体"/>
          <w:sz w:val="24"/>
        </w:rPr>
        <w:t>采用综合评分法时，评标结果按评审后得分由高到低顺序排列。得分相同的，按投标报价由低到高顺序排列</w:t>
      </w:r>
      <w:r>
        <w:rPr>
          <w:rFonts w:hint="eastAsia" w:ascii="宋体" w:hAnsi="宋体"/>
          <w:sz w:val="24"/>
        </w:rPr>
        <w:t>。</w:t>
      </w:r>
      <w:r>
        <w:rPr>
          <w:rFonts w:ascii="宋体" w:hAnsi="宋体"/>
          <w:sz w:val="24"/>
        </w:rPr>
        <w:t>投标报价相同的</w:t>
      </w:r>
      <w:r>
        <w:rPr>
          <w:rFonts w:hint="eastAsia" w:ascii="宋体" w:hAnsi="宋体"/>
          <w:sz w:val="24"/>
        </w:rPr>
        <w:t>按照“评标标准”技术部分得分由高到</w:t>
      </w:r>
      <w:r>
        <w:rPr>
          <w:rFonts w:ascii="宋体" w:hAnsi="宋体"/>
          <w:sz w:val="24"/>
        </w:rPr>
        <w:t>低</w:t>
      </w:r>
      <w:r>
        <w:rPr>
          <w:rFonts w:hint="eastAsia" w:ascii="宋体" w:hAnsi="宋体"/>
          <w:sz w:val="24"/>
        </w:rPr>
        <w:t>顺序排列。投标报价相同且技术部分得分也相同的，由评标委员会采用评审现场随机抽取的方式确定排序</w:t>
      </w:r>
      <w:r>
        <w:rPr>
          <w:rFonts w:ascii="宋体" w:hAnsi="宋体"/>
          <w:sz w:val="24"/>
        </w:rPr>
        <w:t>。评分分值计算保留小数点后两位，第三位四舍五入。</w:t>
      </w:r>
    </w:p>
    <w:p w14:paraId="27D60DA3">
      <w:pPr>
        <w:numPr>
          <w:ilvl w:val="1"/>
          <w:numId w:val="4"/>
        </w:numPr>
        <w:tabs>
          <w:tab w:val="left" w:pos="1080"/>
        </w:tabs>
        <w:snapToGrid w:val="0"/>
        <w:spacing w:line="360" w:lineRule="auto"/>
        <w:ind w:left="1077" w:hanging="720"/>
        <w:rPr>
          <w:rFonts w:ascii="宋体" w:hAnsi="宋体"/>
          <w:sz w:val="24"/>
        </w:rPr>
      </w:pPr>
      <w:r>
        <w:rPr>
          <w:rFonts w:ascii="宋体" w:hAnsi="宋体"/>
          <w:sz w:val="24"/>
        </w:rPr>
        <w:t>采用最低评标价法时，评标结果按本章2.4、2.5</w:t>
      </w:r>
      <w:r>
        <w:rPr>
          <w:rFonts w:hint="eastAsia" w:ascii="宋体" w:hAnsi="宋体"/>
          <w:sz w:val="24"/>
        </w:rPr>
        <w:t>和2.6</w:t>
      </w:r>
      <w:r>
        <w:rPr>
          <w:rFonts w:ascii="宋体" w:hAnsi="宋体"/>
          <w:sz w:val="24"/>
        </w:rPr>
        <w:t>调整后的投标报价由低到高顺序排列。投标报价相同的并列。投标文件满足招标文件全部实质性要求且投标报价最低的投标人为排名第一的中标候选人。</w:t>
      </w:r>
    </w:p>
    <w:p w14:paraId="57EC53F5">
      <w:pPr>
        <w:numPr>
          <w:ilvl w:val="1"/>
          <w:numId w:val="4"/>
        </w:numPr>
        <w:tabs>
          <w:tab w:val="left" w:pos="1080"/>
        </w:tabs>
        <w:snapToGrid w:val="0"/>
        <w:spacing w:line="360" w:lineRule="auto"/>
        <w:ind w:left="1077" w:hanging="720"/>
        <w:rPr>
          <w:rFonts w:ascii="宋体" w:hAnsi="宋体"/>
          <w:sz w:val="24"/>
        </w:rPr>
      </w:pPr>
      <w:r>
        <w:rPr>
          <w:rFonts w:ascii="宋体" w:hAnsi="宋体"/>
          <w:sz w:val="24"/>
        </w:rPr>
        <w:t>评标委员会要对评分汇总情况进行复核，特别是对排名第一的、报价最低的、投标或响应文件被认定为无效的情形进行重点复核。</w:t>
      </w:r>
    </w:p>
    <w:p w14:paraId="041FB9B2">
      <w:pPr>
        <w:numPr>
          <w:ilvl w:val="1"/>
          <w:numId w:val="4"/>
        </w:numPr>
        <w:tabs>
          <w:tab w:val="left" w:pos="1080"/>
        </w:tabs>
        <w:snapToGrid w:val="0"/>
        <w:spacing w:line="360" w:lineRule="auto"/>
        <w:ind w:left="1077" w:hanging="720"/>
        <w:rPr>
          <w:rFonts w:ascii="宋体" w:hAnsi="宋体"/>
          <w:sz w:val="24"/>
        </w:rPr>
      </w:pPr>
      <w:r>
        <w:rPr>
          <w:rFonts w:ascii="宋体" w:hAnsi="宋体"/>
          <w:sz w:val="24"/>
        </w:rPr>
        <w:t>评标委员会将根据各投标人的评标排序，依次推荐本项目的中标候选人，起草并签署评标报告。本项目评标委员会推荐</w:t>
      </w:r>
      <w:r>
        <w:rPr>
          <w:rFonts w:hint="eastAsia" w:ascii="宋体" w:hAnsi="宋体"/>
          <w:sz w:val="24"/>
          <w:u w:val="single"/>
        </w:rPr>
        <w:t>3</w:t>
      </w:r>
      <w:r>
        <w:rPr>
          <w:rFonts w:ascii="宋体" w:hAnsi="宋体"/>
          <w:sz w:val="24"/>
        </w:rPr>
        <w:t>名中标候选人。</w:t>
      </w:r>
    </w:p>
    <w:p w14:paraId="3940685A">
      <w:pPr>
        <w:numPr>
          <w:ilvl w:val="0"/>
          <w:numId w:val="4"/>
        </w:numPr>
        <w:tabs>
          <w:tab w:val="left" w:pos="360"/>
        </w:tabs>
        <w:snapToGrid w:val="0"/>
        <w:spacing w:line="360" w:lineRule="auto"/>
        <w:outlineLvl w:val="1"/>
        <w:rPr>
          <w:rFonts w:ascii="宋体" w:hAnsi="宋体"/>
          <w:sz w:val="24"/>
        </w:rPr>
      </w:pPr>
      <w:r>
        <w:rPr>
          <w:rFonts w:ascii="宋体" w:hAnsi="宋体"/>
          <w:sz w:val="24"/>
        </w:rPr>
        <w:t>报告违法行为</w:t>
      </w:r>
    </w:p>
    <w:p w14:paraId="70BC06D3">
      <w:pPr>
        <w:numPr>
          <w:ilvl w:val="1"/>
          <w:numId w:val="4"/>
        </w:numPr>
        <w:tabs>
          <w:tab w:val="left" w:pos="1080"/>
        </w:tabs>
        <w:snapToGrid w:val="0"/>
        <w:spacing w:line="360" w:lineRule="auto"/>
        <w:ind w:left="1077" w:hanging="720"/>
        <w:rPr>
          <w:rFonts w:ascii="宋体" w:hAnsi="宋体"/>
          <w:b/>
          <w:bCs/>
          <w:sz w:val="24"/>
        </w:rPr>
      </w:pPr>
      <w:r>
        <w:rPr>
          <w:rFonts w:ascii="宋体" w:hAnsi="宋体"/>
          <w:sz w:val="24"/>
        </w:rPr>
        <w:t>评标委员会在评标过程中发现投标人有行贿、提供虚假材料或者串通等违法行为时，应当及时向财政部门报告。</w:t>
      </w:r>
      <w:r>
        <w:rPr>
          <w:rFonts w:ascii="宋体" w:hAnsi="宋体"/>
          <w:sz w:val="24"/>
        </w:rPr>
        <w:br w:type="page"/>
      </w:r>
    </w:p>
    <w:p w14:paraId="4855D3D3">
      <w:pPr>
        <w:numPr>
          <w:ilvl w:val="0"/>
          <w:numId w:val="6"/>
        </w:numPr>
        <w:tabs>
          <w:tab w:val="left" w:pos="360"/>
          <w:tab w:val="left" w:pos="900"/>
        </w:tabs>
        <w:snapToGrid w:val="0"/>
        <w:spacing w:line="360" w:lineRule="auto"/>
        <w:jc w:val="center"/>
        <w:outlineLvl w:val="1"/>
        <w:rPr>
          <w:rFonts w:ascii="宋体" w:hAnsi="宋体" w:cs="宋体"/>
          <w:b/>
          <w:sz w:val="24"/>
        </w:rPr>
      </w:pPr>
      <w:r>
        <w:rPr>
          <w:rFonts w:hint="eastAsia" w:ascii="宋体" w:hAnsi="宋体" w:cs="宋体"/>
          <w:b/>
          <w:sz w:val="24"/>
        </w:rPr>
        <w:t>评标标准</w:t>
      </w:r>
    </w:p>
    <w:p w14:paraId="7F9C6AF5">
      <w:pPr>
        <w:pStyle w:val="26"/>
      </w:pPr>
      <w:r>
        <w:rPr>
          <w:rFonts w:hint="eastAsia"/>
        </w:rPr>
        <w:t>1.评分标准</w:t>
      </w:r>
    </w:p>
    <w:tbl>
      <w:tblPr>
        <w:tblStyle w:val="27"/>
        <w:tblW w:w="839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1158"/>
        <w:gridCol w:w="2121"/>
        <w:gridCol w:w="1285"/>
        <w:gridCol w:w="3828"/>
      </w:tblGrid>
      <w:tr w14:paraId="24B721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26" w:hRule="atLeast"/>
        </w:trPr>
        <w:tc>
          <w:tcPr>
            <w:tcW w:w="1158" w:type="dxa"/>
            <w:noWrap/>
            <w:vAlign w:val="center"/>
          </w:tcPr>
          <w:p w14:paraId="32AB448F">
            <w:pPr>
              <w:snapToGrid w:val="0"/>
              <w:ind w:right="-28"/>
              <w:jc w:val="center"/>
              <w:rPr>
                <w:rFonts w:ascii="宋体" w:hAnsi="宋体" w:cs="宋体"/>
                <w:b/>
                <w:sz w:val="24"/>
              </w:rPr>
            </w:pPr>
            <w:r>
              <w:rPr>
                <w:rFonts w:hint="eastAsia" w:ascii="宋体" w:hAnsi="宋体" w:cs="宋体"/>
                <w:b/>
                <w:sz w:val="24"/>
              </w:rPr>
              <w:t>序号</w:t>
            </w:r>
          </w:p>
        </w:tc>
        <w:tc>
          <w:tcPr>
            <w:tcW w:w="2121" w:type="dxa"/>
            <w:noWrap/>
            <w:vAlign w:val="center"/>
          </w:tcPr>
          <w:p w14:paraId="07A8A1C1">
            <w:pPr>
              <w:snapToGrid w:val="0"/>
              <w:jc w:val="center"/>
              <w:rPr>
                <w:rFonts w:ascii="宋体" w:hAnsi="宋体" w:cs="宋体"/>
                <w:b/>
                <w:sz w:val="24"/>
              </w:rPr>
            </w:pPr>
            <w:r>
              <w:rPr>
                <w:rFonts w:hint="eastAsia" w:ascii="宋体" w:hAnsi="宋体" w:cs="宋体"/>
                <w:b/>
                <w:sz w:val="24"/>
              </w:rPr>
              <w:t>评分标准</w:t>
            </w:r>
          </w:p>
        </w:tc>
        <w:tc>
          <w:tcPr>
            <w:tcW w:w="1285" w:type="dxa"/>
            <w:noWrap/>
            <w:vAlign w:val="center"/>
          </w:tcPr>
          <w:p w14:paraId="23FB87D0">
            <w:pPr>
              <w:snapToGrid w:val="0"/>
              <w:jc w:val="center"/>
              <w:rPr>
                <w:rFonts w:ascii="宋体" w:hAnsi="宋体" w:cs="宋体"/>
                <w:b/>
                <w:sz w:val="24"/>
              </w:rPr>
            </w:pPr>
            <w:r>
              <w:rPr>
                <w:rFonts w:hint="eastAsia" w:ascii="宋体" w:hAnsi="宋体" w:cs="宋体"/>
                <w:b/>
                <w:sz w:val="24"/>
              </w:rPr>
              <w:t>分值</w:t>
            </w:r>
          </w:p>
        </w:tc>
        <w:tc>
          <w:tcPr>
            <w:tcW w:w="3828" w:type="dxa"/>
            <w:noWrap/>
            <w:vAlign w:val="center"/>
          </w:tcPr>
          <w:p w14:paraId="67F58B2B">
            <w:pPr>
              <w:snapToGrid w:val="0"/>
              <w:ind w:left="113" w:firstLine="480"/>
              <w:jc w:val="center"/>
              <w:rPr>
                <w:rFonts w:ascii="宋体" w:hAnsi="宋体" w:cs="宋体"/>
                <w:b/>
                <w:sz w:val="24"/>
              </w:rPr>
            </w:pPr>
            <w:r>
              <w:rPr>
                <w:rFonts w:hint="eastAsia" w:ascii="宋体" w:hAnsi="宋体" w:cs="宋体"/>
                <w:b/>
                <w:sz w:val="24"/>
              </w:rPr>
              <w:t>备注</w:t>
            </w:r>
          </w:p>
        </w:tc>
      </w:tr>
      <w:tr w14:paraId="080CAF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62" w:hRule="exact"/>
        </w:trPr>
        <w:tc>
          <w:tcPr>
            <w:tcW w:w="1158" w:type="dxa"/>
            <w:noWrap/>
            <w:vAlign w:val="center"/>
          </w:tcPr>
          <w:p w14:paraId="49D8E6BB">
            <w:pPr>
              <w:ind w:right="-28"/>
              <w:jc w:val="center"/>
              <w:rPr>
                <w:rFonts w:ascii="宋体" w:hAnsi="宋体" w:cs="宋体"/>
                <w:sz w:val="24"/>
              </w:rPr>
            </w:pPr>
            <w:r>
              <w:rPr>
                <w:rFonts w:hint="eastAsia" w:ascii="宋体" w:hAnsi="宋体" w:cs="宋体"/>
                <w:sz w:val="24"/>
              </w:rPr>
              <w:t>1</w:t>
            </w:r>
          </w:p>
        </w:tc>
        <w:tc>
          <w:tcPr>
            <w:tcW w:w="2121" w:type="dxa"/>
            <w:noWrap/>
            <w:vAlign w:val="center"/>
          </w:tcPr>
          <w:p w14:paraId="04ADDE04">
            <w:pPr>
              <w:jc w:val="center"/>
              <w:rPr>
                <w:rFonts w:ascii="宋体" w:hAnsi="宋体" w:cs="宋体"/>
                <w:sz w:val="24"/>
              </w:rPr>
            </w:pPr>
            <w:r>
              <w:rPr>
                <w:rFonts w:hint="eastAsia" w:ascii="宋体" w:hAnsi="宋体" w:cs="宋体"/>
                <w:sz w:val="24"/>
              </w:rPr>
              <w:t>价格部分</w:t>
            </w:r>
          </w:p>
        </w:tc>
        <w:tc>
          <w:tcPr>
            <w:tcW w:w="1285" w:type="dxa"/>
            <w:noWrap/>
            <w:vAlign w:val="center"/>
          </w:tcPr>
          <w:p w14:paraId="71D7F58F">
            <w:pPr>
              <w:jc w:val="center"/>
              <w:rPr>
                <w:rFonts w:ascii="宋体" w:hAnsi="宋体" w:cs="宋体"/>
                <w:sz w:val="24"/>
              </w:rPr>
            </w:pPr>
            <w:r>
              <w:rPr>
                <w:rFonts w:hint="eastAsia" w:ascii="宋体" w:hAnsi="宋体" w:cs="宋体"/>
                <w:sz w:val="24"/>
              </w:rPr>
              <w:t>30</w:t>
            </w:r>
          </w:p>
        </w:tc>
        <w:tc>
          <w:tcPr>
            <w:tcW w:w="3828" w:type="dxa"/>
            <w:vMerge w:val="restart"/>
            <w:noWrap/>
            <w:vAlign w:val="center"/>
          </w:tcPr>
          <w:p w14:paraId="7BB8CDB7">
            <w:pPr>
              <w:ind w:left="113"/>
              <w:jc w:val="center"/>
              <w:rPr>
                <w:rFonts w:ascii="宋体" w:hAnsi="宋体" w:cs="宋体"/>
                <w:sz w:val="24"/>
              </w:rPr>
            </w:pPr>
            <w:r>
              <w:rPr>
                <w:rFonts w:hint="eastAsia" w:ascii="宋体" w:hAnsi="宋体" w:cs="宋体"/>
                <w:sz w:val="24"/>
              </w:rPr>
              <w:t>详细的评审内容见下述评分标准</w:t>
            </w:r>
          </w:p>
        </w:tc>
      </w:tr>
      <w:tr w14:paraId="406CB4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68" w:hRule="exact"/>
        </w:trPr>
        <w:tc>
          <w:tcPr>
            <w:tcW w:w="1158" w:type="dxa"/>
            <w:noWrap/>
            <w:vAlign w:val="center"/>
          </w:tcPr>
          <w:p w14:paraId="1A85BD21">
            <w:pPr>
              <w:ind w:right="-28"/>
              <w:jc w:val="center"/>
              <w:rPr>
                <w:rFonts w:ascii="宋体" w:hAnsi="宋体" w:cs="宋体"/>
                <w:sz w:val="24"/>
              </w:rPr>
            </w:pPr>
            <w:r>
              <w:rPr>
                <w:rFonts w:hint="eastAsia" w:ascii="宋体" w:hAnsi="宋体" w:cs="宋体"/>
                <w:sz w:val="24"/>
              </w:rPr>
              <w:t>2</w:t>
            </w:r>
          </w:p>
        </w:tc>
        <w:tc>
          <w:tcPr>
            <w:tcW w:w="2121" w:type="dxa"/>
            <w:noWrap/>
            <w:vAlign w:val="center"/>
          </w:tcPr>
          <w:p w14:paraId="6A502EA9">
            <w:pPr>
              <w:jc w:val="center"/>
              <w:rPr>
                <w:rFonts w:ascii="宋体" w:hAnsi="宋体" w:cs="宋体"/>
                <w:sz w:val="24"/>
              </w:rPr>
            </w:pPr>
            <w:r>
              <w:rPr>
                <w:rFonts w:hint="eastAsia" w:ascii="宋体" w:hAnsi="宋体" w:cs="宋体"/>
                <w:sz w:val="24"/>
              </w:rPr>
              <w:t>商务部分</w:t>
            </w:r>
          </w:p>
        </w:tc>
        <w:tc>
          <w:tcPr>
            <w:tcW w:w="1285" w:type="dxa"/>
            <w:noWrap/>
            <w:vAlign w:val="center"/>
          </w:tcPr>
          <w:p w14:paraId="489F2307">
            <w:pPr>
              <w:jc w:val="center"/>
              <w:rPr>
                <w:rFonts w:ascii="宋体" w:hAnsi="宋体" w:cs="宋体"/>
                <w:sz w:val="24"/>
              </w:rPr>
            </w:pPr>
            <w:r>
              <w:rPr>
                <w:rFonts w:hint="eastAsia" w:ascii="宋体" w:hAnsi="宋体" w:cs="宋体"/>
                <w:sz w:val="24"/>
              </w:rPr>
              <w:t>10</w:t>
            </w:r>
          </w:p>
        </w:tc>
        <w:tc>
          <w:tcPr>
            <w:tcW w:w="3828" w:type="dxa"/>
            <w:vMerge w:val="continue"/>
            <w:noWrap/>
            <w:vAlign w:val="center"/>
          </w:tcPr>
          <w:p w14:paraId="01272D0F">
            <w:pPr>
              <w:ind w:left="113"/>
              <w:jc w:val="center"/>
              <w:rPr>
                <w:rFonts w:ascii="宋体" w:hAnsi="宋体" w:cs="宋体"/>
                <w:sz w:val="24"/>
              </w:rPr>
            </w:pPr>
          </w:p>
        </w:tc>
      </w:tr>
      <w:tr w14:paraId="0C829F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65" w:hRule="exact"/>
        </w:trPr>
        <w:tc>
          <w:tcPr>
            <w:tcW w:w="1158" w:type="dxa"/>
            <w:noWrap/>
            <w:vAlign w:val="center"/>
          </w:tcPr>
          <w:p w14:paraId="0DE95A9F">
            <w:pPr>
              <w:ind w:right="-28"/>
              <w:jc w:val="center"/>
              <w:rPr>
                <w:rFonts w:ascii="宋体" w:hAnsi="宋体" w:cs="宋体"/>
                <w:sz w:val="24"/>
              </w:rPr>
            </w:pPr>
            <w:r>
              <w:rPr>
                <w:rFonts w:hint="eastAsia" w:ascii="宋体" w:hAnsi="宋体" w:cs="宋体"/>
                <w:sz w:val="24"/>
              </w:rPr>
              <w:t>3</w:t>
            </w:r>
          </w:p>
        </w:tc>
        <w:tc>
          <w:tcPr>
            <w:tcW w:w="2121" w:type="dxa"/>
            <w:noWrap/>
            <w:vAlign w:val="center"/>
          </w:tcPr>
          <w:p w14:paraId="76FB83A5">
            <w:pPr>
              <w:jc w:val="center"/>
              <w:rPr>
                <w:rFonts w:ascii="宋体" w:hAnsi="宋体" w:cs="宋体"/>
                <w:sz w:val="24"/>
              </w:rPr>
            </w:pPr>
            <w:r>
              <w:rPr>
                <w:rFonts w:hint="eastAsia" w:ascii="宋体" w:hAnsi="宋体" w:cs="宋体"/>
                <w:sz w:val="24"/>
              </w:rPr>
              <w:t>技术部分</w:t>
            </w:r>
          </w:p>
        </w:tc>
        <w:tc>
          <w:tcPr>
            <w:tcW w:w="1285" w:type="dxa"/>
            <w:noWrap/>
            <w:vAlign w:val="center"/>
          </w:tcPr>
          <w:p w14:paraId="4F8B9E95">
            <w:pPr>
              <w:jc w:val="center"/>
              <w:rPr>
                <w:rFonts w:ascii="宋体" w:hAnsi="宋体" w:cs="宋体"/>
                <w:sz w:val="24"/>
              </w:rPr>
            </w:pPr>
            <w:r>
              <w:rPr>
                <w:rFonts w:hint="eastAsia" w:ascii="宋体" w:hAnsi="宋体" w:cs="宋体"/>
                <w:sz w:val="24"/>
              </w:rPr>
              <w:t>60</w:t>
            </w:r>
          </w:p>
        </w:tc>
        <w:tc>
          <w:tcPr>
            <w:tcW w:w="3828" w:type="dxa"/>
            <w:vMerge w:val="continue"/>
            <w:noWrap/>
            <w:vAlign w:val="center"/>
          </w:tcPr>
          <w:p w14:paraId="2057D8F5">
            <w:pPr>
              <w:ind w:left="113"/>
              <w:jc w:val="center"/>
              <w:rPr>
                <w:rFonts w:ascii="宋体" w:hAnsi="宋体" w:cs="宋体"/>
                <w:sz w:val="24"/>
              </w:rPr>
            </w:pPr>
          </w:p>
        </w:tc>
      </w:tr>
      <w:tr w14:paraId="05AAF4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18" w:hRule="exact"/>
        </w:trPr>
        <w:tc>
          <w:tcPr>
            <w:tcW w:w="3279" w:type="dxa"/>
            <w:gridSpan w:val="2"/>
            <w:noWrap/>
            <w:vAlign w:val="center"/>
          </w:tcPr>
          <w:p w14:paraId="0782E1BF">
            <w:pPr>
              <w:ind w:left="113"/>
              <w:jc w:val="center"/>
              <w:rPr>
                <w:rFonts w:ascii="宋体" w:hAnsi="宋体" w:cs="宋体"/>
                <w:sz w:val="24"/>
              </w:rPr>
            </w:pPr>
            <w:r>
              <w:rPr>
                <w:rFonts w:hint="eastAsia" w:ascii="宋体" w:hAnsi="宋体" w:cs="宋体"/>
                <w:sz w:val="24"/>
              </w:rPr>
              <w:t>合计</w:t>
            </w:r>
          </w:p>
        </w:tc>
        <w:tc>
          <w:tcPr>
            <w:tcW w:w="1285" w:type="dxa"/>
            <w:noWrap/>
            <w:vAlign w:val="center"/>
          </w:tcPr>
          <w:p w14:paraId="7673AD53">
            <w:pPr>
              <w:jc w:val="center"/>
              <w:rPr>
                <w:rFonts w:ascii="宋体" w:hAnsi="宋体" w:cs="宋体"/>
                <w:sz w:val="24"/>
              </w:rPr>
            </w:pPr>
            <w:r>
              <w:rPr>
                <w:rFonts w:hint="eastAsia" w:ascii="宋体" w:hAnsi="宋体" w:cs="宋体"/>
                <w:sz w:val="24"/>
              </w:rPr>
              <w:t>100</w:t>
            </w:r>
          </w:p>
        </w:tc>
        <w:tc>
          <w:tcPr>
            <w:tcW w:w="3828" w:type="dxa"/>
            <w:noWrap/>
            <w:vAlign w:val="center"/>
          </w:tcPr>
          <w:p w14:paraId="24923D41">
            <w:pPr>
              <w:ind w:left="113"/>
              <w:jc w:val="center"/>
              <w:rPr>
                <w:rFonts w:ascii="宋体" w:hAnsi="宋体" w:cs="宋体"/>
                <w:sz w:val="24"/>
              </w:rPr>
            </w:pPr>
          </w:p>
        </w:tc>
      </w:tr>
    </w:tbl>
    <w:p w14:paraId="46799D5A">
      <w:pPr>
        <w:pStyle w:val="26"/>
      </w:pPr>
      <w:r>
        <w:rPr>
          <w:rFonts w:hint="eastAsia"/>
        </w:rPr>
        <w:t>1.1价格部分</w:t>
      </w:r>
    </w:p>
    <w:tbl>
      <w:tblPr>
        <w:tblStyle w:val="27"/>
        <w:tblW w:w="4987" w:type="pct"/>
        <w:tblInd w:w="0" w:type="dxa"/>
        <w:tblLayout w:type="fixed"/>
        <w:tblCellMar>
          <w:top w:w="0" w:type="dxa"/>
          <w:left w:w="108" w:type="dxa"/>
          <w:bottom w:w="0" w:type="dxa"/>
          <w:right w:w="108" w:type="dxa"/>
        </w:tblCellMar>
      </w:tblPr>
      <w:tblGrid>
        <w:gridCol w:w="784"/>
        <w:gridCol w:w="1309"/>
        <w:gridCol w:w="850"/>
        <w:gridCol w:w="5558"/>
      </w:tblGrid>
      <w:tr w14:paraId="2356D052">
        <w:tblPrEx>
          <w:tblCellMar>
            <w:top w:w="0" w:type="dxa"/>
            <w:left w:w="108" w:type="dxa"/>
            <w:bottom w:w="0" w:type="dxa"/>
            <w:right w:w="108" w:type="dxa"/>
          </w:tblCellMar>
        </w:tblPrEx>
        <w:trPr>
          <w:trHeight w:val="454" w:hRule="atLeast"/>
        </w:trPr>
        <w:tc>
          <w:tcPr>
            <w:tcW w:w="461" w:type="pct"/>
            <w:tcBorders>
              <w:top w:val="single" w:color="auto" w:sz="4" w:space="0"/>
              <w:left w:val="single" w:color="auto" w:sz="4" w:space="0"/>
              <w:bottom w:val="single" w:color="auto" w:sz="4" w:space="0"/>
              <w:right w:val="single" w:color="auto" w:sz="4" w:space="0"/>
            </w:tcBorders>
            <w:noWrap/>
            <w:vAlign w:val="center"/>
          </w:tcPr>
          <w:p w14:paraId="3C43B73D">
            <w:pPr>
              <w:jc w:val="center"/>
              <w:rPr>
                <w:rFonts w:ascii="宋体" w:hAnsi="宋体" w:cs="宋体"/>
                <w:b/>
                <w:sz w:val="24"/>
              </w:rPr>
            </w:pPr>
            <w:r>
              <w:rPr>
                <w:rFonts w:hint="eastAsia" w:ascii="宋体" w:hAnsi="宋体" w:cs="宋体"/>
                <w:b/>
                <w:sz w:val="24"/>
              </w:rPr>
              <w:t>序号</w:t>
            </w:r>
          </w:p>
        </w:tc>
        <w:tc>
          <w:tcPr>
            <w:tcW w:w="770" w:type="pct"/>
            <w:tcBorders>
              <w:top w:val="single" w:color="auto" w:sz="4" w:space="0"/>
              <w:left w:val="nil"/>
              <w:bottom w:val="single" w:color="auto" w:sz="4" w:space="0"/>
              <w:right w:val="single" w:color="auto" w:sz="4" w:space="0"/>
            </w:tcBorders>
            <w:noWrap/>
            <w:vAlign w:val="center"/>
          </w:tcPr>
          <w:p w14:paraId="0684DC26">
            <w:pPr>
              <w:jc w:val="center"/>
              <w:rPr>
                <w:rFonts w:ascii="宋体" w:hAnsi="宋体" w:cs="宋体"/>
                <w:b/>
                <w:sz w:val="24"/>
              </w:rPr>
            </w:pPr>
            <w:r>
              <w:rPr>
                <w:rFonts w:hint="eastAsia" w:ascii="宋体" w:hAnsi="宋体" w:cs="宋体"/>
                <w:b/>
                <w:sz w:val="24"/>
              </w:rPr>
              <w:t>评分因素</w:t>
            </w:r>
          </w:p>
        </w:tc>
        <w:tc>
          <w:tcPr>
            <w:tcW w:w="500" w:type="pct"/>
            <w:tcBorders>
              <w:top w:val="single" w:color="auto" w:sz="4" w:space="0"/>
              <w:left w:val="nil"/>
              <w:bottom w:val="single" w:color="auto" w:sz="4" w:space="0"/>
              <w:right w:val="single" w:color="auto" w:sz="4" w:space="0"/>
            </w:tcBorders>
            <w:noWrap/>
            <w:vAlign w:val="center"/>
          </w:tcPr>
          <w:p w14:paraId="0EA571B2">
            <w:pPr>
              <w:jc w:val="center"/>
              <w:rPr>
                <w:rFonts w:ascii="宋体" w:hAnsi="宋体" w:cs="宋体"/>
                <w:b/>
                <w:sz w:val="24"/>
              </w:rPr>
            </w:pPr>
            <w:r>
              <w:rPr>
                <w:rFonts w:hint="eastAsia" w:ascii="宋体" w:hAnsi="宋体" w:cs="宋体"/>
                <w:b/>
                <w:sz w:val="24"/>
              </w:rPr>
              <w:t>分值</w:t>
            </w:r>
          </w:p>
        </w:tc>
        <w:tc>
          <w:tcPr>
            <w:tcW w:w="3269" w:type="pct"/>
            <w:tcBorders>
              <w:top w:val="single" w:color="auto" w:sz="4" w:space="0"/>
              <w:left w:val="nil"/>
              <w:bottom w:val="single" w:color="auto" w:sz="4" w:space="0"/>
              <w:right w:val="single" w:color="auto" w:sz="4" w:space="0"/>
            </w:tcBorders>
            <w:noWrap/>
            <w:vAlign w:val="center"/>
          </w:tcPr>
          <w:p w14:paraId="4481B64D">
            <w:pPr>
              <w:jc w:val="center"/>
              <w:rPr>
                <w:rFonts w:ascii="宋体" w:hAnsi="宋体" w:cs="宋体"/>
                <w:b/>
                <w:sz w:val="24"/>
              </w:rPr>
            </w:pPr>
            <w:r>
              <w:rPr>
                <w:rFonts w:hint="eastAsia" w:ascii="宋体" w:hAnsi="宋体" w:cs="宋体"/>
                <w:b/>
                <w:sz w:val="24"/>
              </w:rPr>
              <w:t>评分细则</w:t>
            </w:r>
          </w:p>
        </w:tc>
      </w:tr>
      <w:tr w14:paraId="67E23A14">
        <w:tblPrEx>
          <w:tblCellMar>
            <w:top w:w="0" w:type="dxa"/>
            <w:left w:w="108" w:type="dxa"/>
            <w:bottom w:w="0" w:type="dxa"/>
            <w:right w:w="108" w:type="dxa"/>
          </w:tblCellMar>
        </w:tblPrEx>
        <w:trPr>
          <w:trHeight w:val="454" w:hRule="atLeast"/>
        </w:trPr>
        <w:tc>
          <w:tcPr>
            <w:tcW w:w="461" w:type="pct"/>
            <w:tcBorders>
              <w:top w:val="nil"/>
              <w:left w:val="single" w:color="auto" w:sz="4" w:space="0"/>
              <w:bottom w:val="single" w:color="auto" w:sz="4" w:space="0"/>
              <w:right w:val="single" w:color="auto" w:sz="4" w:space="0"/>
            </w:tcBorders>
            <w:noWrap/>
            <w:vAlign w:val="center"/>
          </w:tcPr>
          <w:p w14:paraId="21344D5C">
            <w:pPr>
              <w:jc w:val="center"/>
              <w:rPr>
                <w:rFonts w:ascii="宋体" w:hAnsi="宋体" w:cs="宋体"/>
                <w:sz w:val="24"/>
              </w:rPr>
            </w:pPr>
            <w:r>
              <w:rPr>
                <w:rFonts w:hint="eastAsia" w:ascii="宋体" w:hAnsi="宋体" w:cs="宋体"/>
                <w:sz w:val="24"/>
              </w:rPr>
              <w:t>1</w:t>
            </w:r>
          </w:p>
        </w:tc>
        <w:tc>
          <w:tcPr>
            <w:tcW w:w="770" w:type="pct"/>
            <w:tcBorders>
              <w:top w:val="single" w:color="auto" w:sz="4" w:space="0"/>
              <w:left w:val="nil"/>
              <w:bottom w:val="single" w:color="auto" w:sz="4" w:space="0"/>
              <w:right w:val="single" w:color="auto" w:sz="4" w:space="0"/>
            </w:tcBorders>
            <w:noWrap/>
            <w:vAlign w:val="center"/>
          </w:tcPr>
          <w:p w14:paraId="64F2C557">
            <w:pPr>
              <w:jc w:val="center"/>
              <w:rPr>
                <w:rFonts w:ascii="宋体" w:hAnsi="宋体" w:cs="宋体"/>
                <w:sz w:val="24"/>
              </w:rPr>
            </w:pPr>
            <w:r>
              <w:rPr>
                <w:rFonts w:hint="eastAsia" w:ascii="宋体" w:hAnsi="宋体" w:cs="宋体"/>
                <w:sz w:val="24"/>
              </w:rPr>
              <w:t>投标报价</w:t>
            </w:r>
          </w:p>
        </w:tc>
        <w:tc>
          <w:tcPr>
            <w:tcW w:w="500" w:type="pct"/>
            <w:tcBorders>
              <w:top w:val="nil"/>
              <w:left w:val="nil"/>
              <w:bottom w:val="single" w:color="auto" w:sz="4" w:space="0"/>
              <w:right w:val="single" w:color="auto" w:sz="4" w:space="0"/>
            </w:tcBorders>
            <w:noWrap/>
            <w:vAlign w:val="center"/>
          </w:tcPr>
          <w:p w14:paraId="6C695391">
            <w:pPr>
              <w:jc w:val="center"/>
              <w:rPr>
                <w:rFonts w:ascii="宋体" w:hAnsi="宋体" w:cs="宋体"/>
                <w:sz w:val="24"/>
              </w:rPr>
            </w:pPr>
            <w:r>
              <w:rPr>
                <w:rFonts w:ascii="宋体" w:hAnsi="宋体" w:cs="宋体"/>
                <w:sz w:val="24"/>
              </w:rPr>
              <w:t>30</w:t>
            </w:r>
          </w:p>
        </w:tc>
        <w:tc>
          <w:tcPr>
            <w:tcW w:w="3269" w:type="pct"/>
            <w:tcBorders>
              <w:top w:val="nil"/>
              <w:left w:val="nil"/>
              <w:bottom w:val="single" w:color="auto" w:sz="4" w:space="0"/>
              <w:right w:val="single" w:color="auto" w:sz="4" w:space="0"/>
            </w:tcBorders>
            <w:noWrap/>
            <w:vAlign w:val="center"/>
          </w:tcPr>
          <w:p w14:paraId="34A92059">
            <w:pPr>
              <w:jc w:val="left"/>
              <w:rPr>
                <w:rFonts w:ascii="宋体" w:hAnsi="宋体" w:cs="宋体"/>
                <w:sz w:val="24"/>
              </w:rPr>
            </w:pPr>
            <w:r>
              <w:rPr>
                <w:rFonts w:hint="eastAsia" w:ascii="宋体" w:hAnsi="宋体" w:cs="宋体"/>
                <w:sz w:val="24"/>
              </w:rPr>
              <w:t>满足招标文件要求且投标价格最低的投标报价为评标基准价，其价格分为满分。其他投标人的价格分统一按照下列公式计算：</w:t>
            </w:r>
          </w:p>
          <w:p w14:paraId="0F2EC082">
            <w:pPr>
              <w:jc w:val="left"/>
              <w:rPr>
                <w:rFonts w:ascii="宋体" w:hAnsi="宋体" w:cs="宋体"/>
                <w:sz w:val="24"/>
              </w:rPr>
            </w:pPr>
            <w:r>
              <w:rPr>
                <w:rFonts w:hint="eastAsia" w:ascii="宋体" w:hAnsi="宋体" w:cs="宋体"/>
                <w:sz w:val="24"/>
              </w:rPr>
              <w:t>投标报价得分＝（评标基准价/投标报价）×分值。</w:t>
            </w:r>
          </w:p>
          <w:p w14:paraId="1AD811AA">
            <w:pPr>
              <w:jc w:val="left"/>
              <w:rPr>
                <w:rFonts w:ascii="宋体" w:hAnsi="宋体" w:cs="宋体"/>
                <w:sz w:val="24"/>
              </w:rPr>
            </w:pPr>
            <w:r>
              <w:rPr>
                <w:rFonts w:hint="eastAsia" w:ascii="宋体" w:hAnsi="宋体" w:cs="宋体"/>
                <w:sz w:val="24"/>
              </w:rPr>
              <w:t>注：此处投标报价指经过报价修正，及因落实政府采购政策进行价格调整后的报价，详见第四章《评标程序、评标方法和评标标准》2.4、2.5及2.6。</w:t>
            </w:r>
          </w:p>
        </w:tc>
      </w:tr>
    </w:tbl>
    <w:p w14:paraId="58B9F52E">
      <w:pPr>
        <w:pStyle w:val="26"/>
      </w:pPr>
      <w:r>
        <w:rPr>
          <w:rFonts w:hint="eastAsia"/>
        </w:rPr>
        <w:t>1.2商务部分</w:t>
      </w:r>
    </w:p>
    <w:tbl>
      <w:tblPr>
        <w:tblStyle w:val="27"/>
        <w:tblW w:w="4968" w:type="pct"/>
        <w:tblInd w:w="0" w:type="dxa"/>
        <w:tblLayout w:type="fixed"/>
        <w:tblCellMar>
          <w:top w:w="0" w:type="dxa"/>
          <w:left w:w="108" w:type="dxa"/>
          <w:bottom w:w="0" w:type="dxa"/>
          <w:right w:w="108" w:type="dxa"/>
        </w:tblCellMar>
      </w:tblPr>
      <w:tblGrid>
        <w:gridCol w:w="849"/>
        <w:gridCol w:w="1525"/>
        <w:gridCol w:w="710"/>
        <w:gridCol w:w="5384"/>
      </w:tblGrid>
      <w:tr w14:paraId="6FC36618">
        <w:tblPrEx>
          <w:tblCellMar>
            <w:top w:w="0" w:type="dxa"/>
            <w:left w:w="108" w:type="dxa"/>
            <w:bottom w:w="0" w:type="dxa"/>
            <w:right w:w="108" w:type="dxa"/>
          </w:tblCellMar>
        </w:tblPrEx>
        <w:trPr>
          <w:trHeight w:val="454" w:hRule="atLeast"/>
        </w:trPr>
        <w:tc>
          <w:tcPr>
            <w:tcW w:w="501" w:type="pct"/>
            <w:tcBorders>
              <w:top w:val="single" w:color="auto" w:sz="4" w:space="0"/>
              <w:left w:val="single" w:color="auto" w:sz="4" w:space="0"/>
              <w:bottom w:val="single" w:color="auto" w:sz="4" w:space="0"/>
              <w:right w:val="single" w:color="auto" w:sz="4" w:space="0"/>
            </w:tcBorders>
            <w:noWrap/>
            <w:vAlign w:val="center"/>
          </w:tcPr>
          <w:p w14:paraId="43D70BB1">
            <w:pPr>
              <w:jc w:val="center"/>
              <w:rPr>
                <w:rFonts w:ascii="宋体" w:hAnsi="宋体" w:cs="宋体"/>
                <w:b/>
                <w:sz w:val="24"/>
              </w:rPr>
            </w:pPr>
            <w:r>
              <w:rPr>
                <w:rFonts w:hint="eastAsia" w:ascii="宋体" w:hAnsi="宋体" w:cs="宋体"/>
                <w:b/>
                <w:sz w:val="24"/>
              </w:rPr>
              <w:t>序号</w:t>
            </w:r>
          </w:p>
        </w:tc>
        <w:tc>
          <w:tcPr>
            <w:tcW w:w="900" w:type="pct"/>
            <w:tcBorders>
              <w:top w:val="single" w:color="auto" w:sz="4" w:space="0"/>
              <w:left w:val="single" w:color="auto" w:sz="4" w:space="0"/>
              <w:bottom w:val="single" w:color="auto" w:sz="4" w:space="0"/>
              <w:right w:val="single" w:color="auto" w:sz="4" w:space="0"/>
            </w:tcBorders>
            <w:noWrap/>
            <w:vAlign w:val="center"/>
          </w:tcPr>
          <w:p w14:paraId="1487D9F2">
            <w:pPr>
              <w:jc w:val="center"/>
              <w:rPr>
                <w:rFonts w:ascii="宋体" w:hAnsi="宋体" w:cs="宋体"/>
                <w:b/>
                <w:sz w:val="24"/>
              </w:rPr>
            </w:pPr>
            <w:r>
              <w:rPr>
                <w:rFonts w:hint="eastAsia" w:ascii="宋体" w:hAnsi="宋体" w:cs="宋体"/>
                <w:b/>
                <w:sz w:val="24"/>
              </w:rPr>
              <w:t>评分因素</w:t>
            </w:r>
          </w:p>
        </w:tc>
        <w:tc>
          <w:tcPr>
            <w:tcW w:w="419" w:type="pct"/>
            <w:tcBorders>
              <w:top w:val="single" w:color="auto" w:sz="4" w:space="0"/>
              <w:left w:val="single" w:color="auto" w:sz="4" w:space="0"/>
              <w:bottom w:val="single" w:color="auto" w:sz="4" w:space="0"/>
              <w:right w:val="single" w:color="auto" w:sz="4" w:space="0"/>
            </w:tcBorders>
            <w:noWrap/>
            <w:vAlign w:val="center"/>
          </w:tcPr>
          <w:p w14:paraId="7E600B3A">
            <w:pPr>
              <w:jc w:val="center"/>
              <w:rPr>
                <w:rFonts w:ascii="宋体" w:hAnsi="宋体" w:cs="宋体"/>
                <w:b/>
                <w:sz w:val="24"/>
              </w:rPr>
            </w:pPr>
            <w:r>
              <w:rPr>
                <w:rFonts w:hint="eastAsia" w:ascii="宋体" w:hAnsi="宋体" w:cs="宋体"/>
                <w:b/>
                <w:sz w:val="24"/>
              </w:rPr>
              <w:t>分值</w:t>
            </w:r>
          </w:p>
        </w:tc>
        <w:tc>
          <w:tcPr>
            <w:tcW w:w="3178" w:type="pct"/>
            <w:tcBorders>
              <w:top w:val="single" w:color="auto" w:sz="4" w:space="0"/>
              <w:left w:val="single" w:color="auto" w:sz="4" w:space="0"/>
              <w:bottom w:val="single" w:color="auto" w:sz="4" w:space="0"/>
              <w:right w:val="single" w:color="auto" w:sz="4" w:space="0"/>
            </w:tcBorders>
            <w:noWrap/>
            <w:vAlign w:val="center"/>
          </w:tcPr>
          <w:p w14:paraId="1AD3E206">
            <w:pPr>
              <w:jc w:val="center"/>
              <w:rPr>
                <w:rFonts w:ascii="宋体" w:hAnsi="宋体" w:cs="宋体"/>
                <w:b/>
                <w:sz w:val="24"/>
              </w:rPr>
            </w:pPr>
            <w:r>
              <w:rPr>
                <w:rFonts w:hint="eastAsia" w:ascii="宋体" w:hAnsi="宋体" w:cs="宋体"/>
                <w:b/>
                <w:sz w:val="24"/>
              </w:rPr>
              <w:t>评分细则</w:t>
            </w:r>
          </w:p>
        </w:tc>
      </w:tr>
      <w:tr w14:paraId="3826B76E">
        <w:tblPrEx>
          <w:tblCellMar>
            <w:top w:w="0" w:type="dxa"/>
            <w:left w:w="108" w:type="dxa"/>
            <w:bottom w:w="0" w:type="dxa"/>
            <w:right w:w="108" w:type="dxa"/>
          </w:tblCellMar>
        </w:tblPrEx>
        <w:trPr>
          <w:trHeight w:val="454" w:hRule="atLeast"/>
        </w:trPr>
        <w:tc>
          <w:tcPr>
            <w:tcW w:w="501" w:type="pct"/>
            <w:tcBorders>
              <w:top w:val="single" w:color="auto" w:sz="4" w:space="0"/>
              <w:left w:val="single" w:color="auto" w:sz="4" w:space="0"/>
              <w:bottom w:val="single" w:color="auto" w:sz="4" w:space="0"/>
              <w:right w:val="single" w:color="auto" w:sz="4" w:space="0"/>
            </w:tcBorders>
            <w:noWrap/>
            <w:vAlign w:val="center"/>
          </w:tcPr>
          <w:p w14:paraId="46890D6C">
            <w:pPr>
              <w:jc w:val="center"/>
              <w:rPr>
                <w:rFonts w:ascii="宋体" w:hAnsi="宋体" w:cs="宋体"/>
                <w:sz w:val="24"/>
              </w:rPr>
            </w:pPr>
            <w:r>
              <w:rPr>
                <w:rFonts w:hint="eastAsia" w:ascii="宋体" w:hAnsi="宋体" w:cs="宋体"/>
                <w:sz w:val="24"/>
              </w:rPr>
              <w:t>1</w:t>
            </w:r>
          </w:p>
        </w:tc>
        <w:tc>
          <w:tcPr>
            <w:tcW w:w="900" w:type="pct"/>
            <w:tcBorders>
              <w:top w:val="single" w:color="auto" w:sz="4" w:space="0"/>
              <w:left w:val="single" w:color="auto" w:sz="4" w:space="0"/>
              <w:bottom w:val="single" w:color="auto" w:sz="4" w:space="0"/>
              <w:right w:val="single" w:color="auto" w:sz="4" w:space="0"/>
            </w:tcBorders>
            <w:noWrap/>
            <w:vAlign w:val="center"/>
          </w:tcPr>
          <w:p w14:paraId="7B636808">
            <w:pPr>
              <w:widowControl/>
              <w:jc w:val="center"/>
              <w:rPr>
                <w:rFonts w:ascii="宋体" w:hAnsi="宋体" w:cs="宋体"/>
                <w:sz w:val="24"/>
              </w:rPr>
            </w:pPr>
            <w:r>
              <w:rPr>
                <w:rFonts w:hint="eastAsia" w:ascii="宋体" w:hAnsi="宋体" w:cs="宋体"/>
                <w:sz w:val="24"/>
              </w:rPr>
              <w:t>业绩评价</w:t>
            </w:r>
          </w:p>
        </w:tc>
        <w:tc>
          <w:tcPr>
            <w:tcW w:w="419" w:type="pct"/>
            <w:tcBorders>
              <w:top w:val="single" w:color="auto" w:sz="4" w:space="0"/>
              <w:left w:val="single" w:color="auto" w:sz="4" w:space="0"/>
              <w:bottom w:val="single" w:color="auto" w:sz="4" w:space="0"/>
              <w:right w:val="single" w:color="auto" w:sz="4" w:space="0"/>
            </w:tcBorders>
            <w:noWrap/>
            <w:vAlign w:val="center"/>
          </w:tcPr>
          <w:p w14:paraId="3CE3D7FC">
            <w:pPr>
              <w:widowControl/>
              <w:jc w:val="center"/>
              <w:rPr>
                <w:rFonts w:ascii="宋体" w:hAnsi="宋体" w:cs="宋体"/>
                <w:sz w:val="24"/>
              </w:rPr>
            </w:pPr>
            <w:r>
              <w:rPr>
                <w:rFonts w:hint="eastAsia" w:ascii="宋体" w:hAnsi="宋体" w:cs="宋体"/>
                <w:sz w:val="24"/>
              </w:rPr>
              <w:t>5</w:t>
            </w:r>
          </w:p>
        </w:tc>
        <w:tc>
          <w:tcPr>
            <w:tcW w:w="3178" w:type="pct"/>
            <w:tcBorders>
              <w:top w:val="single" w:color="auto" w:sz="4" w:space="0"/>
              <w:left w:val="single" w:color="auto" w:sz="4" w:space="0"/>
              <w:bottom w:val="single" w:color="auto" w:sz="4" w:space="0"/>
              <w:right w:val="single" w:color="auto" w:sz="4" w:space="0"/>
            </w:tcBorders>
            <w:noWrap/>
            <w:vAlign w:val="center"/>
          </w:tcPr>
          <w:p w14:paraId="05103F85">
            <w:pPr>
              <w:widowControl/>
              <w:jc w:val="left"/>
              <w:rPr>
                <w:rFonts w:ascii="宋体" w:hAnsi="宋体" w:cs="宋体"/>
                <w:sz w:val="24"/>
              </w:rPr>
            </w:pPr>
            <w:r>
              <w:rPr>
                <w:rFonts w:hint="eastAsia" w:ascii="宋体" w:hAnsi="宋体" w:cs="宋体"/>
                <w:sz w:val="24"/>
              </w:rPr>
              <w:t>根据投标产品（本项目任一产品）近3年（2023年9月1日至今）在中国境内的销售业绩进行评审，每提供1个合格业绩得1分，最高得5分。</w:t>
            </w:r>
          </w:p>
          <w:p w14:paraId="3F78446A">
            <w:pPr>
              <w:widowControl/>
              <w:jc w:val="left"/>
              <w:rPr>
                <w:rFonts w:ascii="宋体" w:hAnsi="宋体" w:cs="宋体"/>
                <w:sz w:val="24"/>
              </w:rPr>
            </w:pPr>
            <w:r>
              <w:rPr>
                <w:rFonts w:hint="eastAsia" w:ascii="宋体" w:hAnsi="宋体" w:cs="宋体"/>
                <w:sz w:val="24"/>
              </w:rPr>
              <w:t>注：1.投标文件中应提供至少包含合同首页（显示合同签署主体）、合同主要内容（显示供货/服务内容）、合同签署页的合同复印件加盖投标单位公章，否则评标委员会不予认可。</w:t>
            </w:r>
          </w:p>
          <w:p w14:paraId="3AE5EABE">
            <w:pPr>
              <w:widowControl/>
              <w:jc w:val="left"/>
              <w:rPr>
                <w:rFonts w:ascii="宋体" w:hAnsi="宋体" w:cs="宋体"/>
                <w:sz w:val="24"/>
              </w:rPr>
            </w:pPr>
            <w:r>
              <w:rPr>
                <w:rFonts w:hint="eastAsia" w:ascii="宋体" w:hAnsi="宋体" w:cs="宋体"/>
                <w:sz w:val="24"/>
              </w:rPr>
              <w:t>2.销售给经销商或代理商的合同不予认可。</w:t>
            </w:r>
          </w:p>
          <w:p w14:paraId="1D4E1560">
            <w:pPr>
              <w:widowControl/>
              <w:jc w:val="left"/>
              <w:rPr>
                <w:rFonts w:ascii="宋体" w:hAnsi="宋体" w:cs="宋体"/>
                <w:sz w:val="24"/>
              </w:rPr>
            </w:pPr>
            <w:r>
              <w:rPr>
                <w:rFonts w:hint="eastAsia" w:ascii="宋体" w:hAnsi="宋体" w:cs="宋体"/>
                <w:sz w:val="24"/>
              </w:rPr>
              <w:t>3.日期以合同签署日期为准，未注明合同签署日期的不予认可。</w:t>
            </w:r>
          </w:p>
          <w:p w14:paraId="1A8ED5A9">
            <w:pPr>
              <w:widowControl/>
              <w:jc w:val="left"/>
            </w:pPr>
            <w:r>
              <w:rPr>
                <w:rFonts w:hint="eastAsia" w:ascii="宋体" w:hAnsi="宋体" w:cs="宋体"/>
                <w:sz w:val="24"/>
              </w:rPr>
              <w:t>4.投标产品指与所投产品同品牌的产品</w:t>
            </w:r>
          </w:p>
        </w:tc>
      </w:tr>
      <w:tr w14:paraId="78BA55B1">
        <w:tblPrEx>
          <w:tblCellMar>
            <w:top w:w="0" w:type="dxa"/>
            <w:left w:w="108" w:type="dxa"/>
            <w:bottom w:w="0" w:type="dxa"/>
            <w:right w:w="108" w:type="dxa"/>
          </w:tblCellMar>
        </w:tblPrEx>
        <w:trPr>
          <w:trHeight w:val="454" w:hRule="atLeast"/>
        </w:trPr>
        <w:tc>
          <w:tcPr>
            <w:tcW w:w="501" w:type="pct"/>
            <w:tcBorders>
              <w:top w:val="single" w:color="auto" w:sz="4" w:space="0"/>
              <w:left w:val="single" w:color="auto" w:sz="4" w:space="0"/>
              <w:bottom w:val="single" w:color="auto" w:sz="4" w:space="0"/>
              <w:right w:val="single" w:color="auto" w:sz="4" w:space="0"/>
            </w:tcBorders>
            <w:noWrap/>
            <w:vAlign w:val="center"/>
          </w:tcPr>
          <w:p w14:paraId="035268D5">
            <w:pPr>
              <w:jc w:val="center"/>
              <w:rPr>
                <w:rFonts w:ascii="宋体" w:hAnsi="宋体" w:cs="宋体"/>
                <w:sz w:val="24"/>
              </w:rPr>
            </w:pPr>
            <w:r>
              <w:rPr>
                <w:rFonts w:hint="eastAsia" w:ascii="宋体" w:hAnsi="宋体" w:cs="宋体"/>
                <w:sz w:val="24"/>
              </w:rPr>
              <w:t>2</w:t>
            </w:r>
          </w:p>
        </w:tc>
        <w:tc>
          <w:tcPr>
            <w:tcW w:w="900" w:type="pct"/>
            <w:tcBorders>
              <w:top w:val="single" w:color="auto" w:sz="4" w:space="0"/>
              <w:left w:val="single" w:color="auto" w:sz="4" w:space="0"/>
              <w:bottom w:val="single" w:color="auto" w:sz="4" w:space="0"/>
              <w:right w:val="single" w:color="auto" w:sz="4" w:space="0"/>
            </w:tcBorders>
            <w:noWrap/>
            <w:vAlign w:val="center"/>
          </w:tcPr>
          <w:p w14:paraId="14BB23CD">
            <w:pPr>
              <w:jc w:val="center"/>
              <w:rPr>
                <w:rFonts w:ascii="宋体" w:hAnsi="宋体" w:cs="宋体"/>
                <w:sz w:val="24"/>
              </w:rPr>
            </w:pPr>
            <w:r>
              <w:rPr>
                <w:rFonts w:hint="eastAsia" w:ascii="宋体" w:hAnsi="宋体" w:cs="宋体"/>
                <w:sz w:val="24"/>
              </w:rPr>
              <w:t>对招标文件商务条款的响应情况</w:t>
            </w:r>
          </w:p>
        </w:tc>
        <w:tc>
          <w:tcPr>
            <w:tcW w:w="419" w:type="pct"/>
            <w:tcBorders>
              <w:top w:val="single" w:color="auto" w:sz="4" w:space="0"/>
              <w:left w:val="single" w:color="auto" w:sz="4" w:space="0"/>
              <w:bottom w:val="single" w:color="auto" w:sz="4" w:space="0"/>
              <w:right w:val="single" w:color="auto" w:sz="4" w:space="0"/>
            </w:tcBorders>
            <w:noWrap/>
            <w:vAlign w:val="center"/>
          </w:tcPr>
          <w:p w14:paraId="6BD03FF8">
            <w:pPr>
              <w:jc w:val="center"/>
              <w:rPr>
                <w:rFonts w:ascii="宋体" w:hAnsi="宋体" w:cs="宋体"/>
                <w:sz w:val="24"/>
              </w:rPr>
            </w:pPr>
            <w:r>
              <w:rPr>
                <w:rFonts w:hint="eastAsia" w:ascii="宋体" w:hAnsi="宋体" w:cs="宋体"/>
                <w:sz w:val="24"/>
              </w:rPr>
              <w:t>3</w:t>
            </w:r>
          </w:p>
        </w:tc>
        <w:tc>
          <w:tcPr>
            <w:tcW w:w="3178" w:type="pct"/>
            <w:tcBorders>
              <w:top w:val="single" w:color="auto" w:sz="4" w:space="0"/>
              <w:left w:val="single" w:color="auto" w:sz="4" w:space="0"/>
              <w:bottom w:val="single" w:color="auto" w:sz="4" w:space="0"/>
              <w:right w:val="single" w:color="auto" w:sz="4" w:space="0"/>
            </w:tcBorders>
            <w:noWrap/>
            <w:vAlign w:val="center"/>
          </w:tcPr>
          <w:p w14:paraId="7907824D">
            <w:pPr>
              <w:jc w:val="left"/>
              <w:rPr>
                <w:rFonts w:ascii="宋体" w:hAnsi="宋体" w:cs="宋体"/>
                <w:sz w:val="24"/>
              </w:rPr>
            </w:pPr>
            <w:r>
              <w:rPr>
                <w:rFonts w:hint="eastAsia" w:ascii="宋体" w:hAnsi="宋体" w:cs="宋体"/>
                <w:sz w:val="24"/>
              </w:rPr>
              <w:t>根据投标人对招标文件商务条款的响应情况进行评审，全部满足招标文件商务条款（无负偏离）得3分，否则不得分。</w:t>
            </w:r>
          </w:p>
        </w:tc>
      </w:tr>
      <w:tr w14:paraId="08822603">
        <w:tblPrEx>
          <w:tblCellMar>
            <w:top w:w="0" w:type="dxa"/>
            <w:left w:w="108" w:type="dxa"/>
            <w:bottom w:w="0" w:type="dxa"/>
            <w:right w:w="108" w:type="dxa"/>
          </w:tblCellMar>
        </w:tblPrEx>
        <w:trPr>
          <w:trHeight w:val="454" w:hRule="atLeast"/>
        </w:trPr>
        <w:tc>
          <w:tcPr>
            <w:tcW w:w="501" w:type="pct"/>
            <w:tcBorders>
              <w:top w:val="single" w:color="auto" w:sz="4" w:space="0"/>
              <w:left w:val="single" w:color="auto" w:sz="4" w:space="0"/>
              <w:bottom w:val="single" w:color="auto" w:sz="4" w:space="0"/>
              <w:right w:val="single" w:color="auto" w:sz="4" w:space="0"/>
            </w:tcBorders>
            <w:noWrap/>
            <w:vAlign w:val="center"/>
          </w:tcPr>
          <w:p w14:paraId="2AA8EBB5">
            <w:pPr>
              <w:jc w:val="center"/>
              <w:rPr>
                <w:rFonts w:ascii="宋体" w:hAnsi="宋体" w:cs="宋体"/>
                <w:sz w:val="24"/>
              </w:rPr>
            </w:pPr>
            <w:r>
              <w:rPr>
                <w:rFonts w:hint="eastAsia" w:ascii="宋体" w:hAnsi="宋体" w:cs="宋体"/>
                <w:sz w:val="24"/>
              </w:rPr>
              <w:t>3</w:t>
            </w:r>
          </w:p>
        </w:tc>
        <w:tc>
          <w:tcPr>
            <w:tcW w:w="900" w:type="pct"/>
            <w:tcBorders>
              <w:top w:val="single" w:color="auto" w:sz="4" w:space="0"/>
              <w:left w:val="single" w:color="auto" w:sz="4" w:space="0"/>
              <w:bottom w:val="single" w:color="auto" w:sz="4" w:space="0"/>
              <w:right w:val="single" w:color="auto" w:sz="4" w:space="0"/>
            </w:tcBorders>
            <w:noWrap/>
            <w:vAlign w:val="center"/>
          </w:tcPr>
          <w:p w14:paraId="1E594D79">
            <w:pPr>
              <w:widowControl/>
              <w:jc w:val="center"/>
              <w:rPr>
                <w:rFonts w:ascii="宋体" w:hAnsi="宋体" w:cs="宋体"/>
                <w:sz w:val="24"/>
              </w:rPr>
            </w:pPr>
            <w:r>
              <w:rPr>
                <w:rFonts w:hint="eastAsia" w:ascii="宋体" w:hAnsi="宋体" w:cs="宋体"/>
                <w:sz w:val="24"/>
              </w:rPr>
              <w:t>环境标志产品</w:t>
            </w:r>
          </w:p>
        </w:tc>
        <w:tc>
          <w:tcPr>
            <w:tcW w:w="419" w:type="pct"/>
            <w:tcBorders>
              <w:top w:val="single" w:color="auto" w:sz="4" w:space="0"/>
              <w:left w:val="single" w:color="auto" w:sz="4" w:space="0"/>
              <w:bottom w:val="single" w:color="auto" w:sz="4" w:space="0"/>
              <w:right w:val="single" w:color="auto" w:sz="4" w:space="0"/>
            </w:tcBorders>
            <w:noWrap/>
            <w:vAlign w:val="center"/>
          </w:tcPr>
          <w:p w14:paraId="55C66E0F">
            <w:pPr>
              <w:widowControl/>
              <w:jc w:val="center"/>
              <w:rPr>
                <w:rFonts w:ascii="宋体" w:hAnsi="宋体" w:cs="宋体"/>
                <w:sz w:val="24"/>
              </w:rPr>
            </w:pPr>
            <w:r>
              <w:rPr>
                <w:rFonts w:hint="eastAsia" w:ascii="宋体" w:hAnsi="宋体" w:cs="宋体"/>
                <w:sz w:val="24"/>
              </w:rPr>
              <w:t>1</w:t>
            </w:r>
          </w:p>
        </w:tc>
        <w:tc>
          <w:tcPr>
            <w:tcW w:w="3178" w:type="pct"/>
            <w:tcBorders>
              <w:top w:val="single" w:color="auto" w:sz="4" w:space="0"/>
              <w:left w:val="single" w:color="auto" w:sz="4" w:space="0"/>
              <w:bottom w:val="single" w:color="auto" w:sz="4" w:space="0"/>
              <w:right w:val="single" w:color="auto" w:sz="4" w:space="0"/>
            </w:tcBorders>
            <w:noWrap/>
            <w:vAlign w:val="center"/>
          </w:tcPr>
          <w:p w14:paraId="6BF3FEB3">
            <w:pPr>
              <w:jc w:val="left"/>
              <w:rPr>
                <w:rFonts w:ascii="宋体" w:hAnsi="宋体" w:cs="宋体"/>
                <w:sz w:val="24"/>
              </w:rPr>
            </w:pPr>
            <w:r>
              <w:rPr>
                <w:rFonts w:hint="eastAsia" w:ascii="宋体" w:hAnsi="宋体" w:cs="宋体"/>
                <w:kern w:val="0"/>
                <w:sz w:val="24"/>
              </w:rPr>
              <w:t>采购人采购产品属于环境标志产品品目清单范围内，且投标人所投产品具有有效的环境标志产品认证证书，得1</w:t>
            </w:r>
            <w:r>
              <w:rPr>
                <w:rFonts w:ascii="宋体" w:hAnsi="宋体" w:cs="宋体"/>
                <w:kern w:val="0"/>
                <w:sz w:val="24"/>
              </w:rPr>
              <w:t>分。（注</w:t>
            </w:r>
            <w:r>
              <w:rPr>
                <w:rFonts w:hint="eastAsia" w:ascii="宋体" w:hAnsi="宋体" w:cs="宋体"/>
                <w:kern w:val="0"/>
                <w:sz w:val="24"/>
              </w:rPr>
              <w:t>：投标人应提供市场监管总局发布的参与实施政府采购环境标志产品认证机构名录中的认证机构颁发的处于有效期之内的环境标志产品认证证书电子件加盖投标单位公章，否则不予认可）</w:t>
            </w:r>
          </w:p>
        </w:tc>
      </w:tr>
      <w:tr w14:paraId="0F6719EF">
        <w:tblPrEx>
          <w:tblCellMar>
            <w:top w:w="0" w:type="dxa"/>
            <w:left w:w="108" w:type="dxa"/>
            <w:bottom w:w="0" w:type="dxa"/>
            <w:right w:w="108" w:type="dxa"/>
          </w:tblCellMar>
        </w:tblPrEx>
        <w:trPr>
          <w:trHeight w:val="454" w:hRule="atLeast"/>
        </w:trPr>
        <w:tc>
          <w:tcPr>
            <w:tcW w:w="501" w:type="pct"/>
            <w:tcBorders>
              <w:top w:val="single" w:color="auto" w:sz="4" w:space="0"/>
              <w:left w:val="single" w:color="auto" w:sz="4" w:space="0"/>
              <w:bottom w:val="single" w:color="auto" w:sz="4" w:space="0"/>
              <w:right w:val="single" w:color="auto" w:sz="4" w:space="0"/>
            </w:tcBorders>
            <w:noWrap/>
            <w:vAlign w:val="center"/>
          </w:tcPr>
          <w:p w14:paraId="449DE06F">
            <w:pPr>
              <w:jc w:val="center"/>
              <w:rPr>
                <w:rFonts w:ascii="宋体" w:hAnsi="宋体" w:cs="宋体"/>
                <w:sz w:val="24"/>
              </w:rPr>
            </w:pPr>
            <w:r>
              <w:rPr>
                <w:rFonts w:hint="eastAsia" w:ascii="宋体" w:hAnsi="宋体" w:cs="宋体"/>
                <w:sz w:val="24"/>
              </w:rPr>
              <w:t>4</w:t>
            </w:r>
          </w:p>
        </w:tc>
        <w:tc>
          <w:tcPr>
            <w:tcW w:w="900" w:type="pct"/>
            <w:tcBorders>
              <w:top w:val="single" w:color="auto" w:sz="4" w:space="0"/>
              <w:left w:val="single" w:color="auto" w:sz="4" w:space="0"/>
              <w:bottom w:val="single" w:color="auto" w:sz="4" w:space="0"/>
              <w:right w:val="single" w:color="auto" w:sz="4" w:space="0"/>
            </w:tcBorders>
            <w:noWrap/>
            <w:vAlign w:val="center"/>
          </w:tcPr>
          <w:p w14:paraId="7FF0921D">
            <w:pPr>
              <w:widowControl/>
              <w:jc w:val="center"/>
              <w:rPr>
                <w:rFonts w:ascii="宋体" w:hAnsi="宋体" w:cs="宋体"/>
                <w:sz w:val="24"/>
              </w:rPr>
            </w:pPr>
            <w:r>
              <w:rPr>
                <w:rFonts w:hint="eastAsia" w:ascii="宋体" w:hAnsi="宋体" w:cs="宋体"/>
                <w:sz w:val="24"/>
              </w:rPr>
              <w:t>节能产品</w:t>
            </w:r>
          </w:p>
        </w:tc>
        <w:tc>
          <w:tcPr>
            <w:tcW w:w="419" w:type="pct"/>
            <w:tcBorders>
              <w:top w:val="single" w:color="auto" w:sz="4" w:space="0"/>
              <w:left w:val="single" w:color="auto" w:sz="4" w:space="0"/>
              <w:bottom w:val="single" w:color="auto" w:sz="4" w:space="0"/>
              <w:right w:val="single" w:color="auto" w:sz="4" w:space="0"/>
            </w:tcBorders>
            <w:noWrap/>
            <w:vAlign w:val="center"/>
          </w:tcPr>
          <w:p w14:paraId="6C782AB1">
            <w:pPr>
              <w:widowControl/>
              <w:jc w:val="center"/>
              <w:rPr>
                <w:rFonts w:ascii="宋体" w:hAnsi="宋体" w:cs="宋体"/>
                <w:sz w:val="24"/>
              </w:rPr>
            </w:pPr>
            <w:r>
              <w:rPr>
                <w:rFonts w:hint="eastAsia" w:ascii="宋体" w:hAnsi="宋体" w:cs="宋体"/>
                <w:sz w:val="24"/>
              </w:rPr>
              <w:t>1</w:t>
            </w:r>
          </w:p>
        </w:tc>
        <w:tc>
          <w:tcPr>
            <w:tcW w:w="3178" w:type="pct"/>
            <w:tcBorders>
              <w:top w:val="single" w:color="auto" w:sz="4" w:space="0"/>
              <w:left w:val="single" w:color="auto" w:sz="4" w:space="0"/>
              <w:bottom w:val="single" w:color="auto" w:sz="4" w:space="0"/>
              <w:right w:val="single" w:color="auto" w:sz="4" w:space="0"/>
            </w:tcBorders>
            <w:noWrap/>
            <w:vAlign w:val="center"/>
          </w:tcPr>
          <w:p w14:paraId="2CDC0720">
            <w:pPr>
              <w:jc w:val="left"/>
              <w:rPr>
                <w:rFonts w:ascii="宋体" w:hAnsi="宋体" w:cs="宋体"/>
                <w:sz w:val="24"/>
              </w:rPr>
            </w:pPr>
            <w:r>
              <w:rPr>
                <w:rFonts w:hint="eastAsia" w:ascii="宋体" w:hAnsi="宋体" w:cs="宋体"/>
                <w:kern w:val="0"/>
                <w:sz w:val="24"/>
              </w:rPr>
              <w:t>采购人采购产品属于节能产品品目清单范围内，且投标人所投产品具有有效的节能产品认证证书，得1</w:t>
            </w:r>
            <w:r>
              <w:rPr>
                <w:rFonts w:ascii="宋体" w:hAnsi="宋体" w:cs="宋体"/>
                <w:kern w:val="0"/>
                <w:sz w:val="24"/>
              </w:rPr>
              <w:t>分。</w:t>
            </w:r>
            <w:r>
              <w:rPr>
                <w:rFonts w:hint="eastAsia" w:ascii="宋体" w:hAnsi="宋体" w:cs="宋体"/>
                <w:kern w:val="0"/>
                <w:sz w:val="24"/>
              </w:rPr>
              <w:t>（注：投标人应提供市场监管总局发布的参与实施政府采购节能产品认证机构名录中的认证机构颁发的处于有效期之内的节能产品认证证书电子件加盖投标单位公章，否则不予认可）</w:t>
            </w:r>
          </w:p>
        </w:tc>
      </w:tr>
    </w:tbl>
    <w:p w14:paraId="7E611C63">
      <w:pPr>
        <w:pStyle w:val="26"/>
      </w:pPr>
      <w:r>
        <w:rPr>
          <w:rFonts w:hint="eastAsia"/>
        </w:rPr>
        <w:t>1.3技术部分</w:t>
      </w:r>
    </w:p>
    <w:tbl>
      <w:tblPr>
        <w:tblStyle w:val="27"/>
        <w:tblW w:w="4964"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2"/>
        <w:gridCol w:w="1241"/>
        <w:gridCol w:w="755"/>
        <w:gridCol w:w="5664"/>
      </w:tblGrid>
      <w:tr w14:paraId="278A20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atLeast"/>
        </w:trPr>
        <w:tc>
          <w:tcPr>
            <w:tcW w:w="474" w:type="pct"/>
            <w:noWrap/>
            <w:vAlign w:val="center"/>
          </w:tcPr>
          <w:p w14:paraId="02F60C98">
            <w:pPr>
              <w:jc w:val="center"/>
              <w:rPr>
                <w:rFonts w:ascii="宋体" w:hAnsi="宋体" w:cs="宋体"/>
                <w:b/>
                <w:sz w:val="24"/>
              </w:rPr>
            </w:pPr>
            <w:r>
              <w:rPr>
                <w:rFonts w:hint="eastAsia" w:ascii="宋体" w:hAnsi="宋体" w:cs="宋体"/>
                <w:b/>
                <w:sz w:val="24"/>
              </w:rPr>
              <w:t>序号</w:t>
            </w:r>
          </w:p>
        </w:tc>
        <w:tc>
          <w:tcPr>
            <w:tcW w:w="733" w:type="pct"/>
            <w:noWrap/>
            <w:vAlign w:val="center"/>
          </w:tcPr>
          <w:p w14:paraId="0D925AF5">
            <w:pPr>
              <w:jc w:val="center"/>
              <w:rPr>
                <w:rFonts w:ascii="宋体" w:hAnsi="宋体" w:cs="宋体"/>
                <w:b/>
                <w:sz w:val="24"/>
              </w:rPr>
            </w:pPr>
            <w:r>
              <w:rPr>
                <w:rFonts w:hint="eastAsia" w:ascii="宋体" w:hAnsi="宋体" w:cs="宋体"/>
                <w:b/>
                <w:sz w:val="24"/>
              </w:rPr>
              <w:t>评分因素</w:t>
            </w:r>
          </w:p>
        </w:tc>
        <w:tc>
          <w:tcPr>
            <w:tcW w:w="446" w:type="pct"/>
            <w:noWrap/>
            <w:vAlign w:val="center"/>
          </w:tcPr>
          <w:p w14:paraId="744B0557">
            <w:pPr>
              <w:jc w:val="center"/>
              <w:rPr>
                <w:rFonts w:ascii="宋体" w:hAnsi="宋体" w:cs="宋体"/>
                <w:b/>
                <w:sz w:val="24"/>
              </w:rPr>
            </w:pPr>
            <w:r>
              <w:rPr>
                <w:rFonts w:hint="eastAsia" w:ascii="宋体" w:hAnsi="宋体" w:cs="宋体"/>
                <w:b/>
                <w:sz w:val="24"/>
              </w:rPr>
              <w:t>分值</w:t>
            </w:r>
          </w:p>
        </w:tc>
        <w:tc>
          <w:tcPr>
            <w:tcW w:w="3347" w:type="pct"/>
            <w:noWrap/>
            <w:vAlign w:val="center"/>
          </w:tcPr>
          <w:p w14:paraId="71E1D5E9">
            <w:pPr>
              <w:jc w:val="center"/>
              <w:rPr>
                <w:rFonts w:ascii="宋体" w:hAnsi="宋体" w:cs="宋体"/>
                <w:b/>
                <w:sz w:val="24"/>
              </w:rPr>
            </w:pPr>
            <w:r>
              <w:rPr>
                <w:rFonts w:hint="eastAsia" w:ascii="宋体" w:hAnsi="宋体" w:cs="宋体"/>
                <w:b/>
                <w:sz w:val="24"/>
              </w:rPr>
              <w:t>评分细则</w:t>
            </w:r>
          </w:p>
        </w:tc>
      </w:tr>
      <w:tr w14:paraId="65F3C6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74" w:type="pct"/>
            <w:noWrap/>
            <w:vAlign w:val="center"/>
          </w:tcPr>
          <w:p w14:paraId="072B766D">
            <w:pPr>
              <w:jc w:val="center"/>
              <w:rPr>
                <w:rFonts w:ascii="宋体" w:hAnsi="宋体" w:cs="宋体"/>
                <w:sz w:val="24"/>
              </w:rPr>
            </w:pPr>
            <w:r>
              <w:rPr>
                <w:rFonts w:hint="eastAsia" w:ascii="宋体" w:hAnsi="宋体" w:cs="宋体"/>
                <w:sz w:val="24"/>
              </w:rPr>
              <w:t>1</w:t>
            </w:r>
          </w:p>
        </w:tc>
        <w:tc>
          <w:tcPr>
            <w:tcW w:w="733" w:type="pct"/>
            <w:noWrap/>
            <w:vAlign w:val="center"/>
          </w:tcPr>
          <w:p w14:paraId="07342833">
            <w:pPr>
              <w:jc w:val="center"/>
              <w:rPr>
                <w:rFonts w:ascii="宋体" w:hAnsi="宋体" w:cs="宋体"/>
                <w:sz w:val="24"/>
              </w:rPr>
            </w:pPr>
            <w:r>
              <w:rPr>
                <w:rFonts w:hint="eastAsia" w:ascii="宋体" w:hAnsi="宋体" w:cs="宋体"/>
                <w:sz w:val="24"/>
              </w:rPr>
              <w:t>对采购需求的响应情况</w:t>
            </w:r>
          </w:p>
        </w:tc>
        <w:tc>
          <w:tcPr>
            <w:tcW w:w="446" w:type="pct"/>
            <w:noWrap/>
            <w:vAlign w:val="center"/>
          </w:tcPr>
          <w:p w14:paraId="37B2C72A">
            <w:pPr>
              <w:jc w:val="center"/>
              <w:rPr>
                <w:rFonts w:ascii="宋体" w:hAnsi="宋体" w:cs="宋体"/>
                <w:kern w:val="0"/>
                <w:sz w:val="24"/>
              </w:rPr>
            </w:pPr>
            <w:r>
              <w:rPr>
                <w:rFonts w:hint="eastAsia" w:ascii="宋体" w:hAnsi="宋体" w:cs="宋体"/>
                <w:kern w:val="0"/>
                <w:sz w:val="24"/>
              </w:rPr>
              <w:t>32</w:t>
            </w:r>
          </w:p>
        </w:tc>
        <w:tc>
          <w:tcPr>
            <w:tcW w:w="3347" w:type="pct"/>
            <w:noWrap/>
            <w:vAlign w:val="center"/>
          </w:tcPr>
          <w:p w14:paraId="556DBB04">
            <w:pPr>
              <w:jc w:val="left"/>
              <w:rPr>
                <w:rFonts w:ascii="宋体" w:hAnsi="宋体" w:cs="宋体"/>
                <w:sz w:val="24"/>
              </w:rPr>
            </w:pPr>
            <w:r>
              <w:rPr>
                <w:rFonts w:hint="eastAsia" w:ascii="宋体" w:hAnsi="宋体" w:cs="宋体"/>
                <w:sz w:val="24"/>
              </w:rPr>
              <w:t>投标人应对</w:t>
            </w:r>
            <w:bookmarkStart w:id="792" w:name="OLE_LINK17"/>
            <w:bookmarkStart w:id="793" w:name="OLE_LINK16"/>
            <w:r>
              <w:rPr>
                <w:rFonts w:hint="eastAsia" w:ascii="宋体" w:hAnsi="宋体" w:cs="宋体"/>
                <w:sz w:val="24"/>
              </w:rPr>
              <w:t>招标文件第五章《采购需求》“三、技术要求”中“（二）具体要求”</w:t>
            </w:r>
            <w:bookmarkEnd w:id="792"/>
            <w:bookmarkEnd w:id="793"/>
            <w:r>
              <w:rPr>
                <w:rFonts w:hint="eastAsia" w:ascii="宋体" w:hAnsi="宋体" w:cs="宋体"/>
                <w:sz w:val="24"/>
              </w:rPr>
              <w:t>项下的所有内容进行点对点应答，全部满足招标文件要求的得32分。一项“</w:t>
            </w:r>
            <w:r>
              <w:rPr>
                <w:rFonts w:hint="eastAsia" w:ascii="宋体" w:hAnsi="宋体" w:cs="宋体"/>
                <w:bCs/>
                <w:kern w:val="0"/>
                <w:sz w:val="24"/>
              </w:rPr>
              <w:t>▲</w:t>
            </w:r>
            <w:r>
              <w:rPr>
                <w:rFonts w:hint="eastAsia" w:ascii="宋体" w:hAnsi="宋体" w:cs="宋体"/>
                <w:sz w:val="24"/>
              </w:rPr>
              <w:t>”指标不满足招标文件要求扣0.5分；一项普通指标不满足招标文件要求扣0.01分。</w:t>
            </w:r>
          </w:p>
        </w:tc>
      </w:tr>
      <w:tr w14:paraId="704594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 w:hRule="atLeast"/>
        </w:trPr>
        <w:tc>
          <w:tcPr>
            <w:tcW w:w="474" w:type="pct"/>
            <w:noWrap/>
            <w:vAlign w:val="center"/>
          </w:tcPr>
          <w:p w14:paraId="4E312327">
            <w:pPr>
              <w:jc w:val="center"/>
              <w:rPr>
                <w:rFonts w:ascii="宋体" w:hAnsi="宋体" w:cs="宋体"/>
                <w:sz w:val="24"/>
              </w:rPr>
            </w:pPr>
            <w:r>
              <w:rPr>
                <w:rFonts w:hint="eastAsia" w:ascii="宋体" w:hAnsi="宋体" w:cs="宋体"/>
                <w:sz w:val="24"/>
              </w:rPr>
              <w:t>2</w:t>
            </w:r>
          </w:p>
        </w:tc>
        <w:tc>
          <w:tcPr>
            <w:tcW w:w="733" w:type="pct"/>
            <w:noWrap/>
            <w:vAlign w:val="center"/>
          </w:tcPr>
          <w:p w14:paraId="0874DD1C">
            <w:pPr>
              <w:widowControl/>
              <w:jc w:val="center"/>
              <w:rPr>
                <w:rFonts w:ascii="宋体" w:hAnsi="宋体"/>
                <w:sz w:val="24"/>
              </w:rPr>
            </w:pPr>
            <w:r>
              <w:rPr>
                <w:rFonts w:hint="eastAsia" w:ascii="宋体" w:hAnsi="宋体"/>
                <w:sz w:val="24"/>
              </w:rPr>
              <w:t>项目实施方案</w:t>
            </w:r>
          </w:p>
        </w:tc>
        <w:tc>
          <w:tcPr>
            <w:tcW w:w="446" w:type="pct"/>
            <w:noWrap/>
            <w:vAlign w:val="center"/>
          </w:tcPr>
          <w:p w14:paraId="0FA86DC7">
            <w:pPr>
              <w:widowControl/>
              <w:jc w:val="center"/>
              <w:rPr>
                <w:rFonts w:ascii="宋体" w:hAnsi="宋体"/>
                <w:sz w:val="24"/>
              </w:rPr>
            </w:pPr>
            <w:r>
              <w:rPr>
                <w:rFonts w:hint="eastAsia" w:ascii="宋体" w:hAnsi="宋体"/>
                <w:sz w:val="24"/>
              </w:rPr>
              <w:t>8</w:t>
            </w:r>
          </w:p>
        </w:tc>
        <w:tc>
          <w:tcPr>
            <w:tcW w:w="3347" w:type="pct"/>
            <w:noWrap/>
            <w:vAlign w:val="center"/>
          </w:tcPr>
          <w:p w14:paraId="22CB21AB">
            <w:pPr>
              <w:widowControl/>
              <w:jc w:val="left"/>
              <w:rPr>
                <w:rFonts w:ascii="宋体" w:hAnsi="宋体" w:cs="宋体"/>
                <w:sz w:val="24"/>
              </w:rPr>
            </w:pPr>
            <w:r>
              <w:rPr>
                <w:rFonts w:hint="eastAsia" w:ascii="宋体" w:hAnsi="宋体" w:cs="宋体"/>
                <w:sz w:val="24"/>
              </w:rPr>
              <w:t>对投标人提供的“项目实施方案”进行综合评审，方案内容包括但不限于：</w:t>
            </w:r>
          </w:p>
          <w:p w14:paraId="3D3C3E6B">
            <w:pPr>
              <w:widowControl/>
              <w:jc w:val="left"/>
              <w:rPr>
                <w:rFonts w:ascii="宋体" w:hAnsi="宋体" w:cs="宋体"/>
                <w:sz w:val="24"/>
              </w:rPr>
            </w:pPr>
            <w:r>
              <w:rPr>
                <w:rFonts w:hint="eastAsia" w:ascii="宋体" w:hAnsi="宋体" w:cs="宋体"/>
                <w:sz w:val="24"/>
              </w:rPr>
              <w:t>1.配送服务方案；</w:t>
            </w:r>
          </w:p>
          <w:p w14:paraId="7BD5A680">
            <w:pPr>
              <w:widowControl/>
              <w:jc w:val="left"/>
              <w:rPr>
                <w:rFonts w:ascii="宋体" w:hAnsi="宋体" w:cs="宋体"/>
                <w:sz w:val="24"/>
              </w:rPr>
            </w:pPr>
            <w:r>
              <w:rPr>
                <w:rFonts w:hint="eastAsia" w:ascii="宋体" w:hAnsi="宋体" w:cs="宋体"/>
                <w:sz w:val="24"/>
              </w:rPr>
              <w:t>2.项目拟派团队；</w:t>
            </w:r>
          </w:p>
          <w:p w14:paraId="6C4D2F66">
            <w:pPr>
              <w:widowControl/>
              <w:jc w:val="left"/>
              <w:rPr>
                <w:rFonts w:ascii="宋体" w:hAnsi="宋体" w:cs="宋体"/>
                <w:sz w:val="24"/>
              </w:rPr>
            </w:pPr>
            <w:r>
              <w:rPr>
                <w:rFonts w:hint="eastAsia" w:ascii="宋体" w:hAnsi="宋体" w:cs="宋体"/>
                <w:sz w:val="24"/>
              </w:rPr>
              <w:t>3.质量控制方案；</w:t>
            </w:r>
          </w:p>
          <w:p w14:paraId="5F893593">
            <w:pPr>
              <w:widowControl/>
              <w:jc w:val="left"/>
              <w:rPr>
                <w:rFonts w:ascii="宋体" w:hAnsi="宋体" w:cs="宋体"/>
                <w:sz w:val="24"/>
              </w:rPr>
            </w:pPr>
            <w:r>
              <w:rPr>
                <w:rFonts w:hint="eastAsia" w:ascii="宋体" w:hAnsi="宋体" w:cs="宋体"/>
                <w:sz w:val="24"/>
              </w:rPr>
              <w:t>4.验收服务方案。</w:t>
            </w:r>
          </w:p>
          <w:p w14:paraId="06F24376">
            <w:pPr>
              <w:widowControl/>
              <w:jc w:val="left"/>
              <w:rPr>
                <w:rFonts w:ascii="宋体" w:hAnsi="宋体" w:cs="宋体"/>
                <w:sz w:val="24"/>
              </w:rPr>
            </w:pPr>
            <w:r>
              <w:rPr>
                <w:rFonts w:hint="eastAsia" w:ascii="宋体" w:hAnsi="宋体" w:cs="宋体"/>
                <w:sz w:val="24"/>
              </w:rPr>
              <w:t>方案内容详细，专门针对本项目，符合采购需求和实际情况视为“符合”；</w:t>
            </w:r>
          </w:p>
          <w:p w14:paraId="59301D46">
            <w:pPr>
              <w:widowControl/>
              <w:jc w:val="left"/>
              <w:rPr>
                <w:rFonts w:ascii="宋体" w:hAnsi="宋体" w:cs="宋体"/>
                <w:sz w:val="24"/>
              </w:rPr>
            </w:pPr>
            <w:r>
              <w:rPr>
                <w:rFonts w:hint="eastAsia" w:ascii="宋体" w:hAnsi="宋体" w:cs="宋体"/>
                <w:sz w:val="24"/>
              </w:rPr>
              <w:t>方案内容属于通用类，非专门针对本项目，部分符合实际情况视为“部分符合”；</w:t>
            </w:r>
          </w:p>
          <w:p w14:paraId="4272BEA4">
            <w:pPr>
              <w:widowControl/>
              <w:jc w:val="left"/>
              <w:rPr>
                <w:rFonts w:ascii="宋体" w:hAnsi="宋体" w:cs="宋体"/>
                <w:sz w:val="24"/>
              </w:rPr>
            </w:pPr>
            <w:r>
              <w:rPr>
                <w:rFonts w:hint="eastAsia" w:ascii="宋体" w:hAnsi="宋体" w:cs="宋体"/>
                <w:sz w:val="24"/>
              </w:rPr>
              <w:t>方案内容简单，阐述内容无法满足项目需求，不符合实际情况或未提供视为“不符合”。</w:t>
            </w:r>
          </w:p>
          <w:p w14:paraId="396136ED">
            <w:pPr>
              <w:widowControl/>
              <w:jc w:val="left"/>
              <w:rPr>
                <w:rFonts w:ascii="宋体" w:hAnsi="宋体" w:cs="宋体"/>
                <w:sz w:val="24"/>
              </w:rPr>
            </w:pPr>
            <w:r>
              <w:rPr>
                <w:rFonts w:hint="eastAsia" w:ascii="宋体" w:hAnsi="宋体" w:cs="宋体"/>
                <w:sz w:val="24"/>
              </w:rPr>
              <w:t>以上每有一项“符合”得2分，每有一项“部分符合”得1分，“不符合”得0分，本项最高得8分。</w:t>
            </w:r>
          </w:p>
        </w:tc>
      </w:tr>
      <w:tr w14:paraId="4EA37E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 w:hRule="atLeast"/>
        </w:trPr>
        <w:tc>
          <w:tcPr>
            <w:tcW w:w="474" w:type="pct"/>
            <w:noWrap/>
            <w:vAlign w:val="center"/>
          </w:tcPr>
          <w:p w14:paraId="4DCD24C3">
            <w:pPr>
              <w:jc w:val="center"/>
              <w:rPr>
                <w:rFonts w:ascii="宋体" w:hAnsi="宋体" w:cs="宋体"/>
                <w:sz w:val="24"/>
              </w:rPr>
            </w:pPr>
            <w:r>
              <w:rPr>
                <w:rFonts w:hint="eastAsia" w:ascii="宋体" w:hAnsi="宋体" w:cs="宋体"/>
                <w:sz w:val="24"/>
              </w:rPr>
              <w:t>3</w:t>
            </w:r>
          </w:p>
        </w:tc>
        <w:tc>
          <w:tcPr>
            <w:tcW w:w="733" w:type="pct"/>
            <w:noWrap/>
            <w:vAlign w:val="center"/>
          </w:tcPr>
          <w:p w14:paraId="63FDA779">
            <w:pPr>
              <w:widowControl/>
              <w:jc w:val="left"/>
              <w:rPr>
                <w:rFonts w:ascii="宋体" w:hAnsi="宋体" w:cs="宋体"/>
                <w:sz w:val="24"/>
              </w:rPr>
            </w:pPr>
            <w:r>
              <w:rPr>
                <w:rFonts w:hint="eastAsia" w:ascii="宋体" w:hAnsi="宋体" w:cs="宋体"/>
                <w:color w:val="000000"/>
                <w:kern w:val="0"/>
                <w:sz w:val="24"/>
                <w:lang w:bidi="ar"/>
              </w:rPr>
              <w:t>应急预案</w:t>
            </w:r>
            <w:r>
              <w:rPr>
                <w:rFonts w:ascii="宋体" w:hAnsi="宋体" w:cs="宋体"/>
                <w:kern w:val="0"/>
                <w:sz w:val="24"/>
                <w:lang w:bidi="ar"/>
              </w:rPr>
              <w:t xml:space="preserve"> </w:t>
            </w:r>
          </w:p>
        </w:tc>
        <w:tc>
          <w:tcPr>
            <w:tcW w:w="735" w:type="dxa"/>
            <w:noWrap/>
            <w:vAlign w:val="center"/>
          </w:tcPr>
          <w:p w14:paraId="66183BFB">
            <w:pPr>
              <w:widowControl/>
              <w:jc w:val="center"/>
              <w:rPr>
                <w:rFonts w:ascii="宋体" w:hAnsi="宋体" w:cs="宋体"/>
                <w:sz w:val="24"/>
              </w:rPr>
            </w:pPr>
            <w:r>
              <w:rPr>
                <w:rFonts w:hint="eastAsia" w:ascii="宋体" w:hAnsi="宋体"/>
                <w:sz w:val="24"/>
              </w:rPr>
              <w:t>8</w:t>
            </w:r>
          </w:p>
        </w:tc>
        <w:tc>
          <w:tcPr>
            <w:tcW w:w="5514" w:type="dxa"/>
            <w:noWrap/>
            <w:vAlign w:val="center"/>
          </w:tcPr>
          <w:p w14:paraId="7C525A60">
            <w:pPr>
              <w:widowControl/>
              <w:jc w:val="left"/>
              <w:rPr>
                <w:rFonts w:ascii="宋体" w:hAnsi="宋体" w:cs="宋体"/>
                <w:sz w:val="24"/>
              </w:rPr>
            </w:pPr>
            <w:r>
              <w:rPr>
                <w:rFonts w:hint="eastAsia" w:ascii="宋体" w:hAnsi="宋体" w:cs="宋体"/>
                <w:sz w:val="24"/>
              </w:rPr>
              <w:t>对投标人提供的“</w:t>
            </w:r>
            <w:r>
              <w:rPr>
                <w:rFonts w:hint="eastAsia" w:ascii="宋体" w:hAnsi="宋体" w:cs="宋体"/>
                <w:color w:val="000000"/>
                <w:kern w:val="0"/>
                <w:sz w:val="24"/>
                <w:lang w:bidi="ar"/>
              </w:rPr>
              <w:t>应急预案</w:t>
            </w:r>
            <w:r>
              <w:rPr>
                <w:rFonts w:hint="eastAsia" w:ascii="宋体" w:hAnsi="宋体" w:cs="宋体"/>
                <w:sz w:val="24"/>
              </w:rPr>
              <w:t>”进行综合评审，方案内容包括但不限于：</w:t>
            </w:r>
          </w:p>
          <w:p w14:paraId="59BD9B01">
            <w:pPr>
              <w:widowControl/>
              <w:jc w:val="left"/>
              <w:rPr>
                <w:rFonts w:ascii="宋体" w:hAnsi="宋体" w:cs="宋体"/>
                <w:sz w:val="24"/>
              </w:rPr>
            </w:pPr>
            <w:r>
              <w:rPr>
                <w:rFonts w:hint="eastAsia" w:ascii="宋体" w:hAnsi="宋体" w:cs="宋体"/>
                <w:sz w:val="24"/>
              </w:rPr>
              <w:t>1.组织指挥与职责分工；</w:t>
            </w:r>
          </w:p>
          <w:p w14:paraId="69915D39">
            <w:pPr>
              <w:widowControl/>
              <w:jc w:val="left"/>
              <w:rPr>
                <w:rFonts w:ascii="宋体" w:hAnsi="宋体" w:cs="宋体"/>
                <w:sz w:val="24"/>
              </w:rPr>
            </w:pPr>
            <w:r>
              <w:rPr>
                <w:rFonts w:hint="eastAsia" w:ascii="宋体" w:hAnsi="宋体" w:cs="宋体"/>
                <w:sz w:val="24"/>
              </w:rPr>
              <w:t>2.物资调配与供应保障；</w:t>
            </w:r>
          </w:p>
          <w:p w14:paraId="493BF4A1">
            <w:pPr>
              <w:widowControl/>
              <w:jc w:val="left"/>
              <w:rPr>
                <w:rFonts w:ascii="宋体" w:hAnsi="宋体" w:cs="宋体"/>
                <w:sz w:val="24"/>
              </w:rPr>
            </w:pPr>
            <w:r>
              <w:rPr>
                <w:rFonts w:hint="eastAsia" w:ascii="宋体" w:hAnsi="宋体" w:cs="宋体"/>
                <w:sz w:val="24"/>
              </w:rPr>
              <w:t>3.人员防护与作业安全；</w:t>
            </w:r>
          </w:p>
          <w:p w14:paraId="427C7EEB">
            <w:pPr>
              <w:widowControl/>
              <w:jc w:val="left"/>
              <w:rPr>
                <w:rFonts w:ascii="宋体" w:hAnsi="宋体" w:cs="宋体"/>
                <w:sz w:val="24"/>
              </w:rPr>
            </w:pPr>
            <w:r>
              <w:rPr>
                <w:rFonts w:hint="eastAsia" w:ascii="宋体" w:hAnsi="宋体" w:cs="宋体"/>
                <w:sz w:val="24"/>
              </w:rPr>
              <w:t>4.应急演练与预案管理。</w:t>
            </w:r>
          </w:p>
          <w:p w14:paraId="7196B41C">
            <w:pPr>
              <w:widowControl/>
              <w:jc w:val="left"/>
              <w:rPr>
                <w:rFonts w:ascii="宋体" w:hAnsi="宋体" w:cs="宋体"/>
                <w:sz w:val="24"/>
              </w:rPr>
            </w:pPr>
            <w:r>
              <w:rPr>
                <w:rFonts w:hint="eastAsia" w:ascii="宋体" w:hAnsi="宋体" w:cs="宋体"/>
                <w:sz w:val="24"/>
              </w:rPr>
              <w:t>方案内容详细，专门针对本项目，符合采购需求和实际情况视为“符合”；</w:t>
            </w:r>
          </w:p>
          <w:p w14:paraId="46ACCC03">
            <w:pPr>
              <w:widowControl/>
              <w:jc w:val="left"/>
              <w:rPr>
                <w:rFonts w:ascii="宋体" w:hAnsi="宋体" w:cs="宋体"/>
                <w:sz w:val="24"/>
              </w:rPr>
            </w:pPr>
            <w:r>
              <w:rPr>
                <w:rFonts w:hint="eastAsia" w:ascii="宋体" w:hAnsi="宋体" w:cs="宋体"/>
                <w:sz w:val="24"/>
              </w:rPr>
              <w:t>方案内容属于通用类，非专门针对本项目，部分符合实际情况视为“部分符合”；</w:t>
            </w:r>
          </w:p>
          <w:p w14:paraId="3B8E765B">
            <w:pPr>
              <w:widowControl/>
              <w:jc w:val="left"/>
              <w:rPr>
                <w:rFonts w:ascii="宋体" w:hAnsi="宋体" w:cs="宋体"/>
                <w:sz w:val="24"/>
              </w:rPr>
            </w:pPr>
            <w:r>
              <w:rPr>
                <w:rFonts w:hint="eastAsia" w:ascii="宋体" w:hAnsi="宋体" w:cs="宋体"/>
                <w:sz w:val="24"/>
              </w:rPr>
              <w:t>方案内容简单，阐述内容无法满足项目需求，不符合实际情况或未提供视为“不符合”。</w:t>
            </w:r>
          </w:p>
          <w:p w14:paraId="410065B5">
            <w:pPr>
              <w:widowControl/>
              <w:jc w:val="left"/>
              <w:rPr>
                <w:rFonts w:ascii="宋体" w:hAnsi="宋体" w:cs="宋体"/>
                <w:sz w:val="24"/>
              </w:rPr>
            </w:pPr>
            <w:r>
              <w:rPr>
                <w:rFonts w:hint="eastAsia" w:ascii="宋体" w:hAnsi="宋体" w:cs="宋体"/>
                <w:sz w:val="24"/>
              </w:rPr>
              <w:t>以上每有一项“符合”得2分，每有一项“部分符合”得1分，“不符合”得0分，本项最高得8分。</w:t>
            </w:r>
          </w:p>
        </w:tc>
      </w:tr>
      <w:tr w14:paraId="292440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0" w:hRule="atLeast"/>
        </w:trPr>
        <w:tc>
          <w:tcPr>
            <w:tcW w:w="474" w:type="pct"/>
            <w:noWrap/>
            <w:vAlign w:val="center"/>
          </w:tcPr>
          <w:p w14:paraId="3FB737FB">
            <w:pPr>
              <w:jc w:val="center"/>
              <w:rPr>
                <w:rFonts w:ascii="宋体" w:hAnsi="宋体" w:cs="宋体"/>
                <w:sz w:val="24"/>
              </w:rPr>
            </w:pPr>
            <w:r>
              <w:rPr>
                <w:rFonts w:hint="eastAsia" w:ascii="宋体" w:hAnsi="宋体" w:cs="宋体"/>
                <w:sz w:val="24"/>
              </w:rPr>
              <w:t>4</w:t>
            </w:r>
          </w:p>
        </w:tc>
        <w:tc>
          <w:tcPr>
            <w:tcW w:w="1208" w:type="dxa"/>
            <w:noWrap/>
            <w:vAlign w:val="center"/>
          </w:tcPr>
          <w:p w14:paraId="0CF83C39">
            <w:pPr>
              <w:jc w:val="center"/>
              <w:rPr>
                <w:rFonts w:ascii="宋体" w:hAnsi="宋体"/>
                <w:sz w:val="24"/>
              </w:rPr>
            </w:pPr>
            <w:r>
              <w:rPr>
                <w:rFonts w:hint="eastAsia" w:ascii="宋体" w:hAnsi="宋体" w:cs="宋体"/>
                <w:kern w:val="0"/>
                <w:sz w:val="24"/>
              </w:rPr>
              <w:t>售后服务方案</w:t>
            </w:r>
          </w:p>
        </w:tc>
        <w:tc>
          <w:tcPr>
            <w:tcW w:w="735" w:type="dxa"/>
            <w:noWrap/>
            <w:vAlign w:val="center"/>
          </w:tcPr>
          <w:p w14:paraId="1F6187B3">
            <w:pPr>
              <w:jc w:val="center"/>
              <w:rPr>
                <w:rFonts w:ascii="宋体" w:hAnsi="宋体"/>
                <w:sz w:val="24"/>
              </w:rPr>
            </w:pPr>
            <w:r>
              <w:rPr>
                <w:rFonts w:hint="eastAsia" w:ascii="宋体" w:hAnsi="宋体" w:cs="宋体"/>
                <w:kern w:val="0"/>
                <w:sz w:val="24"/>
              </w:rPr>
              <w:t>6</w:t>
            </w:r>
          </w:p>
        </w:tc>
        <w:tc>
          <w:tcPr>
            <w:tcW w:w="5514" w:type="dxa"/>
            <w:noWrap/>
            <w:vAlign w:val="center"/>
          </w:tcPr>
          <w:p w14:paraId="0CDF487C">
            <w:pPr>
              <w:widowControl/>
              <w:rPr>
                <w:rFonts w:ascii="宋体" w:hAnsi="宋体" w:cs="宋体"/>
                <w:sz w:val="24"/>
              </w:rPr>
            </w:pPr>
            <w:r>
              <w:rPr>
                <w:rFonts w:hint="eastAsia" w:ascii="宋体" w:hAnsi="宋体" w:cs="宋体"/>
                <w:sz w:val="24"/>
              </w:rPr>
              <w:t>对</w:t>
            </w:r>
            <w:r>
              <w:rPr>
                <w:rFonts w:hint="eastAsia" w:cs="Arial" w:asciiTheme="minorEastAsia" w:hAnsiTheme="minorEastAsia" w:eastAsiaTheme="minorEastAsia"/>
                <w:sz w:val="24"/>
              </w:rPr>
              <w:t>投标人</w:t>
            </w:r>
            <w:r>
              <w:rPr>
                <w:rFonts w:hint="eastAsia" w:ascii="宋体" w:hAnsi="宋体" w:cs="宋体"/>
                <w:sz w:val="24"/>
              </w:rPr>
              <w:t>提供的“</w:t>
            </w:r>
            <w:r>
              <w:rPr>
                <w:rFonts w:hint="eastAsia" w:ascii="宋体" w:hAnsi="宋体" w:cs="宋体"/>
                <w:kern w:val="0"/>
                <w:sz w:val="24"/>
              </w:rPr>
              <w:t>售后服务方案</w:t>
            </w:r>
            <w:r>
              <w:rPr>
                <w:rFonts w:hint="eastAsia" w:ascii="宋体" w:hAnsi="宋体" w:cs="宋体"/>
                <w:sz w:val="24"/>
              </w:rPr>
              <w:t>”进行综合评审，内容包括：</w:t>
            </w:r>
          </w:p>
          <w:p w14:paraId="678EF01F">
            <w:pPr>
              <w:widowControl/>
              <w:jc w:val="left"/>
              <w:rPr>
                <w:rFonts w:ascii="宋体" w:hAnsi="宋体" w:cs="宋体"/>
                <w:sz w:val="24"/>
              </w:rPr>
            </w:pPr>
            <w:r>
              <w:rPr>
                <w:rFonts w:hint="eastAsia" w:ascii="宋体" w:hAnsi="宋体" w:cs="宋体"/>
                <w:sz w:val="24"/>
              </w:rPr>
              <w:t>1.售后服务承诺（售后响应及处理周期等）；</w:t>
            </w:r>
          </w:p>
          <w:p w14:paraId="0DCA076D">
            <w:pPr>
              <w:widowControl/>
              <w:jc w:val="left"/>
              <w:rPr>
                <w:rFonts w:ascii="宋体" w:hAnsi="宋体" w:cs="宋体"/>
                <w:sz w:val="24"/>
              </w:rPr>
            </w:pPr>
            <w:r>
              <w:rPr>
                <w:rFonts w:hint="eastAsia" w:ascii="宋体" w:hAnsi="宋体" w:cs="宋体"/>
                <w:sz w:val="24"/>
              </w:rPr>
              <w:t>2.售后服务保障措施；</w:t>
            </w:r>
          </w:p>
          <w:p w14:paraId="39CA35A1">
            <w:pPr>
              <w:widowControl/>
              <w:rPr>
                <w:rFonts w:ascii="宋体" w:hAnsi="宋体" w:cs="宋体"/>
                <w:sz w:val="24"/>
              </w:rPr>
            </w:pPr>
            <w:r>
              <w:rPr>
                <w:rFonts w:hint="eastAsia" w:ascii="宋体" w:hAnsi="宋体" w:cs="宋体"/>
                <w:sz w:val="24"/>
              </w:rPr>
              <w:t>3.售后人员配置及回访方案。</w:t>
            </w:r>
          </w:p>
          <w:p w14:paraId="6DF16870">
            <w:pPr>
              <w:widowControl/>
              <w:rPr>
                <w:rFonts w:ascii="宋体" w:hAnsi="宋体" w:cs="宋体"/>
                <w:sz w:val="24"/>
              </w:rPr>
            </w:pPr>
            <w:r>
              <w:rPr>
                <w:rFonts w:hint="eastAsia" w:ascii="宋体" w:hAnsi="宋体" w:cs="宋体"/>
                <w:sz w:val="24"/>
              </w:rPr>
              <w:t>方案内容详细，专门针对本项目，符合采购需求和实际情况视为“符合”；</w:t>
            </w:r>
          </w:p>
          <w:p w14:paraId="0E8F7288">
            <w:pPr>
              <w:widowControl/>
              <w:rPr>
                <w:rFonts w:ascii="宋体" w:hAnsi="宋体" w:cs="宋体"/>
                <w:sz w:val="24"/>
              </w:rPr>
            </w:pPr>
            <w:r>
              <w:rPr>
                <w:rFonts w:hint="eastAsia" w:ascii="宋体" w:hAnsi="宋体" w:cs="宋体"/>
                <w:sz w:val="24"/>
              </w:rPr>
              <w:t>方案内容属于通用类，非专门针对本项目，部分符合实际情况视为“部分符合”；</w:t>
            </w:r>
          </w:p>
          <w:p w14:paraId="766AF879">
            <w:pPr>
              <w:widowControl/>
              <w:rPr>
                <w:rFonts w:ascii="宋体" w:hAnsi="宋体" w:cs="宋体"/>
                <w:sz w:val="24"/>
              </w:rPr>
            </w:pPr>
            <w:r>
              <w:rPr>
                <w:rFonts w:hint="eastAsia" w:ascii="宋体" w:hAnsi="宋体" w:cs="宋体"/>
                <w:sz w:val="24"/>
              </w:rPr>
              <w:t>方案内容简单复制粘贴采购需求，阐述内容无法满足项目需求，不符合实际情况或未提供视为“不符合”。</w:t>
            </w:r>
          </w:p>
          <w:p w14:paraId="08C68D26">
            <w:pPr>
              <w:widowControl/>
              <w:rPr>
                <w:rFonts w:ascii="宋体" w:hAnsi="宋体" w:cs="宋体"/>
                <w:sz w:val="24"/>
              </w:rPr>
            </w:pPr>
            <w:r>
              <w:rPr>
                <w:rFonts w:hint="eastAsia" w:ascii="宋体" w:hAnsi="宋体" w:cs="宋体"/>
                <w:sz w:val="24"/>
              </w:rPr>
              <w:t>以上每有一项“符合”得2分，每有一项“部分符合”得1分，“不符合”得0分，最高6分。</w:t>
            </w:r>
          </w:p>
        </w:tc>
      </w:tr>
      <w:tr w14:paraId="2D1EDC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0" w:hRule="atLeast"/>
        </w:trPr>
        <w:tc>
          <w:tcPr>
            <w:tcW w:w="474" w:type="pct"/>
            <w:noWrap/>
            <w:vAlign w:val="center"/>
          </w:tcPr>
          <w:p w14:paraId="0E1A95CA">
            <w:pPr>
              <w:jc w:val="center"/>
              <w:rPr>
                <w:rFonts w:ascii="宋体" w:hAnsi="宋体" w:cs="宋体"/>
                <w:sz w:val="24"/>
              </w:rPr>
            </w:pPr>
            <w:r>
              <w:rPr>
                <w:rFonts w:hint="eastAsia" w:ascii="宋体" w:hAnsi="宋体" w:cs="宋体"/>
                <w:sz w:val="24"/>
              </w:rPr>
              <w:t>5</w:t>
            </w:r>
          </w:p>
        </w:tc>
        <w:tc>
          <w:tcPr>
            <w:tcW w:w="1208" w:type="dxa"/>
            <w:noWrap/>
            <w:vAlign w:val="center"/>
          </w:tcPr>
          <w:p w14:paraId="4325861D">
            <w:pPr>
              <w:widowControl/>
              <w:jc w:val="center"/>
              <w:rPr>
                <w:rFonts w:ascii="宋体" w:hAnsi="宋体"/>
                <w:sz w:val="24"/>
              </w:rPr>
            </w:pPr>
            <w:r>
              <w:rPr>
                <w:rFonts w:hint="eastAsia" w:ascii="宋体" w:hAnsi="宋体" w:cs="宋体"/>
                <w:sz w:val="24"/>
              </w:rPr>
              <w:t>培训方案</w:t>
            </w:r>
          </w:p>
        </w:tc>
        <w:tc>
          <w:tcPr>
            <w:tcW w:w="735" w:type="dxa"/>
            <w:noWrap/>
            <w:vAlign w:val="center"/>
          </w:tcPr>
          <w:p w14:paraId="3E56167C">
            <w:pPr>
              <w:widowControl/>
              <w:jc w:val="center"/>
              <w:rPr>
                <w:rFonts w:ascii="宋体" w:hAnsi="宋体"/>
                <w:sz w:val="24"/>
              </w:rPr>
            </w:pPr>
            <w:r>
              <w:rPr>
                <w:rFonts w:hint="eastAsia" w:ascii="宋体" w:hAnsi="宋体" w:cs="宋体"/>
                <w:kern w:val="0"/>
                <w:sz w:val="24"/>
              </w:rPr>
              <w:t>6</w:t>
            </w:r>
          </w:p>
        </w:tc>
        <w:tc>
          <w:tcPr>
            <w:tcW w:w="5514" w:type="dxa"/>
            <w:noWrap/>
            <w:vAlign w:val="center"/>
          </w:tcPr>
          <w:p w14:paraId="2D1A8274">
            <w:pPr>
              <w:widowControl/>
              <w:rPr>
                <w:rFonts w:ascii="宋体" w:hAnsi="宋体" w:cs="宋体"/>
                <w:sz w:val="24"/>
              </w:rPr>
            </w:pPr>
            <w:r>
              <w:rPr>
                <w:rFonts w:hint="eastAsia" w:ascii="宋体" w:hAnsi="宋体" w:cs="宋体"/>
                <w:sz w:val="24"/>
              </w:rPr>
              <w:t>对</w:t>
            </w:r>
            <w:r>
              <w:rPr>
                <w:rFonts w:hint="eastAsia" w:ascii="宋体" w:hAnsi="宋体" w:cs="Arial"/>
                <w:sz w:val="24"/>
              </w:rPr>
              <w:t>供应商</w:t>
            </w:r>
            <w:r>
              <w:rPr>
                <w:rFonts w:hint="eastAsia" w:ascii="宋体" w:hAnsi="宋体" w:cs="宋体"/>
                <w:sz w:val="24"/>
              </w:rPr>
              <w:t>提供的“培训方案”进行综合评审，内容包括：</w:t>
            </w:r>
          </w:p>
          <w:p w14:paraId="256BC9F1">
            <w:pPr>
              <w:widowControl/>
              <w:rPr>
                <w:rFonts w:ascii="宋体" w:hAnsi="宋体" w:cs="宋体"/>
                <w:sz w:val="24"/>
              </w:rPr>
            </w:pPr>
            <w:r>
              <w:rPr>
                <w:rFonts w:hint="eastAsia" w:ascii="宋体" w:hAnsi="宋体" w:cs="宋体"/>
                <w:sz w:val="24"/>
              </w:rPr>
              <w:t>1.培训的时间、培训方式、培训内容；</w:t>
            </w:r>
          </w:p>
          <w:p w14:paraId="01EB7D11">
            <w:pPr>
              <w:widowControl/>
              <w:rPr>
                <w:rFonts w:ascii="宋体" w:hAnsi="宋体" w:cs="宋体"/>
                <w:sz w:val="24"/>
              </w:rPr>
            </w:pPr>
            <w:r>
              <w:rPr>
                <w:rFonts w:hint="eastAsia" w:ascii="宋体" w:hAnsi="宋体" w:cs="宋体"/>
                <w:sz w:val="24"/>
              </w:rPr>
              <w:t>2.</w:t>
            </w:r>
            <w:r>
              <w:rPr>
                <w:rFonts w:ascii="宋体" w:hAnsi="宋体" w:cs="宋体"/>
                <w:sz w:val="24"/>
              </w:rPr>
              <w:t>培训师资与保障措施</w:t>
            </w:r>
            <w:r>
              <w:rPr>
                <w:rFonts w:hint="eastAsia" w:ascii="宋体" w:hAnsi="宋体" w:cs="宋体"/>
                <w:sz w:val="24"/>
              </w:rPr>
              <w:t>；</w:t>
            </w:r>
          </w:p>
          <w:p w14:paraId="5490254C">
            <w:pPr>
              <w:widowControl/>
              <w:rPr>
                <w:rFonts w:ascii="宋体" w:hAnsi="宋体" w:cs="宋体"/>
                <w:sz w:val="24"/>
              </w:rPr>
            </w:pPr>
            <w:r>
              <w:rPr>
                <w:rFonts w:hint="eastAsia" w:ascii="宋体" w:hAnsi="宋体" w:cs="宋体"/>
                <w:sz w:val="24"/>
              </w:rPr>
              <w:t>3.</w:t>
            </w:r>
            <w:r>
              <w:rPr>
                <w:rFonts w:ascii="宋体" w:hAnsi="宋体" w:cs="宋体"/>
                <w:sz w:val="24"/>
              </w:rPr>
              <w:t>培训效果评估及考核方案</w:t>
            </w:r>
            <w:r>
              <w:rPr>
                <w:rFonts w:hint="eastAsia" w:ascii="宋体" w:hAnsi="宋体" w:cs="宋体"/>
                <w:sz w:val="24"/>
              </w:rPr>
              <w:t>。</w:t>
            </w:r>
          </w:p>
          <w:p w14:paraId="0AD6836C">
            <w:pPr>
              <w:widowControl/>
              <w:rPr>
                <w:rFonts w:ascii="宋体" w:hAnsi="宋体" w:cs="宋体"/>
                <w:sz w:val="24"/>
              </w:rPr>
            </w:pPr>
            <w:r>
              <w:rPr>
                <w:rFonts w:hint="eastAsia" w:ascii="宋体" w:hAnsi="宋体" w:cs="宋体"/>
                <w:sz w:val="24"/>
              </w:rPr>
              <w:t>方案内容详细，专门针对本项目，符合采购需求和实际情况视为“符合”；</w:t>
            </w:r>
          </w:p>
          <w:p w14:paraId="0575FAE0">
            <w:pPr>
              <w:widowControl/>
              <w:rPr>
                <w:rFonts w:ascii="宋体" w:hAnsi="宋体" w:cs="宋体"/>
                <w:sz w:val="24"/>
              </w:rPr>
            </w:pPr>
            <w:r>
              <w:rPr>
                <w:rFonts w:hint="eastAsia" w:ascii="宋体" w:hAnsi="宋体" w:cs="宋体"/>
                <w:sz w:val="24"/>
              </w:rPr>
              <w:t>方案内容属于通用类，非专门针对本项目，部分符合实际情况视为“部分符合”；</w:t>
            </w:r>
          </w:p>
          <w:p w14:paraId="6DBA824A">
            <w:pPr>
              <w:widowControl/>
              <w:rPr>
                <w:rFonts w:ascii="宋体" w:hAnsi="宋体" w:cs="宋体"/>
                <w:sz w:val="24"/>
              </w:rPr>
            </w:pPr>
            <w:r>
              <w:rPr>
                <w:rFonts w:hint="eastAsia" w:ascii="宋体" w:hAnsi="宋体" w:cs="宋体"/>
                <w:sz w:val="24"/>
              </w:rPr>
              <w:t>方案内容简单，阐述内容无法满足项目需求，不符合实际情况或未提供视为“不符合”。</w:t>
            </w:r>
          </w:p>
          <w:p w14:paraId="0141B97A">
            <w:pPr>
              <w:widowControl/>
              <w:rPr>
                <w:rFonts w:ascii="宋体" w:hAnsi="宋体" w:cs="宋体"/>
                <w:sz w:val="24"/>
              </w:rPr>
            </w:pPr>
            <w:r>
              <w:rPr>
                <w:rFonts w:hint="eastAsia" w:ascii="宋体" w:hAnsi="宋体" w:cs="宋体"/>
                <w:sz w:val="24"/>
              </w:rPr>
              <w:t>以上每有一项“符合”得2分，每有一项“部分符合”得1分，“不符合”得</w:t>
            </w:r>
            <w:r>
              <w:rPr>
                <w:rFonts w:ascii="宋体" w:hAnsi="宋体" w:cs="宋体"/>
                <w:sz w:val="24"/>
              </w:rPr>
              <w:t>0</w:t>
            </w:r>
            <w:r>
              <w:rPr>
                <w:rFonts w:hint="eastAsia" w:ascii="宋体" w:hAnsi="宋体" w:cs="宋体"/>
                <w:sz w:val="24"/>
              </w:rPr>
              <w:t>分，本项最高得6分。</w:t>
            </w:r>
          </w:p>
        </w:tc>
      </w:tr>
    </w:tbl>
    <w:p w14:paraId="51D71A72">
      <w:pPr>
        <w:rPr>
          <w:rFonts w:ascii="宋体" w:hAnsi="宋体"/>
        </w:rPr>
      </w:pPr>
    </w:p>
    <w:p w14:paraId="0C1123A4">
      <w:pPr>
        <w:rPr>
          <w:rFonts w:ascii="宋体" w:hAnsi="宋体"/>
        </w:rPr>
      </w:pPr>
    </w:p>
    <w:p w14:paraId="31BDC444">
      <w:pPr>
        <w:pStyle w:val="23"/>
        <w:shd w:val="clear" w:color="auto" w:fill="FFFFFF"/>
        <w:spacing w:after="0" w:afterAutospacing="0" w:line="360" w:lineRule="auto"/>
        <w:jc w:val="center"/>
        <w:rPr>
          <w:sz w:val="28"/>
        </w:rPr>
      </w:pPr>
      <w:r>
        <w:rPr>
          <w:b/>
          <w:sz w:val="36"/>
          <w:szCs w:val="36"/>
        </w:rPr>
        <w:br w:type="page"/>
      </w:r>
      <w:r>
        <w:rPr>
          <w:rStyle w:val="30"/>
          <w:rFonts w:hint="eastAsia"/>
          <w:sz w:val="28"/>
          <w:shd w:val="clear" w:color="auto" w:fill="FFFFFF"/>
        </w:rPr>
        <w:t>中小企业划型标准规定</w:t>
      </w:r>
    </w:p>
    <w:p w14:paraId="18D03C89">
      <w:pPr>
        <w:pStyle w:val="21"/>
        <w:ind w:left="0" w:leftChars="0" w:firstLine="480" w:firstLineChars="200"/>
        <w:rPr>
          <w:rFonts w:ascii="宋体" w:hAnsi="宋体" w:cs="宋体"/>
          <w:sz w:val="24"/>
          <w:shd w:val="clear" w:color="auto" w:fill="FFFFFF"/>
        </w:rPr>
      </w:pPr>
      <w:r>
        <w:rPr>
          <w:rFonts w:hint="eastAsia" w:ascii="宋体" w:hAnsi="宋体" w:cs="宋体"/>
          <w:sz w:val="24"/>
          <w:shd w:val="clear" w:color="auto" w:fill="FFFFFF"/>
        </w:rPr>
        <w:t>一、根据《中华人民共和国中小企业促进法》和《国务院关于进一步促进中小企业发展的若干意见》(国发〔2009〕36号)，制定本规定。</w:t>
      </w:r>
    </w:p>
    <w:p w14:paraId="08CF8408">
      <w:pPr>
        <w:pStyle w:val="21"/>
        <w:ind w:left="0" w:leftChars="0" w:firstLine="480" w:firstLineChars="200"/>
        <w:rPr>
          <w:rFonts w:ascii="宋体" w:hAnsi="宋体" w:cs="宋体"/>
          <w:sz w:val="24"/>
          <w:shd w:val="clear" w:color="auto" w:fill="FFFFFF"/>
        </w:rPr>
      </w:pPr>
      <w:r>
        <w:rPr>
          <w:rFonts w:hint="eastAsia" w:ascii="宋体" w:hAnsi="宋体" w:cs="宋体"/>
          <w:sz w:val="24"/>
          <w:shd w:val="clear" w:color="auto" w:fill="FFFFFF"/>
        </w:rPr>
        <w:t>二、中小企业划分为中型、小型、微型三种类型，具体标准根据企业从业人员、营业收入、资产总额等指标，结合行业特点制定。</w:t>
      </w:r>
    </w:p>
    <w:p w14:paraId="49856573">
      <w:pPr>
        <w:pStyle w:val="21"/>
        <w:ind w:left="0" w:leftChars="0" w:firstLine="480" w:firstLineChars="200"/>
        <w:rPr>
          <w:rFonts w:ascii="宋体" w:hAnsi="宋体" w:cs="宋体"/>
          <w:sz w:val="24"/>
          <w:shd w:val="clear" w:color="auto" w:fill="FFFFFF"/>
        </w:rPr>
      </w:pPr>
      <w:r>
        <w:rPr>
          <w:rFonts w:hint="eastAsia" w:ascii="宋体" w:hAnsi="宋体" w:cs="宋体"/>
          <w:sz w:val="24"/>
          <w:shd w:val="clear" w:color="auto" w:fill="FFFFFF"/>
        </w:rPr>
        <w:t>三、本规定适用的行业包括：农、林、牧、渔业，工业（包括采矿业，制造业，电力、热力、燃气及水生产和供应业），建筑业，批发业，零售业，交通运输业（不含铁路运输业），仓储业，邮政业，住宿业，餐饮业，信息传输业（包括电信、互联网和相关服务），软件和信息技术服务业，房地产开发经营，物业管理，租赁和商务服务业，其他未列明行业（包括科学研究和技术服务业，水利、环境和公共设施管理业，居民服务、修理和其他服务业，社会工作，文化、体育和娱乐业等）。</w:t>
      </w:r>
    </w:p>
    <w:p w14:paraId="619CB928">
      <w:pPr>
        <w:pStyle w:val="21"/>
        <w:ind w:left="0" w:leftChars="0" w:firstLine="480" w:firstLineChars="200"/>
        <w:rPr>
          <w:rFonts w:ascii="宋体" w:hAnsi="宋体" w:cs="宋体"/>
          <w:sz w:val="24"/>
          <w:shd w:val="clear" w:color="auto" w:fill="FFFFFF"/>
        </w:rPr>
      </w:pPr>
      <w:r>
        <w:rPr>
          <w:rFonts w:hint="eastAsia" w:ascii="宋体" w:hAnsi="宋体" w:cs="宋体"/>
          <w:sz w:val="24"/>
          <w:shd w:val="clear" w:color="auto" w:fill="FFFFFF"/>
        </w:rPr>
        <w:t>四、各行业划型标准为：</w:t>
      </w:r>
    </w:p>
    <w:p w14:paraId="7CF4B862">
      <w:pPr>
        <w:pStyle w:val="21"/>
        <w:ind w:left="0" w:leftChars="0" w:firstLine="480" w:firstLineChars="200"/>
        <w:rPr>
          <w:rFonts w:ascii="宋体" w:hAnsi="宋体" w:cs="宋体"/>
          <w:sz w:val="24"/>
          <w:shd w:val="clear" w:color="auto" w:fill="FFFFFF"/>
        </w:rPr>
      </w:pPr>
      <w:r>
        <w:rPr>
          <w:rFonts w:hint="eastAsia" w:ascii="宋体" w:hAnsi="宋体" w:cs="宋体"/>
          <w:sz w:val="24"/>
          <w:shd w:val="clear" w:color="auto" w:fill="FFFFFF"/>
        </w:rPr>
        <w:t>（一）农、林、牧、渔业。营业收入20000万元以下的为中小微型企业。其中，营业收入500万元及以上的为中型企业，营业收入50万元及以上的为小型企业，营业收入50万元以下的为微型企业。</w:t>
      </w:r>
    </w:p>
    <w:p w14:paraId="79C538DE">
      <w:pPr>
        <w:pStyle w:val="21"/>
        <w:ind w:left="0" w:leftChars="0" w:firstLine="480" w:firstLineChars="200"/>
        <w:rPr>
          <w:rFonts w:ascii="宋体" w:hAnsi="宋体" w:cs="宋体"/>
          <w:sz w:val="24"/>
          <w:shd w:val="clear" w:color="auto" w:fill="FFFFFF"/>
        </w:rPr>
      </w:pPr>
      <w:r>
        <w:rPr>
          <w:rFonts w:hint="eastAsia" w:ascii="宋体" w:hAnsi="宋体" w:cs="宋体"/>
          <w:sz w:val="24"/>
          <w:shd w:val="clear" w:color="auto" w:fill="FFFFFF"/>
        </w:rPr>
        <w:t>（二）工业。从业人员1000人以下或营业收入40000万元以下的为中小微型企业。其中，从业人员300人及以上，且营业收入2000万元及以上的为中型企业；从业人员20人及以上，且营业收入300万元及以上的为小型企业；从业人员20人以下或营业收入300万元以下的为微型企业。</w:t>
      </w:r>
    </w:p>
    <w:p w14:paraId="5E15C072">
      <w:pPr>
        <w:pStyle w:val="21"/>
        <w:ind w:left="0" w:leftChars="0" w:firstLine="480" w:firstLineChars="200"/>
        <w:rPr>
          <w:rFonts w:ascii="宋体" w:hAnsi="宋体" w:cs="宋体"/>
          <w:sz w:val="24"/>
          <w:shd w:val="clear" w:color="auto" w:fill="FFFFFF"/>
        </w:rPr>
      </w:pPr>
      <w:r>
        <w:rPr>
          <w:rFonts w:hint="eastAsia" w:ascii="宋体" w:hAnsi="宋体" w:cs="宋体"/>
          <w:sz w:val="24"/>
          <w:shd w:val="clear" w:color="auto" w:fill="FFFFFF"/>
        </w:rPr>
        <w:t>（三）建筑业。营业收入80000万元以下或资产总额80000万元以下的为中小微型企业。其中，营业收入6000万元及以上，且资产总额5000万元及以上的为中型企业；营业收入300万元及以上，且资产总额300万元及以上的为小型企业；营业收入300万元以下或资产总额300万元以下的为微型企业。</w:t>
      </w:r>
    </w:p>
    <w:p w14:paraId="625433E7">
      <w:pPr>
        <w:pStyle w:val="21"/>
        <w:ind w:left="0" w:leftChars="0" w:firstLine="480" w:firstLineChars="200"/>
        <w:rPr>
          <w:rFonts w:ascii="宋体" w:hAnsi="宋体" w:cs="宋体"/>
          <w:sz w:val="24"/>
          <w:shd w:val="clear" w:color="auto" w:fill="FFFFFF"/>
        </w:rPr>
      </w:pPr>
      <w:r>
        <w:rPr>
          <w:rFonts w:hint="eastAsia" w:ascii="宋体" w:hAnsi="宋体" w:cs="宋体"/>
          <w:sz w:val="24"/>
          <w:shd w:val="clear" w:color="auto" w:fill="FFFFFF"/>
        </w:rPr>
        <w:t>（四）批发业。从业人员200人以下或营业收入40000万元以下的为中小微型企业。其中，从业人员20人及以上，且营业收入5000万元及以上的为中型企业；从业人员5人及以上，且营业收入1000万元及以上的为小型企业；从业人员5人以下或营业收入1000万元以下的为微型企业。</w:t>
      </w:r>
    </w:p>
    <w:p w14:paraId="0D18EBF7">
      <w:pPr>
        <w:pStyle w:val="21"/>
        <w:ind w:left="0" w:leftChars="0" w:firstLine="480" w:firstLineChars="200"/>
        <w:rPr>
          <w:rFonts w:ascii="宋体" w:hAnsi="宋体" w:cs="宋体"/>
          <w:sz w:val="24"/>
          <w:shd w:val="clear" w:color="auto" w:fill="FFFFFF"/>
        </w:rPr>
      </w:pPr>
      <w:r>
        <w:rPr>
          <w:rFonts w:hint="eastAsia" w:ascii="宋体" w:hAnsi="宋体" w:cs="宋体"/>
          <w:sz w:val="24"/>
          <w:shd w:val="clear" w:color="auto" w:fill="FFFFFF"/>
        </w:rPr>
        <w:t>（五）零售业。从业人员300人以下或营业收入20000万元以下的为中小微型企业。其中，从业人员50人及以上，且营业收入500万元及以上的为中型企业；从业人员10人及以上，且营业收入100万元及以上的为小型企业；从业人员10人以下或营业收入100万元以下的为微型企业。</w:t>
      </w:r>
    </w:p>
    <w:p w14:paraId="664B45EF">
      <w:pPr>
        <w:pStyle w:val="21"/>
        <w:ind w:left="0" w:leftChars="0" w:firstLine="480" w:firstLineChars="200"/>
        <w:rPr>
          <w:rFonts w:ascii="宋体" w:hAnsi="宋体" w:cs="宋体"/>
          <w:sz w:val="24"/>
          <w:shd w:val="clear" w:color="auto" w:fill="FFFFFF"/>
        </w:rPr>
      </w:pPr>
      <w:r>
        <w:rPr>
          <w:rFonts w:hint="eastAsia" w:ascii="宋体" w:hAnsi="宋体" w:cs="宋体"/>
          <w:sz w:val="24"/>
          <w:shd w:val="clear" w:color="auto" w:fill="FFFFFF"/>
        </w:rPr>
        <w:t>（六）交通运输业。从业人员1000人以下或营业收入30000万元以下的为中小微型企业。其中，从业人员300人及以上，且营业收入3000万元及以上的为中型企业；从业人员20人及以上，且营业收入200万元及以上的为小型企业；从业人员20人以下或营业收入200万元以下的为微型企业。</w:t>
      </w:r>
    </w:p>
    <w:p w14:paraId="54C23457">
      <w:pPr>
        <w:pStyle w:val="21"/>
        <w:ind w:left="0" w:leftChars="0" w:firstLine="480" w:firstLineChars="200"/>
        <w:rPr>
          <w:rFonts w:ascii="宋体" w:hAnsi="宋体" w:cs="宋体"/>
          <w:sz w:val="24"/>
          <w:shd w:val="clear" w:color="auto" w:fill="FFFFFF"/>
        </w:rPr>
      </w:pPr>
      <w:r>
        <w:rPr>
          <w:rFonts w:hint="eastAsia" w:ascii="宋体" w:hAnsi="宋体" w:cs="宋体"/>
          <w:sz w:val="24"/>
          <w:shd w:val="clear" w:color="auto" w:fill="FFFFFF"/>
        </w:rPr>
        <w:t>（七）仓储业。从业人员200人以下或营业收入30000万元以下的为中小微型企业。其中，从业人员100人及以上，且营业收入1000万元及以上的为中型企业；从业人员20人及以上，且营业收入100万元及以上的为小型企业；从业人员20人以下或营业收入100万元以下的为微型企业。</w:t>
      </w:r>
    </w:p>
    <w:p w14:paraId="4F184A1D">
      <w:pPr>
        <w:pStyle w:val="21"/>
        <w:ind w:left="0" w:leftChars="0" w:firstLine="480" w:firstLineChars="200"/>
        <w:rPr>
          <w:rFonts w:ascii="宋体" w:hAnsi="宋体" w:cs="宋体"/>
          <w:sz w:val="24"/>
          <w:shd w:val="clear" w:color="auto" w:fill="FFFFFF"/>
        </w:rPr>
      </w:pPr>
      <w:r>
        <w:rPr>
          <w:rFonts w:hint="eastAsia" w:ascii="宋体" w:hAnsi="宋体" w:cs="宋体"/>
          <w:sz w:val="24"/>
          <w:shd w:val="clear" w:color="auto" w:fill="FFFFFF"/>
        </w:rPr>
        <w:t>（八）邮政业。从业人员1000人以下或营业收入30000万元以下的为中小微型企业。其中，从业人员300人及以上，且营业收入2000万元及以上的为中型企业；从业人员20人及以上，且营业收入100万元及以上的为小型企业；从业人员20人以下或营业收入100万元以下的为微型企业。</w:t>
      </w:r>
    </w:p>
    <w:p w14:paraId="30C9C562">
      <w:pPr>
        <w:pStyle w:val="21"/>
        <w:ind w:left="0" w:leftChars="0" w:firstLine="480" w:firstLineChars="200"/>
        <w:rPr>
          <w:rFonts w:ascii="宋体" w:hAnsi="宋体" w:cs="宋体"/>
          <w:sz w:val="24"/>
          <w:shd w:val="clear" w:color="auto" w:fill="FFFFFF"/>
        </w:rPr>
      </w:pPr>
      <w:r>
        <w:rPr>
          <w:rFonts w:hint="eastAsia" w:ascii="宋体" w:hAnsi="宋体" w:cs="宋体"/>
          <w:sz w:val="24"/>
          <w:shd w:val="clear" w:color="auto" w:fill="FFFFFF"/>
        </w:rPr>
        <w:t>（九）住宿业。从业人员300人以下或营业收入10000万元以下的为中小微型企业。其中，从业人员100人及以上，且营业收入2000万元及以上的为中型企业；从业人员10人及以上，且营业收入100万元及以上的为小型企业；从业人员10人以下或营业收入100万元以下的为微型企业。</w:t>
      </w:r>
    </w:p>
    <w:p w14:paraId="67DE87AF">
      <w:pPr>
        <w:pStyle w:val="21"/>
        <w:ind w:left="0" w:leftChars="0" w:firstLine="480" w:firstLineChars="200"/>
        <w:rPr>
          <w:rFonts w:ascii="宋体" w:hAnsi="宋体" w:cs="宋体"/>
          <w:sz w:val="24"/>
          <w:shd w:val="clear" w:color="auto" w:fill="FFFFFF"/>
        </w:rPr>
      </w:pPr>
      <w:r>
        <w:rPr>
          <w:rFonts w:hint="eastAsia" w:ascii="宋体" w:hAnsi="宋体" w:cs="宋体"/>
          <w:sz w:val="24"/>
          <w:shd w:val="clear" w:color="auto" w:fill="FFFFFF"/>
        </w:rPr>
        <w:t>（十）餐饮业。从业人员300人以下或营业收入10000万元以下的为中小微型企业。其中，从业人员100人及以上，且营业收入2000万元及以上的为中型企业；从业人员10人及以上，且营业收入100万元及以上的为小型企业；从业人员10人以下或营业收入100万元以下的为微型企业。</w:t>
      </w:r>
    </w:p>
    <w:p w14:paraId="7088CDD3">
      <w:pPr>
        <w:pStyle w:val="21"/>
        <w:ind w:left="0" w:leftChars="0" w:firstLine="480" w:firstLineChars="200"/>
        <w:rPr>
          <w:rFonts w:ascii="宋体" w:hAnsi="宋体" w:cs="宋体"/>
          <w:sz w:val="24"/>
          <w:shd w:val="clear" w:color="auto" w:fill="FFFFFF"/>
        </w:rPr>
      </w:pPr>
      <w:r>
        <w:rPr>
          <w:rFonts w:hint="eastAsia" w:ascii="宋体" w:hAnsi="宋体" w:cs="宋体"/>
          <w:sz w:val="24"/>
          <w:shd w:val="clear" w:color="auto" w:fill="FFFFFF"/>
        </w:rPr>
        <w:t>（十一）信息传输业。从业人员2000人以下或营业收入100000万元以下的为中小微型企业。其中，从业人员100人及以上，且营业收入1000万元及以上的为中型企业；从业人员10人及以上，且营业收入100万元及以上的为小型企业；从业人员10人以下或营业收入100万元以下的为微型企业。</w:t>
      </w:r>
    </w:p>
    <w:p w14:paraId="31C0EAC4">
      <w:pPr>
        <w:pStyle w:val="21"/>
        <w:ind w:left="0" w:leftChars="0" w:firstLine="480" w:firstLineChars="200"/>
        <w:rPr>
          <w:rFonts w:ascii="宋体" w:hAnsi="宋体" w:cs="宋体"/>
          <w:sz w:val="24"/>
          <w:shd w:val="clear" w:color="auto" w:fill="FFFFFF"/>
        </w:rPr>
      </w:pPr>
      <w:r>
        <w:rPr>
          <w:rFonts w:hint="eastAsia" w:ascii="宋体" w:hAnsi="宋体" w:cs="宋体"/>
          <w:sz w:val="24"/>
          <w:shd w:val="clear" w:color="auto" w:fill="FFFFFF"/>
        </w:rPr>
        <w:t>（十二）软件和信息技术服务业。从业人员300人以下或营业收入10000万元以下的为中小微型企业。其中，从业人员100人及以上，且营业收入1000万元及以上的为中型企业；从业人员10人及以上，且营业收入50万元及以上的为小型企业；从业人员10人以下或营业收入50万元以下的为微型企业。</w:t>
      </w:r>
    </w:p>
    <w:p w14:paraId="5B792A03">
      <w:pPr>
        <w:pStyle w:val="21"/>
        <w:ind w:left="0" w:leftChars="0" w:firstLine="480" w:firstLineChars="200"/>
        <w:rPr>
          <w:rFonts w:ascii="宋体" w:hAnsi="宋体" w:cs="宋体"/>
          <w:sz w:val="24"/>
          <w:shd w:val="clear" w:color="auto" w:fill="FFFFFF"/>
        </w:rPr>
      </w:pPr>
      <w:r>
        <w:rPr>
          <w:rFonts w:hint="eastAsia" w:ascii="宋体" w:hAnsi="宋体" w:cs="宋体"/>
          <w:sz w:val="24"/>
          <w:shd w:val="clear" w:color="auto" w:fill="FFFFFF"/>
        </w:rPr>
        <w:t>（十三）房地产开发经营。营业收入200000万元以下或资产总额10000万元以下的为中小微型企业。其中，营业收入1000万元及以上，且资产总额5000万元及以上的为中型企业；营业收入100万元及以上，且资产总额2000万元及以上的为小型企业；营业收入100万元以下或资产总额2000万元以下的为微型企业。</w:t>
      </w:r>
    </w:p>
    <w:p w14:paraId="0C6F543C">
      <w:pPr>
        <w:pStyle w:val="21"/>
        <w:ind w:left="0" w:leftChars="0" w:firstLine="480" w:firstLineChars="200"/>
        <w:rPr>
          <w:rFonts w:ascii="宋体" w:hAnsi="宋体" w:cs="宋体"/>
          <w:sz w:val="24"/>
          <w:shd w:val="clear" w:color="auto" w:fill="FFFFFF"/>
        </w:rPr>
      </w:pPr>
      <w:r>
        <w:rPr>
          <w:rFonts w:hint="eastAsia" w:ascii="宋体" w:hAnsi="宋体" w:cs="宋体"/>
          <w:sz w:val="24"/>
          <w:shd w:val="clear" w:color="auto" w:fill="FFFFFF"/>
        </w:rPr>
        <w:t>（十四）物业管理。从业人员1000人以下或营业收入5000万元以下的为中小微型企业。其中，从业人员300人及以上，且营业收入1000万元及以上的为中型企业；从业人员100人及以上，且营业收入500万元及以上的为小型企业；从业人员100人以下或营业收入500万元以下的为微型企业。</w:t>
      </w:r>
    </w:p>
    <w:p w14:paraId="48299661">
      <w:pPr>
        <w:pStyle w:val="21"/>
        <w:ind w:left="0" w:leftChars="0" w:firstLine="480" w:firstLineChars="200"/>
        <w:rPr>
          <w:rFonts w:ascii="宋体" w:hAnsi="宋体" w:cs="宋体"/>
          <w:sz w:val="24"/>
          <w:shd w:val="clear" w:color="auto" w:fill="FFFFFF"/>
        </w:rPr>
      </w:pPr>
      <w:r>
        <w:rPr>
          <w:rFonts w:hint="eastAsia" w:ascii="宋体" w:hAnsi="宋体" w:cs="宋体"/>
          <w:sz w:val="24"/>
          <w:shd w:val="clear" w:color="auto" w:fill="FFFFFF"/>
        </w:rPr>
        <w:t>（十五）租赁和商务服务业。从业人员300人以下或资产总额120000万元以下的为中小微型企业。其中，从业人员100人及以上，且资产总额8000万元及以上的为中型企业；从业人员10人及以上，且资产总额100万元及以上的为小型企业；从业人员10人以下或资产总额100万元以下的为微型企业。</w:t>
      </w:r>
    </w:p>
    <w:p w14:paraId="249A3127">
      <w:pPr>
        <w:pStyle w:val="21"/>
        <w:ind w:left="0" w:leftChars="0" w:firstLine="480" w:firstLineChars="200"/>
        <w:rPr>
          <w:rFonts w:ascii="宋体" w:hAnsi="宋体" w:cs="宋体"/>
          <w:sz w:val="24"/>
          <w:shd w:val="clear" w:color="auto" w:fill="FFFFFF"/>
        </w:rPr>
      </w:pPr>
      <w:r>
        <w:rPr>
          <w:rFonts w:hint="eastAsia" w:ascii="宋体" w:hAnsi="宋体" w:cs="宋体"/>
          <w:sz w:val="24"/>
          <w:shd w:val="clear" w:color="auto" w:fill="FFFFFF"/>
        </w:rPr>
        <w:t>（十六）其他未列明行业。从业人员300人以下的为中小微型企业。其中，从业人员100人及以上的为中型企业；从业人员10人及以上的为小型企业；从业人员10人以下的为微型企业。</w:t>
      </w:r>
    </w:p>
    <w:p w14:paraId="6D16FBFE">
      <w:pPr>
        <w:pStyle w:val="21"/>
        <w:ind w:left="0" w:leftChars="0" w:firstLine="480" w:firstLineChars="200"/>
        <w:rPr>
          <w:rFonts w:ascii="宋体" w:hAnsi="宋体" w:cs="宋体"/>
          <w:sz w:val="24"/>
          <w:shd w:val="clear" w:color="auto" w:fill="FFFFFF"/>
        </w:rPr>
      </w:pPr>
      <w:r>
        <w:rPr>
          <w:rFonts w:hint="eastAsia" w:ascii="宋体" w:hAnsi="宋体" w:cs="宋体"/>
          <w:sz w:val="24"/>
          <w:shd w:val="clear" w:color="auto" w:fill="FFFFFF"/>
        </w:rPr>
        <w:t>五、企业类型的划分以统计部门的统计数据为依据。</w:t>
      </w:r>
    </w:p>
    <w:p w14:paraId="0DE843E8">
      <w:pPr>
        <w:pStyle w:val="21"/>
        <w:ind w:left="0" w:leftChars="0" w:firstLine="480" w:firstLineChars="200"/>
        <w:rPr>
          <w:rFonts w:ascii="宋体" w:hAnsi="宋体" w:cs="宋体"/>
          <w:sz w:val="24"/>
          <w:shd w:val="clear" w:color="auto" w:fill="FFFFFF"/>
        </w:rPr>
      </w:pPr>
      <w:r>
        <w:rPr>
          <w:rFonts w:hint="eastAsia" w:ascii="宋体" w:hAnsi="宋体" w:cs="宋体"/>
          <w:sz w:val="24"/>
          <w:shd w:val="clear" w:color="auto" w:fill="FFFFFF"/>
        </w:rPr>
        <w:t>六、本规定适用于在中华人民共和国境内依法设立的各类所有制和各种组织形式的企业。个体工商户和本规定以外的行业，参照本规定进行划型。</w:t>
      </w:r>
    </w:p>
    <w:p w14:paraId="290D7FBE">
      <w:pPr>
        <w:pStyle w:val="21"/>
        <w:ind w:left="0" w:leftChars="0" w:firstLine="480" w:firstLineChars="200"/>
        <w:rPr>
          <w:rFonts w:ascii="宋体" w:hAnsi="宋体" w:cs="宋体"/>
          <w:sz w:val="24"/>
          <w:shd w:val="clear" w:color="auto" w:fill="FFFFFF"/>
        </w:rPr>
      </w:pPr>
      <w:r>
        <w:rPr>
          <w:rFonts w:hint="eastAsia" w:ascii="宋体" w:hAnsi="宋体" w:cs="宋体"/>
          <w:sz w:val="24"/>
          <w:shd w:val="clear" w:color="auto" w:fill="FFFFFF"/>
        </w:rPr>
        <w:t>七、本规定的中型企业标准上限即为大型企业标准的下限，国家统计部门据此制定大中小微型企业的统计分类。国务院有关部门据此进行相关数据分析，不得制定与本规定不一致的企业划型标准。</w:t>
      </w:r>
    </w:p>
    <w:p w14:paraId="4FA2405C">
      <w:pPr>
        <w:pStyle w:val="21"/>
        <w:ind w:left="0" w:leftChars="0" w:firstLine="480" w:firstLineChars="200"/>
        <w:rPr>
          <w:rFonts w:ascii="宋体" w:hAnsi="宋体" w:cs="宋体"/>
          <w:sz w:val="24"/>
          <w:shd w:val="clear" w:color="auto" w:fill="FFFFFF"/>
        </w:rPr>
      </w:pPr>
      <w:r>
        <w:rPr>
          <w:rFonts w:hint="eastAsia" w:ascii="宋体" w:hAnsi="宋体" w:cs="宋体"/>
          <w:sz w:val="24"/>
          <w:shd w:val="clear" w:color="auto" w:fill="FFFFFF"/>
        </w:rPr>
        <w:t>八、本规定由工业和信息化部、国家统计局会同有关部门根据《国民经济行业分类》修订情况和企业发展变化情况适时修订。</w:t>
      </w:r>
    </w:p>
    <w:p w14:paraId="60938DF8">
      <w:pPr>
        <w:pStyle w:val="21"/>
        <w:ind w:left="0" w:leftChars="0" w:firstLine="480" w:firstLineChars="200"/>
        <w:rPr>
          <w:rFonts w:ascii="宋体" w:hAnsi="宋体" w:cs="宋体"/>
          <w:sz w:val="24"/>
          <w:shd w:val="clear" w:color="auto" w:fill="FFFFFF"/>
        </w:rPr>
      </w:pPr>
      <w:r>
        <w:rPr>
          <w:rFonts w:hint="eastAsia" w:ascii="宋体" w:hAnsi="宋体" w:cs="宋体"/>
          <w:sz w:val="24"/>
          <w:shd w:val="clear" w:color="auto" w:fill="FFFFFF"/>
        </w:rPr>
        <w:t>九、本规定由工业和信息化部、国家统计局会同有关部门负责解释。</w:t>
      </w:r>
    </w:p>
    <w:p w14:paraId="3ADCAE13">
      <w:pPr>
        <w:pStyle w:val="21"/>
        <w:rPr>
          <w:rFonts w:ascii="宋体" w:hAnsi="宋体"/>
        </w:rPr>
      </w:pPr>
      <w:r>
        <w:rPr>
          <w:rFonts w:hint="eastAsia" w:ascii="宋体" w:hAnsi="宋体" w:cs="宋体"/>
          <w:sz w:val="24"/>
          <w:shd w:val="clear" w:color="auto" w:fill="FFFFFF"/>
        </w:rPr>
        <w:t>十、本规定自发布之日起执行，原国家经贸委、原国家计委、财政部和国家统计局2003年颁布的《中小企业标准暂行规定》同时废止。</w:t>
      </w:r>
    </w:p>
    <w:p w14:paraId="6A578F3B">
      <w:pPr>
        <w:rPr>
          <w:rFonts w:ascii="宋体" w:hAnsi="宋体"/>
          <w:b/>
          <w:sz w:val="36"/>
          <w:szCs w:val="36"/>
        </w:rPr>
      </w:pPr>
      <w:r>
        <w:rPr>
          <w:rFonts w:ascii="宋体" w:hAnsi="宋体"/>
          <w:b/>
          <w:sz w:val="36"/>
          <w:szCs w:val="36"/>
        </w:rPr>
        <w:br w:type="page"/>
      </w:r>
    </w:p>
    <w:p w14:paraId="00814C1B">
      <w:pPr>
        <w:spacing w:line="360" w:lineRule="auto"/>
        <w:jc w:val="center"/>
        <w:outlineLvl w:val="0"/>
        <w:rPr>
          <w:rFonts w:ascii="宋体" w:hAnsi="宋体"/>
          <w:b/>
          <w:sz w:val="36"/>
          <w:szCs w:val="36"/>
        </w:rPr>
      </w:pPr>
      <w:bookmarkStart w:id="794" w:name="_Toc19502"/>
      <w:r>
        <w:rPr>
          <w:rFonts w:ascii="宋体" w:hAnsi="宋体"/>
          <w:b/>
          <w:sz w:val="36"/>
          <w:szCs w:val="36"/>
        </w:rPr>
        <w:t>第五章</w:t>
      </w:r>
      <w:r>
        <w:rPr>
          <w:rFonts w:hint="eastAsia" w:ascii="宋体" w:hAnsi="宋体"/>
          <w:b/>
          <w:sz w:val="36"/>
          <w:szCs w:val="36"/>
        </w:rPr>
        <w:t xml:space="preserve">  </w:t>
      </w:r>
      <w:r>
        <w:rPr>
          <w:rFonts w:ascii="宋体" w:hAnsi="宋体"/>
          <w:b/>
          <w:sz w:val="36"/>
          <w:szCs w:val="36"/>
        </w:rPr>
        <w:t>采购需求</w:t>
      </w:r>
      <w:bookmarkEnd w:id="794"/>
    </w:p>
    <w:p w14:paraId="6FA34972">
      <w:pPr>
        <w:pStyle w:val="42"/>
        <w:numPr>
          <w:ilvl w:val="0"/>
          <w:numId w:val="7"/>
        </w:numPr>
        <w:spacing w:line="360" w:lineRule="auto"/>
        <w:ind w:firstLineChars="0"/>
        <w:contextualSpacing/>
        <w:rPr>
          <w:rFonts w:ascii="宋体" w:hAnsi="宋体" w:cs="宋体"/>
          <w:b/>
          <w:sz w:val="24"/>
          <w:szCs w:val="24"/>
        </w:rPr>
      </w:pPr>
      <w:r>
        <w:rPr>
          <w:rFonts w:hint="eastAsia" w:ascii="宋体" w:hAnsi="宋体" w:cs="宋体"/>
          <w:b/>
          <w:sz w:val="24"/>
          <w:szCs w:val="24"/>
        </w:rPr>
        <w:t>采购标的</w:t>
      </w:r>
    </w:p>
    <w:tbl>
      <w:tblPr>
        <w:tblStyle w:val="27"/>
        <w:tblW w:w="8986" w:type="dxa"/>
        <w:jc w:val="center"/>
        <w:tblLayout w:type="autofit"/>
        <w:tblCellMar>
          <w:top w:w="0" w:type="dxa"/>
          <w:left w:w="108" w:type="dxa"/>
          <w:bottom w:w="0" w:type="dxa"/>
          <w:right w:w="108" w:type="dxa"/>
        </w:tblCellMar>
      </w:tblPr>
      <w:tblGrid>
        <w:gridCol w:w="624"/>
        <w:gridCol w:w="2977"/>
        <w:gridCol w:w="2354"/>
        <w:gridCol w:w="1061"/>
        <w:gridCol w:w="673"/>
        <w:gridCol w:w="1297"/>
      </w:tblGrid>
      <w:tr w14:paraId="2FBB8749">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118DAD">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序号</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6CA0AD">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标的名称</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845364">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规格</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49450D">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单位</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7025AF">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预估数量</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94F9F3">
            <w:pPr>
              <w:widowControl/>
              <w:jc w:val="center"/>
              <w:textAlignment w:val="center"/>
              <w:rPr>
                <w:rFonts w:ascii="宋体" w:hAnsi="宋体" w:cs="宋体"/>
                <w:color w:val="000000"/>
                <w:sz w:val="20"/>
                <w:szCs w:val="20"/>
              </w:rPr>
            </w:pPr>
            <w:r>
              <w:rPr>
                <w:rFonts w:ascii="宋体" w:hAnsi="宋体"/>
                <w:kern w:val="0"/>
                <w:sz w:val="24"/>
              </w:rPr>
              <w:t>★</w:t>
            </w:r>
            <w:r>
              <w:rPr>
                <w:rFonts w:hint="eastAsia" w:ascii="宋体" w:hAnsi="宋体" w:cs="宋体"/>
                <w:color w:val="000000"/>
                <w:kern w:val="0"/>
                <w:sz w:val="20"/>
                <w:szCs w:val="20"/>
                <w:lang w:bidi="ar"/>
              </w:rPr>
              <w:t>单价最高限价（元）</w:t>
            </w:r>
          </w:p>
        </w:tc>
      </w:tr>
      <w:tr w14:paraId="6F376CFE">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EF9B1B">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E2B51E">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人类免疫缺陷病毒1型（HIV-1）核酸测定试剂盒（PCR-荧光探针法）</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BEF5F6">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32测试/盒</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F8B9CC">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盒</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9FF124">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6F7F35">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7360</w:t>
            </w:r>
          </w:p>
        </w:tc>
      </w:tr>
      <w:tr w14:paraId="2FCEE250">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DE8003">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6FF57E">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核酸提取或纯化试剂</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563767">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64T/盒（16T/板×4板）</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25B5E4">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盒</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06E9D4">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92F554">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960</w:t>
            </w:r>
          </w:p>
        </w:tc>
      </w:tr>
      <w:tr w14:paraId="2091976C">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209086">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3</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869350">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测序试剂盒1</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92C01D">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300cycles</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082D29">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套</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88673A">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7B4146">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7650</w:t>
            </w:r>
          </w:p>
        </w:tc>
      </w:tr>
      <w:tr w14:paraId="31B15B0C">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69AE3D">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4</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AF7F7D">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测序试剂盒2</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5DB71C">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300cycles</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D3D295">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套</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C22835">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209312">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12300</w:t>
            </w:r>
          </w:p>
        </w:tc>
      </w:tr>
      <w:tr w14:paraId="3CCA355D">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E8FD46">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5</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9FCE2E">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测序试剂盒3</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08D114">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300cycles</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B20271">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套</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A492C4">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8</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7230A5">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17250</w:t>
            </w:r>
          </w:p>
        </w:tc>
      </w:tr>
      <w:tr w14:paraId="0732D759">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20B0B3">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6</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7C7FC4">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DNA病原微生物捕获建库试剂盒</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04FAF0">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16rxn</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2B3130">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盒</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157527">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16E024">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10000</w:t>
            </w:r>
          </w:p>
        </w:tc>
      </w:tr>
      <w:tr w14:paraId="0550DD2A">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44D4F4">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7</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C16C58">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RNA病原微生物捕获建库试剂盒</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BB9907">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16rxn</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A38218">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盒</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DB9604">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FB4BE8">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10000</w:t>
            </w:r>
          </w:p>
        </w:tc>
      </w:tr>
      <w:tr w14:paraId="55DF440E">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A84E8C">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8</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E5D028">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快速建库试剂盒（1ng）</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558AEA">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24 rxn</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3FC874">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盒</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8D3CC7">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5</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9A5D66">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10640</w:t>
            </w:r>
          </w:p>
        </w:tc>
      </w:tr>
      <w:tr w14:paraId="290E75CA">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E87F9B">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9</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F19DA2">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宏基因组DNA文库构建试剂盒</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4E69AE">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16rxn</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176EAA">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盒</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54F000">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6</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7DFC7A">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15500</w:t>
            </w:r>
          </w:p>
        </w:tc>
      </w:tr>
      <w:tr w14:paraId="2A2C7EBB">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283C12">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10</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66BBA6">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宏基因组RNA文库构建试剂盒</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6B0532">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16rxn</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461441">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盒</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2C98B7">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5</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4CD9B8">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17500</w:t>
            </w:r>
          </w:p>
        </w:tc>
      </w:tr>
      <w:tr w14:paraId="5A4A47AE">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7D4AA6">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11</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24076D">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人腺病毒全基因组探针捕获试剂盒</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46D38B">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16rxn</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9B1367">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盒</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08854A">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B7DACA">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16800</w:t>
            </w:r>
          </w:p>
        </w:tc>
      </w:tr>
      <w:tr w14:paraId="1B501C28">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58D05D">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12</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43AB08">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呼吸道合胞病毒全基因组探针捕获试剂盒</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23F70B">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16rxn</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2DAF5B">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盒</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5F1107">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D12A44">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16800</w:t>
            </w:r>
          </w:p>
        </w:tc>
      </w:tr>
      <w:tr w14:paraId="699264F0">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405489">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13</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41D5E1">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鼻病毒全基因组探针捕获试剂盒</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517F36">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16rxn</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D6B21F">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盒</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F69D0B">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7F9F0C">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16800</w:t>
            </w:r>
          </w:p>
        </w:tc>
      </w:tr>
      <w:tr w14:paraId="3E056A00">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E36D87">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14</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7232A6">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双抗，青链霉素混合液</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373425">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100m1</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297EC9">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盒</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7651A5">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0C80F7">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475</w:t>
            </w:r>
          </w:p>
        </w:tc>
      </w:tr>
      <w:tr w14:paraId="7C551B90">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6B4677">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15</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751DC0">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微生物检测白底黑格膜</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1170C9">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47mm*0.45um 100片/盒</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A743D2">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盒</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754D47">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3</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C5E8A6">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560</w:t>
            </w:r>
          </w:p>
        </w:tc>
      </w:tr>
      <w:tr w14:paraId="39259354">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120D8D">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16</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2202DF">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悬浮MDCK细胞（即用型）</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7FE415">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10mL/管，25管/包</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D646BF">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管</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F2286C">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400</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A57554">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230</w:t>
            </w:r>
          </w:p>
        </w:tc>
      </w:tr>
      <w:tr w14:paraId="0C4693E8">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8DDA05">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17</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C1CD2A">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鸡胚</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5919E6">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SPF</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DB4F30">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个</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96AA7E">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400</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D6CFB3">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25</w:t>
            </w:r>
          </w:p>
        </w:tc>
      </w:tr>
      <w:tr w14:paraId="65E1EEAE">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D43E20">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18</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92AB3E">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豚鼠血球</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354D43">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27D9A6">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支</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27C22A">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8</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7838B8">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800</w:t>
            </w:r>
          </w:p>
        </w:tc>
      </w:tr>
      <w:tr w14:paraId="592D15B2">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466907">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19</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466569">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核酸提取试剂盒1</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148F27">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16*3/盒  20盒/箱</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E2BE7C">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箱</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3A60B7">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10</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EBDBAA">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9600</w:t>
            </w:r>
          </w:p>
        </w:tc>
      </w:tr>
      <w:tr w14:paraId="0C402044">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A9BA66">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20</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8B70E4">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核酸提取试剂盒2</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632040">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6×8/盒 10盒/箱</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6C4178">
            <w:pPr>
              <w:jc w:val="center"/>
              <w:rPr>
                <w:rFonts w:ascii="宋体" w:hAnsi="宋体" w:cs="宋体"/>
                <w:color w:val="000000"/>
                <w:sz w:val="20"/>
                <w:szCs w:val="20"/>
              </w:rPr>
            </w:pP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660FFA">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5</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8EE4FB">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7200</w:t>
            </w:r>
          </w:p>
        </w:tc>
      </w:tr>
      <w:tr w14:paraId="626EFEE8">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73656F">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21</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4584BC">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腮腺炎病毒核酸检测试剂盒（荧光PCR法）</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114EA8">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50T</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2DEA84">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盒</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54EFFA">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62C749">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1750</w:t>
            </w:r>
          </w:p>
        </w:tc>
      </w:tr>
      <w:tr w14:paraId="38AA06BB">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8D6BFB">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22</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2E9439">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麻疹病毒、风疹病毒和腮腺炎病毒核酸检测试剂盒（荧光PCR法）</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64E763">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50T</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94D93F">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盒</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2F2D26">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8409F7">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5250</w:t>
            </w:r>
          </w:p>
        </w:tc>
      </w:tr>
      <w:tr w14:paraId="0FDCAF2F">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1D68F5">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23</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09D13D">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黄热病、寨卡病毒、基孔肯雅热病毒、登革热病毒、疟原虫荧光定量PCR试剂</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847482">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50T</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44BC74">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 xml:space="preserve">盒 </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47A70E">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C491C9">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8750</w:t>
            </w:r>
          </w:p>
        </w:tc>
      </w:tr>
      <w:tr w14:paraId="4C04C07C">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819D03">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24</w:t>
            </w:r>
          </w:p>
        </w:tc>
        <w:tc>
          <w:tcPr>
            <w:tcW w:w="29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8DE686">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呼吸道多病原样本核酸提取试剂</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1FA894">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48T</w:t>
            </w:r>
          </w:p>
        </w:tc>
        <w:tc>
          <w:tcPr>
            <w:tcW w:w="106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B2C86E">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盒</w:t>
            </w:r>
          </w:p>
        </w:tc>
        <w:tc>
          <w:tcPr>
            <w:tcW w:w="67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EF7980">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80</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CCAF86">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720</w:t>
            </w:r>
          </w:p>
        </w:tc>
      </w:tr>
      <w:tr w14:paraId="156177B6">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9984A2">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25</w:t>
            </w:r>
          </w:p>
        </w:tc>
        <w:tc>
          <w:tcPr>
            <w:tcW w:w="29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CB727F">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登革病毒</w:t>
            </w:r>
            <w:r>
              <w:rPr>
                <w:rStyle w:val="67"/>
                <w:rFonts w:hint="default"/>
                <w:lang w:bidi="ar"/>
              </w:rPr>
              <w:t>I</w:t>
            </w:r>
            <w:r>
              <w:rPr>
                <w:rFonts w:hint="eastAsia" w:ascii="宋体" w:hAnsi="宋体" w:cs="宋体"/>
                <w:color w:val="000000"/>
                <w:kern w:val="0"/>
                <w:sz w:val="20"/>
                <w:szCs w:val="20"/>
                <w:lang w:bidi="ar"/>
              </w:rPr>
              <w:t>型</w:t>
            </w:r>
            <w:r>
              <w:rPr>
                <w:rStyle w:val="67"/>
                <w:rFonts w:hint="default"/>
                <w:lang w:bidi="ar"/>
              </w:rPr>
              <w:t>/II</w:t>
            </w:r>
            <w:r>
              <w:rPr>
                <w:rFonts w:hint="eastAsia" w:ascii="宋体" w:hAnsi="宋体" w:cs="宋体"/>
                <w:color w:val="000000"/>
                <w:kern w:val="0"/>
                <w:sz w:val="20"/>
                <w:szCs w:val="20"/>
                <w:lang w:bidi="ar"/>
              </w:rPr>
              <w:t>型</w:t>
            </w:r>
            <w:r>
              <w:rPr>
                <w:rStyle w:val="67"/>
                <w:rFonts w:hint="default"/>
                <w:lang w:bidi="ar"/>
              </w:rPr>
              <w:t>/III</w:t>
            </w:r>
            <w:r>
              <w:rPr>
                <w:rFonts w:hint="eastAsia" w:ascii="宋体" w:hAnsi="宋体" w:cs="宋体"/>
                <w:color w:val="000000"/>
                <w:kern w:val="0"/>
                <w:sz w:val="20"/>
                <w:szCs w:val="20"/>
                <w:lang w:bidi="ar"/>
              </w:rPr>
              <w:t>型</w:t>
            </w:r>
            <w:r>
              <w:rPr>
                <w:rStyle w:val="67"/>
                <w:rFonts w:hint="default"/>
                <w:lang w:bidi="ar"/>
              </w:rPr>
              <w:t>/IV</w:t>
            </w:r>
            <w:r>
              <w:rPr>
                <w:rFonts w:hint="eastAsia" w:ascii="宋体" w:hAnsi="宋体" w:cs="宋体"/>
                <w:color w:val="000000"/>
                <w:kern w:val="0"/>
                <w:sz w:val="20"/>
                <w:szCs w:val="20"/>
                <w:lang w:bidi="ar"/>
              </w:rPr>
              <w:t>型</w:t>
            </w:r>
            <w:r>
              <w:rPr>
                <w:rStyle w:val="67"/>
                <w:rFonts w:hint="default"/>
                <w:lang w:bidi="ar"/>
              </w:rPr>
              <w:t>/</w:t>
            </w:r>
            <w:r>
              <w:rPr>
                <w:rFonts w:hint="eastAsia" w:ascii="宋体" w:hAnsi="宋体" w:cs="宋体"/>
                <w:color w:val="000000"/>
                <w:kern w:val="0"/>
                <w:sz w:val="20"/>
                <w:szCs w:val="20"/>
                <w:lang w:bidi="ar"/>
              </w:rPr>
              <w:t>通用型核酸多重实时荧光</w:t>
            </w:r>
            <w:r>
              <w:rPr>
                <w:rStyle w:val="67"/>
                <w:rFonts w:hint="default"/>
                <w:lang w:bidi="ar"/>
              </w:rPr>
              <w:t>PCR</w:t>
            </w:r>
            <w:r>
              <w:rPr>
                <w:rFonts w:hint="eastAsia" w:ascii="宋体" w:hAnsi="宋体" w:cs="宋体"/>
                <w:color w:val="000000"/>
                <w:kern w:val="0"/>
                <w:sz w:val="20"/>
                <w:szCs w:val="20"/>
                <w:lang w:bidi="ar"/>
              </w:rPr>
              <w:t>检测试剂盒</w:t>
            </w:r>
          </w:p>
        </w:tc>
        <w:tc>
          <w:tcPr>
            <w:tcW w:w="23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6A1FE5">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50T</w:t>
            </w:r>
          </w:p>
        </w:tc>
        <w:tc>
          <w:tcPr>
            <w:tcW w:w="106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4BD3C3">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盒</w:t>
            </w:r>
          </w:p>
        </w:tc>
        <w:tc>
          <w:tcPr>
            <w:tcW w:w="67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D957E4">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w:t>
            </w:r>
          </w:p>
        </w:tc>
        <w:tc>
          <w:tcPr>
            <w:tcW w:w="12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38D0D0">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10000</w:t>
            </w:r>
          </w:p>
        </w:tc>
      </w:tr>
      <w:tr w14:paraId="325C89C1">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45165E">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26</w:t>
            </w:r>
          </w:p>
        </w:tc>
        <w:tc>
          <w:tcPr>
            <w:tcW w:w="29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A475A8">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EA-H1N1/禽流感病毒H3/H5/H7/H9/H10亚型核酸多重实时荧光PCR检测试剂盒</w:t>
            </w:r>
          </w:p>
        </w:tc>
        <w:tc>
          <w:tcPr>
            <w:tcW w:w="23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CBEE4A">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50T</w:t>
            </w:r>
          </w:p>
        </w:tc>
        <w:tc>
          <w:tcPr>
            <w:tcW w:w="106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4E4987">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盒</w:t>
            </w:r>
          </w:p>
        </w:tc>
        <w:tc>
          <w:tcPr>
            <w:tcW w:w="67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902D2F">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w:t>
            </w:r>
          </w:p>
        </w:tc>
        <w:tc>
          <w:tcPr>
            <w:tcW w:w="12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F38E38">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14000</w:t>
            </w:r>
          </w:p>
        </w:tc>
      </w:tr>
      <w:tr w14:paraId="14A099A7">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F50E92">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27</w:t>
            </w:r>
          </w:p>
        </w:tc>
        <w:tc>
          <w:tcPr>
            <w:tcW w:w="29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8E61E2">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猴痘病毒分支I/II/Ia/Ib/通用型核酸多重实时荧光PCR检测试剂盒</w:t>
            </w:r>
          </w:p>
        </w:tc>
        <w:tc>
          <w:tcPr>
            <w:tcW w:w="23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A1EA33">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50T</w:t>
            </w:r>
          </w:p>
        </w:tc>
        <w:tc>
          <w:tcPr>
            <w:tcW w:w="106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299632">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 xml:space="preserve">盒 </w:t>
            </w:r>
          </w:p>
        </w:tc>
        <w:tc>
          <w:tcPr>
            <w:tcW w:w="67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536B15">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3</w:t>
            </w:r>
          </w:p>
        </w:tc>
        <w:tc>
          <w:tcPr>
            <w:tcW w:w="12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6E5BD8">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10000</w:t>
            </w:r>
          </w:p>
        </w:tc>
      </w:tr>
      <w:tr w14:paraId="63A43DEA">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88CD63">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28</w:t>
            </w:r>
          </w:p>
        </w:tc>
        <w:tc>
          <w:tcPr>
            <w:tcW w:w="29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1FD252">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札如病毒/腺病毒/星状病毒，三重荧光PCR试剂盒</w:t>
            </w:r>
          </w:p>
        </w:tc>
        <w:tc>
          <w:tcPr>
            <w:tcW w:w="23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AB23BF">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50T</w:t>
            </w:r>
          </w:p>
        </w:tc>
        <w:tc>
          <w:tcPr>
            <w:tcW w:w="106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AE7AF3">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盒</w:t>
            </w:r>
          </w:p>
        </w:tc>
        <w:tc>
          <w:tcPr>
            <w:tcW w:w="67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EA83B9">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4</w:t>
            </w:r>
          </w:p>
        </w:tc>
        <w:tc>
          <w:tcPr>
            <w:tcW w:w="12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6A7D96">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6000</w:t>
            </w:r>
          </w:p>
        </w:tc>
      </w:tr>
      <w:tr w14:paraId="78F33387">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84DCFF">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29</w:t>
            </w:r>
          </w:p>
        </w:tc>
        <w:tc>
          <w:tcPr>
            <w:tcW w:w="29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C02D5E">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A组轮状病毒诺如病毒GⅠ诺如病毒GⅡ核酸三重实时荧光PCR检测试剂盒</w:t>
            </w:r>
          </w:p>
        </w:tc>
        <w:tc>
          <w:tcPr>
            <w:tcW w:w="23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A819E1">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50T</w:t>
            </w:r>
          </w:p>
        </w:tc>
        <w:tc>
          <w:tcPr>
            <w:tcW w:w="106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02AF7E">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盒</w:t>
            </w:r>
          </w:p>
        </w:tc>
        <w:tc>
          <w:tcPr>
            <w:tcW w:w="67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646198">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10</w:t>
            </w:r>
          </w:p>
        </w:tc>
        <w:tc>
          <w:tcPr>
            <w:tcW w:w="12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382896">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6000</w:t>
            </w:r>
          </w:p>
        </w:tc>
      </w:tr>
      <w:tr w14:paraId="790E7E04">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1D5362">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30</w:t>
            </w:r>
          </w:p>
        </w:tc>
        <w:tc>
          <w:tcPr>
            <w:tcW w:w="29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99A5E1">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甲型乙型甲型H1N1亚型季节性H3亚型人类流感病毒核酸四重实时荧光PCR检测试剂盒</w:t>
            </w:r>
          </w:p>
        </w:tc>
        <w:tc>
          <w:tcPr>
            <w:tcW w:w="23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9931D4">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50T</w:t>
            </w:r>
          </w:p>
        </w:tc>
        <w:tc>
          <w:tcPr>
            <w:tcW w:w="106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73EEAD">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盒</w:t>
            </w:r>
          </w:p>
        </w:tc>
        <w:tc>
          <w:tcPr>
            <w:tcW w:w="67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CCD2E8">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15</w:t>
            </w:r>
          </w:p>
        </w:tc>
        <w:tc>
          <w:tcPr>
            <w:tcW w:w="12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7B756C">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9600</w:t>
            </w:r>
          </w:p>
        </w:tc>
      </w:tr>
      <w:tr w14:paraId="1E6EF656">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521C23">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31</w:t>
            </w:r>
          </w:p>
        </w:tc>
        <w:tc>
          <w:tcPr>
            <w:tcW w:w="29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00820D">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四种疟原虫和疟原虫通用型核酸多重实时荧光PCR检测试剂盒</w:t>
            </w:r>
          </w:p>
        </w:tc>
        <w:tc>
          <w:tcPr>
            <w:tcW w:w="23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E4098B">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50T</w:t>
            </w:r>
          </w:p>
        </w:tc>
        <w:tc>
          <w:tcPr>
            <w:tcW w:w="106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D12409">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盒</w:t>
            </w:r>
          </w:p>
        </w:tc>
        <w:tc>
          <w:tcPr>
            <w:tcW w:w="67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26FB3A">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w:t>
            </w:r>
          </w:p>
        </w:tc>
        <w:tc>
          <w:tcPr>
            <w:tcW w:w="12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26151B">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10000</w:t>
            </w:r>
          </w:p>
        </w:tc>
      </w:tr>
      <w:tr w14:paraId="4363C78B">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73DB24">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32</w:t>
            </w:r>
          </w:p>
        </w:tc>
        <w:tc>
          <w:tcPr>
            <w:tcW w:w="29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A77FE9">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白喉棒状杆菌tox毒力基因双重实时荧光PCR检测试剂盒</w:t>
            </w:r>
          </w:p>
        </w:tc>
        <w:tc>
          <w:tcPr>
            <w:tcW w:w="23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04FD89">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50T</w:t>
            </w:r>
          </w:p>
        </w:tc>
        <w:tc>
          <w:tcPr>
            <w:tcW w:w="106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84D7D8">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盒</w:t>
            </w:r>
          </w:p>
        </w:tc>
        <w:tc>
          <w:tcPr>
            <w:tcW w:w="67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406B25">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w:t>
            </w:r>
          </w:p>
        </w:tc>
        <w:tc>
          <w:tcPr>
            <w:tcW w:w="12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5D6BD0">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4000</w:t>
            </w:r>
          </w:p>
        </w:tc>
      </w:tr>
      <w:tr w14:paraId="34B59C46">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45AEE1">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33</w:t>
            </w:r>
          </w:p>
        </w:tc>
        <w:tc>
          <w:tcPr>
            <w:tcW w:w="29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69B6B7">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白喉棒状杆菌toxA/toxB毒力基因双重实时荧光PCR检测试剂盒</w:t>
            </w:r>
          </w:p>
        </w:tc>
        <w:tc>
          <w:tcPr>
            <w:tcW w:w="23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EC94BA">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50T</w:t>
            </w:r>
          </w:p>
        </w:tc>
        <w:tc>
          <w:tcPr>
            <w:tcW w:w="106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1F1315">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盒</w:t>
            </w:r>
          </w:p>
        </w:tc>
        <w:tc>
          <w:tcPr>
            <w:tcW w:w="67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0BFD5D">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w:t>
            </w:r>
          </w:p>
        </w:tc>
        <w:tc>
          <w:tcPr>
            <w:tcW w:w="12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CCB155">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4000</w:t>
            </w:r>
          </w:p>
        </w:tc>
      </w:tr>
      <w:tr w14:paraId="57F00B1B">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3506FD">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34</w:t>
            </w:r>
          </w:p>
        </w:tc>
        <w:tc>
          <w:tcPr>
            <w:tcW w:w="29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5B7661">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寨卡病毒荧光定量PCR</w:t>
            </w:r>
          </w:p>
        </w:tc>
        <w:tc>
          <w:tcPr>
            <w:tcW w:w="23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E955FC">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50T</w:t>
            </w:r>
          </w:p>
        </w:tc>
        <w:tc>
          <w:tcPr>
            <w:tcW w:w="106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A176CC">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盒</w:t>
            </w:r>
          </w:p>
        </w:tc>
        <w:tc>
          <w:tcPr>
            <w:tcW w:w="67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87BFFF">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w:t>
            </w:r>
          </w:p>
        </w:tc>
        <w:tc>
          <w:tcPr>
            <w:tcW w:w="12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1F0418">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2000</w:t>
            </w:r>
          </w:p>
        </w:tc>
      </w:tr>
      <w:tr w14:paraId="7573C1F5">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0F491A">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35</w:t>
            </w:r>
          </w:p>
        </w:tc>
        <w:tc>
          <w:tcPr>
            <w:tcW w:w="29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F6D8D0">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登革热病毒荧光定量PCR</w:t>
            </w:r>
          </w:p>
        </w:tc>
        <w:tc>
          <w:tcPr>
            <w:tcW w:w="23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0AD2EF">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50T</w:t>
            </w:r>
          </w:p>
        </w:tc>
        <w:tc>
          <w:tcPr>
            <w:tcW w:w="106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E28850">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盒</w:t>
            </w:r>
          </w:p>
        </w:tc>
        <w:tc>
          <w:tcPr>
            <w:tcW w:w="67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09BD46">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w:t>
            </w:r>
          </w:p>
        </w:tc>
        <w:tc>
          <w:tcPr>
            <w:tcW w:w="12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FB6D20">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2000</w:t>
            </w:r>
          </w:p>
        </w:tc>
      </w:tr>
      <w:tr w14:paraId="0216DF38">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DE50F3">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36</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AA25B3">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登革病毒</w:t>
            </w:r>
            <w:r>
              <w:rPr>
                <w:rStyle w:val="67"/>
                <w:rFonts w:hint="default"/>
                <w:lang w:bidi="ar"/>
              </w:rPr>
              <w:t>I</w:t>
            </w:r>
            <w:r>
              <w:rPr>
                <w:rFonts w:hint="eastAsia" w:ascii="宋体" w:hAnsi="宋体" w:cs="宋体"/>
                <w:color w:val="000000"/>
                <w:kern w:val="0"/>
                <w:sz w:val="20"/>
                <w:szCs w:val="20"/>
                <w:lang w:bidi="ar"/>
              </w:rPr>
              <w:t>型</w:t>
            </w:r>
            <w:r>
              <w:rPr>
                <w:rStyle w:val="67"/>
                <w:rFonts w:hint="default"/>
                <w:lang w:bidi="ar"/>
              </w:rPr>
              <w:t>/II</w:t>
            </w:r>
            <w:r>
              <w:rPr>
                <w:rFonts w:hint="eastAsia" w:ascii="宋体" w:hAnsi="宋体" w:cs="宋体"/>
                <w:color w:val="000000"/>
                <w:kern w:val="0"/>
                <w:sz w:val="20"/>
                <w:szCs w:val="20"/>
                <w:lang w:bidi="ar"/>
              </w:rPr>
              <w:t>型</w:t>
            </w:r>
            <w:r>
              <w:rPr>
                <w:rStyle w:val="67"/>
                <w:rFonts w:hint="default"/>
                <w:lang w:bidi="ar"/>
              </w:rPr>
              <w:t>/III</w:t>
            </w:r>
            <w:r>
              <w:rPr>
                <w:rFonts w:hint="eastAsia" w:ascii="宋体" w:hAnsi="宋体" w:cs="宋体"/>
                <w:color w:val="000000"/>
                <w:kern w:val="0"/>
                <w:sz w:val="20"/>
                <w:szCs w:val="20"/>
                <w:lang w:bidi="ar"/>
              </w:rPr>
              <w:t>型</w:t>
            </w:r>
            <w:r>
              <w:rPr>
                <w:rStyle w:val="67"/>
                <w:rFonts w:hint="default"/>
                <w:lang w:bidi="ar"/>
              </w:rPr>
              <w:t>/IV</w:t>
            </w:r>
            <w:r>
              <w:rPr>
                <w:rFonts w:hint="eastAsia" w:ascii="宋体" w:hAnsi="宋体" w:cs="宋体"/>
                <w:color w:val="000000"/>
                <w:kern w:val="0"/>
                <w:sz w:val="20"/>
                <w:szCs w:val="20"/>
                <w:lang w:bidi="ar"/>
              </w:rPr>
              <w:t>型</w:t>
            </w:r>
            <w:r>
              <w:rPr>
                <w:rStyle w:val="67"/>
                <w:rFonts w:hint="default"/>
                <w:lang w:bidi="ar"/>
              </w:rPr>
              <w:t>/</w:t>
            </w:r>
            <w:r>
              <w:rPr>
                <w:rFonts w:hint="eastAsia" w:ascii="宋体" w:hAnsi="宋体" w:cs="宋体"/>
                <w:color w:val="000000"/>
                <w:kern w:val="0"/>
                <w:sz w:val="20"/>
                <w:szCs w:val="20"/>
                <w:lang w:bidi="ar"/>
              </w:rPr>
              <w:t>通用型核酸多重实时荧光</w:t>
            </w:r>
            <w:r>
              <w:rPr>
                <w:rStyle w:val="67"/>
                <w:rFonts w:hint="default"/>
                <w:lang w:bidi="ar"/>
              </w:rPr>
              <w:t>PCR</w:t>
            </w:r>
            <w:r>
              <w:rPr>
                <w:rFonts w:hint="eastAsia" w:ascii="宋体" w:hAnsi="宋体" w:cs="宋体"/>
                <w:color w:val="000000"/>
                <w:kern w:val="0"/>
                <w:sz w:val="20"/>
                <w:szCs w:val="20"/>
                <w:lang w:bidi="ar"/>
              </w:rPr>
              <w:t>检测试剂盒</w:t>
            </w:r>
          </w:p>
        </w:tc>
        <w:tc>
          <w:tcPr>
            <w:tcW w:w="23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80657B">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50T</w:t>
            </w:r>
          </w:p>
        </w:tc>
        <w:tc>
          <w:tcPr>
            <w:tcW w:w="106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C8B237">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 xml:space="preserve">盒 </w:t>
            </w:r>
          </w:p>
        </w:tc>
        <w:tc>
          <w:tcPr>
            <w:tcW w:w="67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A7700C">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w:t>
            </w:r>
          </w:p>
        </w:tc>
        <w:tc>
          <w:tcPr>
            <w:tcW w:w="12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A0E536">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10000</w:t>
            </w:r>
          </w:p>
        </w:tc>
      </w:tr>
      <w:tr w14:paraId="0029151C">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D30C4D">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37</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B3871A">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水痘</w:t>
            </w:r>
            <w:r>
              <w:rPr>
                <w:rStyle w:val="67"/>
                <w:rFonts w:hint="default"/>
                <w:lang w:bidi="ar"/>
              </w:rPr>
              <w:t>-</w:t>
            </w:r>
            <w:r>
              <w:rPr>
                <w:rFonts w:hint="eastAsia" w:ascii="宋体" w:hAnsi="宋体" w:cs="宋体"/>
                <w:color w:val="000000"/>
                <w:kern w:val="0"/>
                <w:sz w:val="20"/>
                <w:szCs w:val="20"/>
                <w:lang w:bidi="ar"/>
              </w:rPr>
              <w:t>带状疱疹病毒核酸实时荧光</w:t>
            </w:r>
            <w:r>
              <w:rPr>
                <w:rStyle w:val="67"/>
                <w:rFonts w:hint="default"/>
                <w:lang w:bidi="ar"/>
              </w:rPr>
              <w:t>PCR</w:t>
            </w:r>
            <w:r>
              <w:rPr>
                <w:rFonts w:hint="eastAsia" w:ascii="宋体" w:hAnsi="宋体" w:cs="宋体"/>
                <w:color w:val="000000"/>
                <w:kern w:val="0"/>
                <w:sz w:val="20"/>
                <w:szCs w:val="20"/>
                <w:lang w:bidi="ar"/>
              </w:rPr>
              <w:t>检测试剂盒</w:t>
            </w:r>
          </w:p>
        </w:tc>
        <w:tc>
          <w:tcPr>
            <w:tcW w:w="23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9D8253">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50T</w:t>
            </w:r>
          </w:p>
        </w:tc>
        <w:tc>
          <w:tcPr>
            <w:tcW w:w="106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45106C">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 xml:space="preserve">盒 </w:t>
            </w:r>
          </w:p>
        </w:tc>
        <w:tc>
          <w:tcPr>
            <w:tcW w:w="67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BB876D">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1F457D">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2000</w:t>
            </w:r>
          </w:p>
        </w:tc>
      </w:tr>
      <w:tr w14:paraId="1D316E28">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6E37B9">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38</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F4D477">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炭疽芽孢杆菌核酸实时荧光</w:t>
            </w:r>
            <w:r>
              <w:rPr>
                <w:rStyle w:val="67"/>
                <w:rFonts w:hint="default"/>
                <w:lang w:bidi="ar"/>
              </w:rPr>
              <w:t>PCR</w:t>
            </w:r>
            <w:r>
              <w:rPr>
                <w:rFonts w:hint="eastAsia" w:ascii="宋体" w:hAnsi="宋体" w:cs="宋体"/>
                <w:color w:val="000000"/>
                <w:kern w:val="0"/>
                <w:sz w:val="20"/>
                <w:szCs w:val="20"/>
                <w:lang w:bidi="ar"/>
              </w:rPr>
              <w:t>检测试剂盒</w:t>
            </w:r>
          </w:p>
        </w:tc>
        <w:tc>
          <w:tcPr>
            <w:tcW w:w="23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FF8CC5">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50T</w:t>
            </w:r>
          </w:p>
        </w:tc>
        <w:tc>
          <w:tcPr>
            <w:tcW w:w="106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6B0BE1">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 xml:space="preserve">盒 </w:t>
            </w:r>
          </w:p>
        </w:tc>
        <w:tc>
          <w:tcPr>
            <w:tcW w:w="67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9D194D">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8CE344">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2000</w:t>
            </w:r>
          </w:p>
        </w:tc>
      </w:tr>
      <w:tr w14:paraId="0FBDFCC0">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636200">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39</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558D36">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炭疽芽胞杆菌</w:t>
            </w:r>
            <w:r>
              <w:rPr>
                <w:rStyle w:val="67"/>
                <w:rFonts w:hint="default"/>
                <w:lang w:bidi="ar"/>
              </w:rPr>
              <w:t>pagA</w:t>
            </w:r>
            <w:r>
              <w:rPr>
                <w:rFonts w:hint="eastAsia" w:ascii="宋体" w:hAnsi="宋体" w:cs="宋体"/>
                <w:color w:val="000000"/>
                <w:kern w:val="0"/>
                <w:sz w:val="20"/>
                <w:szCs w:val="20"/>
                <w:lang w:bidi="ar"/>
              </w:rPr>
              <w:t>基因</w:t>
            </w:r>
            <w:r>
              <w:rPr>
                <w:rStyle w:val="67"/>
                <w:rFonts w:hint="default"/>
                <w:lang w:bidi="ar"/>
              </w:rPr>
              <w:t>cap</w:t>
            </w:r>
            <w:r>
              <w:rPr>
                <w:rFonts w:hint="eastAsia" w:ascii="宋体" w:hAnsi="宋体" w:cs="宋体"/>
                <w:color w:val="000000"/>
                <w:kern w:val="0"/>
                <w:sz w:val="20"/>
                <w:szCs w:val="20"/>
                <w:lang w:bidi="ar"/>
              </w:rPr>
              <w:t>基因</w:t>
            </w:r>
            <w:r>
              <w:rPr>
                <w:rStyle w:val="67"/>
                <w:rFonts w:hint="default"/>
                <w:lang w:bidi="ar"/>
              </w:rPr>
              <w:t>rpoB</w:t>
            </w:r>
            <w:r>
              <w:rPr>
                <w:rFonts w:hint="eastAsia" w:ascii="宋体" w:hAnsi="宋体" w:cs="宋体"/>
                <w:color w:val="000000"/>
                <w:kern w:val="0"/>
                <w:sz w:val="20"/>
                <w:szCs w:val="20"/>
                <w:lang w:bidi="ar"/>
              </w:rPr>
              <w:t>基因三重实时荧光</w:t>
            </w:r>
            <w:r>
              <w:rPr>
                <w:rStyle w:val="67"/>
                <w:rFonts w:hint="default"/>
                <w:lang w:bidi="ar"/>
              </w:rPr>
              <w:t>PCR</w:t>
            </w:r>
            <w:r>
              <w:rPr>
                <w:rFonts w:hint="eastAsia" w:ascii="宋体" w:hAnsi="宋体" w:cs="宋体"/>
                <w:color w:val="000000"/>
                <w:kern w:val="0"/>
                <w:sz w:val="20"/>
                <w:szCs w:val="20"/>
                <w:lang w:bidi="ar"/>
              </w:rPr>
              <w:t>检测试剂盒</w:t>
            </w:r>
          </w:p>
        </w:tc>
        <w:tc>
          <w:tcPr>
            <w:tcW w:w="23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9BBA76">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50T</w:t>
            </w:r>
          </w:p>
        </w:tc>
        <w:tc>
          <w:tcPr>
            <w:tcW w:w="106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1B96DA">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 xml:space="preserve">盒 </w:t>
            </w:r>
          </w:p>
        </w:tc>
        <w:tc>
          <w:tcPr>
            <w:tcW w:w="67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49D546">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54FE75">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6000</w:t>
            </w:r>
          </w:p>
        </w:tc>
      </w:tr>
      <w:tr w14:paraId="2A4FE331">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DC3BC3">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40</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9B0DB8">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17种发热伴出疹病原体核酸多重联检试剂盒[全预混版]（实时荧光PCR法）</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0EF4B4">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50T</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16198B">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盒</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BFA156">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20</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AF1C6D">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13600</w:t>
            </w:r>
          </w:p>
        </w:tc>
      </w:tr>
      <w:tr w14:paraId="3E2CD43C">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FD52AE">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41</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B76693">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22种发热伴出血病原体核酸联检试剂盒[全预混版]（实时荧光PCR法）</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5AD6BC">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50T</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009FC6">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盒</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3CE5E8">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E67FE2">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17600</w:t>
            </w:r>
          </w:p>
        </w:tc>
      </w:tr>
      <w:tr w14:paraId="447D6E4E">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6C7E14">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42</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8CAAB4">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22种脑炎/脑膜炎病原体核酸联检试剂盒[全预混版]（实时荧光PCR法）</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99411A">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50T</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F194C6">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盒</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84D11E">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941129">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17600</w:t>
            </w:r>
          </w:p>
        </w:tc>
      </w:tr>
      <w:tr w14:paraId="424A5C7E">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708088">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43</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AE787C">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革兰氏阳性菌药敏板链球菌</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27D725">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10人份/盒</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06B129">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盒</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CF160B">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35332E">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1360</w:t>
            </w:r>
          </w:p>
        </w:tc>
      </w:tr>
      <w:tr w14:paraId="4F89B353">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1DE3AA">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44</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833EE8">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急救包</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619922">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500ML</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C157A8">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包</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DDC3A7">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50</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DA3E85">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12.9</w:t>
            </w:r>
          </w:p>
        </w:tc>
      </w:tr>
      <w:tr w14:paraId="156D8F90">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CFBC5C">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45</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7B36E6">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一次性接种环（10ul）</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8EDFEF">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20*50</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222A54">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盒</w:t>
            </w:r>
          </w:p>
        </w:tc>
        <w:tc>
          <w:tcPr>
            <w:tcW w:w="67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1A5FB0">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20</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C67959">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750</w:t>
            </w:r>
          </w:p>
        </w:tc>
      </w:tr>
      <w:tr w14:paraId="1216EF18">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EA6D9F">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46</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071196">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一次性接种环（1ul）</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02A1F8">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20*50</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8C048F">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盒</w:t>
            </w:r>
          </w:p>
        </w:tc>
        <w:tc>
          <w:tcPr>
            <w:tcW w:w="67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E46B14">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5</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5F5F45">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600</w:t>
            </w:r>
          </w:p>
        </w:tc>
      </w:tr>
      <w:tr w14:paraId="3140DF05">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3277FD">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47</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5378EF">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一次性接种针</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F698BA">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20*50</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02CE1D">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盒</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3B84B5">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3</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CDFBFB">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800</w:t>
            </w:r>
          </w:p>
        </w:tc>
      </w:tr>
      <w:tr w14:paraId="1C37449B">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94BBCD">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48</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E150F1">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吸头20µL</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D48787">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96</w:t>
            </w:r>
            <w:r>
              <w:rPr>
                <w:rStyle w:val="67"/>
                <w:rFonts w:hint="default"/>
                <w:lang w:bidi="ar"/>
              </w:rPr>
              <w:t>个/盒;50盒/箱; 带滤芯; 预消毒</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7773E8">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箱</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9EF218">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40</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39F325">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1250</w:t>
            </w:r>
          </w:p>
        </w:tc>
      </w:tr>
      <w:tr w14:paraId="1460D23D">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AB635B">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49</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26C274">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压敏型封板膜</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DA9B0E">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100片/包，1包/盒</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FECE0C">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盒</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A40A70">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50</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37C3E5">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2400</w:t>
            </w:r>
          </w:p>
        </w:tc>
      </w:tr>
      <w:tr w14:paraId="1CC222BD">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965223">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50</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0AF38A">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0.2ml半96孔PCR板</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9F249B">
            <w:pPr>
              <w:widowControl/>
              <w:jc w:val="center"/>
              <w:textAlignment w:val="center"/>
              <w:rPr>
                <w:rFonts w:ascii="宋体" w:hAnsi="宋体" w:cs="宋体"/>
                <w:color w:val="000000"/>
                <w:kern w:val="0"/>
                <w:sz w:val="20"/>
                <w:szCs w:val="20"/>
                <w:lang w:bidi="ar"/>
              </w:rPr>
            </w:pPr>
            <w:r>
              <w:rPr>
                <w:rFonts w:hint="eastAsia" w:ascii="宋体" w:hAnsi="宋体" w:cs="宋体"/>
                <w:color w:val="000000"/>
                <w:kern w:val="0"/>
                <w:sz w:val="20"/>
                <w:szCs w:val="20"/>
                <w:lang w:bidi="ar"/>
              </w:rPr>
              <w:t>10块/包，2包/盒</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72CD40">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盒</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52F618">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100</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6BA841">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672</w:t>
            </w:r>
          </w:p>
        </w:tc>
      </w:tr>
      <w:tr w14:paraId="4E77AC36">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6B0B9E">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51</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F7D245">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六价铬单元素溶液标准物质</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049B2A">
            <w:pPr>
              <w:widowControl/>
              <w:jc w:val="center"/>
              <w:textAlignment w:val="center"/>
              <w:rPr>
                <w:rFonts w:ascii="宋体" w:hAnsi="宋体" w:cs="宋体"/>
                <w:color w:val="000000"/>
                <w:kern w:val="0"/>
                <w:sz w:val="20"/>
                <w:szCs w:val="20"/>
                <w:lang w:bidi="ar"/>
              </w:rPr>
            </w:pPr>
            <w:r>
              <w:rPr>
                <w:rFonts w:hint="eastAsia" w:ascii="宋体" w:hAnsi="宋体" w:cs="宋体"/>
                <w:color w:val="000000"/>
                <w:kern w:val="0"/>
                <w:sz w:val="20"/>
                <w:szCs w:val="20"/>
                <w:lang w:bidi="ar"/>
              </w:rPr>
              <w:t>20mL/支</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37459D">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支</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B47C49">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3</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FE71AA">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36</w:t>
            </w:r>
          </w:p>
        </w:tc>
      </w:tr>
      <w:tr w14:paraId="5C298337">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E6739D">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52</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A6EA56">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紫外分光光度计溶液标准物质</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F24D01">
            <w:pPr>
              <w:widowControl/>
              <w:jc w:val="center"/>
              <w:textAlignment w:val="center"/>
              <w:rPr>
                <w:rFonts w:ascii="宋体" w:hAnsi="宋体" w:cs="宋体"/>
                <w:color w:val="000000"/>
                <w:kern w:val="0"/>
                <w:sz w:val="20"/>
                <w:szCs w:val="20"/>
                <w:lang w:bidi="ar"/>
              </w:rPr>
            </w:pPr>
            <w:r>
              <w:rPr>
                <w:rFonts w:hint="eastAsia" w:ascii="宋体" w:hAnsi="宋体" w:cs="宋体"/>
                <w:color w:val="000000"/>
                <w:kern w:val="0"/>
                <w:sz w:val="20"/>
                <w:szCs w:val="20"/>
                <w:lang w:bidi="ar"/>
              </w:rPr>
              <w:t>20mL/支</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EDAF4F">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支</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B482FC">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7E1DB6">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81</w:t>
            </w:r>
          </w:p>
        </w:tc>
      </w:tr>
      <w:tr w14:paraId="0105BC9C">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F34F02">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53</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F1E7A0">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粉尘中游离二氧化硅质量控制样品（焦磷酸法）</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B5F773">
            <w:pPr>
              <w:widowControl/>
              <w:jc w:val="center"/>
              <w:textAlignment w:val="center"/>
              <w:rPr>
                <w:rFonts w:ascii="宋体" w:hAnsi="宋体" w:cs="宋体"/>
                <w:color w:val="000000"/>
                <w:kern w:val="0"/>
                <w:sz w:val="20"/>
                <w:szCs w:val="20"/>
                <w:lang w:bidi="ar"/>
              </w:rPr>
            </w:pPr>
            <w:r>
              <w:fldChar w:fldCharType="begin"/>
            </w:r>
            <w:r>
              <w:instrText xml:space="preserve"> HYPERLINK "https://www.ncrm.org.cn/Web/Ordering/MaterialDetail?autoID=3054" </w:instrText>
            </w:r>
            <w:r>
              <w:fldChar w:fldCharType="separate"/>
            </w:r>
            <w:r>
              <w:rPr>
                <w:rFonts w:hint="eastAsia" w:ascii="宋体" w:hAnsi="宋体" w:cs="宋体"/>
                <w:color w:val="000000"/>
                <w:kern w:val="0"/>
                <w:sz w:val="20"/>
                <w:szCs w:val="20"/>
                <w:lang w:bidi="ar"/>
              </w:rPr>
              <w:t>粉末</w:t>
            </w:r>
            <w:r>
              <w:rPr>
                <w:rFonts w:hint="eastAsia" w:ascii="宋体" w:hAnsi="宋体" w:cs="宋体"/>
                <w:color w:val="000000"/>
                <w:kern w:val="0"/>
                <w:sz w:val="20"/>
                <w:szCs w:val="20"/>
                <w:lang w:bidi="ar"/>
              </w:rPr>
              <w:fldChar w:fldCharType="end"/>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10987E">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盒</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092F65">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F9A7C4">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900</w:t>
            </w:r>
          </w:p>
        </w:tc>
      </w:tr>
      <w:tr w14:paraId="0C13DC52">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832571">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54</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C451B9">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碘盐含碘量速测液</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ED0190">
            <w:pPr>
              <w:widowControl/>
              <w:jc w:val="center"/>
              <w:textAlignment w:val="center"/>
              <w:rPr>
                <w:rFonts w:ascii="宋体" w:hAnsi="宋体" w:cs="宋体"/>
                <w:color w:val="000000"/>
                <w:kern w:val="0"/>
                <w:sz w:val="20"/>
                <w:szCs w:val="20"/>
                <w:lang w:bidi="ar"/>
              </w:rPr>
            </w:pPr>
            <w:r>
              <w:rPr>
                <w:rFonts w:hint="eastAsia" w:ascii="宋体" w:hAnsi="宋体" w:cs="宋体"/>
                <w:color w:val="000000"/>
                <w:kern w:val="0"/>
                <w:sz w:val="20"/>
                <w:szCs w:val="20"/>
                <w:lang w:bidi="ar"/>
              </w:rPr>
              <w:t>每盒可测200份样品</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EE9035">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盒（或包）</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407AC5">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5A4E57">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80</w:t>
            </w:r>
          </w:p>
        </w:tc>
      </w:tr>
      <w:tr w14:paraId="35F077C7">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D516EC">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55</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51EF84">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水溶性非食用色素快速筛查盒</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A74362">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每盒可测50份样品</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A01AB1">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盒（或包）</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988DF2">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59DCC5">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100</w:t>
            </w:r>
          </w:p>
        </w:tc>
      </w:tr>
      <w:tr w14:paraId="62B3FB72">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A2868E">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56</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10FEAF">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吊白块速测管</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FA5816">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每盒可测50份样品</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865587">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盒（或包）</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CA2FF9">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5AC151">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120</w:t>
            </w:r>
          </w:p>
        </w:tc>
      </w:tr>
      <w:tr w14:paraId="4E5DE1E5">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B66C4D">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57</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4F6880">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农药浸提液(固体)</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6BE65D">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可配300mL</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237500">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盒（或包）</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0F7779">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4DEACD">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10</w:t>
            </w:r>
          </w:p>
        </w:tc>
      </w:tr>
      <w:tr w14:paraId="7219D395">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9F1BED">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58</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BAD289">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农药速测卡</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952F3A">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每盒可测多份样品</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BEE888">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盒（或包）</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30F35D">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9068D7">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100</w:t>
            </w:r>
          </w:p>
        </w:tc>
      </w:tr>
      <w:tr w14:paraId="39B01EA4">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2A6349">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59</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CDCFF4">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溴敌隆等鼠药速测盒</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CBC34D">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每盒可测多份样品</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AB50A0">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盒（或包）</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9E5305">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C0D613">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100</w:t>
            </w:r>
          </w:p>
        </w:tc>
      </w:tr>
      <w:tr w14:paraId="4DE67F19">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AF5912">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60</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0A021C">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苏丹红速测盒</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596102">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每盒可测多份样品</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4EC822">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盒（或包）</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B0EFF4">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8FDEBE">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100</w:t>
            </w:r>
          </w:p>
        </w:tc>
      </w:tr>
      <w:tr w14:paraId="55C2B356">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8230BC">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61</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B8D0C6">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毒鼠强速测试剂盒</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47BD0C">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每盒可测多份样品</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59F922">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盒（或包）</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BCA984">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8733EC">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90</w:t>
            </w:r>
          </w:p>
        </w:tc>
      </w:tr>
      <w:tr w14:paraId="72C3B29A">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F6AD3E">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62</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8417FF">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食物中钡速测盒</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F1E864">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每盒可测多份样品</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EDEC0D">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盒（或包）</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59BEA5">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5E026D">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100</w:t>
            </w:r>
          </w:p>
        </w:tc>
      </w:tr>
      <w:tr w14:paraId="5F7AA0E7">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97DF14">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63</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0116C4">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砷速测试剂盒</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31A241">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每盒可测多份样品</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D4C56E">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盒（或包）</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7DDC65">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2F5FA5">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100</w:t>
            </w:r>
          </w:p>
        </w:tc>
      </w:tr>
      <w:tr w14:paraId="2FC7D1D4">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A3A8F5">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64</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81F593">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汞速测试剂盒</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CA1D77">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每盒可测多份样品</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EA8B59">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盒（或包）</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F46211">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3C0162">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100</w:t>
            </w:r>
          </w:p>
        </w:tc>
      </w:tr>
      <w:tr w14:paraId="317A4594">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F9F84A">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65</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1ED70F">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有毒扁豆速测盒</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9FDC79">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每盒可测20份样品</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3F0BE8">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盒（或包）</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AF9451">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601E7D">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120</w:t>
            </w:r>
          </w:p>
        </w:tc>
      </w:tr>
      <w:tr w14:paraId="6CA4F01B">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9AC0C3">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66</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2531CF">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食用油酸价、过氧化值快速检测试纸</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8E2EBA">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每盒可测20份样品</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BC47CA">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盒（或包）</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90F336">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416A7F">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100</w:t>
            </w:r>
          </w:p>
        </w:tc>
      </w:tr>
      <w:tr w14:paraId="1771B32E">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3DE60F">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67</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366248">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重金属铅速测盒</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9300E6">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每盒可测20份样品</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DB0239">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盒（或包）</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E55F22">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9C6385">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100</w:t>
            </w:r>
          </w:p>
        </w:tc>
      </w:tr>
      <w:tr w14:paraId="3AAC969A">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95DC03">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68</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988016">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大米石蜡矿物油速测盒</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BE7D83">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每盒可测20份样品</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D11DC8">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盒（或包）</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326F98">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18C4B9">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100</w:t>
            </w:r>
          </w:p>
        </w:tc>
      </w:tr>
      <w:tr w14:paraId="1366A059">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B59242">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69</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EF2713">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氟乙酰胺速测盒</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0E1932">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每盒可测30份样品</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32AD4F">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盒（或包）</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6DA90D">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025AD9">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90</w:t>
            </w:r>
          </w:p>
        </w:tc>
      </w:tr>
      <w:tr w14:paraId="7A40FB68">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44C147">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70</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3F271E">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鼠药磷化锌速测盒</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41B7A0">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每盒可测多份样品</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E96E2F">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盒（或包）</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5E67D7">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3B235A">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30</w:t>
            </w:r>
          </w:p>
        </w:tc>
      </w:tr>
      <w:tr w14:paraId="0C5B7543">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6E74C0">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71</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520342">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酒中氰化物速测盒</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55A53E">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每盒可测50份样品</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DFF3D7">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盒（或包）</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2483C0">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6246F7">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360</w:t>
            </w:r>
          </w:p>
        </w:tc>
      </w:tr>
      <w:tr w14:paraId="7F49317E">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BDE2EE">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72</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138BC6">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劣质食用油鉴别速测盒</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53CB05">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每盒可测多份样品</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B6F3C1">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盒（或包）</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124E7F">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D3C1B7">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100</w:t>
            </w:r>
          </w:p>
        </w:tc>
      </w:tr>
      <w:tr w14:paraId="19631F67">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E16DED">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73</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30571A">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肉类新鲜度速测盒</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5941A1">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每盒可测50份样品</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277F5C">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盒（或包）</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27E0A7">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14EAD1">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150</w:t>
            </w:r>
          </w:p>
        </w:tc>
      </w:tr>
      <w:tr w14:paraId="46C2BFE7">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C60381">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74</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D17A6F">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甲醇速测盒</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5273DA">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每盒可测25份样品</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72BD43">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盒（或包）</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16769A">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106757">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260</w:t>
            </w:r>
          </w:p>
        </w:tc>
      </w:tr>
      <w:tr w14:paraId="1DBF57FA">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A6B1CB">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75</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E360EB">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食用油中大麻油快速检测试剂</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80DEE5">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每盒可测10份样品</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DD6206">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盒（或包）</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30D554">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2DFA30">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80</w:t>
            </w:r>
          </w:p>
        </w:tc>
      </w:tr>
      <w:tr w14:paraId="0C012E37">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2F4D8F">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76</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CEB7CF">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巴豆油鉴别试剂</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B22F32">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每盒可测10份样品</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702D4D">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盒（或包）</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E00A25">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1CED52">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80</w:t>
            </w:r>
          </w:p>
        </w:tc>
      </w:tr>
      <w:tr w14:paraId="55DEAD95">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F31869">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77</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C52868">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矿物油鉴别试剂</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F860CB">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每盒可测10份样品</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5B13F2">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盒（或包）</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221CE9">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8E4BC8">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90</w:t>
            </w:r>
          </w:p>
        </w:tc>
      </w:tr>
      <w:tr w14:paraId="21F182C2">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A4450A">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78</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29CA4C">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蓖麻油鉴别试剂</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7CF59A">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每盒可测10份样品</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949507">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盒（或包）</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7A3233">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2848E2">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50</w:t>
            </w:r>
          </w:p>
        </w:tc>
      </w:tr>
      <w:tr w14:paraId="58D74773">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8FB115">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79</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E07FF5">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桐油鉴别试剂</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4B4C7B">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每盒可测20份样品</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003613">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盒（或包）</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3EC8B7">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B78C13">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80</w:t>
            </w:r>
          </w:p>
        </w:tc>
      </w:tr>
      <w:tr w14:paraId="1F956D65">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A000E1">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80</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362D79">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牛奶新鲜度速测盒</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294C7B">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每盒可测50份样品</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0DABFB">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盒（或包）</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5D98DF">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CA39B2">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90</w:t>
            </w:r>
          </w:p>
        </w:tc>
      </w:tr>
      <w:tr w14:paraId="0A188D75">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A011B9">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81</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3DA538">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 xml:space="preserve">黄曲霉毒素M1速测卡         </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D73A4C">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每盒可测10次用量</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9D9B7E">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盒（或包）</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6292EB">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5830F3">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280</w:t>
            </w:r>
          </w:p>
        </w:tc>
      </w:tr>
      <w:tr w14:paraId="356EFBBC">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5F81AE">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82</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508A1F">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钡对照液</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3870A8">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0.1mg/mL*2mL</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B71DE3">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瓶</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E73AC5">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92DBBB">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20</w:t>
            </w:r>
          </w:p>
        </w:tc>
      </w:tr>
      <w:tr w14:paraId="13CA4DFE">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75DCAC">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83</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199156">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氰化物对照液</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9B77F3">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约50ug/ml*2ml</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225FB1">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瓶</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A4876E">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EB82DB">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30</w:t>
            </w:r>
          </w:p>
        </w:tc>
      </w:tr>
      <w:tr w14:paraId="47032F10">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DA9FAA">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84</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AF8EEF">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溴敌隆对照液</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A7CFDA">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1mg/ml×1ml</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DC602E">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瓶</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702CAC">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897A52">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120</w:t>
            </w:r>
          </w:p>
        </w:tc>
      </w:tr>
      <w:tr w14:paraId="1B9C5F7F">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22EBC2">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85</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5E8D47">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组胺对照液</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1528CE">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1mg/ml*2ml</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F76369">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瓶</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EFA5EB">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4499E8">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80</w:t>
            </w:r>
          </w:p>
        </w:tc>
      </w:tr>
      <w:tr w14:paraId="07E9AF60">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7E9860">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86</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4BF54B">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硫酸沙丁胺醇对照液</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712FE7">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1mg/ml×2ml</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02CD28">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瓶</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D01817">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99FE65">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50</w:t>
            </w:r>
          </w:p>
        </w:tc>
      </w:tr>
      <w:tr w14:paraId="5FA76CF4">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CE7B9B">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87</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4C8976">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桐油对照品</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169327">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每盒可测多份样品</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77503D">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瓶</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607EDF">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9355C4">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100</w:t>
            </w:r>
          </w:p>
        </w:tc>
      </w:tr>
      <w:tr w14:paraId="7BEB2FA8">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A6DC0F">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88</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15B79F">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砷对照液</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CE05BB">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每盒可测多份样品</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055434">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瓶</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892A8F">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FDE9E5">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20</w:t>
            </w:r>
          </w:p>
        </w:tc>
      </w:tr>
      <w:tr w14:paraId="2EA5718E">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A77351">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89</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83DD21">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汞对照液</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197C84">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每盒可测多份样品</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1EB5B4">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瓶</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F05803">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BEB9FB">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20</w:t>
            </w:r>
          </w:p>
        </w:tc>
      </w:tr>
      <w:tr w14:paraId="53191A13">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084790">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90</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4002EB">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敌鼠钠盐对照液</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FEFC2E">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1mg/ml×2ml</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886A62">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瓶</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0C5BF1">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D5561F">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120</w:t>
            </w:r>
          </w:p>
        </w:tc>
      </w:tr>
      <w:tr w14:paraId="5F91CB44">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FB4D3B">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91</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BA987F">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氟乙酰胺对照液（乙醇溶液）</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6C62E2">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每盒可测多份样品</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ABC1B5">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瓶</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F3513B">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380BDC">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100</w:t>
            </w:r>
          </w:p>
        </w:tc>
      </w:tr>
      <w:tr w14:paraId="7FC6F139">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014CEC">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92</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A46D3F">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亚硝酸盐速测管</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68D060">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每盒可测多份样品</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539219">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盒（或包）</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6BF9D0">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3D8ACB">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100</w:t>
            </w:r>
          </w:p>
        </w:tc>
      </w:tr>
      <w:tr w14:paraId="487F1B2D">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B1106B">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93</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C5CEF2">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呕吐毒素快速检测卡</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82CB41">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10次测定用量</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C48F8C">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盒（或包）</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33E672">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BD598A">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400</w:t>
            </w:r>
          </w:p>
        </w:tc>
      </w:tr>
      <w:tr w14:paraId="7872F127">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F53C93">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94</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D12FDB">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黄曲霉毒素B1速测卡</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0F78BA">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5次测定用量</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00957F">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盒（或包）</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1E3FC6">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49BA39">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140</w:t>
            </w:r>
          </w:p>
        </w:tc>
      </w:tr>
      <w:tr w14:paraId="645ADF4F">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D172E7">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95</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3FD5EB">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硼砂硼酸速测包</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6ED35D">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每盒可测多份样品</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230771">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盒（或包）</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0D1340">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A28219">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100</w:t>
            </w:r>
          </w:p>
        </w:tc>
      </w:tr>
      <w:tr w14:paraId="702D64C7">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512552">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96</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D844B4">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注水肉检测试纸</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2811EB">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每盒可测多份样品</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4E1254">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盒（或包）</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806584">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ABE811">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100</w:t>
            </w:r>
          </w:p>
        </w:tc>
      </w:tr>
      <w:tr w14:paraId="54076DDC">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6024EF">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97</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B71D53">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甲醛定性速测管</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E0205A">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20份样品用量</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E46EF8">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盒（或包）</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03C8DA">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16FFC9">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50</w:t>
            </w:r>
          </w:p>
        </w:tc>
      </w:tr>
      <w:tr w14:paraId="59F72AD1">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941B23">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98</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B5B961">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二氧化硫速测盒</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49F22B">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50次测定用量</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F5ADDF">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盒（或包）</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F9EC08">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25A5F0">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140</w:t>
            </w:r>
          </w:p>
        </w:tc>
      </w:tr>
      <w:tr w14:paraId="4D20B941">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969D99">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99</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BEFA68">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瘦肉精三联速测卡</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52E681">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每盒可测多份样品</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16D4D4">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盒（或包）</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CBAA5B">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5EEB19">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100</w:t>
            </w:r>
          </w:p>
        </w:tc>
      </w:tr>
      <w:tr w14:paraId="1BFDFA8F">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C2A9D3">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100</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ED11C5">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生熟豆浆速测试剂包</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A13B71">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50份样品用量</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33B2FC">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盒（或包）</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B40692">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3F4BD6">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90</w:t>
            </w:r>
          </w:p>
        </w:tc>
      </w:tr>
      <w:tr w14:paraId="28A44AC5">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9760A6">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101</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E8A323">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氰化物检测试剂包</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1C8CC2">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每盒可测多份样品</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3902E9">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盒（或包）</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67E993">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971416">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100</w:t>
            </w:r>
          </w:p>
        </w:tc>
      </w:tr>
      <w:tr w14:paraId="4FCCEAF7">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E59345">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102</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C3B8BC">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鼠药安妥检测试纸</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E62A1E">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每盒可测多份样品</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121E16">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盒（或包）</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C51663">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D65E2D">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100</w:t>
            </w:r>
          </w:p>
        </w:tc>
      </w:tr>
      <w:tr w14:paraId="3E8C6E09">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F4A164">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103</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060772">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乳品中糊精速测试剂</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4FA59A">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每盒可测多份样品</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B62010">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盒（或包）</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2FAE6D">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9CF6A5">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100</w:t>
            </w:r>
          </w:p>
        </w:tc>
      </w:tr>
      <w:tr w14:paraId="7E6D4923">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CD3903">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104</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314A4F">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乌洛托品甲醛速测管</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3F83A8">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50份样品试剂用量</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150BDF">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盒（或包）</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8DE2F9">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7D9F26">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260</w:t>
            </w:r>
          </w:p>
        </w:tc>
      </w:tr>
      <w:tr w14:paraId="4B86A2D3">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698FCD">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105</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B5A127">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硝酸盐速测管</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6A09BA">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10份样品用量</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F84C3">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盒（或包）</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E61496">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9D71F0">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100</w:t>
            </w:r>
          </w:p>
        </w:tc>
      </w:tr>
      <w:tr w14:paraId="4D0DA22F">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F6FC45">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106</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FA60BD">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重金属镉快速检测试剂盒</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E05B9A">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10次/盒</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F5D73A">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盒（或包）</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A1DB41">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7540CF">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100</w:t>
            </w:r>
          </w:p>
        </w:tc>
      </w:tr>
      <w:tr w14:paraId="476BBF1F">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3A71E0">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107</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666E8E">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三聚氰胺速测卡</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9E0306">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5片装</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2F1C08">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盒（或包）</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8E9AE8">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0A257D">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180</w:t>
            </w:r>
          </w:p>
        </w:tc>
      </w:tr>
      <w:tr w14:paraId="4C7CCF0B">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24B819">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108</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FF6DB3">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盐酸克伦特罗速测卡</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42D929">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5片装</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10BC22">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盒（或包）</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AFF29F">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E44225">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100</w:t>
            </w:r>
          </w:p>
        </w:tc>
      </w:tr>
      <w:tr w14:paraId="2857BBAB">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4B3F42">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109</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649296">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敌鼠钠盐测试包</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F4D446">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每盒可测多份样品</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D27B7C">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包</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A6E8D1">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D5B260">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100</w:t>
            </w:r>
          </w:p>
        </w:tc>
      </w:tr>
      <w:tr w14:paraId="538636C0">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312784">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110</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FBE079">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镍单元素溶液标准物质</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6B866F">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GBW(E)080128</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044CAC">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瓶</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DA6D03">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C50C60">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45</w:t>
            </w:r>
          </w:p>
        </w:tc>
      </w:tr>
      <w:tr w14:paraId="39D59FCC">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D4DB2A">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111</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ABE885">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银单元素溶液标准物质</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665C84">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GBW(E)080610</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F8ADFA">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瓶</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5B4819">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0CB2CB">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48</w:t>
            </w:r>
          </w:p>
        </w:tc>
      </w:tr>
      <w:tr w14:paraId="29BB9E03">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7A4653">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112</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142236">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十字交叉雾化器</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1AE39D">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锥形，含喷嘴一套</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835181">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件</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8B7E3F">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CCC693">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15373</w:t>
            </w:r>
          </w:p>
        </w:tc>
      </w:tr>
      <w:tr w14:paraId="27A24DA4">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106B2D">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113</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D9FA08">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水平观测窗</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ABDD0D">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圆形，石英材质</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CDD29C">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件</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1136E7">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E6FBD3">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2418</w:t>
            </w:r>
          </w:p>
        </w:tc>
      </w:tr>
      <w:tr w14:paraId="6B44B5D1">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1A61BD">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114</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CBC436">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垂直观测窗</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8A0451">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柱状，石英材质</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349099">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件</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A5EAAD">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9CFFAC">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3351</w:t>
            </w:r>
          </w:p>
        </w:tc>
      </w:tr>
      <w:tr w14:paraId="222C2E76">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5BCEED">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115</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97D2EC">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氧化铝中心管</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A8BC06">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氧化铝，圆柱形</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366482">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件</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8A12A5">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318440">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3651</w:t>
            </w:r>
          </w:p>
        </w:tc>
      </w:tr>
      <w:tr w14:paraId="277D0CE3">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46CF1F">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116</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9BF7C2">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进样毛细管</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5B4D67">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PVC,3m</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397495">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件</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F052BB">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E04F7D">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929</w:t>
            </w:r>
          </w:p>
        </w:tc>
      </w:tr>
      <w:tr w14:paraId="3B263934">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427B67">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117</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E5567E">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宝石喷嘴1</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A94D4F">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Peek材质，红蓝各一颗</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A7CDB7">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件</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F66A86">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A129AE">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2078</w:t>
            </w:r>
          </w:p>
        </w:tc>
      </w:tr>
      <w:tr w14:paraId="60BAC782">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E00B10">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118</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B4FAC9">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宝石喷嘴2</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3A60DC">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Peek材质，红蓝各一颗</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3CC2CA">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件</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EF99DB">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C88CAF">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2585</w:t>
            </w:r>
          </w:p>
        </w:tc>
      </w:tr>
      <w:tr w14:paraId="3DA2F588">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D1B83A">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119</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EF60B2">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ICP-MS冷却液</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06C245">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1L独立包装，每箱10瓶</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BE506B">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箱</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0AA426">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52CA78">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8730</w:t>
            </w:r>
          </w:p>
        </w:tc>
      </w:tr>
      <w:tr w14:paraId="35BAD48E">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B04172">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120</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535131">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ICP冷却液</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DFD03C">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1.8L独立包装，每箱5瓶</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CBC6B4">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箱</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EADB28">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14281E">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5111</w:t>
            </w:r>
          </w:p>
        </w:tc>
      </w:tr>
      <w:tr w14:paraId="4A4018AA">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5D43F9">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121</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1FB513">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一次性塑料采水瓶</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008A16">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食品级PP材质</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17E4F4">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个</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BC5E78">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1000</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648245">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0.8</w:t>
            </w:r>
          </w:p>
        </w:tc>
      </w:tr>
      <w:tr w14:paraId="79478DC7">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53F168">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122</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92CC8D">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废液缸</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34CF84">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5L容量，圆形，带盖</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B5BD60">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个</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6A733B">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4</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47F0E6">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89.5</w:t>
            </w:r>
          </w:p>
        </w:tc>
      </w:tr>
      <w:tr w14:paraId="71A5B5AB">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64AC6A">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123</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E530D0">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PET标签1</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901CED">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银色、防水40mm*30mm</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774234">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卷</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53D82B">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10</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6A581B">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16</w:t>
            </w:r>
          </w:p>
        </w:tc>
      </w:tr>
      <w:tr w14:paraId="65C91693">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1A1889">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124</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6742E3">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PET标签2</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1F8BB0">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银色、防水30mm*20mm</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A21A22">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卷</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7BB878">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10</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1A5304">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15.5</w:t>
            </w:r>
          </w:p>
        </w:tc>
      </w:tr>
      <w:tr w14:paraId="7E75FE7A">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7B3E3E">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125</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134FCD">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PET标签3</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DD32D8">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银色、防水50mm*30mm</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052556">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卷</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3D1D84">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10</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EF4E45">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37</w:t>
            </w:r>
          </w:p>
        </w:tc>
      </w:tr>
      <w:tr w14:paraId="41916FE5">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325BF7">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126</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805AF8">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PET标签4</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8CDECC">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银色、防水70mm*40mm</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48F4FA">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卷</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E96DD7">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10</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FD2FA2">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30</w:t>
            </w:r>
          </w:p>
        </w:tc>
      </w:tr>
      <w:tr w14:paraId="3B8828D2">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5085F4">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127</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B54945">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PET标签5</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BA41CA">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银色、防水100mm*80mm</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3F85AD">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卷</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EB4E7E">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10</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B23E8C">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32</w:t>
            </w:r>
          </w:p>
        </w:tc>
      </w:tr>
      <w:tr w14:paraId="2CBA529A">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59CEBF">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128</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E4744C">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PET标签6</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36487D">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银色、防水20mm*10mm</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56FCA7">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卷</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C2F78C">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10</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D33F43">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23</w:t>
            </w:r>
          </w:p>
        </w:tc>
      </w:tr>
      <w:tr w14:paraId="596B5603">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683405">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129</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75FC5F">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样品标签1</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2A5FCF">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60mm*40mm（720张）</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8632EA">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卷</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1FAA95">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10</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18DBDB">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37</w:t>
            </w:r>
          </w:p>
        </w:tc>
      </w:tr>
      <w:tr w14:paraId="44EC88BE">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AF2520">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130</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80D600">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样品标签2</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8BF41C">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70mm*50mm（560张）</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75CAA9">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卷</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236387">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10</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70FA5B">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42</w:t>
            </w:r>
          </w:p>
        </w:tc>
      </w:tr>
      <w:tr w14:paraId="4CA76C79">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4F6DB8">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131</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2F7448">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不锈钢提篮1</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918FC1">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圆形，直径20cm*高度20cm</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B9B8F2">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个</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CFD4EE">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3</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C7E6A3">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350</w:t>
            </w:r>
          </w:p>
        </w:tc>
      </w:tr>
      <w:tr w14:paraId="11E41BA7">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7A8E9A">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132</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1780ED">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不锈钢提篮2</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912DC2">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方形，长40cm*宽30cm*高20cm</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B613DA">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个</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A8F3FE">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4</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8C1D11">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470</w:t>
            </w:r>
          </w:p>
        </w:tc>
      </w:tr>
      <w:tr w14:paraId="430DE7A5">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76BA68">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133</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31A475">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提篮把手</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14EC71">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硅胶</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EBEE05">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个</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FF4FE8">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20</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782D0A">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1.5</w:t>
            </w:r>
          </w:p>
        </w:tc>
      </w:tr>
      <w:tr w14:paraId="2C02ADC7">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A12D7E">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134</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AC8338">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冰排</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9B4F9E">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200mL</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D6B40A">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个</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1FD2EB">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20</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9902A9">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2.7</w:t>
            </w:r>
          </w:p>
        </w:tc>
      </w:tr>
      <w:tr w14:paraId="5B5D3E25">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7BE220">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135</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0E212D">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防水胶鞋1</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89C38C">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女款39码</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336A9E">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双</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71A700">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5</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14D457">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53</w:t>
            </w:r>
          </w:p>
        </w:tc>
      </w:tr>
      <w:tr w14:paraId="222C55A9">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747FBB">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136</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952438">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防水胶鞋2</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A06371">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男款43码</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6759DE">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双</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CE078A">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3</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C1DD48">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63</w:t>
            </w:r>
          </w:p>
        </w:tc>
      </w:tr>
      <w:tr w14:paraId="17BE377A">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6C5873">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137</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A0C7AE">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雨披</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EAB831">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带帽沿</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6B5747">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个</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E6928D">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10</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848896">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5.3</w:t>
            </w:r>
          </w:p>
        </w:tc>
      </w:tr>
      <w:tr w14:paraId="2D3A4235">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9744F9">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138</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9C5F2A">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带轮冷藏箱</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12FA44">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52L，伸缩拉杆</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CCE62D">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个</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2908DC">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F0C2F6">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680</w:t>
            </w:r>
          </w:p>
        </w:tc>
      </w:tr>
      <w:tr w14:paraId="70FFC8F0">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45FABB">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139</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4AAE84">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不锈钢酒精灯</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A3E241">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E9A928">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个</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DBB6E2">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8</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4D90CF">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37</w:t>
            </w:r>
          </w:p>
        </w:tc>
      </w:tr>
      <w:tr w14:paraId="498F6919">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927DF0">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140</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A2D935">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一次性滴管1</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779FAD">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1mL</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80A604">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个</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C8DFE0">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500</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24A891">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0.09</w:t>
            </w:r>
          </w:p>
        </w:tc>
      </w:tr>
      <w:tr w14:paraId="3418EBF9">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782788">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141</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0A3812">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一次性滴管2</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EE5751">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5mL</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1C49B0">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个</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BB815A">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500</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197F2C">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0.2</w:t>
            </w:r>
          </w:p>
        </w:tc>
      </w:tr>
      <w:tr w14:paraId="340D3A09">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C3C503">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142</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84F204">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一次性滴管3</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B024CC">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10mL</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D22AED">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个</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FA53B6">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500</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18B741">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0.3</w:t>
            </w:r>
          </w:p>
        </w:tc>
      </w:tr>
      <w:tr w14:paraId="2A40DF42">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9C95A4">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143</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00BDA6">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不锈钢烧杯1</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4E33CC">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50mL带刻度，杯口圆润</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D163D3">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个</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5B9A5F">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4</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9F6E77">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26</w:t>
            </w:r>
          </w:p>
        </w:tc>
      </w:tr>
      <w:tr w14:paraId="2AAF25DA">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4A5DE9">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144</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EF2377">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不锈钢烧杯2</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8950A7">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250mL带刻度，杯口圆润</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51DF76">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个</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AD50E6">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4</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A47D63">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32</w:t>
            </w:r>
          </w:p>
        </w:tc>
      </w:tr>
      <w:tr w14:paraId="0A8E14F2">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E0D0F7">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145</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01AFA1">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激光护目镜</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B9C2FA">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8537FF">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个</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011AFD">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20253F">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160</w:t>
            </w:r>
          </w:p>
        </w:tc>
      </w:tr>
      <w:tr w14:paraId="3650B925">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89AF91">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146</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C15117">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紫外线防护服：上衣</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655AD2">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C9ADB5">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件</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8043BE">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0E64CA">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910</w:t>
            </w:r>
          </w:p>
        </w:tc>
      </w:tr>
      <w:tr w14:paraId="32161BFF">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16402A">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147</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150C49">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紫外线防护服：面罩</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F3DF13">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DB24F4">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个</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0B05B8">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6D45EF">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195</w:t>
            </w:r>
          </w:p>
        </w:tc>
      </w:tr>
      <w:tr w14:paraId="4DA586C7">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128AD0">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148</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7674E2">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紫外线消毒灯管架</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33F7F6">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31cm*30cm*58cm，高度100cm</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B3094E">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个</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C57BEC">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C87261">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550</w:t>
            </w:r>
          </w:p>
        </w:tc>
      </w:tr>
      <w:tr w14:paraId="02B6CF5C">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0523E2">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149</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F59A61">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自粘灭菌袋1</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22FD7D">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190mm*360mm</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466072">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个</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411EAA">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20</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E85F38">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42</w:t>
            </w:r>
          </w:p>
        </w:tc>
      </w:tr>
      <w:tr w14:paraId="7E11283F">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12C0D1">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150</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465BA2">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自粘灭菌袋2</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20DC55">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135mm*280mm</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82168A">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个</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5A3EF0">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20</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229AFE">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74</w:t>
            </w:r>
          </w:p>
        </w:tc>
      </w:tr>
      <w:tr w14:paraId="402D3E3E">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92EB64">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151</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E7D688">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生物样品袋1</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9450DD">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三层350mm*450mm，100个</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0433E2">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包</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AEF83C">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5</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EB30D8">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85</w:t>
            </w:r>
          </w:p>
        </w:tc>
      </w:tr>
      <w:tr w14:paraId="178CA6E4">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026174">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152</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A4D16B">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生物样品袋2</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444643">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三层250mm*300mm，100个</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88D4C5">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包</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65DB43">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5</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181CB6">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53</w:t>
            </w:r>
          </w:p>
        </w:tc>
      </w:tr>
      <w:tr w14:paraId="17285325">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6AB7EF">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153</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0CDD6E">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耐高温灭菌袋1</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4F7380">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30cm*40cm  50个/包</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B86815">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包</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87ABB4">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4</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8C7330">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120</w:t>
            </w:r>
          </w:p>
        </w:tc>
      </w:tr>
      <w:tr w14:paraId="21DCE966">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920CD3">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154</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D52E9B">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耐高温灭菌袋2</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53A8F2">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45cm*55cm 50个/包</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1A097F">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包</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8387A1">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4</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3F5010">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205</w:t>
            </w:r>
          </w:p>
        </w:tc>
      </w:tr>
      <w:tr w14:paraId="21990475">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600CB8">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155</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CA496B">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无菌采样袋1</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D952A4">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20cm*22cm  100个/包</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F30DB1">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包</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EDE5AF">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4</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968961">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100</w:t>
            </w:r>
          </w:p>
        </w:tc>
      </w:tr>
      <w:tr w14:paraId="5ED46D95">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8CF187">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156</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3300B1">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无菌采样袋2</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95BA43">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12cm*18cm  100个/包</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2881CD">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包</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7EF420">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4</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7D2786">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32</w:t>
            </w:r>
          </w:p>
        </w:tc>
      </w:tr>
      <w:tr w14:paraId="1216BD92">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D46D45">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157</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718C34">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无菌采样袋3</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F511C9">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30cm*40cm 50个/包</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6C3FEB">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包</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EF6B08">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4</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D85839">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153</w:t>
            </w:r>
          </w:p>
        </w:tc>
      </w:tr>
      <w:tr w14:paraId="3F3256BD">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3F1D84">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158</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59513F">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一次性镊子</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FC2C3B">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蓝色</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8FEC3C">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个</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98EAF8">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100</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8A5B43">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0.3</w:t>
            </w:r>
          </w:p>
        </w:tc>
      </w:tr>
      <w:tr w14:paraId="21EF142D">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C3788D">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159</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67098F">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不锈钢镊子1</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CFC7F9">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圆直头12.5cm</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DBF6EB">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个</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2D5315">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5</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507FEC">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13</w:t>
            </w:r>
          </w:p>
        </w:tc>
      </w:tr>
      <w:tr w14:paraId="6610C27F">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10637B">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160</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ABA215">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不锈钢镊子2</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16A7C3">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圆直头20cm</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17DF22">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个</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DD229D">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5</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F363D6">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20</w:t>
            </w:r>
          </w:p>
        </w:tc>
      </w:tr>
      <w:tr w14:paraId="7D36ECA1">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6333D7">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161</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AAFF8E">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无菌采样袋1</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DD2071">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 xml:space="preserve">有吸嘴，不含硫、1000mL 10个/包  </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04AF6D">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包</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08E378">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4</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7A17BD">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90</w:t>
            </w:r>
          </w:p>
        </w:tc>
      </w:tr>
      <w:tr w14:paraId="5FDE43A3">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FDFE9E">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162</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0C55D0">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无菌采样袋2</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4E3A3C">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 xml:space="preserve">有吸嘴，不含硫、500mL 10个/包 </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D7C5A8">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包</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641119">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5</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BC7553">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50</w:t>
            </w:r>
          </w:p>
        </w:tc>
      </w:tr>
      <w:tr w14:paraId="2B12D7A1">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AC18CC">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163</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6830BF">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实验用封口膜1</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1D0878">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5cm宽*38M</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113267">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盒</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2A891C">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D3E71E">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64</w:t>
            </w:r>
          </w:p>
        </w:tc>
      </w:tr>
      <w:tr w14:paraId="751516DF">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F689E3">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164</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C0B03B">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实验用封口膜2</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00D71A">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10cm宽*38M</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E2FFE9">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盒</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452A21">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3</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32A172">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190</w:t>
            </w:r>
          </w:p>
        </w:tc>
      </w:tr>
      <w:tr w14:paraId="67139726">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592BA3">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165</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EC261C">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无尘吸水纸</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2A383E">
            <w:pPr>
              <w:widowControl/>
              <w:jc w:val="center"/>
              <w:textAlignment w:val="center"/>
              <w:rPr>
                <w:rFonts w:ascii="宋体" w:hAnsi="宋体" w:cs="宋体"/>
                <w:color w:val="000000"/>
                <w:kern w:val="0"/>
                <w:sz w:val="20"/>
                <w:szCs w:val="20"/>
                <w:lang w:bidi="ar"/>
              </w:rPr>
            </w:pPr>
            <w:r>
              <w:rPr>
                <w:rFonts w:hint="eastAsia" w:ascii="宋体" w:hAnsi="宋体" w:cs="宋体"/>
                <w:color w:val="000000"/>
                <w:kern w:val="0"/>
                <w:sz w:val="20"/>
                <w:szCs w:val="20"/>
                <w:lang w:bidi="ar"/>
              </w:rPr>
              <w:t>12cm*19cm</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C78FB6">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盒</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AE0124">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100</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C598B1">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8.5</w:t>
            </w:r>
          </w:p>
        </w:tc>
      </w:tr>
      <w:tr w14:paraId="6BB3798B">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4D233B">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166</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B197A9">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二氧化氯标准溶液(以有效氯计)</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602DF8">
            <w:pPr>
              <w:widowControl/>
              <w:jc w:val="center"/>
              <w:textAlignment w:val="center"/>
              <w:rPr>
                <w:rFonts w:ascii="宋体" w:hAnsi="宋体" w:cs="宋体"/>
                <w:color w:val="000000"/>
                <w:kern w:val="0"/>
                <w:sz w:val="20"/>
                <w:szCs w:val="20"/>
                <w:lang w:bidi="ar"/>
              </w:rPr>
            </w:pPr>
            <w:r>
              <w:rPr>
                <w:rFonts w:hint="eastAsia" w:ascii="宋体" w:hAnsi="宋体" w:cs="宋体"/>
                <w:color w:val="000000"/>
                <w:kern w:val="0"/>
                <w:sz w:val="20"/>
                <w:szCs w:val="20"/>
                <w:lang w:bidi="ar"/>
              </w:rPr>
              <w:t>BW20074-1000-100</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5F3E8F">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瓶</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D900E8">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24</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7DC952">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104</w:t>
            </w:r>
          </w:p>
        </w:tc>
      </w:tr>
      <w:tr w14:paraId="01B2F5B9">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A7BA6A">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167</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46F613">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臭氧标准溶液</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9C4082">
            <w:pPr>
              <w:widowControl/>
              <w:jc w:val="center"/>
              <w:textAlignment w:val="center"/>
              <w:rPr>
                <w:rFonts w:ascii="宋体" w:hAnsi="宋体" w:cs="宋体"/>
                <w:color w:val="000000"/>
                <w:kern w:val="0"/>
                <w:sz w:val="20"/>
                <w:szCs w:val="20"/>
                <w:lang w:bidi="ar"/>
              </w:rPr>
            </w:pPr>
            <w:r>
              <w:rPr>
                <w:rFonts w:hint="eastAsia" w:ascii="宋体" w:hAnsi="宋体" w:cs="宋体"/>
                <w:color w:val="000000"/>
                <w:kern w:val="0"/>
                <w:sz w:val="20"/>
                <w:szCs w:val="20"/>
                <w:lang w:bidi="ar"/>
              </w:rPr>
              <w:t>BW20075-240-100</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6BF039">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瓶</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B3D8E2">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8</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DC7771">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112</w:t>
            </w:r>
          </w:p>
        </w:tc>
      </w:tr>
      <w:tr w14:paraId="653FF24C">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599332">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168</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39E1B0">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模拟游离余氯标准溶液</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04CE85">
            <w:pPr>
              <w:widowControl/>
              <w:jc w:val="center"/>
              <w:textAlignment w:val="center"/>
              <w:rPr>
                <w:rFonts w:ascii="宋体" w:hAnsi="宋体" w:cs="宋体"/>
                <w:color w:val="000000"/>
                <w:kern w:val="0"/>
                <w:sz w:val="20"/>
                <w:szCs w:val="20"/>
                <w:lang w:bidi="ar"/>
              </w:rPr>
            </w:pPr>
            <w:r>
              <w:rPr>
                <w:rFonts w:hint="eastAsia" w:ascii="宋体" w:hAnsi="宋体" w:cs="宋体"/>
                <w:color w:val="000000"/>
                <w:kern w:val="0"/>
                <w:sz w:val="20"/>
                <w:szCs w:val="20"/>
                <w:lang w:bidi="ar"/>
              </w:rPr>
              <w:t>GBW(E)085500</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DDCF19">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瓶</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8BE396">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3</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2CD303">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285</w:t>
            </w:r>
          </w:p>
        </w:tc>
      </w:tr>
      <w:tr w14:paraId="0B1579A0">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EDAA37">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169</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B90D87">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水中总余氯标准溶液</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4D007E">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GBW(E)085501</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14063D">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瓶</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A512BF">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B356FB">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285</w:t>
            </w:r>
          </w:p>
        </w:tc>
      </w:tr>
      <w:tr w14:paraId="705815FD">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5C4DD1">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170</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D827E8">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农药残留速测卡</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1F9963">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20次测定用量</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014182">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包</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4A5E50">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91F6DF">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29</w:t>
            </w:r>
          </w:p>
        </w:tc>
      </w:tr>
      <w:tr w14:paraId="0A89A55F">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A79E2C">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171</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EA66C6">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水中氨氮速测管</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B8336A">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20次测定用量</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BD622F">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包</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C35EF4">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DDA403">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271</w:t>
            </w:r>
          </w:p>
        </w:tc>
      </w:tr>
      <w:tr w14:paraId="6B98841C">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59D991">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172</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6A4372">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水中甲醛速测盒</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2C3433">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50次测定用量</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067773">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盒</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107773">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6B74B0">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271</w:t>
            </w:r>
          </w:p>
        </w:tc>
      </w:tr>
      <w:tr w14:paraId="36CD4775">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E86803">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173</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0BA59E">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水质总硬度速测盒</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3BA624">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50次测定用量</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05F438">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盒</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F74F46">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41B2DB">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271</w:t>
            </w:r>
          </w:p>
        </w:tc>
      </w:tr>
      <w:tr w14:paraId="635FB2FA">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504CFE">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174</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F973DE">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水中毒鼠强速测管</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6F8732">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30次测定用量</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B205A5">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包</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4D2304">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67E74A">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271</w:t>
            </w:r>
          </w:p>
        </w:tc>
      </w:tr>
      <w:tr w14:paraId="1F503F18">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0FB833">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175</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FFC05B">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水中硝酸盐速测管</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4732C6">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20次测定用量</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095B02">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包</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3E6545">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6C3692">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229</w:t>
            </w:r>
          </w:p>
        </w:tc>
      </w:tr>
      <w:tr w14:paraId="4B594D85">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19548F">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176</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4FD8BE">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水中亚硝酸盐速测管</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51D047">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20次测定用量</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AFD8AA">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包</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723D8E">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B5FD41">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229</w:t>
            </w:r>
          </w:p>
        </w:tc>
      </w:tr>
      <w:tr w14:paraId="375DDFA7">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295DFC">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177</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08FDA6">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水质耗氧量COD速测盒</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9C9743">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20次测定用量</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3110BB">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盒</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0205F7">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5240D4">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429</w:t>
            </w:r>
          </w:p>
        </w:tc>
      </w:tr>
      <w:tr w14:paraId="4E9486A0">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3922F2">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178</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00D9E7">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水质浊度速测盒</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6DA64A">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50次测定用量</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3EBC5B">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盒</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C6104C">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D35D13">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343</w:t>
            </w:r>
          </w:p>
        </w:tc>
      </w:tr>
      <w:tr w14:paraId="6BCC4AAF">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5470E3">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179</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5CFB20">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水中六价铬速测管</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3B4ECA">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20次测定用量</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E24BAF">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包</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233238">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815775">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271</w:t>
            </w:r>
          </w:p>
        </w:tc>
      </w:tr>
      <w:tr w14:paraId="2AA509E7">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45AC8C">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180</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65E4A3">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水中砷速测盒</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B931DC">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30次测定用量</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F56956">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盒</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D8C637">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2A6D4D">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771</w:t>
            </w:r>
          </w:p>
        </w:tc>
      </w:tr>
      <w:tr w14:paraId="104210DF">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E79A31">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181</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C4D0DE">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水中汞速测盒</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5D3121">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30次测定用量</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219E6C">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盒</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3A3B2C">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50A575">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657</w:t>
            </w:r>
          </w:p>
        </w:tc>
      </w:tr>
      <w:tr w14:paraId="082BC9C3">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AEEDD4">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182</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3676ED">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水中挥发酚速测盒</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C25617">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20次测定用量</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A358AA">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盒</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A1482C">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A43DE1">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343</w:t>
            </w:r>
          </w:p>
        </w:tc>
      </w:tr>
      <w:tr w14:paraId="260BCB80">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ECB07F">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183</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7D4570">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水质色度速测盒</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A5D107">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10次测定用量</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184DFB">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盒</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8B14E6">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37178B">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343</w:t>
            </w:r>
          </w:p>
        </w:tc>
      </w:tr>
      <w:tr w14:paraId="5D574BA9">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C1C0AF">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184</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413A12">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棕色液相色谱流动相试剂瓶1</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766BED">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高硼硅1级，带GL452孔换气盖2孔（带PTFE单向阀，防挥发），棕色，1L</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7ACD74">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个</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E8968A">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8</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C8D3C4">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150</w:t>
            </w:r>
          </w:p>
        </w:tc>
      </w:tr>
      <w:tr w14:paraId="4E76DA03">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792FCD">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185</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4F799E">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透明液相色谱流动相试剂瓶2</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1E296B">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高硼硅1级，带GL452孔换气盖3孔（带PTFE单向阀，防挥发），透明，1L</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868A33">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个</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0C61C4">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8</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E8D3FA">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150</w:t>
            </w:r>
          </w:p>
        </w:tc>
      </w:tr>
      <w:tr w14:paraId="0561F49D">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630902">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186</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283694">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棕色液相色谱流动相试剂瓶3</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0DAC88">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高硼硅1级，棕色，2L</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9E8CDB">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个</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4D32CF">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4</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B87BEC">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200</w:t>
            </w:r>
          </w:p>
        </w:tc>
      </w:tr>
      <w:tr w14:paraId="2F0CFD82">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5F30CA">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187</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D10F08">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透明液相色谱流动相试剂瓶4</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5764BC">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高硼硅1级，透明，2L</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E1C23A">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个</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CDB2A3">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4</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D9255B">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200</w:t>
            </w:r>
          </w:p>
        </w:tc>
      </w:tr>
      <w:tr w14:paraId="35B1C8F5">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3B3128">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188</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7221E9">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石蜡封口膜1</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94DFE3">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10cm*38m</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BD777A">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卷</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63543C">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5</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FC2028">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180</w:t>
            </w:r>
          </w:p>
        </w:tc>
      </w:tr>
      <w:tr w14:paraId="698A56E2">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4FE298">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189</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642480">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石蜡封口膜2</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04DDF9">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5cm*76m</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4C03DC">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卷</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D94DBF">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5</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885BE3">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180</w:t>
            </w:r>
          </w:p>
        </w:tc>
      </w:tr>
      <w:tr w14:paraId="027E3D2C">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B1BB78">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190</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58178C">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10 uL 气相色谱进样针</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EEE525">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适配岛津气相色谱2010-plus</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CBCBEC">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支</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421637">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497852">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100</w:t>
            </w:r>
          </w:p>
        </w:tc>
      </w:tr>
      <w:tr w14:paraId="0F834F53">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0D9A46">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191</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6ED3B9">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10 uL微量注射器</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16D6B6">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10uL，尖头，气密款</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B185C8">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支</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684022">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5</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8749A5">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100</w:t>
            </w:r>
          </w:p>
        </w:tc>
      </w:tr>
      <w:tr w14:paraId="6184BC4D">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B92274">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192</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92D4D2">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100 uL微量注射器</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D10F29">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100uL 尖头，气密款</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0B915C">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支</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06EE4F">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5</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2B185A">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100</w:t>
            </w:r>
          </w:p>
        </w:tc>
      </w:tr>
      <w:tr w14:paraId="3D5182A8">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8AB7E6">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193</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A337BF">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50mL棕色蓝盖玻璃试剂瓶</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1FD2B6">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高硼硅，透明，带蓝盖</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CE6C1C">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个</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0231BD">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10</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905EC9">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15</w:t>
            </w:r>
          </w:p>
        </w:tc>
      </w:tr>
      <w:tr w14:paraId="0FB030A6">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F13ECC">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194</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5622DB">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100mL棕色蓝盖玻璃试剂瓶</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BF4B64">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高硼硅，透明，带蓝盖</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B8A1B9">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个</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82FBBC">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10</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DF7BAB">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18</w:t>
            </w:r>
          </w:p>
        </w:tc>
      </w:tr>
      <w:tr w14:paraId="77A0FCC6">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E83E2A">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195</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09D73A">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250mL棕色蓝盖玻璃试剂瓶</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8B6D6F">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高硼硅，透明，带蓝盖</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17C0B6">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个</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47B65A">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10</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4A7280">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23</w:t>
            </w:r>
          </w:p>
        </w:tc>
      </w:tr>
      <w:tr w14:paraId="62835D3A">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399A4B">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196</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D2D4C0">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500mL棕色蓝盖玻璃试剂瓶</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F64052">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高硼硅，透明，带蓝盖</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20525C">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个</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34A101">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10</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653BAF">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30</w:t>
            </w:r>
          </w:p>
        </w:tc>
      </w:tr>
      <w:tr w14:paraId="27770E0F">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8943AC">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197</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948994">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Ba/Ag/H离子高钡负载量复合SPE小柱</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992254">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Ba/Ag/H离子高钡负载, 2.5 mL, 50/PK</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859F02">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盒</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E1BB90">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5</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F9AD20">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4375</w:t>
            </w:r>
          </w:p>
        </w:tc>
      </w:tr>
      <w:tr w14:paraId="7A946496">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877538">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198</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1A15C0">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超高压溶剂效应消除柱</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5FC4E7">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1/PK</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7CD516">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支</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D761D2">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B5F4D7">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6200</w:t>
            </w:r>
          </w:p>
        </w:tc>
      </w:tr>
      <w:tr w14:paraId="60846FB2">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6A48D6">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199</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A0AB81">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AC SPE 小柱—椰壳活性炭</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58B657">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500 mg, 6 mL, 30/PK</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01C38C">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盒</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0D6156">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415831">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861</w:t>
            </w:r>
          </w:p>
        </w:tc>
      </w:tr>
      <w:tr w14:paraId="4DD836AE">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96D32A">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200</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CBC6E5">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预柱一体式亲水C18色谱柱</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FF391C">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 xml:space="preserve"> 5μm,250 x 4.6mm, 1/PK</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F627C4">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支</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1B7879">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9933B5">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3100</w:t>
            </w:r>
          </w:p>
        </w:tc>
      </w:tr>
      <w:tr w14:paraId="7AF2E138">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50E83E">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201</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BB3CC9">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超高压液相色谱核壳C18色谱柱</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B6D518">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 xml:space="preserve"> 2.1*100</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07BB78">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支</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CDFE66">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80A98C">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6922</w:t>
            </w:r>
          </w:p>
        </w:tc>
      </w:tr>
      <w:tr w14:paraId="60919013">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B35634">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202</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958857">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混合型弱阴离子交换反固相萃取柱</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1FC76A">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150 mg, 6 mL, 30/PK</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553F82">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盒</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0FD186">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5</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055E71">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1070</w:t>
            </w:r>
          </w:p>
        </w:tc>
      </w:tr>
      <w:tr w14:paraId="47B3BD3C">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F2E83A">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203</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6373F7">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亲水PTFE针头式过滤器</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AD3FF3">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亲水型,聚四氟乙烯, 0.22μm, 13 mm, 100/PK</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3E050E">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盒</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54A652">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10</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50059B">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168</w:t>
            </w:r>
          </w:p>
        </w:tc>
      </w:tr>
      <w:tr w14:paraId="3618C67A">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71CEA8">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204</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F824ED">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疏水PTFE针头式过滤器</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68EC2C">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疏水型,聚四氟乙烯 0.22μm, 13 mm, 100/PK</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9C8D2B">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盒</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40D0BA">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10</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D80356">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118</w:t>
            </w:r>
          </w:p>
        </w:tc>
      </w:tr>
      <w:tr w14:paraId="1206C24B">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1E1543">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205</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766E67">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FFAP气相色谱柱</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2B59E8">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0.25um*0.25mm*30m</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625832">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个</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251B96">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202995">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1200</w:t>
            </w:r>
          </w:p>
        </w:tc>
      </w:tr>
      <w:tr w14:paraId="3537C6D1">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18DA56">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206</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F0761D">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KP95活性炭口罩</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11FCF9">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带呼吸阀，挂耳式</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ECE4E3">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支</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B79FF9">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50</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7D09EA">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3</w:t>
            </w:r>
          </w:p>
        </w:tc>
      </w:tr>
      <w:tr w14:paraId="67CB8022">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AEE026">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207</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7F33C3">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正己烷纯度标准物质</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808990">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2mL/支</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B55918">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支</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6C3299">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4343A0">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280</w:t>
            </w:r>
          </w:p>
        </w:tc>
      </w:tr>
      <w:tr w14:paraId="6F4E0C42">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A39C9B">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208</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28E22A">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二硫化碳中萘溶液标准物质</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352C0E">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1000ug/mL，2ml/支</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FEA453">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支</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E43FC8">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3</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C2FF21">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80</w:t>
            </w:r>
          </w:p>
        </w:tc>
      </w:tr>
      <w:tr w14:paraId="36AF89B5">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4A36A5">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209</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8995EE">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二硫化碳中四氯化碳溶液标准物质</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C83519">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5000ug/mL，2ml/支</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5043EE">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支</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E1EF87">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3</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FDB3E9">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100</w:t>
            </w:r>
          </w:p>
        </w:tc>
      </w:tr>
      <w:tr w14:paraId="424E17E4">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48983A">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210</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B8407E">
            <w:pPr>
              <w:widowControl/>
              <w:jc w:val="center"/>
              <w:textAlignment w:val="center"/>
              <w:rPr>
                <w:rFonts w:ascii="宋体" w:hAnsi="宋体" w:cs="宋体"/>
                <w:color w:val="333333"/>
                <w:sz w:val="20"/>
                <w:szCs w:val="20"/>
              </w:rPr>
            </w:pPr>
            <w:r>
              <w:rPr>
                <w:rFonts w:hint="eastAsia" w:ascii="宋体" w:hAnsi="宋体" w:cs="宋体"/>
                <w:color w:val="333333"/>
                <w:kern w:val="0"/>
                <w:sz w:val="20"/>
                <w:szCs w:val="20"/>
                <w:lang w:bidi="ar"/>
              </w:rPr>
              <w:t>二硫化碳中1,2-二氯乙烷溶液标准物质</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BBBEB1">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5000ug/mL，2ml/支</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3268D9">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支</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4FA0BC">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3</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242A3A">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80</w:t>
            </w:r>
          </w:p>
        </w:tc>
      </w:tr>
      <w:tr w14:paraId="7872032A">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145650">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211</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450683">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二硫化碳中六氯乙烷溶液标准物质</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667D14">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6000ug/mL，5ml/支或2ml/支</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30C11D">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支</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4675DD">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3</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4C5B78">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500</w:t>
            </w:r>
          </w:p>
        </w:tc>
      </w:tr>
      <w:tr w14:paraId="64FD6457">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9656FC">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212</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CCA61C">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二硫化碳中三氯丙烷溶液标准物质</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CF2819">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5000ug/mL，2ml/支</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10B404">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支</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4D6BCE">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3</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07D3A6">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130</w:t>
            </w:r>
          </w:p>
        </w:tc>
      </w:tr>
      <w:tr w14:paraId="55C697D8">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343840">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213</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32FF09">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二硫化碳中三种二氯苯溶液标准物质</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845055">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1000ug/mL，2ml/支</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D4667E">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支</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252A34">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3</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B3E883">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300</w:t>
            </w:r>
          </w:p>
        </w:tc>
      </w:tr>
      <w:tr w14:paraId="78ED26DE">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742EF6">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214</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6A43C6">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二硫化碳中苄基氯溶液标准物质</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A45B46">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2000ug/mL，2ml/支</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AACBDA">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支</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F257C9">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3</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423F9F">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260</w:t>
            </w:r>
          </w:p>
        </w:tc>
      </w:tr>
      <w:tr w14:paraId="683DBAAB">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301B84">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215</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3E91D2">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‌异丙醇/二硫化碳中正丁醇‌溶液标准物质</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87B726">
            <w:pPr>
              <w:widowControl/>
              <w:jc w:val="center"/>
              <w:textAlignment w:val="center"/>
              <w:rPr>
                <w:rFonts w:ascii="宋体" w:hAnsi="宋体" w:cs="宋体"/>
                <w:color w:val="333333"/>
                <w:sz w:val="20"/>
                <w:szCs w:val="20"/>
              </w:rPr>
            </w:pPr>
            <w:r>
              <w:rPr>
                <w:rFonts w:hint="eastAsia" w:ascii="宋体" w:hAnsi="宋体" w:cs="宋体"/>
                <w:color w:val="333333"/>
                <w:kern w:val="0"/>
                <w:sz w:val="20"/>
                <w:szCs w:val="20"/>
                <w:lang w:bidi="ar"/>
              </w:rPr>
              <w:t>10000μg/mL，2ml/支</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15BB8E">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支</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D10902">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3</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45772B">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120</w:t>
            </w:r>
          </w:p>
        </w:tc>
      </w:tr>
      <w:tr w14:paraId="394B8567">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6A6028">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216</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E3E041">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二硫化碳中丙烯醇溶液标准物质</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F62A74">
            <w:pPr>
              <w:widowControl/>
              <w:jc w:val="center"/>
              <w:textAlignment w:val="center"/>
              <w:rPr>
                <w:rFonts w:ascii="宋体" w:hAnsi="宋体" w:cs="宋体"/>
                <w:color w:val="333333"/>
                <w:sz w:val="20"/>
                <w:szCs w:val="20"/>
              </w:rPr>
            </w:pPr>
            <w:r>
              <w:rPr>
                <w:rFonts w:hint="eastAsia" w:ascii="宋体" w:hAnsi="宋体" w:cs="宋体"/>
                <w:color w:val="333333"/>
                <w:kern w:val="0"/>
                <w:sz w:val="20"/>
                <w:szCs w:val="20"/>
                <w:lang w:bidi="ar"/>
              </w:rPr>
              <w:t>1000μg/mL，2ml/支</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21230C">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支</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49E579">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3</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54252A">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100</w:t>
            </w:r>
          </w:p>
        </w:tc>
      </w:tr>
      <w:tr w14:paraId="23CE307A">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6EE5A6">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217</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3BA3D1">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甲醇中乙二醇溶液标准物质</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EF390C">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1000ug/mL，2ml/支</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08018F">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支</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EFC248">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3</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F84FDD">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380</w:t>
            </w:r>
          </w:p>
        </w:tc>
      </w:tr>
      <w:tr w14:paraId="24D6BCB8">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79BD8F">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218</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C405FA">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异丙醇纯度标准物质</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872371">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1ml/支</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36C329">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支</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3758D7">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3</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44FDEB">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170</w:t>
            </w:r>
          </w:p>
        </w:tc>
      </w:tr>
      <w:tr w14:paraId="69715225">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4D45EC">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219</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08692D">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甲醇纯度标准物质</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4BBD86">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1ml/支</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B9D5C8">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支</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F971C1">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3</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BD91DA">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200</w:t>
            </w:r>
          </w:p>
        </w:tc>
      </w:tr>
      <w:tr w14:paraId="20F551AB">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928E2A">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220</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C8C4E4">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正丙醇纯度标准物质</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F4AEE0">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1ml/支</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0EBA6A">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支</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83199D">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3</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8794E3">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170</w:t>
            </w:r>
          </w:p>
        </w:tc>
      </w:tr>
      <w:tr w14:paraId="1A939033">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42790E">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221</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00E3C7">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进样杯</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F9CA61">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每包100个，每个7ml</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4B2EA7">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包</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0B981C">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5</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DC4224">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200</w:t>
            </w:r>
          </w:p>
        </w:tc>
      </w:tr>
      <w:tr w14:paraId="035EDEC6">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12BAF7">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222</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49CD16">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泵油</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A73B2F">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氟必林</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27B450">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件</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65E9C6">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1F90F3">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13625</w:t>
            </w:r>
          </w:p>
        </w:tc>
      </w:tr>
      <w:tr w14:paraId="5D03C84C">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707376">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223</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14FA92">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进样泵管</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1622F0">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PVC 双卡扣</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9D0193">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包</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6B295C">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0C8423">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692</w:t>
            </w:r>
          </w:p>
        </w:tc>
      </w:tr>
      <w:tr w14:paraId="1879E3E5">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A85870">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224</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3F7281">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排液泵管</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98D16F">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PVC,双卡扣</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2697BB">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包</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FC81AE">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D7CF02">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692</w:t>
            </w:r>
          </w:p>
        </w:tc>
      </w:tr>
      <w:tr w14:paraId="54411EB7">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29844D">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225</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BC8F6F">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一次性医用外科口罩</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2728C6">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10只/包</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792E65">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包</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288C3A">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200</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FFFB73">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7.67</w:t>
            </w:r>
          </w:p>
        </w:tc>
      </w:tr>
      <w:tr w14:paraId="46CEECB6">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B529B6">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226</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E3AE9F">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N95口罩（头戴式）</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062D8F">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20个/盒</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C376A7">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盒</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5404EC">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10</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D4A400">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223.6</w:t>
            </w:r>
          </w:p>
        </w:tc>
      </w:tr>
      <w:tr w14:paraId="602C404D">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F4ADC6">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227</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8A3124">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一次性外科手术衣（独立包装）</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AC3EE7">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25件/包</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42719F">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包</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BD5E72">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20</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480BF1">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468</w:t>
            </w:r>
          </w:p>
        </w:tc>
      </w:tr>
      <w:tr w14:paraId="6B053C70">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03B344">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228</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11EE33">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高邦医用灭菌橡胶外科手术手套（麻面，有粉7.5号）</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A6EF32">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50双/盒</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B995D6">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盒</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2336AE">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10</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57139D">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129.74</w:t>
            </w:r>
          </w:p>
        </w:tc>
      </w:tr>
      <w:tr w14:paraId="35E31173">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4EB88D">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229</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B1FBEB">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高邦医用灭菌橡胶外科手术手套（麻面，有粉8号）</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CC91C5">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50双/盒</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E43B23">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盒</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5ECF65">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10</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592D88">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129.74</w:t>
            </w:r>
          </w:p>
        </w:tc>
      </w:tr>
      <w:tr w14:paraId="53845892">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79797A">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230</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718D1D">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高邦医用灭菌橡胶外科手术手套（麻面，无粉7.5号）</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173967">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50双/盒</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E53779">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盒</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3EDF62">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10</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981DEF">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118.3</w:t>
            </w:r>
          </w:p>
        </w:tc>
      </w:tr>
      <w:tr w14:paraId="3559D361">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2BEC31">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231</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5050D6">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高邦医用灭菌橡胶外科手术手套（麻面，无粉8号）</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81F4A2">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50双/盒</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2EE676">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盒</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026F04">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10</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5F72E3">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118.3</w:t>
            </w:r>
          </w:p>
        </w:tc>
      </w:tr>
      <w:tr w14:paraId="756B537E">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006A3F">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232</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BA1D38">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医用手术帽</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9AC70E">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20个/包</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A50686">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包</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4E9449">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50</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73418B">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41.34</w:t>
            </w:r>
          </w:p>
        </w:tc>
      </w:tr>
      <w:tr w14:paraId="5A6A017F">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70CCCF">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233</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8B1020">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医用一次性鞋套</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F4CE7E">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40双/包</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43C379">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包</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E9F537">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25</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BB101E">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51.74</w:t>
            </w:r>
          </w:p>
        </w:tc>
      </w:tr>
      <w:tr w14:paraId="6F606FA3">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51042F">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234</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698A3A">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医用无菌铺巾</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63F119">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80*180cm，1块/袋</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4820BC">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袋</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F26042">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100</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4B46FC">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24.44</w:t>
            </w:r>
          </w:p>
        </w:tc>
      </w:tr>
      <w:tr w14:paraId="5BCDD918">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239B00">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235</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0B61BE">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 xml:space="preserve">医疗废物垃圾袋 </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0276B7">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80*90cm 平口      独立包装</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83FB1E">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只</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A25DA6">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20</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A7A138">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86.45</w:t>
            </w:r>
          </w:p>
        </w:tc>
      </w:tr>
      <w:tr w14:paraId="0EA73EC1">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DDA1BE">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236</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20E9E2">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抑菌洗手液</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7A67BF">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300克/瓶</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6D7D58">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瓶</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F43FEA">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10</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1E794D">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40.1</w:t>
            </w:r>
          </w:p>
        </w:tc>
      </w:tr>
      <w:tr w14:paraId="5814A0DF">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1115B4">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237</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4424B3">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洗手液</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316318">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300ml/瓶</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79E814">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瓶</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BF68A5">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10</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11928F">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37.7</w:t>
            </w:r>
          </w:p>
        </w:tc>
      </w:tr>
      <w:tr w14:paraId="6EBB720D">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8FA013">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238</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1022EF">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医学检验生物样品密封袋（12号）</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58BF63">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35*45cm 20丝，100只/包</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D281AB">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包</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A131C1">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20</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7295CA">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76.57</w:t>
            </w:r>
          </w:p>
        </w:tc>
      </w:tr>
      <w:tr w14:paraId="5BFB490A">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34029E">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239</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F1BE86">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医学检验生物样品密封袋（10号）</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F148BE">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25*35cm 16丝，100只/包</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9CE33D">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包</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671AB4">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20</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438468">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51.87</w:t>
            </w:r>
          </w:p>
        </w:tc>
      </w:tr>
      <w:tr w14:paraId="5DC23F1D">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CA0F75">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240</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C53A39">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医学检验生物样品密封袋</w:t>
            </w:r>
            <w:r>
              <w:rPr>
                <w:rFonts w:hint="eastAsia" w:ascii="宋体" w:hAnsi="宋体" w:cs="宋体"/>
                <w:color w:val="000000"/>
                <w:kern w:val="0"/>
                <w:sz w:val="20"/>
                <w:szCs w:val="20"/>
                <w:lang w:bidi="ar"/>
              </w:rPr>
              <w:br w:type="textWrapping"/>
            </w:r>
            <w:r>
              <w:rPr>
                <w:rFonts w:hint="eastAsia" w:ascii="宋体" w:hAnsi="宋体" w:cs="宋体"/>
                <w:color w:val="000000"/>
                <w:kern w:val="0"/>
                <w:sz w:val="20"/>
                <w:szCs w:val="20"/>
                <w:lang w:bidi="ar"/>
              </w:rPr>
              <w:t>（8号）</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C86E33">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17*25cm 12丝，100只/包</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C4D926">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包</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E0B241">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20</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02CFE4">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29.77</w:t>
            </w:r>
          </w:p>
        </w:tc>
      </w:tr>
      <w:tr w14:paraId="753384A0">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49B975">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241</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81281D">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一次性医用灭菌棉签（独立小包装）</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CCB89B">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500只/包</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08F371">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包</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0F2DE5">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4</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6ECAD0">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167.7</w:t>
            </w:r>
          </w:p>
        </w:tc>
      </w:tr>
      <w:tr w14:paraId="1B0EFD9C">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E75362">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242</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0D39AD">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消毒纸卷</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815989">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55mm*200m，1卷</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2796E4">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卷</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B1DE75">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4</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F3AC3F">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50.7</w:t>
            </w:r>
          </w:p>
        </w:tc>
      </w:tr>
      <w:tr w14:paraId="495607DC">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C4B62A">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243</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81E99D">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卫生湿巾1</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8C4BD0">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100片/包</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987983">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包</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9F714F">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50</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9C0593">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247.65</w:t>
            </w:r>
          </w:p>
        </w:tc>
      </w:tr>
      <w:tr w14:paraId="755340EF">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D402A5">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244</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FD4CA6">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卫生湿巾2</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9B3167">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16*18cm，100片/盒</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09E9D3">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盒</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F28B44">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50</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3F4C46">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109.33</w:t>
            </w:r>
          </w:p>
        </w:tc>
      </w:tr>
      <w:tr w14:paraId="05CFC2C3">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71426A">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245</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906321">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免洗洗手液</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38F676">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独立包装</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1EED43">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瓶</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DABC7B">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300</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583B08">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23.3</w:t>
            </w:r>
          </w:p>
        </w:tc>
      </w:tr>
      <w:tr w14:paraId="12FC0060">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B4A9F6">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246</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BA87F2">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无菌规格板</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A7FBFD">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5*5cm，100片/盒</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4DFBB6">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盒</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54F928">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20</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0F84CC">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415.3</w:t>
            </w:r>
          </w:p>
        </w:tc>
      </w:tr>
      <w:tr w14:paraId="78A3190B">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9DEC93">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247</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543A9C">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复合双链季铵盐消毒液</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59CA8D">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450ml/瓶</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261F9F">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瓶</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E765DB">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100</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3AD775">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35.1</w:t>
            </w:r>
          </w:p>
        </w:tc>
      </w:tr>
      <w:tr w14:paraId="32D2DC84">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B14AFE">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248</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248F52">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电子温湿度计效准证书原件探头款</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56CD2D">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独立包装</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DB32D6">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个</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E7A95F">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10</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4F2BDA">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85.8</w:t>
            </w:r>
          </w:p>
        </w:tc>
      </w:tr>
      <w:tr w14:paraId="36F109AE">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DFCA46">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249</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AF97C0">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中和剂一次性采样管</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51DC4B">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50支/盒</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76A473">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盒</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E2B49E">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20</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45BC80">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487.5</w:t>
            </w:r>
          </w:p>
        </w:tc>
      </w:tr>
      <w:tr w14:paraId="6C758DFC">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A5D88B">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250</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43483E">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嗜热脂肪杆菌芽孢菌片</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CFAA8E">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独立包装</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77BA91">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包</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957D22">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20</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3A6ACC">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135.2</w:t>
            </w:r>
          </w:p>
        </w:tc>
      </w:tr>
      <w:tr w14:paraId="6B826B01">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E890E3">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251</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BFB819">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枯草杆菌黑色变种芽孢菌片</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9093B7">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独立包装</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9FA128">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包</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BC8B9F">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10</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BCFC33">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135.2</w:t>
            </w:r>
          </w:p>
        </w:tc>
      </w:tr>
      <w:tr w14:paraId="302E487A">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8C39C4">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252</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03ACF1">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一次性呕吐腹泻物应急处置包</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5D9E8F">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独立包装</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19DCC2">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包</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255445">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100</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BEF958">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81.25</w:t>
            </w:r>
          </w:p>
        </w:tc>
      </w:tr>
      <w:tr w14:paraId="5566DFA2">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F9E0F0">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253</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05AC89">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消毒粉</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5AB2AD">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独立包装</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A129B6">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包</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F1B830">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1000</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801A00">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2.7</w:t>
            </w:r>
          </w:p>
        </w:tc>
      </w:tr>
      <w:tr w14:paraId="1E3316A4">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322921">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254</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3B86A1">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记号笔（黑色）</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B8E843">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12支/盒</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FA09D0">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盒</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859964">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5</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EDD368">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21.97</w:t>
            </w:r>
          </w:p>
        </w:tc>
      </w:tr>
      <w:tr w14:paraId="03C8A6BA">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10832C">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255</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38D8C9">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记号笔（红色）</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DE1BAC">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12支/盒</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B235DA">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盒</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CA3238">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5</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D9442A">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21.97</w:t>
            </w:r>
          </w:p>
        </w:tc>
      </w:tr>
      <w:tr w14:paraId="468D0DA6">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768413">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256</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EC0BF2">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记号笔（蓝色）</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21A8A1">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12支/盒</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48D4F5">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盒</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8C4C37">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5</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7FC138">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21.97</w:t>
            </w:r>
          </w:p>
        </w:tc>
      </w:tr>
      <w:tr w14:paraId="1F08F317">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2CBDCE">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257</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D3B0A8">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ATP试剂</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1F4484">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独立包装</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906E74">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只</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BE88FD">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100</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54EC1E">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50</w:t>
            </w:r>
          </w:p>
        </w:tc>
      </w:tr>
      <w:tr w14:paraId="2D1F382F">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033B15">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258</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C14C47">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蚊虫总RNA提取试剂</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BE418F">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50T</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BDF1F5">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盒</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7C8943">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3</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57DBF2">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3952</w:t>
            </w:r>
          </w:p>
        </w:tc>
      </w:tr>
      <w:tr w14:paraId="680B82A4">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38435D">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259</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50B2D3">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RNA7种虫媒类病原体多重核酸检测液体全分装试剂盒</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54011B">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24T</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6D3427">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盒</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887620">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4</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FA166A">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3500</w:t>
            </w:r>
          </w:p>
        </w:tc>
      </w:tr>
      <w:tr w14:paraId="49D21E2F">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616997">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260</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EFD5EF">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200μL带滤芯盒装吸头</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C7AE87">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96支/盒 50盒/箱</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FA046B">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箱</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9B319A">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D4541A">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2100</w:t>
            </w:r>
          </w:p>
        </w:tc>
      </w:tr>
      <w:tr w14:paraId="16BC4A1B">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83AE4D">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261</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5B83FF">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20μL带滤芯盒装吸头</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812CDF">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96支/盒 50盒/箱</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79586F">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箱</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292528">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16F710">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2000</w:t>
            </w:r>
          </w:p>
        </w:tc>
      </w:tr>
      <w:tr w14:paraId="25476E0E">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34B3B6">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262</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837258">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超高筒防水鞋套</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DBA387">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75cm</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889303">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双</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1A0C57">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50</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EEDE1E">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49</w:t>
            </w:r>
          </w:p>
        </w:tc>
      </w:tr>
      <w:tr w14:paraId="0AC46F8B">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16731E">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263</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8107C3">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蜱虫夹铁盒装</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C4E0CF">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独立包装</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C1A28C">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个</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A75117">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45</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3C544F">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21</w:t>
            </w:r>
          </w:p>
        </w:tc>
      </w:tr>
      <w:tr w14:paraId="517DEA79">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8AE921">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264</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2B3C87">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50ml灭菌管</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AB4C63">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500支/箱</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2C5C7E">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箱</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DA58B1">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B049A9">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455</w:t>
            </w:r>
          </w:p>
        </w:tc>
      </w:tr>
      <w:tr w14:paraId="24EBF810">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9E232E">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265</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EE275E">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15ml灭菌管</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8CF5C1">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500支/箱</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06DD65">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箱</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6E2039">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8731F6">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300</w:t>
            </w:r>
          </w:p>
        </w:tc>
      </w:tr>
      <w:tr w14:paraId="351CF056">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6843BA">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266</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0ABA92">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蜱虫监测旗</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F2827E">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(双面绒)(布旗+杆+绳)</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1FA439">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个</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BC02BF">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54</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4F17FA">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40</w:t>
            </w:r>
          </w:p>
        </w:tc>
      </w:tr>
      <w:tr w14:paraId="0548B4EC">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82D409">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267</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ECD0D2">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防风雨伞</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58D938">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黑色[24骨)140cm伞面</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ECF5B2">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把</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BC00B9">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8</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1514D7">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104</w:t>
            </w:r>
          </w:p>
        </w:tc>
      </w:tr>
      <w:tr w14:paraId="69F192FA">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38992F">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268</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1BEEFE">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防刺手套</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0589DA">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黄短款35cm</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A8826C">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双</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F934EE">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10</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DB1F2B">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28</w:t>
            </w:r>
          </w:p>
        </w:tc>
      </w:tr>
      <w:tr w14:paraId="56A2BA0C">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9FD2DF">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269</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7665CE">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多功能强光手电筒</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092329">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3200mAh</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BBF763">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个</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D72576">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5</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012759">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186</w:t>
            </w:r>
          </w:p>
        </w:tc>
      </w:tr>
      <w:tr w14:paraId="523A711B">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704D0A">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270</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F07E49">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60倍放大镜（充电带LED灯）</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E789F1">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独立包装</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D9D411">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个</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AE243C">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15</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6F7E90">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55</w:t>
            </w:r>
          </w:p>
        </w:tc>
      </w:tr>
    </w:tbl>
    <w:p w14:paraId="3FD1C809">
      <w:pPr>
        <w:spacing w:line="360" w:lineRule="auto"/>
        <w:rPr>
          <w:rFonts w:ascii="宋体" w:hAnsi="宋体"/>
          <w:sz w:val="24"/>
        </w:rPr>
      </w:pPr>
    </w:p>
    <w:p w14:paraId="5CE3AA83">
      <w:pPr>
        <w:pStyle w:val="22"/>
        <w:spacing w:line="360" w:lineRule="auto"/>
        <w:rPr>
          <w:rFonts w:ascii="宋体" w:hAnsi="宋体" w:cs="宋体"/>
          <w:b/>
          <w:sz w:val="24"/>
        </w:rPr>
      </w:pPr>
      <w:r>
        <w:rPr>
          <w:rFonts w:hint="eastAsia" w:ascii="宋体" w:hAnsi="宋体" w:cs="宋体"/>
          <w:bCs/>
          <w:sz w:val="24"/>
        </w:rPr>
        <w:t>二、</w:t>
      </w:r>
      <w:r>
        <w:rPr>
          <w:rFonts w:hint="eastAsia" w:ascii="宋体" w:hAnsi="宋体" w:cs="宋体"/>
          <w:b/>
          <w:sz w:val="24"/>
        </w:rPr>
        <w:t>商务要求</w:t>
      </w:r>
    </w:p>
    <w:p w14:paraId="61D3A10C">
      <w:pPr>
        <w:spacing w:line="360" w:lineRule="auto"/>
        <w:ind w:firstLine="482" w:firstLineChars="200"/>
        <w:contextualSpacing/>
        <w:outlineLvl w:val="1"/>
        <w:rPr>
          <w:rFonts w:ascii="宋体" w:hAnsi="宋体" w:cs="宋体"/>
          <w:b/>
          <w:bCs/>
          <w:sz w:val="24"/>
        </w:rPr>
      </w:pPr>
      <w:r>
        <w:rPr>
          <w:rFonts w:hint="eastAsia" w:ascii="宋体" w:hAnsi="宋体" w:cs="宋体"/>
          <w:b/>
          <w:bCs/>
          <w:sz w:val="24"/>
        </w:rPr>
        <w:t>（一）基本要求</w:t>
      </w:r>
    </w:p>
    <w:p w14:paraId="50D337A1">
      <w:pPr>
        <w:spacing w:line="360" w:lineRule="auto"/>
        <w:ind w:firstLine="482" w:firstLineChars="200"/>
        <w:contextualSpacing/>
        <w:rPr>
          <w:rFonts w:ascii="宋体" w:hAnsi="宋体" w:cs="宋体"/>
          <w:b/>
          <w:bCs/>
          <w:sz w:val="24"/>
        </w:rPr>
      </w:pPr>
      <w:r>
        <w:rPr>
          <w:rFonts w:hint="eastAsia" w:ascii="宋体" w:hAnsi="宋体" w:cs="宋体"/>
          <w:b/>
          <w:bCs/>
          <w:sz w:val="24"/>
        </w:rPr>
        <w:t>1.采购标的需实现的功能或者目标</w:t>
      </w:r>
    </w:p>
    <w:p w14:paraId="630988A1">
      <w:pPr>
        <w:spacing w:line="360" w:lineRule="auto"/>
        <w:ind w:firstLine="480" w:firstLineChars="200"/>
        <w:contextualSpacing/>
        <w:rPr>
          <w:rFonts w:ascii="宋体" w:hAnsi="宋体" w:cs="宋体"/>
          <w:b/>
          <w:bCs/>
          <w:sz w:val="24"/>
        </w:rPr>
      </w:pPr>
      <w:r>
        <w:rPr>
          <w:rFonts w:hint="eastAsia" w:ascii="宋体" w:hAnsi="宋体"/>
          <w:sz w:val="24"/>
        </w:rPr>
        <w:t>本次采购是“传染病四大症候群监测等央补项目试剂耗材购置”，供应商应根据招标文件所提出的设备技术规格和服务要求，以满足招标文件要求的产品、优良的货物和优惠的价格，充分显示自己的竞争实力。</w:t>
      </w:r>
    </w:p>
    <w:p w14:paraId="531FAC7F">
      <w:pPr>
        <w:spacing w:line="360" w:lineRule="auto"/>
        <w:ind w:firstLine="482" w:firstLineChars="200"/>
        <w:contextualSpacing/>
        <w:rPr>
          <w:rFonts w:ascii="宋体" w:hAnsi="宋体" w:cs="宋体"/>
          <w:b/>
          <w:bCs/>
          <w:sz w:val="24"/>
        </w:rPr>
      </w:pPr>
      <w:r>
        <w:rPr>
          <w:rFonts w:hint="eastAsia" w:ascii="宋体" w:hAnsi="宋体" w:cs="宋体"/>
          <w:b/>
          <w:bCs/>
          <w:sz w:val="24"/>
        </w:rPr>
        <w:t>2.需执行的国家相关标准、行业标准、地方标准或者其他标准、规范：</w:t>
      </w:r>
    </w:p>
    <w:p w14:paraId="05490185">
      <w:pPr>
        <w:spacing w:line="360" w:lineRule="auto"/>
        <w:ind w:firstLine="480" w:firstLineChars="200"/>
        <w:jc w:val="left"/>
        <w:rPr>
          <w:rFonts w:ascii="宋体" w:hAnsi="宋体" w:cs="宋体"/>
          <w:kern w:val="0"/>
          <w:sz w:val="24"/>
        </w:rPr>
      </w:pPr>
      <w:bookmarkStart w:id="795" w:name="OLE_LINK1"/>
      <w:r>
        <w:rPr>
          <w:rFonts w:hint="eastAsia" w:ascii="宋体" w:hAnsi="宋体" w:cs="宋体"/>
          <w:kern w:val="0"/>
          <w:sz w:val="24"/>
        </w:rPr>
        <w:t>★2.1投标产品属于医疗器械的，应按原国家食品药品监督管理总局颁发的《医疗器械注册管理办法》，办理医疗器械注册证或者办理备案，投标人须提供医疗器械注册证复印件或备案凭证。</w:t>
      </w:r>
    </w:p>
    <w:p w14:paraId="280420F0">
      <w:pPr>
        <w:spacing w:line="360" w:lineRule="auto"/>
        <w:ind w:firstLine="480" w:firstLineChars="200"/>
        <w:jc w:val="left"/>
        <w:rPr>
          <w:rFonts w:ascii="宋体" w:hAnsi="宋体" w:cs="宋体"/>
          <w:kern w:val="0"/>
          <w:sz w:val="24"/>
        </w:rPr>
      </w:pPr>
      <w:r>
        <w:rPr>
          <w:rFonts w:hint="eastAsia" w:ascii="宋体" w:hAnsi="宋体" w:cs="宋体"/>
          <w:kern w:val="0"/>
          <w:sz w:val="24"/>
        </w:rPr>
        <w:t>★2.2投标产品属于医疗器械的，中华人民共和国境内制造商应按原国家食品药品监督管理总局颁发的《医疗器械生产监督管理办法》，办理医疗器械生产许可证或者办理备案，投标人须提供医疗器械生产许可证复印件或备案凭证。</w:t>
      </w:r>
    </w:p>
    <w:bookmarkEnd w:id="795"/>
    <w:p w14:paraId="7A2DB338">
      <w:pPr>
        <w:spacing w:line="360" w:lineRule="auto"/>
        <w:ind w:firstLine="480" w:firstLineChars="200"/>
        <w:contextualSpacing/>
        <w:rPr>
          <w:rFonts w:ascii="宋体" w:hAnsi="宋体" w:cs="宋体"/>
          <w:kern w:val="0"/>
          <w:sz w:val="24"/>
        </w:rPr>
      </w:pPr>
      <w:r>
        <w:rPr>
          <w:rFonts w:hint="eastAsia" w:ascii="宋体" w:hAnsi="宋体" w:cs="宋体"/>
          <w:kern w:val="0"/>
          <w:sz w:val="24"/>
        </w:rPr>
        <w:t>2.3投标产品及制造商应符合国家有关部门规定的相应技术法规及标准，如国家有关部门对投标产品或其制造商有强制性规定或要求的，投标产品或其制造商必须符合相应规定或要求。</w:t>
      </w:r>
    </w:p>
    <w:p w14:paraId="01E78FA5">
      <w:pPr>
        <w:spacing w:line="360" w:lineRule="auto"/>
        <w:ind w:firstLine="482" w:firstLineChars="200"/>
        <w:contextualSpacing/>
        <w:rPr>
          <w:rFonts w:ascii="宋体" w:hAnsi="宋体" w:cs="宋体"/>
          <w:b/>
          <w:bCs/>
          <w:sz w:val="24"/>
        </w:rPr>
      </w:pPr>
      <w:r>
        <w:rPr>
          <w:rFonts w:hint="eastAsia" w:ascii="宋体" w:hAnsi="宋体" w:cs="宋体"/>
          <w:b/>
          <w:bCs/>
          <w:sz w:val="24"/>
        </w:rPr>
        <w:t>3.为落实政府采购政策需满足的要求</w:t>
      </w:r>
    </w:p>
    <w:p w14:paraId="4CCBC3AD">
      <w:pPr>
        <w:spacing w:line="360" w:lineRule="auto"/>
        <w:ind w:firstLine="480" w:firstLineChars="200"/>
        <w:jc w:val="left"/>
        <w:rPr>
          <w:rFonts w:ascii="宋体" w:hAnsi="宋体" w:cs="宋体"/>
          <w:kern w:val="0"/>
          <w:sz w:val="24"/>
        </w:rPr>
      </w:pPr>
      <w:r>
        <w:rPr>
          <w:rFonts w:hint="eastAsia" w:ascii="宋体" w:hAnsi="宋体" w:cs="宋体"/>
          <w:kern w:val="0"/>
          <w:sz w:val="24"/>
        </w:rPr>
        <w:t>3.1促进中小企业发展政策：根据《政府采购促进中小企业发展管理办法》规定，本项目采购货物为小型或微型企业制造的，投标人应出具招标文件要求的《中小企业声明函》给予证明，否则评标时不予认可。投标人应对提交的中小企业声明函的真实性负责，提交的中小企业声明函不真实的，应承担相应的法律责任。（注：依据《政府采购促进中小企业发展管理办法》规定享受扶持政策获得政府采购合同的小微企业不得将合同分包给大中型企业，中型企业不得将合同分包给大型企业。）</w:t>
      </w:r>
    </w:p>
    <w:p w14:paraId="6672D1EB">
      <w:pPr>
        <w:spacing w:line="360" w:lineRule="auto"/>
        <w:ind w:firstLine="480" w:firstLineChars="200"/>
        <w:jc w:val="left"/>
        <w:rPr>
          <w:rFonts w:ascii="宋体" w:hAnsi="宋体" w:cs="宋体"/>
          <w:kern w:val="0"/>
          <w:sz w:val="24"/>
        </w:rPr>
      </w:pPr>
      <w:r>
        <w:rPr>
          <w:rFonts w:hint="eastAsia" w:ascii="宋体" w:hAnsi="宋体" w:cs="宋体"/>
          <w:kern w:val="0"/>
          <w:sz w:val="24"/>
        </w:rPr>
        <w:t>3.2监狱企业扶持政策：投标人如为监狱企业将视同为小型或微型企业，应提供由省级以上监狱管理局、戒毒管理局（含新疆生产建设兵团）出具的属于监狱企业的证明文件。投标人应对提交的属于监狱企业的证明文件的真实性负责，提交的监狱企业的证明文件不真实的，应承担相应的法律责任。</w:t>
      </w:r>
    </w:p>
    <w:p w14:paraId="163FD115">
      <w:pPr>
        <w:spacing w:line="360" w:lineRule="auto"/>
        <w:ind w:firstLine="480" w:firstLineChars="200"/>
        <w:jc w:val="left"/>
        <w:rPr>
          <w:rFonts w:ascii="宋体" w:hAnsi="宋体" w:cs="宋体"/>
          <w:kern w:val="0"/>
          <w:sz w:val="24"/>
        </w:rPr>
      </w:pPr>
      <w:r>
        <w:rPr>
          <w:rFonts w:hint="eastAsia" w:ascii="宋体" w:hAnsi="宋体" w:cs="宋体"/>
          <w:kern w:val="0"/>
          <w:sz w:val="24"/>
        </w:rPr>
        <w:t>3.3促进残疾人就业政府采购政策：根据《三部门联合发布关于促进残疾人就业政府采购政策的通知》（财库〔2017〕141号）规定，符合条件的残疾人福利性单位在参加本项目政府采购活动时，投标人应出具招标文件要求的《残疾人福利性单位声明函》，并对声明的真实性承担法律责任。中标、成交供应商为残疾人福利性单位的，采购代理机构将随中标结果同时公告其《残疾人福利性单位声明函》，接受社会监督。残疾人福利性单位视同小型、微型企业。不重复享受政策。</w:t>
      </w:r>
    </w:p>
    <w:p w14:paraId="481E19E9">
      <w:pPr>
        <w:spacing w:line="360" w:lineRule="auto"/>
        <w:ind w:firstLine="480" w:firstLineChars="200"/>
        <w:jc w:val="left"/>
        <w:rPr>
          <w:rFonts w:ascii="宋体" w:hAnsi="宋体" w:cs="宋体"/>
          <w:kern w:val="0"/>
          <w:sz w:val="24"/>
        </w:rPr>
      </w:pPr>
      <w:r>
        <w:rPr>
          <w:rFonts w:hint="eastAsia" w:ascii="宋体" w:hAnsi="宋体" w:cs="宋体"/>
          <w:kern w:val="0"/>
          <w:sz w:val="24"/>
        </w:rPr>
        <w:t>3.4鼓励节能政策：投标人的投标产品属于财政部、发展改革委公布的“节能产品政府采购品目清单”范围的，投标人需提供国家确定的认证机构出具的、处于有效期之内的节能产品认证证书。国家确定的认证机构和节能产品获证产品信息可从市场监管总局组建的节能产品、环境标志产品认证结果信息发布平台或中国政府采购网（www.ccgp.gov.cn）建立的认证结果信息发布平台链接中查询下载。</w:t>
      </w:r>
    </w:p>
    <w:p w14:paraId="0A96EE68">
      <w:pPr>
        <w:spacing w:line="360" w:lineRule="auto"/>
        <w:ind w:firstLine="480" w:firstLineChars="200"/>
        <w:jc w:val="left"/>
        <w:rPr>
          <w:rFonts w:ascii="宋体" w:hAnsi="宋体" w:cs="宋体"/>
          <w:kern w:val="0"/>
          <w:sz w:val="24"/>
        </w:rPr>
      </w:pPr>
      <w:r>
        <w:rPr>
          <w:rFonts w:hint="eastAsia" w:ascii="宋体" w:hAnsi="宋体" w:cs="宋体"/>
          <w:kern w:val="0"/>
          <w:sz w:val="24"/>
        </w:rPr>
        <w:t>3.5鼓励环保政策：投标人的投标产品属于财政部、生态环境部公布的“环境标志产品政府采购品目清单”范围的，投标人需提供国家确定的认证机构出具的、处于有效期之内的环境标志产品认证证书。国家确定的认证机构和环境标志产品获证产品信息可从市场监管总局组建的节能产品、环境标志产品认证结果信息发布平台或中国政府采购网（www.ccgp.gov.cn）建立的认证结果信息发布平台链接中查询下载。</w:t>
      </w:r>
    </w:p>
    <w:p w14:paraId="753AA23A">
      <w:pPr>
        <w:spacing w:line="360" w:lineRule="auto"/>
        <w:ind w:firstLine="480" w:firstLineChars="200"/>
        <w:jc w:val="left"/>
        <w:rPr>
          <w:rFonts w:ascii="宋体" w:hAnsi="宋体" w:cs="宋体"/>
          <w:kern w:val="0"/>
          <w:sz w:val="24"/>
        </w:rPr>
      </w:pPr>
      <w:r>
        <w:rPr>
          <w:rFonts w:hint="eastAsia" w:ascii="宋体" w:hAnsi="宋体" w:cs="宋体"/>
          <w:kern w:val="0"/>
          <w:sz w:val="24"/>
        </w:rPr>
        <w:t>3.6实施本国产品标准及相关政策：依据《国务院办公厅关于在政府采购中实施本国产品标准及相关政策的通知》（国办发〔2025〕34号）规定，本项目</w:t>
      </w:r>
      <w:r>
        <w:rPr>
          <w:rFonts w:hint="eastAsia" w:ascii="宋体" w:hAnsi="宋体"/>
          <w:sz w:val="24"/>
        </w:rPr>
        <w:t>既有本国产品又有非本国产品参与竞争的，如</w:t>
      </w:r>
      <w:r>
        <w:rPr>
          <w:rFonts w:hint="eastAsia" w:ascii="宋体" w:hAnsi="宋体" w:cs="宋体"/>
          <w:kern w:val="0"/>
          <w:sz w:val="24"/>
        </w:rPr>
        <w:t>供应商所投产品在中国境内生产，即在中华人民共和国关境内实现从原材料、组件到产品的属性改变。且在中国境内生产的组件成本占比应当达到规定比例，依法对本国产品给予价格评审优惠，对本国产品的报价给予20%的价格扣除，用扣除后的价格参与评审。投标人应出具招标文件要求的证明材料给予证明，否则评标时不予认可。投标人应对提交的证明材料真实性负责，提交证明材料不真实的，应承担相应的法律责任。</w:t>
      </w:r>
    </w:p>
    <w:p w14:paraId="1C941129">
      <w:pPr>
        <w:spacing w:line="360" w:lineRule="auto"/>
        <w:ind w:firstLine="482" w:firstLineChars="200"/>
        <w:jc w:val="left"/>
        <w:outlineLvl w:val="1"/>
        <w:rPr>
          <w:rFonts w:ascii="宋体" w:hAnsi="宋体" w:cs="宋体"/>
          <w:b/>
          <w:bCs/>
          <w:sz w:val="24"/>
        </w:rPr>
      </w:pPr>
      <w:r>
        <w:rPr>
          <w:rFonts w:hint="eastAsia" w:ascii="宋体" w:hAnsi="宋体" w:cs="宋体"/>
          <w:b/>
          <w:bCs/>
          <w:sz w:val="24"/>
        </w:rPr>
        <w:t>（二）具体要求</w:t>
      </w:r>
    </w:p>
    <w:p w14:paraId="68F90A13">
      <w:pPr>
        <w:spacing w:line="360" w:lineRule="auto"/>
        <w:ind w:firstLine="482" w:firstLineChars="200"/>
        <w:jc w:val="left"/>
        <w:outlineLvl w:val="2"/>
        <w:rPr>
          <w:rFonts w:ascii="宋体" w:hAnsi="宋体" w:cs="宋体"/>
          <w:b/>
          <w:bCs/>
          <w:sz w:val="24"/>
        </w:rPr>
      </w:pPr>
      <w:r>
        <w:rPr>
          <w:rFonts w:hint="eastAsia" w:ascii="宋体" w:hAnsi="宋体" w:cs="宋体"/>
          <w:b/>
          <w:bCs/>
          <w:sz w:val="24"/>
        </w:rPr>
        <w:t>一）技术要求</w:t>
      </w:r>
    </w:p>
    <w:p w14:paraId="3F30426B">
      <w:pPr>
        <w:spacing w:line="360" w:lineRule="auto"/>
        <w:ind w:firstLine="482" w:firstLineChars="200"/>
        <w:rPr>
          <w:rFonts w:ascii="宋体" w:hAnsi="宋体" w:cs="宋体"/>
          <w:b/>
          <w:bCs/>
          <w:sz w:val="24"/>
        </w:rPr>
      </w:pPr>
      <w:r>
        <w:rPr>
          <w:rFonts w:hint="eastAsia" w:ascii="宋体" w:hAnsi="宋体" w:cs="宋体"/>
          <w:b/>
          <w:bCs/>
          <w:sz w:val="24"/>
        </w:rPr>
        <w:t>标的名称1：人类免疫缺陷病毒1型（HIV-1）核酸测定试剂盒（PCR-荧光探针法）</w:t>
      </w:r>
    </w:p>
    <w:p w14:paraId="013A16AB">
      <w:pPr>
        <w:spacing w:line="360" w:lineRule="auto"/>
        <w:ind w:firstLine="480" w:firstLineChars="200"/>
        <w:rPr>
          <w:rFonts w:ascii="宋体" w:hAnsi="宋体" w:cs="宋体"/>
          <w:sz w:val="24"/>
        </w:rPr>
      </w:pPr>
      <w:r>
        <w:rPr>
          <w:rFonts w:hint="eastAsia" w:ascii="宋体" w:hAnsi="宋体" w:cs="宋体"/>
          <w:sz w:val="24"/>
        </w:rPr>
        <w:t>1.规格：32测试/盒、96测试/盒。</w:t>
      </w:r>
    </w:p>
    <w:p w14:paraId="4EAB29B1">
      <w:pPr>
        <w:spacing w:line="360" w:lineRule="auto"/>
        <w:ind w:firstLine="480" w:firstLineChars="200"/>
        <w:rPr>
          <w:rFonts w:ascii="宋体" w:hAnsi="宋体" w:cs="宋体"/>
          <w:sz w:val="24"/>
        </w:rPr>
      </w:pPr>
      <w:r>
        <w:rPr>
          <w:rFonts w:hint="eastAsia" w:ascii="宋体" w:hAnsi="宋体" w:cs="宋体"/>
          <w:sz w:val="24"/>
        </w:rPr>
        <w:t>2.原理：荧光TaqMan PCR技术。</w:t>
      </w:r>
    </w:p>
    <w:p w14:paraId="27CA6B3A">
      <w:pPr>
        <w:spacing w:line="360" w:lineRule="auto"/>
        <w:ind w:firstLine="480" w:firstLineChars="200"/>
        <w:rPr>
          <w:rFonts w:ascii="宋体" w:hAnsi="宋体" w:cs="宋体"/>
          <w:sz w:val="24"/>
        </w:rPr>
      </w:pPr>
      <w:r>
        <w:rPr>
          <w:rFonts w:hint="eastAsia" w:ascii="宋体" w:hAnsi="宋体" w:cs="宋体"/>
          <w:sz w:val="24"/>
        </w:rPr>
        <w:t>3.定量方式：内标法定量。</w:t>
      </w:r>
    </w:p>
    <w:p w14:paraId="388B1974">
      <w:pPr>
        <w:spacing w:line="360" w:lineRule="auto"/>
        <w:ind w:firstLine="480" w:firstLineChars="200"/>
        <w:rPr>
          <w:rFonts w:ascii="宋体" w:hAnsi="宋体" w:cs="宋体"/>
          <w:sz w:val="24"/>
        </w:rPr>
      </w:pPr>
      <w:r>
        <w:rPr>
          <w:rFonts w:hint="eastAsia" w:ascii="宋体" w:hAnsi="宋体" w:cs="宋体"/>
          <w:sz w:val="24"/>
        </w:rPr>
        <w:t>4.样本类型：血清、血浆。</w:t>
      </w:r>
    </w:p>
    <w:p w14:paraId="37349E8C">
      <w:pPr>
        <w:spacing w:line="360" w:lineRule="auto"/>
        <w:ind w:firstLine="480" w:firstLineChars="200"/>
        <w:rPr>
          <w:rFonts w:ascii="宋体" w:hAnsi="宋体" w:cs="宋体"/>
          <w:sz w:val="24"/>
        </w:rPr>
      </w:pPr>
      <w:r>
        <w:rPr>
          <w:rFonts w:hint="eastAsia" w:ascii="宋体" w:hAnsi="宋体" w:cs="宋体"/>
          <w:sz w:val="24"/>
        </w:rPr>
        <w:t>5.覆盖亚型：M、N、O组所有亚型。</w:t>
      </w:r>
    </w:p>
    <w:p w14:paraId="45531D0C">
      <w:pPr>
        <w:spacing w:line="360" w:lineRule="auto"/>
        <w:ind w:firstLine="480" w:firstLineChars="200"/>
        <w:rPr>
          <w:rFonts w:ascii="宋体" w:hAnsi="宋体" w:cs="宋体"/>
          <w:sz w:val="24"/>
        </w:rPr>
      </w:pPr>
      <w:r>
        <w:rPr>
          <w:rFonts w:hint="eastAsia" w:ascii="宋体" w:hAnsi="宋体" w:cs="宋体"/>
          <w:sz w:val="24"/>
        </w:rPr>
        <w:t>6.检测靶标：pol、gag和LTR。</w:t>
      </w:r>
    </w:p>
    <w:p w14:paraId="62297657">
      <w:pPr>
        <w:spacing w:line="360" w:lineRule="auto"/>
        <w:ind w:firstLine="480" w:firstLineChars="200"/>
        <w:rPr>
          <w:rFonts w:ascii="宋体" w:hAnsi="宋体" w:cs="宋体"/>
          <w:sz w:val="24"/>
        </w:rPr>
      </w:pPr>
      <w:r>
        <w:rPr>
          <w:rFonts w:hint="eastAsia" w:ascii="宋体" w:hAnsi="宋体" w:cs="宋体"/>
          <w:sz w:val="24"/>
        </w:rPr>
        <w:t>7.检测灵敏度：20IU/mL。</w:t>
      </w:r>
    </w:p>
    <w:p w14:paraId="41E58B81">
      <w:pPr>
        <w:spacing w:line="360" w:lineRule="auto"/>
        <w:ind w:firstLine="480" w:firstLineChars="200"/>
        <w:rPr>
          <w:rFonts w:ascii="宋体" w:hAnsi="宋体" w:cs="宋体"/>
          <w:sz w:val="24"/>
        </w:rPr>
      </w:pPr>
      <w:r>
        <w:rPr>
          <w:rFonts w:hint="eastAsia" w:ascii="宋体" w:hAnsi="宋体" w:cs="宋体"/>
          <w:sz w:val="24"/>
        </w:rPr>
        <w:t>8.线性范围：40~1.0×108IU/mL。</w:t>
      </w:r>
    </w:p>
    <w:p w14:paraId="6FD6BFBF">
      <w:pPr>
        <w:spacing w:line="360" w:lineRule="auto"/>
        <w:ind w:firstLine="480" w:firstLineChars="200"/>
        <w:rPr>
          <w:rFonts w:ascii="宋体" w:hAnsi="宋体" w:cs="宋体"/>
          <w:sz w:val="24"/>
        </w:rPr>
      </w:pPr>
      <w:r>
        <w:rPr>
          <w:rFonts w:hint="eastAsia" w:ascii="宋体" w:hAnsi="宋体" w:cs="宋体"/>
          <w:sz w:val="24"/>
        </w:rPr>
        <w:t>9.储存及运输条件：-20±5℃避光储存，有效期为12个月。</w:t>
      </w:r>
    </w:p>
    <w:p w14:paraId="6653181E">
      <w:pPr>
        <w:spacing w:line="360" w:lineRule="auto"/>
        <w:ind w:firstLine="482" w:firstLineChars="200"/>
        <w:rPr>
          <w:rFonts w:ascii="宋体" w:hAnsi="宋体" w:cs="宋体"/>
          <w:b/>
          <w:bCs/>
          <w:sz w:val="24"/>
        </w:rPr>
      </w:pPr>
      <w:r>
        <w:rPr>
          <w:rFonts w:hint="eastAsia" w:ascii="宋体" w:hAnsi="宋体" w:cs="宋体"/>
          <w:b/>
          <w:bCs/>
          <w:sz w:val="24"/>
        </w:rPr>
        <w:t>标的名称2：核酸提取或纯化试剂</w:t>
      </w:r>
    </w:p>
    <w:p w14:paraId="399F7FAC">
      <w:pPr>
        <w:spacing w:line="360" w:lineRule="auto"/>
        <w:ind w:firstLine="480" w:firstLineChars="200"/>
        <w:rPr>
          <w:rFonts w:ascii="宋体" w:hAnsi="宋体" w:cs="宋体"/>
          <w:sz w:val="24"/>
        </w:rPr>
      </w:pPr>
      <w:r>
        <w:rPr>
          <w:rFonts w:hint="eastAsia" w:ascii="宋体" w:hAnsi="宋体" w:cs="宋体"/>
          <w:sz w:val="24"/>
        </w:rPr>
        <w:t>1.通过旋转磁棒、磁吸、转移等动作使磁性颗粒与液体分离，通过裂解、洗涤、洗脱、弃磁珠等步骤后得到高纯度的核酸提取产物；</w:t>
      </w:r>
    </w:p>
    <w:p w14:paraId="328E101D">
      <w:pPr>
        <w:spacing w:line="360" w:lineRule="auto"/>
        <w:ind w:firstLine="480" w:firstLineChars="200"/>
        <w:rPr>
          <w:rFonts w:ascii="宋体" w:hAnsi="宋体" w:cs="宋体"/>
          <w:sz w:val="24"/>
        </w:rPr>
      </w:pPr>
      <w:r>
        <w:rPr>
          <w:rFonts w:hint="eastAsia" w:ascii="宋体" w:hAnsi="宋体" w:cs="宋体"/>
          <w:sz w:val="24"/>
        </w:rPr>
        <w:t>2.样本适用性：血清、血浆；</w:t>
      </w:r>
    </w:p>
    <w:p w14:paraId="64EC49EE">
      <w:pPr>
        <w:spacing w:line="360" w:lineRule="auto"/>
        <w:ind w:firstLine="480" w:firstLineChars="200"/>
        <w:rPr>
          <w:rFonts w:ascii="宋体" w:hAnsi="宋体" w:cs="宋体"/>
          <w:sz w:val="24"/>
        </w:rPr>
      </w:pPr>
      <w:r>
        <w:rPr>
          <w:rFonts w:hint="eastAsia" w:ascii="宋体" w:hAnsi="宋体" w:cs="宋体"/>
          <w:sz w:val="24"/>
        </w:rPr>
        <w:t>3.仪器匹配性：能够匹配天隆GeneRotex 96全自动核酸提取仪；PANA9600系列全自动工作站</w:t>
      </w:r>
    </w:p>
    <w:p w14:paraId="40431E0A">
      <w:pPr>
        <w:spacing w:line="360" w:lineRule="auto"/>
        <w:ind w:firstLine="480" w:firstLineChars="200"/>
        <w:rPr>
          <w:rFonts w:ascii="宋体" w:hAnsi="宋体" w:cs="宋体"/>
          <w:sz w:val="24"/>
        </w:rPr>
      </w:pPr>
      <w:r>
        <w:rPr>
          <w:rFonts w:hint="eastAsia" w:ascii="宋体" w:hAnsi="宋体" w:cs="宋体"/>
          <w:sz w:val="24"/>
        </w:rPr>
        <w:t>4.试剂板具有二维码，仪器扫码后可直接运行二维码内的提取程序；</w:t>
      </w:r>
    </w:p>
    <w:p w14:paraId="213630FA">
      <w:pPr>
        <w:spacing w:line="360" w:lineRule="auto"/>
        <w:ind w:firstLine="480" w:firstLineChars="200"/>
        <w:rPr>
          <w:rFonts w:ascii="宋体" w:hAnsi="宋体" w:cs="宋体"/>
          <w:sz w:val="24"/>
        </w:rPr>
      </w:pPr>
      <w:r>
        <w:rPr>
          <w:rFonts w:hint="eastAsia" w:ascii="宋体" w:hAnsi="宋体" w:cs="宋体"/>
          <w:sz w:val="24"/>
        </w:rPr>
        <w:t>5.包装形式：试剂组分已经预封装在提取耗材的不同孔位内</w:t>
      </w:r>
    </w:p>
    <w:p w14:paraId="6B593E5C">
      <w:pPr>
        <w:spacing w:line="360" w:lineRule="auto"/>
        <w:ind w:firstLine="480" w:firstLineChars="200"/>
        <w:rPr>
          <w:rFonts w:ascii="宋体" w:hAnsi="宋体" w:cs="宋体"/>
          <w:sz w:val="24"/>
        </w:rPr>
      </w:pPr>
      <w:r>
        <w:rPr>
          <w:rFonts w:hint="eastAsia" w:ascii="宋体" w:hAnsi="宋体" w:cs="宋体"/>
          <w:sz w:val="24"/>
        </w:rPr>
        <w:t>6.配备单排八孔可拆分搅拌套，可独立拆分为八支独立搅拌套：或震荡联管式搅拌套。</w:t>
      </w:r>
    </w:p>
    <w:p w14:paraId="7C8B68B8">
      <w:pPr>
        <w:spacing w:line="360" w:lineRule="auto"/>
        <w:ind w:firstLine="480" w:firstLineChars="200"/>
        <w:rPr>
          <w:rFonts w:ascii="宋体" w:hAnsi="宋体" w:cs="宋体"/>
          <w:sz w:val="24"/>
        </w:rPr>
      </w:pPr>
      <w:r>
        <w:rPr>
          <w:rFonts w:hint="eastAsia" w:ascii="宋体" w:hAnsi="宋体" w:cs="宋体"/>
          <w:sz w:val="24"/>
        </w:rPr>
        <w:t>7.单次提取时间：≤35分钟；</w:t>
      </w:r>
    </w:p>
    <w:p w14:paraId="018FA462">
      <w:pPr>
        <w:spacing w:line="360" w:lineRule="auto"/>
        <w:ind w:firstLine="480" w:firstLineChars="200"/>
        <w:rPr>
          <w:rFonts w:ascii="宋体" w:hAnsi="宋体" w:cs="宋体"/>
          <w:sz w:val="24"/>
        </w:rPr>
      </w:pPr>
      <w:r>
        <w:rPr>
          <w:rFonts w:hint="eastAsia" w:ascii="宋体" w:hAnsi="宋体" w:cs="宋体"/>
          <w:sz w:val="24"/>
        </w:rPr>
        <w:t>8.规格：64T/盒（16T/板×4板）、20T/盒（5T/板×4板）、20T/盒（1T/条×20条）；</w:t>
      </w:r>
    </w:p>
    <w:p w14:paraId="57581827">
      <w:pPr>
        <w:spacing w:line="360" w:lineRule="auto"/>
        <w:ind w:firstLine="480" w:firstLineChars="200"/>
        <w:rPr>
          <w:rFonts w:ascii="宋体" w:hAnsi="宋体" w:cs="宋体"/>
          <w:sz w:val="24"/>
        </w:rPr>
      </w:pPr>
      <w:r>
        <w:rPr>
          <w:rFonts w:hint="eastAsia" w:ascii="宋体" w:hAnsi="宋体" w:cs="宋体"/>
          <w:sz w:val="24"/>
        </w:rPr>
        <w:t>9.配套耗材：免费配套相应数量的搅拌套及相关配套耗材。</w:t>
      </w:r>
    </w:p>
    <w:p w14:paraId="7FD01CEF">
      <w:pPr>
        <w:spacing w:line="360" w:lineRule="auto"/>
        <w:ind w:firstLine="480" w:firstLineChars="200"/>
        <w:rPr>
          <w:rFonts w:ascii="宋体" w:hAnsi="宋体" w:cs="宋体"/>
          <w:sz w:val="24"/>
        </w:rPr>
      </w:pPr>
      <w:r>
        <w:rPr>
          <w:rFonts w:hint="eastAsia" w:ascii="宋体" w:hAnsi="宋体" w:cs="宋体"/>
          <w:sz w:val="24"/>
        </w:rPr>
        <w:t>10.支持最小1个样本提取试剂。</w:t>
      </w:r>
    </w:p>
    <w:p w14:paraId="5BED17B5">
      <w:pPr>
        <w:spacing w:line="360" w:lineRule="auto"/>
        <w:ind w:firstLine="480" w:firstLineChars="200"/>
        <w:rPr>
          <w:rFonts w:ascii="宋体" w:hAnsi="宋体" w:cs="宋体"/>
          <w:sz w:val="24"/>
        </w:rPr>
      </w:pPr>
      <w:r>
        <w:rPr>
          <w:rFonts w:hint="eastAsia" w:ascii="宋体" w:hAnsi="宋体" w:cs="宋体"/>
          <w:sz w:val="24"/>
        </w:rPr>
        <w:t>11.储存及有效期：室温保存条件下，有效期为12个月；</w:t>
      </w:r>
    </w:p>
    <w:p w14:paraId="4626E414">
      <w:pPr>
        <w:spacing w:line="360" w:lineRule="auto"/>
        <w:ind w:firstLine="482" w:firstLineChars="200"/>
        <w:rPr>
          <w:rFonts w:ascii="宋体" w:hAnsi="宋体" w:cs="宋体"/>
          <w:b/>
          <w:bCs/>
          <w:sz w:val="24"/>
        </w:rPr>
      </w:pPr>
      <w:r>
        <w:rPr>
          <w:rFonts w:hint="eastAsia" w:ascii="宋体" w:hAnsi="宋体" w:cs="宋体"/>
          <w:b/>
          <w:bCs/>
          <w:sz w:val="24"/>
        </w:rPr>
        <w:t>标的名称3：测序试剂盒1</w:t>
      </w:r>
    </w:p>
    <w:p w14:paraId="038CFFE3">
      <w:pPr>
        <w:spacing w:line="360" w:lineRule="auto"/>
        <w:ind w:firstLine="480" w:firstLineChars="200"/>
        <w:rPr>
          <w:rFonts w:ascii="宋体" w:hAnsi="宋体" w:cs="宋体"/>
          <w:sz w:val="24"/>
        </w:rPr>
      </w:pPr>
      <w:r>
        <w:rPr>
          <w:rFonts w:hint="eastAsia" w:ascii="宋体" w:hAnsi="宋体" w:cs="宋体"/>
          <w:sz w:val="24"/>
        </w:rPr>
        <w:t>1.适用平台：边合成边测序</w:t>
      </w:r>
    </w:p>
    <w:p w14:paraId="00805F5B">
      <w:pPr>
        <w:spacing w:line="360" w:lineRule="auto"/>
        <w:ind w:firstLine="480" w:firstLineChars="200"/>
        <w:rPr>
          <w:rFonts w:ascii="宋体" w:hAnsi="宋体" w:cs="宋体"/>
          <w:sz w:val="24"/>
        </w:rPr>
      </w:pPr>
      <w:r>
        <w:rPr>
          <w:rFonts w:hint="eastAsia" w:ascii="宋体" w:hAnsi="宋体" w:cs="宋体"/>
          <w:sz w:val="24"/>
        </w:rPr>
        <w:t>2.芯片类型：FCM型(4流道)；</w:t>
      </w:r>
    </w:p>
    <w:p w14:paraId="26AFF188">
      <w:pPr>
        <w:spacing w:line="360" w:lineRule="auto"/>
        <w:ind w:firstLine="480" w:firstLineChars="200"/>
        <w:rPr>
          <w:rFonts w:ascii="宋体" w:hAnsi="宋体" w:cs="宋体"/>
          <w:sz w:val="24"/>
        </w:rPr>
      </w:pPr>
      <w:r>
        <w:rPr>
          <w:rFonts w:hint="eastAsia" w:ascii="宋体" w:hAnsi="宋体" w:cs="宋体"/>
          <w:sz w:val="24"/>
        </w:rPr>
        <w:t>3.测序通量：125Mreads/芯片；</w:t>
      </w:r>
    </w:p>
    <w:p w14:paraId="546723EF">
      <w:pPr>
        <w:spacing w:line="360" w:lineRule="auto"/>
        <w:ind w:firstLine="480" w:firstLineChars="200"/>
        <w:rPr>
          <w:rFonts w:ascii="宋体" w:hAnsi="宋体" w:cs="宋体"/>
          <w:sz w:val="24"/>
        </w:rPr>
      </w:pPr>
      <w:r>
        <w:rPr>
          <w:rFonts w:hint="eastAsia" w:ascii="PingFang SC" w:hAnsi="PingFang SC" w:eastAsia="PingFang SC" w:cs="PingFang SC"/>
          <w:sz w:val="24"/>
        </w:rPr>
        <w:t>▲</w:t>
      </w:r>
      <w:r>
        <w:rPr>
          <w:rFonts w:hint="eastAsia" w:ascii="宋体" w:hAnsi="宋体" w:cs="宋体"/>
          <w:sz w:val="24"/>
        </w:rPr>
        <w:t>4.数据产出：PE150模式下≥37.5Gb；</w:t>
      </w:r>
    </w:p>
    <w:p w14:paraId="56CC2D7B">
      <w:pPr>
        <w:spacing w:line="360" w:lineRule="auto"/>
        <w:ind w:firstLine="480" w:firstLineChars="200"/>
        <w:rPr>
          <w:rFonts w:ascii="宋体" w:hAnsi="宋体" w:cs="宋体"/>
          <w:sz w:val="24"/>
        </w:rPr>
      </w:pPr>
      <w:r>
        <w:rPr>
          <w:rFonts w:hint="eastAsia" w:ascii="宋体" w:hAnsi="宋体" w:cs="宋体"/>
          <w:sz w:val="24"/>
        </w:rPr>
        <w:t>5.测序读长：支持SE50~PE150多种模式，PE150为推荐长读长；</w:t>
      </w:r>
    </w:p>
    <w:p w14:paraId="66E68525">
      <w:pPr>
        <w:spacing w:line="360" w:lineRule="auto"/>
        <w:ind w:firstLine="480" w:firstLineChars="200"/>
        <w:rPr>
          <w:rFonts w:ascii="宋体" w:hAnsi="宋体" w:cs="宋体"/>
          <w:sz w:val="24"/>
        </w:rPr>
      </w:pPr>
      <w:r>
        <w:rPr>
          <w:rFonts w:hint="eastAsia" w:ascii="PingFang SC" w:hAnsi="PingFang SC" w:eastAsia="PingFang SC" w:cs="PingFang SC"/>
          <w:sz w:val="24"/>
        </w:rPr>
        <w:t>▲</w:t>
      </w:r>
      <w:r>
        <w:rPr>
          <w:rFonts w:hint="eastAsia" w:ascii="宋体" w:hAnsi="宋体" w:cs="宋体"/>
          <w:sz w:val="24"/>
        </w:rPr>
        <w:t>6.测序时间：PE150+8+8模式≤13小时，含样本加载到数据输出；</w:t>
      </w:r>
    </w:p>
    <w:p w14:paraId="369CAE0B">
      <w:pPr>
        <w:spacing w:line="360" w:lineRule="auto"/>
        <w:ind w:firstLine="480" w:firstLineChars="200"/>
        <w:rPr>
          <w:rFonts w:ascii="宋体" w:hAnsi="宋体" w:cs="宋体"/>
          <w:sz w:val="24"/>
        </w:rPr>
      </w:pPr>
      <w:r>
        <w:rPr>
          <w:rFonts w:hint="eastAsia" w:ascii="宋体" w:hAnsi="宋体" w:cs="宋体"/>
          <w:sz w:val="24"/>
        </w:rPr>
        <w:t>7.测序质量：Q30≥90%，碱基识别准确率，≥99.9%；</w:t>
      </w:r>
    </w:p>
    <w:p w14:paraId="15A3CB52">
      <w:pPr>
        <w:spacing w:line="360" w:lineRule="auto"/>
        <w:ind w:firstLine="480" w:firstLineChars="200"/>
        <w:rPr>
          <w:rFonts w:ascii="宋体" w:hAnsi="宋体" w:cs="宋体"/>
          <w:sz w:val="24"/>
        </w:rPr>
      </w:pPr>
      <w:r>
        <w:rPr>
          <w:rFonts w:hint="eastAsia" w:ascii="PingFang SC" w:hAnsi="PingFang SC" w:eastAsia="PingFang SC" w:cs="PingFang SC"/>
          <w:sz w:val="24"/>
        </w:rPr>
        <w:t>▲</w:t>
      </w:r>
      <w:r>
        <w:rPr>
          <w:rFonts w:hint="eastAsia" w:ascii="宋体" w:hAnsi="宋体" w:cs="宋体"/>
          <w:sz w:val="24"/>
        </w:rPr>
        <w:t>8.芯片流道数：4个独立流道，支持多样本并行测序</w:t>
      </w:r>
    </w:p>
    <w:p w14:paraId="7D10BDDF">
      <w:pPr>
        <w:spacing w:line="360" w:lineRule="auto"/>
        <w:ind w:firstLine="482" w:firstLineChars="200"/>
        <w:rPr>
          <w:rFonts w:ascii="宋体" w:hAnsi="宋体" w:cs="宋体"/>
          <w:b/>
          <w:bCs/>
          <w:sz w:val="24"/>
        </w:rPr>
      </w:pPr>
      <w:r>
        <w:rPr>
          <w:rFonts w:hint="eastAsia" w:ascii="宋体" w:hAnsi="宋体" w:cs="宋体"/>
          <w:b/>
          <w:bCs/>
          <w:sz w:val="24"/>
        </w:rPr>
        <w:t>标的名称4：测序试剂盒2</w:t>
      </w:r>
    </w:p>
    <w:p w14:paraId="01A7E90B">
      <w:pPr>
        <w:spacing w:line="360" w:lineRule="auto"/>
        <w:ind w:firstLine="480" w:firstLineChars="200"/>
        <w:rPr>
          <w:rFonts w:ascii="宋体" w:hAnsi="宋体" w:cs="宋体"/>
          <w:sz w:val="24"/>
        </w:rPr>
      </w:pPr>
      <w:r>
        <w:rPr>
          <w:rFonts w:hint="eastAsia" w:ascii="宋体" w:hAnsi="宋体" w:cs="宋体"/>
          <w:sz w:val="24"/>
        </w:rPr>
        <w:t>1.适用平台：边合成边测序</w:t>
      </w:r>
    </w:p>
    <w:p w14:paraId="13704DE1">
      <w:pPr>
        <w:spacing w:line="360" w:lineRule="auto"/>
        <w:ind w:firstLine="480" w:firstLineChars="200"/>
        <w:rPr>
          <w:rFonts w:ascii="宋体" w:hAnsi="宋体" w:cs="宋体"/>
          <w:sz w:val="24"/>
        </w:rPr>
      </w:pPr>
      <w:r>
        <w:rPr>
          <w:rFonts w:hint="eastAsia" w:ascii="宋体" w:hAnsi="宋体" w:cs="宋体"/>
          <w:sz w:val="24"/>
        </w:rPr>
        <w:t>2.芯片类型：FCM型(4流道)；</w:t>
      </w:r>
    </w:p>
    <w:p w14:paraId="7FF50FD6">
      <w:pPr>
        <w:spacing w:line="360" w:lineRule="auto"/>
        <w:ind w:firstLine="480" w:firstLineChars="200"/>
        <w:rPr>
          <w:rFonts w:ascii="宋体" w:hAnsi="宋体" w:cs="宋体"/>
          <w:sz w:val="24"/>
        </w:rPr>
      </w:pPr>
      <w:r>
        <w:rPr>
          <w:rFonts w:hint="eastAsia" w:ascii="宋体" w:hAnsi="宋体" w:cs="宋体"/>
          <w:sz w:val="24"/>
        </w:rPr>
        <w:t>3.测序通量：250Mreads/芯片；</w:t>
      </w:r>
    </w:p>
    <w:p w14:paraId="7A9739DB">
      <w:pPr>
        <w:spacing w:line="360" w:lineRule="auto"/>
        <w:ind w:firstLine="480" w:firstLineChars="200"/>
        <w:rPr>
          <w:rFonts w:ascii="宋体" w:hAnsi="宋体" w:cs="宋体"/>
          <w:sz w:val="24"/>
        </w:rPr>
      </w:pPr>
      <w:r>
        <w:rPr>
          <w:rFonts w:hint="eastAsia" w:ascii="PingFang SC" w:hAnsi="PingFang SC" w:eastAsia="PingFang SC" w:cs="PingFang SC"/>
          <w:sz w:val="24"/>
        </w:rPr>
        <w:t>▲</w:t>
      </w:r>
      <w:r>
        <w:rPr>
          <w:rFonts w:hint="eastAsia" w:ascii="宋体" w:hAnsi="宋体" w:cs="宋体"/>
          <w:sz w:val="24"/>
        </w:rPr>
        <w:t>4.数据产出：PE150模式下≥75Gb；</w:t>
      </w:r>
    </w:p>
    <w:p w14:paraId="2E29A347">
      <w:pPr>
        <w:spacing w:line="360" w:lineRule="auto"/>
        <w:ind w:firstLine="480" w:firstLineChars="200"/>
        <w:rPr>
          <w:rFonts w:ascii="宋体" w:hAnsi="宋体" w:cs="宋体"/>
          <w:sz w:val="24"/>
        </w:rPr>
      </w:pPr>
      <w:r>
        <w:rPr>
          <w:rFonts w:hint="eastAsia" w:ascii="宋体" w:hAnsi="宋体" w:cs="宋体"/>
          <w:sz w:val="24"/>
        </w:rPr>
        <w:t>5.测序读长：支持SE50~PE150多种模式，PE150为推荐长读长；</w:t>
      </w:r>
    </w:p>
    <w:p w14:paraId="2D578B4D">
      <w:pPr>
        <w:spacing w:line="360" w:lineRule="auto"/>
        <w:ind w:firstLine="480" w:firstLineChars="200"/>
        <w:rPr>
          <w:rFonts w:ascii="宋体" w:hAnsi="宋体" w:cs="宋体"/>
          <w:sz w:val="24"/>
        </w:rPr>
      </w:pPr>
      <w:r>
        <w:rPr>
          <w:rFonts w:hint="eastAsia" w:ascii="PingFang SC" w:hAnsi="PingFang SC" w:eastAsia="PingFang SC" w:cs="PingFang SC"/>
          <w:sz w:val="24"/>
        </w:rPr>
        <w:t>▲</w:t>
      </w:r>
      <w:r>
        <w:rPr>
          <w:rFonts w:hint="eastAsia" w:ascii="宋体" w:hAnsi="宋体" w:cs="宋体"/>
          <w:sz w:val="24"/>
        </w:rPr>
        <w:t>6.测序时间：PE150+8+8模式≤13小时，含样本加载到数据输出；</w:t>
      </w:r>
    </w:p>
    <w:p w14:paraId="15908428">
      <w:pPr>
        <w:spacing w:line="360" w:lineRule="auto"/>
        <w:ind w:firstLine="480" w:firstLineChars="200"/>
        <w:rPr>
          <w:rFonts w:ascii="宋体" w:hAnsi="宋体" w:cs="宋体"/>
          <w:sz w:val="24"/>
        </w:rPr>
      </w:pPr>
      <w:r>
        <w:rPr>
          <w:rFonts w:hint="eastAsia" w:ascii="宋体" w:hAnsi="宋体" w:cs="宋体"/>
          <w:sz w:val="24"/>
        </w:rPr>
        <w:t>7.测序质量：Q30≥90%，碱基识别准确率，≥99.9%；</w:t>
      </w:r>
    </w:p>
    <w:p w14:paraId="394BA7CF">
      <w:pPr>
        <w:spacing w:line="360" w:lineRule="auto"/>
        <w:ind w:firstLine="480" w:firstLineChars="200"/>
        <w:rPr>
          <w:rFonts w:ascii="宋体" w:hAnsi="宋体" w:cs="宋体"/>
          <w:sz w:val="24"/>
        </w:rPr>
      </w:pPr>
      <w:r>
        <w:rPr>
          <w:rFonts w:hint="eastAsia" w:ascii="PingFang SC" w:hAnsi="PingFang SC" w:eastAsia="PingFang SC" w:cs="PingFang SC"/>
          <w:sz w:val="24"/>
        </w:rPr>
        <w:t>▲</w:t>
      </w:r>
      <w:r>
        <w:rPr>
          <w:rFonts w:hint="eastAsia" w:ascii="宋体" w:hAnsi="宋体" w:cs="宋体"/>
          <w:sz w:val="24"/>
        </w:rPr>
        <w:t>8.芯片流道数：4个独立流道，支持多样本并行测序</w:t>
      </w:r>
    </w:p>
    <w:p w14:paraId="036A25E9">
      <w:pPr>
        <w:spacing w:line="360" w:lineRule="auto"/>
        <w:ind w:firstLine="482" w:firstLineChars="200"/>
        <w:rPr>
          <w:rFonts w:ascii="宋体" w:hAnsi="宋体" w:cs="宋体"/>
          <w:b/>
          <w:bCs/>
          <w:sz w:val="24"/>
        </w:rPr>
      </w:pPr>
      <w:r>
        <w:rPr>
          <w:rFonts w:hint="eastAsia" w:ascii="宋体" w:hAnsi="宋体" w:cs="宋体"/>
          <w:b/>
          <w:bCs/>
          <w:sz w:val="24"/>
        </w:rPr>
        <w:t>标的名称5：测序试剂盒3</w:t>
      </w:r>
    </w:p>
    <w:p w14:paraId="5FB9DE75">
      <w:pPr>
        <w:spacing w:line="360" w:lineRule="auto"/>
        <w:ind w:firstLine="480" w:firstLineChars="200"/>
        <w:rPr>
          <w:rFonts w:ascii="宋体" w:hAnsi="宋体" w:cs="宋体"/>
          <w:sz w:val="24"/>
        </w:rPr>
      </w:pPr>
      <w:r>
        <w:rPr>
          <w:rFonts w:hint="eastAsia" w:ascii="宋体" w:hAnsi="宋体" w:cs="宋体"/>
          <w:sz w:val="24"/>
        </w:rPr>
        <w:t>1.适用平台：边合成边测序</w:t>
      </w:r>
    </w:p>
    <w:p w14:paraId="4F4F808B">
      <w:pPr>
        <w:spacing w:line="360" w:lineRule="auto"/>
        <w:ind w:firstLine="480" w:firstLineChars="200"/>
        <w:rPr>
          <w:rFonts w:ascii="宋体" w:hAnsi="宋体" w:cs="宋体"/>
          <w:sz w:val="24"/>
        </w:rPr>
      </w:pPr>
      <w:r>
        <w:rPr>
          <w:rFonts w:hint="eastAsia" w:ascii="宋体" w:hAnsi="宋体" w:cs="宋体"/>
          <w:sz w:val="24"/>
        </w:rPr>
        <w:t>2.芯片类型：FCM型(4流道)；</w:t>
      </w:r>
    </w:p>
    <w:p w14:paraId="7083106F">
      <w:pPr>
        <w:spacing w:line="360" w:lineRule="auto"/>
        <w:ind w:firstLine="480" w:firstLineChars="200"/>
        <w:rPr>
          <w:rFonts w:ascii="宋体" w:hAnsi="宋体" w:cs="宋体"/>
          <w:sz w:val="24"/>
        </w:rPr>
      </w:pPr>
      <w:r>
        <w:rPr>
          <w:rFonts w:hint="eastAsia" w:ascii="宋体" w:hAnsi="宋体" w:cs="宋体"/>
          <w:sz w:val="24"/>
        </w:rPr>
        <w:t>3.测序通量：500Mreads/芯片；</w:t>
      </w:r>
    </w:p>
    <w:p w14:paraId="0E5E6D29">
      <w:pPr>
        <w:spacing w:line="360" w:lineRule="auto"/>
        <w:ind w:firstLine="480" w:firstLineChars="200"/>
        <w:rPr>
          <w:rFonts w:ascii="宋体" w:hAnsi="宋体" w:cs="宋体"/>
          <w:sz w:val="24"/>
        </w:rPr>
      </w:pPr>
      <w:r>
        <w:rPr>
          <w:rFonts w:hint="eastAsia" w:ascii="PingFang SC" w:hAnsi="PingFang SC" w:eastAsia="PingFang SC" w:cs="PingFang SC"/>
          <w:sz w:val="24"/>
        </w:rPr>
        <w:t>▲</w:t>
      </w:r>
      <w:r>
        <w:rPr>
          <w:rFonts w:hint="eastAsia" w:ascii="宋体" w:hAnsi="宋体" w:cs="宋体"/>
          <w:sz w:val="24"/>
        </w:rPr>
        <w:t>4.数据产出：PE150模式下≥150Gb；</w:t>
      </w:r>
    </w:p>
    <w:p w14:paraId="5D897E51">
      <w:pPr>
        <w:spacing w:line="360" w:lineRule="auto"/>
        <w:ind w:firstLine="480" w:firstLineChars="200"/>
        <w:rPr>
          <w:rFonts w:ascii="宋体" w:hAnsi="宋体" w:cs="宋体"/>
          <w:sz w:val="24"/>
        </w:rPr>
      </w:pPr>
      <w:r>
        <w:rPr>
          <w:rFonts w:hint="eastAsia" w:ascii="宋体" w:hAnsi="宋体" w:cs="宋体"/>
          <w:sz w:val="24"/>
        </w:rPr>
        <w:t>5.测序读长：支持SE50~PE150多种模式，PE150为推荐长读长；</w:t>
      </w:r>
    </w:p>
    <w:p w14:paraId="52E8DA33">
      <w:pPr>
        <w:spacing w:line="360" w:lineRule="auto"/>
        <w:ind w:firstLine="480" w:firstLineChars="200"/>
        <w:rPr>
          <w:rFonts w:ascii="宋体" w:hAnsi="宋体" w:cs="宋体"/>
          <w:sz w:val="24"/>
        </w:rPr>
      </w:pPr>
      <w:r>
        <w:rPr>
          <w:rFonts w:hint="eastAsia" w:ascii="PingFang SC" w:hAnsi="PingFang SC" w:eastAsia="PingFang SC" w:cs="PingFang SC"/>
          <w:sz w:val="24"/>
        </w:rPr>
        <w:t>▲</w:t>
      </w:r>
      <w:r>
        <w:rPr>
          <w:rFonts w:hint="eastAsia" w:ascii="宋体" w:hAnsi="宋体" w:cs="宋体"/>
          <w:sz w:val="24"/>
        </w:rPr>
        <w:t>6.测序时间：PE150+8+8模式≤13小时，含样本加载到数据输出；</w:t>
      </w:r>
    </w:p>
    <w:p w14:paraId="42271D78">
      <w:pPr>
        <w:spacing w:line="360" w:lineRule="auto"/>
        <w:ind w:firstLine="480" w:firstLineChars="200"/>
        <w:rPr>
          <w:rFonts w:ascii="宋体" w:hAnsi="宋体" w:cs="宋体"/>
          <w:sz w:val="24"/>
        </w:rPr>
      </w:pPr>
      <w:r>
        <w:rPr>
          <w:rFonts w:hint="eastAsia" w:ascii="宋体" w:hAnsi="宋体" w:cs="宋体"/>
          <w:sz w:val="24"/>
        </w:rPr>
        <w:t>7.测序质量：Q30≥90%，碱基识别准确率，≥99.9%；</w:t>
      </w:r>
    </w:p>
    <w:p w14:paraId="42955294">
      <w:pPr>
        <w:spacing w:line="360" w:lineRule="auto"/>
        <w:ind w:firstLine="480" w:firstLineChars="200"/>
        <w:rPr>
          <w:rFonts w:ascii="宋体" w:hAnsi="宋体" w:cs="宋体"/>
          <w:sz w:val="24"/>
        </w:rPr>
      </w:pPr>
      <w:r>
        <w:rPr>
          <w:rFonts w:hint="eastAsia" w:ascii="PingFang SC" w:hAnsi="PingFang SC" w:eastAsia="PingFang SC" w:cs="PingFang SC"/>
          <w:sz w:val="24"/>
        </w:rPr>
        <w:t>▲</w:t>
      </w:r>
      <w:r>
        <w:rPr>
          <w:rFonts w:hint="eastAsia" w:ascii="宋体" w:hAnsi="宋体" w:cs="宋体"/>
          <w:sz w:val="24"/>
        </w:rPr>
        <w:t>8.芯片流道数：4个独立流道，支持多样本并行测序</w:t>
      </w:r>
    </w:p>
    <w:p w14:paraId="5CED8F4F">
      <w:pPr>
        <w:spacing w:line="360" w:lineRule="auto"/>
        <w:ind w:firstLine="482" w:firstLineChars="200"/>
        <w:rPr>
          <w:rFonts w:ascii="宋体" w:hAnsi="宋体" w:cs="宋体"/>
          <w:b/>
          <w:bCs/>
          <w:sz w:val="24"/>
        </w:rPr>
      </w:pPr>
      <w:r>
        <w:rPr>
          <w:rFonts w:hint="eastAsia" w:ascii="宋体" w:hAnsi="宋体" w:cs="宋体"/>
          <w:b/>
          <w:bCs/>
          <w:sz w:val="24"/>
        </w:rPr>
        <w:t>标的名称6：DNA病原微生物捕获建库试剂盒</w:t>
      </w:r>
    </w:p>
    <w:p w14:paraId="61A327F5">
      <w:pPr>
        <w:spacing w:line="360" w:lineRule="auto"/>
        <w:ind w:firstLine="480" w:firstLineChars="200"/>
        <w:rPr>
          <w:rFonts w:ascii="宋体" w:hAnsi="宋体" w:cs="宋体"/>
          <w:sz w:val="24"/>
        </w:rPr>
      </w:pPr>
      <w:r>
        <w:rPr>
          <w:rFonts w:hint="eastAsia" w:ascii="宋体" w:hAnsi="宋体" w:cs="宋体"/>
          <w:sz w:val="24"/>
        </w:rPr>
        <w:t>1.适配建库原理：采用片段化酶进行DNA片段化，末端修复DNA加A尾，在文库插入片段上连接带有3’dTMP端的dsDNA接头，使用热启动高保真酶预混液进行高保真低偏差PCR，扩增两端携带适当接头序列的文库片段，实现链特异性测序文库构建；</w:t>
      </w:r>
    </w:p>
    <w:p w14:paraId="197A5A7F">
      <w:pPr>
        <w:spacing w:line="360" w:lineRule="auto"/>
        <w:ind w:firstLine="480" w:firstLineChars="200"/>
        <w:rPr>
          <w:rFonts w:ascii="宋体" w:hAnsi="宋体" w:cs="宋体"/>
          <w:sz w:val="24"/>
        </w:rPr>
      </w:pPr>
      <w:r>
        <w:rPr>
          <w:rFonts w:hint="eastAsia" w:ascii="宋体" w:hAnsi="宋体" w:cs="宋体"/>
          <w:sz w:val="24"/>
        </w:rPr>
        <w:t>2.需搭配使用亲和富集序列类型为DNA，增加富集反应的序列有效性和稳定性；</w:t>
      </w:r>
    </w:p>
    <w:p w14:paraId="151E92F9">
      <w:pPr>
        <w:spacing w:line="360" w:lineRule="auto"/>
        <w:ind w:firstLine="480" w:firstLineChars="200"/>
        <w:rPr>
          <w:rFonts w:ascii="宋体" w:hAnsi="宋体" w:cs="宋体"/>
          <w:sz w:val="24"/>
        </w:rPr>
      </w:pPr>
      <w:r>
        <w:rPr>
          <w:rFonts w:hint="eastAsia" w:ascii="宋体" w:hAnsi="宋体" w:cs="宋体"/>
          <w:sz w:val="24"/>
        </w:rPr>
        <w:t>3.样本类型：适用于多种样本类型：如血液、痰液、肺泡灌洗液、咽拭子、脑脊液、尿液、粪便、组织等各种原始样本类型，无需进行病原培养；</w:t>
      </w:r>
    </w:p>
    <w:p w14:paraId="55D81EDB">
      <w:pPr>
        <w:spacing w:line="360" w:lineRule="auto"/>
        <w:ind w:firstLine="480" w:firstLineChars="200"/>
        <w:rPr>
          <w:rFonts w:ascii="宋体" w:hAnsi="宋体" w:cs="宋体"/>
          <w:sz w:val="24"/>
        </w:rPr>
      </w:pPr>
      <w:r>
        <w:rPr>
          <w:rFonts w:hint="eastAsia" w:ascii="宋体" w:hAnsi="宋体" w:cs="宋体"/>
          <w:sz w:val="24"/>
        </w:rPr>
        <w:t>4.对于CT值≤33的样本，通过全基因组亲和捕获序列对样本中病原的核酸均一富集，可实现100%病原覆盖；</w:t>
      </w:r>
    </w:p>
    <w:p w14:paraId="16448CDC">
      <w:pPr>
        <w:spacing w:line="360" w:lineRule="auto"/>
        <w:ind w:firstLine="480" w:firstLineChars="200"/>
        <w:rPr>
          <w:rFonts w:ascii="宋体" w:hAnsi="宋体" w:cs="宋体"/>
          <w:sz w:val="24"/>
        </w:rPr>
      </w:pPr>
      <w:r>
        <w:rPr>
          <w:rFonts w:hint="eastAsia" w:ascii="PingFang SC" w:hAnsi="PingFang SC" w:eastAsia="PingFang SC" w:cs="PingFang SC"/>
          <w:sz w:val="24"/>
        </w:rPr>
        <w:t>▲</w:t>
      </w:r>
      <w:r>
        <w:rPr>
          <w:rFonts w:hint="eastAsia" w:ascii="宋体" w:hAnsi="宋体" w:cs="宋体"/>
          <w:sz w:val="24"/>
        </w:rPr>
        <w:t>5.建库试剂测序下机数据可以选择邻接法、UPGMA、K-mer、最大似然法等原理构建进化树，可以针对所有病原体基于SNP、任意基因序列、蛋白序列、基因组全长序列、核心基因组等区域构建进化树。提供以上模式数据分析截屏进行佐证。</w:t>
      </w:r>
    </w:p>
    <w:p w14:paraId="3BD09DDD">
      <w:pPr>
        <w:spacing w:line="360" w:lineRule="auto"/>
        <w:ind w:firstLine="482" w:firstLineChars="200"/>
        <w:rPr>
          <w:rFonts w:ascii="宋体" w:hAnsi="宋体" w:cs="宋体"/>
          <w:b/>
          <w:bCs/>
          <w:sz w:val="24"/>
        </w:rPr>
      </w:pPr>
      <w:r>
        <w:rPr>
          <w:rFonts w:hint="eastAsia" w:ascii="宋体" w:hAnsi="宋体" w:cs="宋体"/>
          <w:b/>
          <w:bCs/>
          <w:sz w:val="24"/>
        </w:rPr>
        <w:t>标的名称7：RNA病原微生物捕获建库试剂盒</w:t>
      </w:r>
    </w:p>
    <w:p w14:paraId="47E9A44F">
      <w:pPr>
        <w:spacing w:line="360" w:lineRule="auto"/>
        <w:ind w:firstLine="480" w:firstLineChars="200"/>
        <w:rPr>
          <w:rFonts w:ascii="宋体" w:hAnsi="宋体" w:cs="宋体"/>
          <w:sz w:val="24"/>
        </w:rPr>
      </w:pPr>
      <w:r>
        <w:rPr>
          <w:rFonts w:hint="eastAsia" w:ascii="宋体" w:hAnsi="宋体" w:cs="宋体"/>
          <w:sz w:val="24"/>
        </w:rPr>
        <w:t>1.需搭配使用亲和富集序列类型为DNA，增加富集反应的序列有效性和稳定性；</w:t>
      </w:r>
    </w:p>
    <w:p w14:paraId="09004F5C">
      <w:pPr>
        <w:spacing w:line="360" w:lineRule="auto"/>
        <w:ind w:firstLine="480" w:firstLineChars="200"/>
        <w:rPr>
          <w:rFonts w:ascii="宋体" w:hAnsi="宋体" w:cs="宋体"/>
          <w:sz w:val="24"/>
        </w:rPr>
      </w:pPr>
      <w:r>
        <w:rPr>
          <w:rFonts w:hint="eastAsia" w:ascii="宋体" w:hAnsi="宋体" w:cs="宋体"/>
          <w:sz w:val="24"/>
        </w:rPr>
        <w:t>2.样本类型：适用于多种样本类型：如血液、痰液、肺泡灌洗液、咽拭子、脑脊液、尿液、粪便、组织等各种原始样本类型，无需进行病原培养；</w:t>
      </w:r>
    </w:p>
    <w:p w14:paraId="5B185036">
      <w:pPr>
        <w:spacing w:line="360" w:lineRule="auto"/>
        <w:ind w:firstLine="480" w:firstLineChars="200"/>
        <w:rPr>
          <w:rFonts w:ascii="宋体" w:hAnsi="宋体" w:cs="宋体"/>
          <w:sz w:val="24"/>
        </w:rPr>
      </w:pPr>
      <w:r>
        <w:rPr>
          <w:rFonts w:hint="eastAsia" w:ascii="宋体" w:hAnsi="宋体" w:cs="宋体"/>
          <w:sz w:val="24"/>
        </w:rPr>
        <w:t>3.对于CT值≤33的样本，通过全基因组亲和捕获序列对样本中病原的核酸均一富集，可实现100%病原覆盖；</w:t>
      </w:r>
    </w:p>
    <w:p w14:paraId="197D6308">
      <w:pPr>
        <w:spacing w:line="360" w:lineRule="auto"/>
        <w:ind w:firstLine="480" w:firstLineChars="200"/>
        <w:rPr>
          <w:rFonts w:ascii="宋体" w:hAnsi="宋体" w:cs="宋体"/>
          <w:sz w:val="24"/>
        </w:rPr>
      </w:pPr>
      <w:r>
        <w:rPr>
          <w:rFonts w:hint="eastAsia" w:ascii="PingFang SC" w:hAnsi="PingFang SC" w:eastAsia="PingFang SC" w:cs="PingFang SC"/>
          <w:sz w:val="24"/>
        </w:rPr>
        <w:t>▲</w:t>
      </w:r>
      <w:r>
        <w:rPr>
          <w:rFonts w:hint="eastAsia" w:ascii="宋体" w:hAnsi="宋体" w:cs="宋体"/>
          <w:sz w:val="24"/>
        </w:rPr>
        <w:t>4.建库试剂测序下机数据可以选择邻接法、UPGMA、K-mer、最大似然法等原理构建进化树，可以针对所有病原体基于SNP、任意基因序列、蛋白序列、基因组全长序列、核心基因组等区域构建进化树。提供以上模式数据分析截屏进行佐证。</w:t>
      </w:r>
    </w:p>
    <w:p w14:paraId="7D8125CD">
      <w:pPr>
        <w:spacing w:line="360" w:lineRule="auto"/>
        <w:ind w:firstLine="482" w:firstLineChars="200"/>
        <w:rPr>
          <w:rFonts w:ascii="宋体" w:hAnsi="宋体" w:cs="宋体"/>
          <w:b/>
          <w:bCs/>
          <w:sz w:val="24"/>
        </w:rPr>
      </w:pPr>
      <w:r>
        <w:rPr>
          <w:rFonts w:hint="eastAsia" w:ascii="宋体" w:hAnsi="宋体" w:cs="宋体"/>
          <w:b/>
          <w:bCs/>
          <w:sz w:val="24"/>
        </w:rPr>
        <w:t>标的名称8：快速建库试剂盒（1ng）</w:t>
      </w:r>
    </w:p>
    <w:p w14:paraId="1236D00B">
      <w:pPr>
        <w:spacing w:line="360" w:lineRule="auto"/>
        <w:ind w:firstLine="480" w:firstLineChars="200"/>
        <w:rPr>
          <w:rFonts w:ascii="宋体" w:hAnsi="宋体" w:cs="宋体"/>
          <w:sz w:val="24"/>
        </w:rPr>
      </w:pPr>
      <w:r>
        <w:rPr>
          <w:rFonts w:hint="eastAsia" w:ascii="宋体" w:hAnsi="宋体" w:cs="宋体"/>
          <w:sz w:val="24"/>
        </w:rPr>
        <w:t>1.本产品是基于转座酶片段化技术，操作简便、建库快速，适用于细菌基因组、病原毒株、扩增子等多种样本的高通量文库构建，产物可广泛应用于高通量测序，满足病原基因组解析、毒株分型、基因变异监测、未知病原筛查、微生物多样性分析等。</w:t>
      </w:r>
    </w:p>
    <w:p w14:paraId="3A357009">
      <w:pPr>
        <w:spacing w:line="360" w:lineRule="auto"/>
        <w:ind w:firstLine="480" w:firstLineChars="200"/>
        <w:rPr>
          <w:rFonts w:ascii="宋体" w:hAnsi="宋体" w:cs="宋体"/>
          <w:sz w:val="24"/>
        </w:rPr>
      </w:pPr>
      <w:r>
        <w:rPr>
          <w:rFonts w:hint="eastAsia" w:ascii="宋体" w:hAnsi="宋体" w:cs="宋体"/>
          <w:sz w:val="24"/>
        </w:rPr>
        <w:t>2.技术参数</w:t>
      </w:r>
    </w:p>
    <w:p w14:paraId="0D82DE29">
      <w:pPr>
        <w:spacing w:line="360" w:lineRule="auto"/>
        <w:ind w:firstLine="480" w:firstLineChars="200"/>
        <w:rPr>
          <w:rFonts w:ascii="宋体" w:hAnsi="宋体" w:cs="宋体"/>
          <w:sz w:val="24"/>
        </w:rPr>
      </w:pPr>
      <w:r>
        <w:rPr>
          <w:rFonts w:hint="eastAsia" w:ascii="宋体" w:hAnsi="宋体" w:cs="宋体"/>
          <w:sz w:val="24"/>
        </w:rPr>
        <w:t>2.1适用于低起始量样本的细菌基因组DNA/扩增子文库构建实验；</w:t>
      </w:r>
    </w:p>
    <w:p w14:paraId="0EBF54CF">
      <w:pPr>
        <w:spacing w:line="360" w:lineRule="auto"/>
        <w:ind w:firstLine="480" w:firstLineChars="200"/>
        <w:rPr>
          <w:rFonts w:ascii="宋体" w:hAnsi="宋体" w:cs="宋体"/>
          <w:sz w:val="24"/>
        </w:rPr>
      </w:pPr>
      <w:r>
        <w:rPr>
          <w:rFonts w:hint="eastAsia" w:ascii="宋体" w:hAnsi="宋体" w:cs="宋体"/>
          <w:sz w:val="24"/>
        </w:rPr>
        <w:t>2.2规格：24次反应/盒；</w:t>
      </w:r>
    </w:p>
    <w:p w14:paraId="5B060A73">
      <w:pPr>
        <w:spacing w:line="360" w:lineRule="auto"/>
        <w:ind w:firstLine="480" w:firstLineChars="200"/>
        <w:rPr>
          <w:rFonts w:ascii="宋体" w:hAnsi="宋体" w:cs="宋体"/>
          <w:sz w:val="24"/>
        </w:rPr>
      </w:pPr>
      <w:r>
        <w:rPr>
          <w:rFonts w:hint="eastAsia" w:ascii="PingFang SC" w:hAnsi="PingFang SC" w:eastAsia="PingFang SC" w:cs="PingFang SC"/>
          <w:sz w:val="24"/>
        </w:rPr>
        <w:t>▲</w:t>
      </w:r>
      <w:r>
        <w:rPr>
          <w:rFonts w:hint="eastAsia" w:ascii="宋体" w:hAnsi="宋体" w:cs="宋体"/>
          <w:sz w:val="24"/>
        </w:rPr>
        <w:t>2.3最低起始量：≤10pgDNA，推荐起始量：10pg-10ngDNA；</w:t>
      </w:r>
    </w:p>
    <w:p w14:paraId="42F0A0B9">
      <w:pPr>
        <w:spacing w:line="360" w:lineRule="auto"/>
        <w:ind w:firstLine="480" w:firstLineChars="200"/>
        <w:rPr>
          <w:rFonts w:ascii="宋体" w:hAnsi="宋体" w:cs="宋体"/>
          <w:sz w:val="24"/>
        </w:rPr>
      </w:pPr>
      <w:r>
        <w:rPr>
          <w:rFonts w:hint="eastAsia" w:ascii="宋体" w:hAnsi="宋体" w:cs="宋体"/>
          <w:sz w:val="24"/>
        </w:rPr>
        <w:t>2.4兼容样本类型：细菌基因组DNA、PCR扩增子、FFPE样本、cfDNA、单细胞裂解液；</w:t>
      </w:r>
    </w:p>
    <w:p w14:paraId="7BEF3656">
      <w:pPr>
        <w:spacing w:line="360" w:lineRule="auto"/>
        <w:ind w:firstLine="480" w:firstLineChars="200"/>
        <w:rPr>
          <w:rFonts w:ascii="宋体" w:hAnsi="宋体" w:cs="宋体"/>
          <w:sz w:val="24"/>
        </w:rPr>
      </w:pPr>
      <w:r>
        <w:rPr>
          <w:rFonts w:hint="eastAsia" w:ascii="宋体" w:hAnsi="宋体" w:cs="宋体"/>
          <w:sz w:val="24"/>
        </w:rPr>
        <w:t>2.5建库技术：采用转座酶片段化，一步完成片段化和接头连接，使用热启动高保真酶预混液进行高保真低偏差PCR，扩增两端携带适当接头序列的文库片段，实现链特异性测序文库构建；</w:t>
      </w:r>
    </w:p>
    <w:p w14:paraId="23EB3E0E">
      <w:pPr>
        <w:spacing w:line="360" w:lineRule="auto"/>
        <w:ind w:firstLine="480" w:firstLineChars="200"/>
        <w:rPr>
          <w:rFonts w:ascii="宋体" w:hAnsi="宋体" w:cs="宋体"/>
          <w:sz w:val="24"/>
        </w:rPr>
      </w:pPr>
      <w:r>
        <w:rPr>
          <w:rFonts w:hint="eastAsia" w:ascii="宋体" w:hAnsi="宋体" w:cs="宋体"/>
          <w:sz w:val="24"/>
        </w:rPr>
        <w:t>2.6测序平台：边合成边测序和DNB纳米球测序等高通量测序平台；</w:t>
      </w:r>
    </w:p>
    <w:p w14:paraId="3C6F7B79">
      <w:pPr>
        <w:spacing w:line="360" w:lineRule="auto"/>
        <w:ind w:firstLine="480" w:firstLineChars="200"/>
        <w:rPr>
          <w:rFonts w:ascii="宋体" w:hAnsi="宋体" w:cs="宋体"/>
          <w:sz w:val="24"/>
        </w:rPr>
      </w:pPr>
      <w:r>
        <w:rPr>
          <w:rFonts w:hint="eastAsia" w:ascii="PingFang SC" w:hAnsi="PingFang SC" w:eastAsia="PingFang SC" w:cs="PingFang SC"/>
          <w:sz w:val="24"/>
        </w:rPr>
        <w:t>▲</w:t>
      </w:r>
      <w:r>
        <w:rPr>
          <w:rFonts w:hint="eastAsia" w:ascii="宋体" w:hAnsi="宋体" w:cs="宋体"/>
          <w:sz w:val="24"/>
        </w:rPr>
        <w:t>2.7索引系统：采用UDI(唯一双索引)系统，有效避免index hopping现象；</w:t>
      </w:r>
    </w:p>
    <w:p w14:paraId="288358B7">
      <w:pPr>
        <w:spacing w:line="360" w:lineRule="auto"/>
        <w:ind w:firstLine="480" w:firstLineChars="200"/>
        <w:rPr>
          <w:rFonts w:ascii="宋体" w:hAnsi="宋体" w:cs="宋体"/>
          <w:sz w:val="24"/>
        </w:rPr>
      </w:pPr>
      <w:r>
        <w:rPr>
          <w:rFonts w:hint="eastAsia" w:ascii="宋体" w:hAnsi="宋体" w:cs="宋体"/>
          <w:sz w:val="24"/>
        </w:rPr>
        <w:t>2.8质控标准：兼容Qubit定量、AgilentBioanalyzer和荧光定量PCR质控；</w:t>
      </w:r>
    </w:p>
    <w:p w14:paraId="0B3C49A7">
      <w:pPr>
        <w:spacing w:line="360" w:lineRule="auto"/>
        <w:ind w:firstLine="482" w:firstLineChars="200"/>
        <w:rPr>
          <w:rFonts w:ascii="宋体" w:hAnsi="宋体" w:cs="宋体"/>
          <w:b/>
          <w:bCs/>
          <w:sz w:val="24"/>
        </w:rPr>
      </w:pPr>
      <w:r>
        <w:rPr>
          <w:rFonts w:hint="eastAsia" w:ascii="宋体" w:hAnsi="宋体" w:cs="宋体"/>
          <w:b/>
          <w:bCs/>
          <w:sz w:val="24"/>
        </w:rPr>
        <w:t>标的名称9：宏基因组DNA文库构建试剂盒</w:t>
      </w:r>
    </w:p>
    <w:p w14:paraId="32C00416">
      <w:pPr>
        <w:spacing w:line="360" w:lineRule="auto"/>
        <w:ind w:firstLine="480" w:firstLineChars="200"/>
        <w:rPr>
          <w:rFonts w:ascii="宋体" w:hAnsi="宋体" w:cs="宋体"/>
          <w:sz w:val="24"/>
        </w:rPr>
      </w:pPr>
      <w:r>
        <w:rPr>
          <w:rFonts w:hint="eastAsia" w:ascii="宋体" w:hAnsi="宋体" w:cs="宋体"/>
          <w:sz w:val="24"/>
        </w:rPr>
        <w:t>1.建库原理：采用片段化酶进行DNA片段化，末端修复DNA加A尾，在文库插入片段上连接带有3’dTMP端的dsDNA接头，使用热启动高保真酶预混液进行高保真低偏差PCR，扩增两端携带适当接头序列的文库片段，实现链特异性病原微生物宏基因组测序文库构建；</w:t>
      </w:r>
    </w:p>
    <w:p w14:paraId="7592BB1E">
      <w:pPr>
        <w:spacing w:line="360" w:lineRule="auto"/>
        <w:ind w:firstLine="480" w:firstLineChars="200"/>
        <w:rPr>
          <w:rFonts w:ascii="宋体" w:hAnsi="宋体" w:cs="宋体"/>
          <w:sz w:val="24"/>
        </w:rPr>
      </w:pPr>
      <w:r>
        <w:rPr>
          <w:rFonts w:hint="eastAsia" w:ascii="宋体" w:hAnsi="宋体" w:cs="宋体"/>
          <w:sz w:val="24"/>
        </w:rPr>
        <w:t>2.产品含有96个唯一双标签组合引物，可实现96个不同实验样本同泳道测序；</w:t>
      </w:r>
    </w:p>
    <w:p w14:paraId="141877C2">
      <w:pPr>
        <w:spacing w:line="360" w:lineRule="auto"/>
        <w:ind w:firstLine="480" w:firstLineChars="200"/>
        <w:rPr>
          <w:rFonts w:ascii="宋体" w:hAnsi="宋体" w:cs="宋体"/>
          <w:sz w:val="24"/>
        </w:rPr>
      </w:pPr>
      <w:r>
        <w:rPr>
          <w:rFonts w:hint="eastAsia" w:ascii="宋体" w:hAnsi="宋体" w:cs="宋体"/>
          <w:sz w:val="24"/>
        </w:rPr>
        <w:t>3.适用机型：适用于边合成边测序和DNB纳米球等高通量测序平台；</w:t>
      </w:r>
    </w:p>
    <w:p w14:paraId="43F7BABD">
      <w:pPr>
        <w:spacing w:line="360" w:lineRule="auto"/>
        <w:ind w:firstLine="480" w:firstLineChars="200"/>
        <w:rPr>
          <w:rFonts w:ascii="宋体" w:hAnsi="宋体" w:cs="宋体"/>
          <w:sz w:val="24"/>
        </w:rPr>
      </w:pPr>
      <w:r>
        <w:rPr>
          <w:rFonts w:hint="eastAsia" w:ascii="宋体" w:hAnsi="宋体" w:cs="宋体"/>
          <w:sz w:val="24"/>
        </w:rPr>
        <w:t>4.产品组分：包含建库模块、接头和引物模块、纯化模块；</w:t>
      </w:r>
    </w:p>
    <w:p w14:paraId="798AF01E">
      <w:pPr>
        <w:spacing w:line="360" w:lineRule="auto"/>
        <w:ind w:firstLine="480" w:firstLineChars="200"/>
        <w:rPr>
          <w:rFonts w:ascii="宋体" w:hAnsi="宋体" w:cs="宋体"/>
          <w:sz w:val="24"/>
        </w:rPr>
      </w:pPr>
      <w:r>
        <w:rPr>
          <w:rFonts w:hint="eastAsia" w:ascii="PingFang SC" w:hAnsi="PingFang SC" w:eastAsia="PingFang SC" w:cs="PingFang SC"/>
          <w:sz w:val="24"/>
        </w:rPr>
        <w:t>▲</w:t>
      </w:r>
      <w:r>
        <w:rPr>
          <w:rFonts w:hint="eastAsia" w:ascii="宋体" w:hAnsi="宋体" w:cs="宋体"/>
          <w:sz w:val="24"/>
        </w:rPr>
        <w:t>5.样本起始量：DNA建库起始量≤0.1ng；</w:t>
      </w:r>
    </w:p>
    <w:p w14:paraId="350C0884">
      <w:pPr>
        <w:spacing w:line="360" w:lineRule="auto"/>
        <w:ind w:firstLine="480" w:firstLineChars="200"/>
        <w:rPr>
          <w:rFonts w:ascii="宋体" w:hAnsi="宋体" w:cs="宋体"/>
          <w:sz w:val="24"/>
        </w:rPr>
      </w:pPr>
      <w:r>
        <w:rPr>
          <w:rFonts w:hint="eastAsia" w:ascii="PingFang SC" w:hAnsi="PingFang SC" w:eastAsia="PingFang SC" w:cs="PingFang SC"/>
          <w:sz w:val="24"/>
        </w:rPr>
        <w:t>▲</w:t>
      </w:r>
      <w:r>
        <w:rPr>
          <w:rFonts w:hint="eastAsia" w:ascii="宋体" w:hAnsi="宋体" w:cs="宋体"/>
          <w:sz w:val="24"/>
        </w:rPr>
        <w:t>6.文库构建实验流程≤2.5小时构建完成；</w:t>
      </w:r>
    </w:p>
    <w:p w14:paraId="19BCAC5C">
      <w:pPr>
        <w:spacing w:line="360" w:lineRule="auto"/>
        <w:ind w:firstLine="480" w:firstLineChars="200"/>
        <w:rPr>
          <w:rFonts w:ascii="宋体" w:hAnsi="宋体" w:cs="宋体"/>
          <w:sz w:val="24"/>
        </w:rPr>
      </w:pPr>
      <w:r>
        <w:rPr>
          <w:rFonts w:hint="eastAsia" w:ascii="PingFang SC" w:hAnsi="PingFang SC" w:eastAsia="PingFang SC" w:cs="PingFang SC"/>
          <w:sz w:val="24"/>
        </w:rPr>
        <w:t>▲</w:t>
      </w:r>
      <w:r>
        <w:rPr>
          <w:rFonts w:hint="eastAsia" w:ascii="宋体" w:hAnsi="宋体" w:cs="宋体"/>
          <w:sz w:val="24"/>
        </w:rPr>
        <w:t>7.反应试剂为预混试剂，各步反应无需试剂配置；</w:t>
      </w:r>
    </w:p>
    <w:p w14:paraId="590884E1">
      <w:pPr>
        <w:spacing w:line="360" w:lineRule="auto"/>
        <w:ind w:firstLine="480" w:firstLineChars="200"/>
        <w:rPr>
          <w:rFonts w:ascii="宋体" w:hAnsi="宋体" w:cs="宋体"/>
          <w:sz w:val="24"/>
        </w:rPr>
      </w:pPr>
      <w:r>
        <w:rPr>
          <w:rFonts w:hint="eastAsia" w:ascii="PingFang SC" w:hAnsi="PingFang SC" w:eastAsia="PingFang SC" w:cs="PingFang SC"/>
          <w:sz w:val="24"/>
        </w:rPr>
        <w:t>▲</w:t>
      </w:r>
      <w:r>
        <w:rPr>
          <w:rFonts w:hint="eastAsia" w:ascii="宋体" w:hAnsi="宋体" w:cs="宋体"/>
          <w:sz w:val="24"/>
        </w:rPr>
        <w:t>8.试剂盒中试剂≤3管；</w:t>
      </w:r>
    </w:p>
    <w:p w14:paraId="3736AC09">
      <w:pPr>
        <w:spacing w:line="360" w:lineRule="auto"/>
        <w:ind w:firstLine="482" w:firstLineChars="200"/>
        <w:rPr>
          <w:rFonts w:ascii="宋体" w:hAnsi="宋体" w:cs="宋体"/>
          <w:b/>
          <w:bCs/>
          <w:sz w:val="24"/>
        </w:rPr>
      </w:pPr>
      <w:r>
        <w:rPr>
          <w:rFonts w:hint="eastAsia" w:ascii="宋体" w:hAnsi="宋体" w:cs="宋体"/>
          <w:b/>
          <w:bCs/>
          <w:sz w:val="24"/>
        </w:rPr>
        <w:t>标的名称10：宏基因组RNA文库构建试剂盒</w:t>
      </w:r>
    </w:p>
    <w:p w14:paraId="405213E3">
      <w:pPr>
        <w:spacing w:line="360" w:lineRule="auto"/>
        <w:ind w:firstLine="480" w:firstLineChars="200"/>
        <w:rPr>
          <w:rFonts w:ascii="宋体" w:hAnsi="宋体" w:cs="宋体"/>
          <w:sz w:val="24"/>
        </w:rPr>
      </w:pPr>
      <w:r>
        <w:rPr>
          <w:rFonts w:hint="eastAsia" w:ascii="宋体" w:hAnsi="宋体" w:cs="宋体"/>
          <w:sz w:val="24"/>
        </w:rPr>
        <w:t>1.建库原理：采用片段化酶进行RNA片段化，进行逆转录，逆转录步骤末端修复加A尾，在文库插入片段上连接带有3’dTMP端的dsDNA接头，使用热启动高保真酶预混液进行高保真低偏差PCR，扩增两端携带适当接头序列的文库片段，实现链特异性病原微生物宏基因组测序文库构建；</w:t>
      </w:r>
    </w:p>
    <w:p w14:paraId="272B894E">
      <w:pPr>
        <w:spacing w:line="360" w:lineRule="auto"/>
        <w:ind w:firstLine="480" w:firstLineChars="200"/>
        <w:rPr>
          <w:rFonts w:ascii="宋体" w:hAnsi="宋体" w:cs="宋体"/>
          <w:sz w:val="24"/>
        </w:rPr>
      </w:pPr>
      <w:r>
        <w:rPr>
          <w:rFonts w:hint="eastAsia" w:ascii="宋体" w:hAnsi="宋体" w:cs="宋体"/>
          <w:sz w:val="24"/>
        </w:rPr>
        <w:t>2.产品含有96个唯一双标签组合引物，可实现96个不同实验样本同泳道测序；</w:t>
      </w:r>
    </w:p>
    <w:p w14:paraId="681653B1">
      <w:pPr>
        <w:spacing w:line="360" w:lineRule="auto"/>
        <w:ind w:firstLine="480" w:firstLineChars="200"/>
        <w:rPr>
          <w:rFonts w:ascii="宋体" w:hAnsi="宋体" w:cs="宋体"/>
          <w:sz w:val="24"/>
        </w:rPr>
      </w:pPr>
      <w:r>
        <w:rPr>
          <w:rFonts w:hint="eastAsia" w:ascii="宋体" w:hAnsi="宋体" w:cs="宋体"/>
          <w:sz w:val="24"/>
        </w:rPr>
        <w:t>3.适用机型：适用于边合成边测序和DNB纳米球等高通量测序平台；</w:t>
      </w:r>
    </w:p>
    <w:p w14:paraId="00BF6F4A">
      <w:pPr>
        <w:spacing w:line="360" w:lineRule="auto"/>
        <w:ind w:firstLine="480" w:firstLineChars="200"/>
        <w:rPr>
          <w:rFonts w:ascii="宋体" w:hAnsi="宋体" w:cs="宋体"/>
          <w:sz w:val="24"/>
        </w:rPr>
      </w:pPr>
      <w:r>
        <w:rPr>
          <w:rFonts w:hint="eastAsia" w:ascii="宋体" w:hAnsi="宋体" w:cs="宋体"/>
          <w:sz w:val="24"/>
        </w:rPr>
        <w:t>4.产品组分：包含建库模块、接头和引物模块、纯化模块；</w:t>
      </w:r>
    </w:p>
    <w:p w14:paraId="613440EC">
      <w:pPr>
        <w:spacing w:line="360" w:lineRule="auto"/>
        <w:ind w:firstLine="480" w:firstLineChars="200"/>
        <w:rPr>
          <w:rFonts w:ascii="宋体" w:hAnsi="宋体" w:cs="宋体"/>
          <w:sz w:val="24"/>
        </w:rPr>
      </w:pPr>
      <w:r>
        <w:rPr>
          <w:rFonts w:hint="eastAsia" w:ascii="PingFang SC" w:hAnsi="PingFang SC" w:eastAsia="PingFang SC" w:cs="PingFang SC"/>
          <w:sz w:val="24"/>
        </w:rPr>
        <w:t>▲</w:t>
      </w:r>
      <w:r>
        <w:rPr>
          <w:rFonts w:hint="eastAsia" w:ascii="宋体" w:hAnsi="宋体" w:cs="宋体"/>
          <w:sz w:val="24"/>
        </w:rPr>
        <w:t>5.样本起始量：RNA建库起始量≤0.25ng；</w:t>
      </w:r>
    </w:p>
    <w:p w14:paraId="56D73586">
      <w:pPr>
        <w:spacing w:line="360" w:lineRule="auto"/>
        <w:ind w:firstLine="480" w:firstLineChars="200"/>
        <w:rPr>
          <w:rFonts w:ascii="宋体" w:hAnsi="宋体" w:cs="宋体"/>
          <w:sz w:val="24"/>
        </w:rPr>
      </w:pPr>
      <w:r>
        <w:rPr>
          <w:rFonts w:hint="eastAsia" w:ascii="PingFang SC" w:hAnsi="PingFang SC" w:eastAsia="PingFang SC" w:cs="PingFang SC"/>
          <w:sz w:val="24"/>
        </w:rPr>
        <w:t>▲</w:t>
      </w:r>
      <w:r>
        <w:rPr>
          <w:rFonts w:hint="eastAsia" w:ascii="宋体" w:hAnsi="宋体" w:cs="宋体"/>
          <w:sz w:val="24"/>
        </w:rPr>
        <w:t>6.文库构建实验流程≤3小时构建完成；</w:t>
      </w:r>
    </w:p>
    <w:p w14:paraId="396A8280">
      <w:pPr>
        <w:spacing w:line="360" w:lineRule="auto"/>
        <w:ind w:firstLine="480" w:firstLineChars="200"/>
        <w:rPr>
          <w:rFonts w:ascii="宋体" w:hAnsi="宋体" w:cs="宋体"/>
          <w:sz w:val="24"/>
        </w:rPr>
      </w:pPr>
      <w:r>
        <w:rPr>
          <w:rFonts w:hint="eastAsia" w:ascii="PingFang SC" w:hAnsi="PingFang SC" w:eastAsia="PingFang SC" w:cs="PingFang SC"/>
          <w:sz w:val="24"/>
        </w:rPr>
        <w:t>▲</w:t>
      </w:r>
      <w:r>
        <w:rPr>
          <w:rFonts w:hint="eastAsia" w:ascii="宋体" w:hAnsi="宋体" w:cs="宋体"/>
          <w:sz w:val="24"/>
        </w:rPr>
        <w:t>7.核心反应试剂为预混试剂，建库步骤反应无需试剂配置；</w:t>
      </w:r>
    </w:p>
    <w:p w14:paraId="6FC45C20">
      <w:pPr>
        <w:spacing w:line="360" w:lineRule="auto"/>
        <w:ind w:firstLine="480" w:firstLineChars="200"/>
        <w:rPr>
          <w:rFonts w:ascii="宋体" w:hAnsi="宋体" w:cs="宋体"/>
          <w:sz w:val="24"/>
        </w:rPr>
      </w:pPr>
      <w:r>
        <w:rPr>
          <w:rFonts w:hint="eastAsia" w:ascii="PingFang SC" w:hAnsi="PingFang SC" w:eastAsia="PingFang SC" w:cs="PingFang SC"/>
          <w:sz w:val="24"/>
        </w:rPr>
        <w:t>▲</w:t>
      </w:r>
      <w:r>
        <w:rPr>
          <w:rFonts w:hint="eastAsia" w:ascii="宋体" w:hAnsi="宋体" w:cs="宋体"/>
          <w:sz w:val="24"/>
        </w:rPr>
        <w:t>8.试剂盒中试剂≤7管；</w:t>
      </w:r>
    </w:p>
    <w:p w14:paraId="5DB72CE1">
      <w:pPr>
        <w:spacing w:line="360" w:lineRule="auto"/>
        <w:ind w:firstLine="482" w:firstLineChars="200"/>
        <w:rPr>
          <w:rFonts w:ascii="宋体" w:hAnsi="宋体" w:cs="宋体"/>
          <w:b/>
          <w:bCs/>
          <w:sz w:val="24"/>
        </w:rPr>
      </w:pPr>
      <w:r>
        <w:rPr>
          <w:rFonts w:hint="eastAsia" w:ascii="宋体" w:hAnsi="宋体" w:cs="宋体"/>
          <w:b/>
          <w:bCs/>
          <w:sz w:val="24"/>
        </w:rPr>
        <w:t>标的名称11：人腺病毒全基因组探针捕获试剂盒</w:t>
      </w:r>
    </w:p>
    <w:p w14:paraId="75577530">
      <w:pPr>
        <w:spacing w:line="360" w:lineRule="auto"/>
        <w:ind w:firstLine="480" w:firstLineChars="200"/>
        <w:rPr>
          <w:rFonts w:ascii="宋体" w:hAnsi="宋体" w:cs="宋体"/>
          <w:sz w:val="24"/>
        </w:rPr>
      </w:pPr>
      <w:r>
        <w:rPr>
          <w:rFonts w:hint="eastAsia" w:ascii="宋体" w:hAnsi="宋体" w:cs="宋体"/>
          <w:sz w:val="24"/>
        </w:rPr>
        <w:t>1.适配建库原理：核酸经过逆转录后，采用片段化酶进行DNA片段化，末端修复DNA加A尾，在文库插入片段上连接带有3’dTMP端的dsDNA接头，使用热启动高保真酶预混液进行高保真低偏差PCR，扩增两端携带适当接头序列的文库片段，实现链特异性测序文库构建；</w:t>
      </w:r>
    </w:p>
    <w:p w14:paraId="086DB303">
      <w:pPr>
        <w:spacing w:line="360" w:lineRule="auto"/>
        <w:ind w:firstLine="480" w:firstLineChars="200"/>
        <w:rPr>
          <w:rFonts w:ascii="宋体" w:hAnsi="宋体" w:cs="宋体"/>
          <w:sz w:val="24"/>
        </w:rPr>
      </w:pPr>
      <w:r>
        <w:rPr>
          <w:rFonts w:hint="eastAsia" w:ascii="宋体" w:hAnsi="宋体" w:cs="宋体"/>
          <w:sz w:val="24"/>
        </w:rPr>
        <w:t>2.亲和富集检测原理为液态亲和序列富集，基于生物分子间特异性相互作用的检测方法，利用了亲和素与生物素之间极强的非共价结合能力，通过“生物素标记靶分子与病原专属亲和序列介导信号放大”的模式实现对病原微生物基因组序列的高灵敏度检测；</w:t>
      </w:r>
    </w:p>
    <w:p w14:paraId="3231E3FD">
      <w:pPr>
        <w:spacing w:line="360" w:lineRule="auto"/>
        <w:ind w:firstLine="480" w:firstLineChars="200"/>
        <w:rPr>
          <w:rFonts w:ascii="宋体" w:hAnsi="宋体" w:cs="宋体"/>
          <w:sz w:val="24"/>
        </w:rPr>
      </w:pPr>
      <w:r>
        <w:rPr>
          <w:rFonts w:hint="eastAsia" w:ascii="宋体" w:hAnsi="宋体" w:cs="宋体"/>
          <w:sz w:val="24"/>
        </w:rPr>
        <w:t>3.针对目标病原体全基因组设计专属亲和富集序列，覆盖数据库中目标病原体的所有参考序列；</w:t>
      </w:r>
    </w:p>
    <w:p w14:paraId="4EF9607E">
      <w:pPr>
        <w:spacing w:line="360" w:lineRule="auto"/>
        <w:ind w:firstLine="480" w:firstLineChars="200"/>
        <w:rPr>
          <w:rFonts w:ascii="宋体" w:hAnsi="宋体" w:cs="宋体"/>
          <w:sz w:val="24"/>
        </w:rPr>
      </w:pPr>
      <w:r>
        <w:rPr>
          <w:rFonts w:hint="eastAsia" w:ascii="宋体" w:hAnsi="宋体" w:cs="宋体"/>
          <w:sz w:val="24"/>
        </w:rPr>
        <w:t>4.亲和富集序列类型为DNA，增加富集反应的序列有效性和稳定性；</w:t>
      </w:r>
    </w:p>
    <w:p w14:paraId="0B58951B">
      <w:pPr>
        <w:spacing w:line="360" w:lineRule="auto"/>
        <w:ind w:firstLine="480" w:firstLineChars="200"/>
        <w:rPr>
          <w:rFonts w:ascii="宋体" w:hAnsi="宋体" w:cs="宋体"/>
          <w:sz w:val="24"/>
        </w:rPr>
      </w:pPr>
      <w:r>
        <w:rPr>
          <w:rFonts w:hint="eastAsia" w:ascii="宋体" w:hAnsi="宋体" w:cs="宋体"/>
          <w:sz w:val="24"/>
        </w:rPr>
        <w:t>5.亲和富集序列长度为≥100bp，可精确识别富集病原微生物序列，降低非特异性结合；</w:t>
      </w:r>
    </w:p>
    <w:p w14:paraId="4AF54DDE">
      <w:pPr>
        <w:spacing w:line="360" w:lineRule="auto"/>
        <w:ind w:firstLine="482" w:firstLineChars="200"/>
        <w:rPr>
          <w:rFonts w:ascii="宋体" w:hAnsi="宋体" w:cs="宋体"/>
          <w:b/>
          <w:bCs/>
          <w:sz w:val="24"/>
        </w:rPr>
      </w:pPr>
      <w:r>
        <w:rPr>
          <w:rFonts w:hint="eastAsia" w:ascii="宋体" w:hAnsi="宋体" w:cs="宋体"/>
          <w:b/>
          <w:bCs/>
          <w:sz w:val="24"/>
        </w:rPr>
        <w:t>标的名称12：呼吸道合胞病毒全基因组探针捕获试剂盒</w:t>
      </w:r>
    </w:p>
    <w:p w14:paraId="1CF99E6F">
      <w:pPr>
        <w:spacing w:line="360" w:lineRule="auto"/>
        <w:ind w:firstLine="480" w:firstLineChars="200"/>
        <w:rPr>
          <w:rFonts w:ascii="宋体" w:hAnsi="宋体" w:cs="宋体"/>
          <w:sz w:val="24"/>
        </w:rPr>
      </w:pPr>
      <w:r>
        <w:rPr>
          <w:rFonts w:hint="eastAsia" w:ascii="宋体" w:hAnsi="宋体" w:cs="宋体"/>
          <w:sz w:val="24"/>
        </w:rPr>
        <w:t>1.适配建库原理：核酸经过逆转录后，采用片段化酶进行DNA片段化，末端修复DNA加A尾，在文库插入片段上连接带有3’dTMP端的dsDNA接头，使用热启动高保真酶预混液进行高保真低偏差PCR，扩增两端携带适当接头序列的文库片段，实现链特异性测序文库构建；</w:t>
      </w:r>
    </w:p>
    <w:p w14:paraId="5E9FA69E">
      <w:pPr>
        <w:spacing w:line="360" w:lineRule="auto"/>
        <w:ind w:firstLine="480" w:firstLineChars="200"/>
        <w:rPr>
          <w:rFonts w:ascii="宋体" w:hAnsi="宋体" w:cs="宋体"/>
          <w:sz w:val="24"/>
        </w:rPr>
      </w:pPr>
      <w:r>
        <w:rPr>
          <w:rFonts w:hint="eastAsia" w:ascii="宋体" w:hAnsi="宋体" w:cs="宋体"/>
          <w:sz w:val="24"/>
        </w:rPr>
        <w:t>2.亲和富集检测原理为液态亲和序列富集，基于生物分子间特异性相互作用的检测方法，利用了亲和素与生物素之间极强的非共价结合能力，通过“生物素标记靶分子与病原专属亲和序列介导信号放大”的模式实现对病原微生物基因组序列的高灵敏度检测；</w:t>
      </w:r>
    </w:p>
    <w:p w14:paraId="1811FF9B">
      <w:pPr>
        <w:spacing w:line="360" w:lineRule="auto"/>
        <w:ind w:firstLine="480" w:firstLineChars="200"/>
        <w:rPr>
          <w:rFonts w:ascii="宋体" w:hAnsi="宋体" w:cs="宋体"/>
          <w:sz w:val="24"/>
        </w:rPr>
      </w:pPr>
      <w:r>
        <w:rPr>
          <w:rFonts w:hint="eastAsia" w:ascii="宋体" w:hAnsi="宋体" w:cs="宋体"/>
          <w:sz w:val="24"/>
        </w:rPr>
        <w:t>3.针对目标病原体全基因组设计专属亲和富集序列，覆盖数据库中目标病原体的所有参考序列；</w:t>
      </w:r>
    </w:p>
    <w:p w14:paraId="7C7BC5C9">
      <w:pPr>
        <w:spacing w:line="360" w:lineRule="auto"/>
        <w:ind w:firstLine="480" w:firstLineChars="200"/>
        <w:rPr>
          <w:rFonts w:ascii="宋体" w:hAnsi="宋体" w:cs="宋体"/>
          <w:sz w:val="24"/>
        </w:rPr>
      </w:pPr>
      <w:r>
        <w:rPr>
          <w:rFonts w:hint="eastAsia" w:ascii="宋体" w:hAnsi="宋体" w:cs="宋体"/>
          <w:sz w:val="24"/>
        </w:rPr>
        <w:t>4.亲和富集序列类型为DNA，增加富集反应的序列有效性和稳定性；</w:t>
      </w:r>
    </w:p>
    <w:p w14:paraId="7AF8EF59">
      <w:pPr>
        <w:spacing w:line="360" w:lineRule="auto"/>
        <w:ind w:firstLine="480" w:firstLineChars="200"/>
        <w:rPr>
          <w:rFonts w:ascii="宋体" w:hAnsi="宋体" w:cs="宋体"/>
          <w:sz w:val="24"/>
        </w:rPr>
      </w:pPr>
      <w:r>
        <w:rPr>
          <w:rFonts w:hint="eastAsia" w:ascii="宋体" w:hAnsi="宋体" w:cs="宋体"/>
          <w:sz w:val="24"/>
        </w:rPr>
        <w:t>5.亲和富集序列长度为≥100bp，可精确识别富集病原微生物序列，降低非特异性结合；</w:t>
      </w:r>
    </w:p>
    <w:p w14:paraId="26BF79E6">
      <w:pPr>
        <w:spacing w:line="360" w:lineRule="auto"/>
        <w:ind w:firstLine="482" w:firstLineChars="200"/>
        <w:rPr>
          <w:rFonts w:ascii="宋体" w:hAnsi="宋体" w:cs="宋体"/>
          <w:b/>
          <w:bCs/>
          <w:sz w:val="24"/>
        </w:rPr>
      </w:pPr>
      <w:r>
        <w:rPr>
          <w:rFonts w:hint="eastAsia" w:ascii="宋体" w:hAnsi="宋体" w:cs="宋体"/>
          <w:b/>
          <w:bCs/>
          <w:sz w:val="24"/>
        </w:rPr>
        <w:t>标的名称13：鼻病毒全基因组探针捕获试剂盒</w:t>
      </w:r>
    </w:p>
    <w:p w14:paraId="77CB09D9">
      <w:pPr>
        <w:spacing w:line="360" w:lineRule="auto"/>
        <w:ind w:firstLine="480" w:firstLineChars="200"/>
        <w:rPr>
          <w:rFonts w:ascii="宋体" w:hAnsi="宋体" w:cs="宋体"/>
          <w:sz w:val="24"/>
        </w:rPr>
      </w:pPr>
      <w:r>
        <w:rPr>
          <w:rFonts w:hint="eastAsia" w:ascii="宋体" w:hAnsi="宋体" w:cs="宋体"/>
          <w:sz w:val="24"/>
        </w:rPr>
        <w:t>1.适配建库原理：核酸经过逆转录后，采用片段化酶进行DNA片段化，末端修复DNA加A尾，在文库插入片段上连接带有3’dTMP端的dsDNA接头，使用热启动高保真酶预混液进行高保真低偏差PCR，扩增两端携带适当接头序列的文库片段，实现链特异性测序文库构建；</w:t>
      </w:r>
    </w:p>
    <w:p w14:paraId="4B6DD8ED">
      <w:pPr>
        <w:spacing w:line="360" w:lineRule="auto"/>
        <w:ind w:firstLine="480" w:firstLineChars="200"/>
        <w:rPr>
          <w:rFonts w:ascii="宋体" w:hAnsi="宋体" w:cs="宋体"/>
          <w:sz w:val="24"/>
        </w:rPr>
      </w:pPr>
      <w:r>
        <w:rPr>
          <w:rFonts w:hint="eastAsia" w:ascii="宋体" w:hAnsi="宋体" w:cs="宋体"/>
          <w:sz w:val="24"/>
        </w:rPr>
        <w:t>2.亲和富集检测原理为液态亲和序列富集，基于生物分子间特异性相互作用的检测方法，利用了亲和素与生物素之间极强的非共价结合能力，通过“生物素标记靶分子与病原专属亲和序列介导信号放大”的模式实现对病原微生物基因组序列的高灵敏度检测；</w:t>
      </w:r>
    </w:p>
    <w:p w14:paraId="15F64F2C">
      <w:pPr>
        <w:spacing w:line="360" w:lineRule="auto"/>
        <w:ind w:firstLine="480" w:firstLineChars="200"/>
        <w:rPr>
          <w:rFonts w:ascii="宋体" w:hAnsi="宋体" w:cs="宋体"/>
          <w:sz w:val="24"/>
        </w:rPr>
      </w:pPr>
      <w:r>
        <w:rPr>
          <w:rFonts w:hint="eastAsia" w:ascii="宋体" w:hAnsi="宋体" w:cs="宋体"/>
          <w:sz w:val="24"/>
        </w:rPr>
        <w:t>3.针对目标病原体全基因组设计专属亲和富集序列，覆盖数据库中目标病原体的所有参考序列；</w:t>
      </w:r>
    </w:p>
    <w:p w14:paraId="3373BC7D">
      <w:pPr>
        <w:spacing w:line="360" w:lineRule="auto"/>
        <w:ind w:firstLine="480" w:firstLineChars="200"/>
        <w:rPr>
          <w:rFonts w:ascii="宋体" w:hAnsi="宋体" w:cs="宋体"/>
          <w:sz w:val="24"/>
        </w:rPr>
      </w:pPr>
      <w:r>
        <w:rPr>
          <w:rFonts w:hint="eastAsia" w:ascii="宋体" w:hAnsi="宋体" w:cs="宋体"/>
          <w:sz w:val="24"/>
        </w:rPr>
        <w:t>4.亲和富集序列类型为DNA，增加富集反应的序列有效性和稳定性；</w:t>
      </w:r>
    </w:p>
    <w:p w14:paraId="3A12CC21">
      <w:pPr>
        <w:spacing w:line="360" w:lineRule="auto"/>
        <w:ind w:firstLine="480" w:firstLineChars="200"/>
        <w:rPr>
          <w:rFonts w:ascii="宋体" w:hAnsi="宋体" w:cs="宋体"/>
          <w:sz w:val="24"/>
        </w:rPr>
      </w:pPr>
      <w:r>
        <w:rPr>
          <w:rFonts w:hint="eastAsia" w:ascii="宋体" w:hAnsi="宋体" w:cs="宋体"/>
          <w:sz w:val="24"/>
        </w:rPr>
        <w:t>5.亲和富集序列长度为≥100bp，可精确识别富集病原微生物序列，降低非特异性结合；</w:t>
      </w:r>
    </w:p>
    <w:p w14:paraId="53EAD23E">
      <w:pPr>
        <w:spacing w:line="360" w:lineRule="auto"/>
        <w:ind w:firstLine="482" w:firstLineChars="200"/>
        <w:rPr>
          <w:rFonts w:ascii="宋体" w:hAnsi="宋体" w:cs="宋体"/>
          <w:b/>
          <w:bCs/>
          <w:sz w:val="24"/>
        </w:rPr>
      </w:pPr>
      <w:r>
        <w:rPr>
          <w:rFonts w:hint="eastAsia" w:ascii="宋体" w:hAnsi="宋体" w:cs="宋体"/>
          <w:b/>
          <w:bCs/>
          <w:sz w:val="24"/>
        </w:rPr>
        <w:t>标的名称14：双抗，青链霉素混合液</w:t>
      </w:r>
    </w:p>
    <w:p w14:paraId="42E186E0">
      <w:pPr>
        <w:spacing w:line="360" w:lineRule="auto"/>
        <w:ind w:firstLine="480" w:firstLineChars="200"/>
        <w:rPr>
          <w:rFonts w:ascii="宋体" w:hAnsi="宋体" w:cs="宋体"/>
          <w:sz w:val="24"/>
        </w:rPr>
      </w:pPr>
      <w:r>
        <w:rPr>
          <w:rFonts w:hint="eastAsia" w:ascii="宋体" w:hAnsi="宋体" w:cs="宋体"/>
          <w:sz w:val="24"/>
        </w:rPr>
        <w:t>1.培养液中推荐的青霉素G钠盐的工作浓度为100U/ml，硫酸链霉素的工作浓度为0.1mg/ml。即按照100倍稀释使用。</w:t>
      </w:r>
    </w:p>
    <w:p w14:paraId="7A539AE4">
      <w:pPr>
        <w:spacing w:line="360" w:lineRule="auto"/>
        <w:ind w:firstLine="480" w:firstLineChars="200"/>
        <w:rPr>
          <w:rFonts w:ascii="宋体" w:hAnsi="宋体" w:cs="宋体"/>
          <w:sz w:val="24"/>
        </w:rPr>
      </w:pPr>
      <w:r>
        <w:rPr>
          <w:rFonts w:hint="eastAsia" w:ascii="宋体" w:hAnsi="宋体" w:cs="宋体"/>
          <w:sz w:val="24"/>
        </w:rPr>
        <w:t>2.规格：100ml</w:t>
      </w:r>
    </w:p>
    <w:p w14:paraId="47845A39">
      <w:pPr>
        <w:spacing w:line="360" w:lineRule="auto"/>
        <w:ind w:firstLine="480" w:firstLineChars="200"/>
        <w:rPr>
          <w:rFonts w:ascii="宋体" w:hAnsi="宋体" w:cs="宋体"/>
          <w:sz w:val="24"/>
        </w:rPr>
      </w:pPr>
      <w:r>
        <w:rPr>
          <w:rFonts w:hint="eastAsia" w:ascii="宋体" w:hAnsi="宋体" w:cs="宋体"/>
          <w:sz w:val="24"/>
        </w:rPr>
        <w:t>3.储存：保存在-20℃，1年。</w:t>
      </w:r>
    </w:p>
    <w:p w14:paraId="14776989">
      <w:pPr>
        <w:spacing w:line="360" w:lineRule="auto"/>
        <w:ind w:firstLine="480" w:firstLineChars="200"/>
        <w:rPr>
          <w:rFonts w:ascii="宋体" w:hAnsi="宋体" w:cs="宋体"/>
          <w:sz w:val="24"/>
        </w:rPr>
      </w:pPr>
      <w:r>
        <w:rPr>
          <w:rFonts w:hint="eastAsia" w:ascii="宋体" w:hAnsi="宋体" w:cs="宋体"/>
          <w:sz w:val="24"/>
        </w:rPr>
        <w:t>4.运输条件：冷冻运输</w:t>
      </w:r>
    </w:p>
    <w:p w14:paraId="073A1A08">
      <w:pPr>
        <w:spacing w:line="360" w:lineRule="auto"/>
        <w:ind w:firstLine="482" w:firstLineChars="200"/>
        <w:rPr>
          <w:rFonts w:ascii="宋体" w:hAnsi="宋体" w:cs="宋体"/>
          <w:b/>
          <w:bCs/>
          <w:sz w:val="24"/>
        </w:rPr>
      </w:pPr>
      <w:r>
        <w:rPr>
          <w:rFonts w:hint="eastAsia" w:ascii="宋体" w:hAnsi="宋体" w:cs="宋体"/>
          <w:b/>
          <w:bCs/>
          <w:sz w:val="24"/>
        </w:rPr>
        <w:t>标的名称15：微生物检测白底黑格膜</w:t>
      </w:r>
    </w:p>
    <w:p w14:paraId="5002E7EB">
      <w:pPr>
        <w:spacing w:line="360" w:lineRule="auto"/>
        <w:ind w:firstLine="480" w:firstLineChars="200"/>
        <w:rPr>
          <w:rFonts w:ascii="宋体" w:hAnsi="宋体" w:cs="宋体"/>
          <w:sz w:val="24"/>
        </w:rPr>
      </w:pPr>
      <w:r>
        <w:rPr>
          <w:rFonts w:hint="eastAsia" w:ascii="宋体" w:hAnsi="宋体" w:cs="宋体"/>
          <w:sz w:val="24"/>
        </w:rPr>
        <w:t>1.微孔滤膜用于国标或药典滤膜法原理检测水质微生物，混合纤维素(CN-CA)滤膜，滤膜成孔性能良好，亲水性好，使用温度范围较广，可耐稀酸(可不适用酮类、酯类、强酸和碱类等液体的过滤)。在微生物滤膜法检测中，滤膜和培养基间营养渗透性好，菌落生长状态较好，菌落生长不会明显的扩散。</w:t>
      </w:r>
    </w:p>
    <w:p w14:paraId="1B8E3B6E">
      <w:pPr>
        <w:spacing w:line="360" w:lineRule="auto"/>
        <w:ind w:firstLine="480" w:firstLineChars="200"/>
        <w:rPr>
          <w:rFonts w:ascii="宋体" w:hAnsi="宋体" w:cs="宋体"/>
          <w:sz w:val="24"/>
        </w:rPr>
      </w:pPr>
      <w:r>
        <w:rPr>
          <w:rFonts w:hint="eastAsia" w:ascii="宋体" w:hAnsi="宋体" w:cs="宋体"/>
          <w:sz w:val="24"/>
        </w:rPr>
        <w:t>2.孔径：0.45μm</w:t>
      </w:r>
    </w:p>
    <w:p w14:paraId="32BD7DA6">
      <w:pPr>
        <w:spacing w:line="360" w:lineRule="auto"/>
        <w:ind w:firstLine="480" w:firstLineChars="200"/>
        <w:rPr>
          <w:rFonts w:ascii="宋体" w:hAnsi="宋体" w:cs="宋体"/>
          <w:sz w:val="24"/>
        </w:rPr>
      </w:pPr>
      <w:r>
        <w:rPr>
          <w:rFonts w:hint="eastAsia" w:ascii="宋体" w:hAnsi="宋体" w:cs="宋体"/>
          <w:sz w:val="24"/>
        </w:rPr>
        <w:t>3.直径：47mm</w:t>
      </w:r>
    </w:p>
    <w:p w14:paraId="57252226">
      <w:pPr>
        <w:spacing w:line="360" w:lineRule="auto"/>
        <w:ind w:firstLine="480" w:firstLineChars="200"/>
        <w:rPr>
          <w:rFonts w:ascii="宋体" w:hAnsi="宋体" w:cs="宋体"/>
          <w:sz w:val="24"/>
        </w:rPr>
      </w:pPr>
      <w:r>
        <w:rPr>
          <w:rFonts w:hint="eastAsia" w:ascii="宋体" w:hAnsi="宋体" w:cs="宋体"/>
          <w:sz w:val="24"/>
        </w:rPr>
        <w:t>4.灭菌方式：辐照灭菌</w:t>
      </w:r>
    </w:p>
    <w:p w14:paraId="6B894118">
      <w:pPr>
        <w:spacing w:line="360" w:lineRule="auto"/>
        <w:ind w:firstLine="480" w:firstLineChars="200"/>
        <w:rPr>
          <w:rFonts w:ascii="宋体" w:hAnsi="宋体" w:cs="宋体"/>
          <w:sz w:val="24"/>
        </w:rPr>
      </w:pPr>
      <w:r>
        <w:rPr>
          <w:rFonts w:hint="eastAsia" w:ascii="宋体" w:hAnsi="宋体" w:cs="宋体"/>
          <w:sz w:val="24"/>
        </w:rPr>
        <w:t>5.产品要求：</w:t>
      </w:r>
    </w:p>
    <w:p w14:paraId="65B81899">
      <w:pPr>
        <w:spacing w:line="360" w:lineRule="auto"/>
        <w:ind w:firstLine="480" w:firstLineChars="200"/>
        <w:rPr>
          <w:rFonts w:ascii="宋体" w:hAnsi="宋体" w:cs="宋体"/>
          <w:sz w:val="24"/>
        </w:rPr>
      </w:pPr>
      <w:r>
        <w:rPr>
          <w:rFonts w:hint="eastAsia" w:ascii="宋体" w:hAnsi="宋体" w:cs="宋体"/>
          <w:sz w:val="24"/>
        </w:rPr>
        <w:t>5.1MCE混合纤维素：0.45μm均匀孔径，有效截留细菌，滤速快，孔隙率高。</w:t>
      </w:r>
    </w:p>
    <w:p w14:paraId="069D1372">
      <w:pPr>
        <w:spacing w:line="360" w:lineRule="auto"/>
        <w:ind w:firstLine="480" w:firstLineChars="200"/>
        <w:rPr>
          <w:rFonts w:ascii="宋体" w:hAnsi="宋体" w:cs="宋体"/>
          <w:sz w:val="24"/>
        </w:rPr>
      </w:pPr>
      <w:r>
        <w:rPr>
          <w:rFonts w:hint="eastAsia" w:ascii="宋体" w:hAnsi="宋体" w:cs="宋体"/>
          <w:sz w:val="24"/>
        </w:rPr>
        <w:t>5.2网格设计：复活率≥90%。</w:t>
      </w:r>
    </w:p>
    <w:p w14:paraId="561690E3">
      <w:pPr>
        <w:spacing w:line="360" w:lineRule="auto"/>
        <w:ind w:firstLine="480" w:firstLineChars="200"/>
        <w:rPr>
          <w:rFonts w:ascii="宋体" w:hAnsi="宋体" w:cs="宋体"/>
          <w:sz w:val="24"/>
        </w:rPr>
      </w:pPr>
      <w:r>
        <w:rPr>
          <w:rFonts w:hint="eastAsia" w:ascii="宋体" w:hAnsi="宋体" w:cs="宋体"/>
          <w:sz w:val="24"/>
        </w:rPr>
        <w:t>5.3单片独立包装：即拆即用，避免污染。</w:t>
      </w:r>
    </w:p>
    <w:p w14:paraId="4046BCCF">
      <w:pPr>
        <w:spacing w:line="360" w:lineRule="auto"/>
        <w:ind w:firstLine="480" w:firstLineChars="200"/>
        <w:rPr>
          <w:rFonts w:ascii="宋体" w:hAnsi="宋体" w:cs="宋体"/>
          <w:sz w:val="24"/>
        </w:rPr>
      </w:pPr>
      <w:r>
        <w:rPr>
          <w:rFonts w:hint="eastAsia" w:ascii="宋体" w:hAnsi="宋体" w:cs="宋体"/>
          <w:sz w:val="24"/>
        </w:rPr>
        <w:t>5.4严格灭菌：采用辐照灭菌，灭菌彻底。</w:t>
      </w:r>
    </w:p>
    <w:p w14:paraId="0B328939">
      <w:pPr>
        <w:spacing w:line="360" w:lineRule="auto"/>
        <w:ind w:firstLine="480" w:firstLineChars="200"/>
        <w:rPr>
          <w:rFonts w:ascii="宋体" w:hAnsi="宋体" w:cs="宋体"/>
          <w:sz w:val="24"/>
        </w:rPr>
      </w:pPr>
      <w:r>
        <w:rPr>
          <w:rFonts w:hint="eastAsia" w:ascii="宋体" w:hAnsi="宋体" w:cs="宋体"/>
          <w:sz w:val="24"/>
        </w:rPr>
        <w:t>6.应用要求：</w:t>
      </w:r>
    </w:p>
    <w:p w14:paraId="13A624C0">
      <w:pPr>
        <w:spacing w:line="360" w:lineRule="auto"/>
        <w:ind w:firstLine="480" w:firstLineChars="200"/>
        <w:rPr>
          <w:rFonts w:ascii="宋体" w:hAnsi="宋体" w:cs="宋体"/>
          <w:sz w:val="24"/>
        </w:rPr>
      </w:pPr>
      <w:r>
        <w:rPr>
          <w:rFonts w:hint="eastAsia" w:ascii="宋体" w:hAnsi="宋体" w:cs="宋体"/>
          <w:sz w:val="24"/>
        </w:rPr>
        <w:t>6.1水质检测：生活饮用水矿泉水的过滤检测。</w:t>
      </w:r>
    </w:p>
    <w:p w14:paraId="0DF8CD6E">
      <w:pPr>
        <w:spacing w:line="360" w:lineRule="auto"/>
        <w:ind w:firstLine="480" w:firstLineChars="200"/>
        <w:rPr>
          <w:rFonts w:ascii="宋体" w:hAnsi="宋体" w:cs="宋体"/>
          <w:sz w:val="24"/>
        </w:rPr>
      </w:pPr>
      <w:r>
        <w:rPr>
          <w:rFonts w:hint="eastAsia" w:ascii="宋体" w:hAnsi="宋体" w:cs="宋体"/>
          <w:sz w:val="24"/>
        </w:rPr>
        <w:t>6.2食品饮料：酒类、饮料的卫生安全检测。</w:t>
      </w:r>
    </w:p>
    <w:p w14:paraId="6FC4BE83">
      <w:pPr>
        <w:spacing w:line="360" w:lineRule="auto"/>
        <w:ind w:firstLine="480" w:firstLineChars="200"/>
        <w:rPr>
          <w:rFonts w:ascii="宋体" w:hAnsi="宋体" w:cs="宋体"/>
          <w:sz w:val="24"/>
        </w:rPr>
      </w:pPr>
      <w:r>
        <w:rPr>
          <w:rFonts w:hint="eastAsia" w:ascii="宋体" w:hAnsi="宋体" w:cs="宋体"/>
          <w:sz w:val="24"/>
        </w:rPr>
        <w:t>6.3制药行业：无菌制剂、培养基除菌过滤。</w:t>
      </w:r>
    </w:p>
    <w:p w14:paraId="4AD68FBA">
      <w:pPr>
        <w:spacing w:line="360" w:lineRule="auto"/>
        <w:ind w:firstLine="480" w:firstLineChars="200"/>
        <w:rPr>
          <w:rFonts w:ascii="宋体" w:hAnsi="宋体" w:cs="宋体"/>
          <w:sz w:val="24"/>
        </w:rPr>
      </w:pPr>
      <w:r>
        <w:rPr>
          <w:rFonts w:hint="eastAsia" w:ascii="宋体" w:hAnsi="宋体" w:cs="宋体"/>
          <w:sz w:val="24"/>
        </w:rPr>
        <w:t>6.4环境监测：空气中微生物及颗粒物收集。</w:t>
      </w:r>
    </w:p>
    <w:p w14:paraId="11078AE0">
      <w:pPr>
        <w:spacing w:line="360" w:lineRule="auto"/>
        <w:ind w:firstLine="482" w:firstLineChars="200"/>
        <w:rPr>
          <w:rFonts w:ascii="宋体" w:hAnsi="宋体" w:cs="宋体"/>
          <w:b/>
          <w:bCs/>
          <w:sz w:val="24"/>
        </w:rPr>
      </w:pPr>
      <w:r>
        <w:rPr>
          <w:rFonts w:hint="eastAsia" w:ascii="宋体" w:hAnsi="宋体" w:cs="宋体"/>
          <w:b/>
          <w:bCs/>
          <w:sz w:val="24"/>
        </w:rPr>
        <w:t>标的名称16：悬浮MDCK细胞（即用型）</w:t>
      </w:r>
    </w:p>
    <w:p w14:paraId="37CEBFFA">
      <w:pPr>
        <w:spacing w:line="360" w:lineRule="auto"/>
        <w:ind w:firstLine="480" w:firstLineChars="200"/>
        <w:rPr>
          <w:rFonts w:ascii="宋体" w:hAnsi="宋体" w:cs="宋体"/>
          <w:sz w:val="24"/>
        </w:rPr>
      </w:pPr>
      <w:r>
        <w:rPr>
          <w:rFonts w:hint="eastAsia" w:ascii="宋体" w:hAnsi="宋体" w:cs="宋体"/>
          <w:sz w:val="24"/>
        </w:rPr>
        <w:t>1.悬浮mdck细胞（即用型）</w:t>
      </w:r>
    </w:p>
    <w:p w14:paraId="60A404ED">
      <w:pPr>
        <w:spacing w:line="360" w:lineRule="auto"/>
        <w:ind w:firstLine="480" w:firstLineChars="200"/>
        <w:rPr>
          <w:rFonts w:ascii="宋体" w:hAnsi="宋体" w:cs="宋体"/>
          <w:sz w:val="24"/>
        </w:rPr>
      </w:pPr>
      <w:r>
        <w:rPr>
          <w:rFonts w:hint="eastAsia" w:ascii="宋体" w:hAnsi="宋体" w:cs="宋体"/>
          <w:sz w:val="24"/>
        </w:rPr>
        <w:t>2.用于流感病毒培养的悬浮型mdck细胞；</w:t>
      </w:r>
    </w:p>
    <w:p w14:paraId="5A5FB6E5">
      <w:pPr>
        <w:spacing w:line="360" w:lineRule="auto"/>
        <w:ind w:firstLine="480" w:firstLineChars="200"/>
        <w:rPr>
          <w:rFonts w:ascii="宋体" w:hAnsi="宋体" w:cs="宋体"/>
          <w:sz w:val="24"/>
        </w:rPr>
      </w:pPr>
      <w:r>
        <w:rPr>
          <w:rFonts w:hint="eastAsia" w:ascii="宋体" w:hAnsi="宋体" w:cs="宋体"/>
          <w:sz w:val="24"/>
        </w:rPr>
        <w:t>3.使用无菌灭活的细胞培养管以及无血清培养基进行培养；</w:t>
      </w:r>
    </w:p>
    <w:p w14:paraId="17BEAA6D">
      <w:pPr>
        <w:spacing w:line="360" w:lineRule="auto"/>
        <w:ind w:firstLine="480" w:firstLineChars="200"/>
        <w:rPr>
          <w:rFonts w:ascii="宋体" w:hAnsi="宋体" w:cs="宋体"/>
          <w:sz w:val="24"/>
        </w:rPr>
      </w:pPr>
      <w:r>
        <w:rPr>
          <w:rFonts w:hint="eastAsia" w:ascii="宋体" w:hAnsi="宋体" w:cs="宋体"/>
          <w:sz w:val="24"/>
        </w:rPr>
        <w:t>4.细胞浓度为3.5-4×10的6次方cfu每ml；</w:t>
      </w:r>
    </w:p>
    <w:p w14:paraId="680BBB87">
      <w:pPr>
        <w:spacing w:line="360" w:lineRule="auto"/>
        <w:ind w:firstLine="480" w:firstLineChars="200"/>
        <w:rPr>
          <w:rFonts w:ascii="宋体" w:hAnsi="宋体" w:cs="宋体"/>
          <w:sz w:val="24"/>
        </w:rPr>
      </w:pPr>
      <w:r>
        <w:rPr>
          <w:rFonts w:hint="eastAsia" w:ascii="宋体" w:hAnsi="宋体" w:cs="宋体"/>
          <w:sz w:val="24"/>
        </w:rPr>
        <w:t>5.活细胞比例大于95%，37℃、5%CO₂、摇床悬浮（125–130rpm）培养；</w:t>
      </w:r>
    </w:p>
    <w:p w14:paraId="3511165E">
      <w:pPr>
        <w:spacing w:line="360" w:lineRule="auto"/>
        <w:ind w:firstLine="480" w:firstLineChars="200"/>
        <w:rPr>
          <w:rFonts w:ascii="宋体" w:hAnsi="宋体" w:cs="宋体"/>
          <w:sz w:val="24"/>
        </w:rPr>
      </w:pPr>
      <w:r>
        <w:rPr>
          <w:rFonts w:hint="eastAsia" w:ascii="宋体" w:hAnsi="宋体" w:cs="宋体"/>
          <w:sz w:val="24"/>
        </w:rPr>
        <w:t>6.接种流感后HA滴度≥510</w:t>
      </w:r>
    </w:p>
    <w:p w14:paraId="765BF662">
      <w:pPr>
        <w:spacing w:line="360" w:lineRule="auto"/>
        <w:ind w:firstLine="482" w:firstLineChars="200"/>
        <w:rPr>
          <w:rFonts w:ascii="宋体" w:hAnsi="宋体" w:cs="宋体"/>
          <w:b/>
          <w:bCs/>
          <w:sz w:val="24"/>
        </w:rPr>
      </w:pPr>
      <w:r>
        <w:rPr>
          <w:rFonts w:hint="eastAsia" w:ascii="宋体" w:hAnsi="宋体" w:cs="宋体"/>
          <w:b/>
          <w:bCs/>
          <w:sz w:val="24"/>
        </w:rPr>
        <w:t>标的名称17：鸡胚</w:t>
      </w:r>
    </w:p>
    <w:p w14:paraId="4D5007FC">
      <w:pPr>
        <w:spacing w:line="360" w:lineRule="auto"/>
        <w:ind w:firstLine="480" w:firstLineChars="200"/>
        <w:rPr>
          <w:rFonts w:ascii="宋体" w:hAnsi="宋体" w:cs="宋体"/>
          <w:sz w:val="24"/>
        </w:rPr>
      </w:pPr>
      <w:r>
        <w:rPr>
          <w:rFonts w:hint="eastAsia" w:ascii="宋体" w:hAnsi="宋体" w:cs="宋体"/>
          <w:sz w:val="24"/>
        </w:rPr>
        <w:t>1.种蛋</w:t>
      </w:r>
    </w:p>
    <w:p w14:paraId="76E5830F">
      <w:pPr>
        <w:spacing w:line="360" w:lineRule="auto"/>
        <w:ind w:firstLine="480" w:firstLineChars="200"/>
        <w:rPr>
          <w:rFonts w:ascii="宋体" w:hAnsi="宋体" w:cs="宋体"/>
          <w:sz w:val="24"/>
        </w:rPr>
      </w:pPr>
      <w:r>
        <w:rPr>
          <w:rFonts w:hint="eastAsia" w:ascii="宋体" w:hAnsi="宋体" w:cs="宋体"/>
          <w:sz w:val="24"/>
        </w:rPr>
        <w:t>2.外观和重量：SPF鸡蛋统一经过“蛋品自动处理分装线”处理、消毒、码盘，剔除肉眼畸形、过大、过小、破壳蛋等不合格蛋，合格蛋蛋重在47.5—75g范围内。</w:t>
      </w:r>
    </w:p>
    <w:p w14:paraId="65A10A9F">
      <w:pPr>
        <w:spacing w:line="360" w:lineRule="auto"/>
        <w:ind w:firstLine="480" w:firstLineChars="200"/>
        <w:rPr>
          <w:rFonts w:ascii="宋体" w:hAnsi="宋体" w:cs="宋体"/>
          <w:sz w:val="24"/>
        </w:rPr>
      </w:pPr>
      <w:r>
        <w:rPr>
          <w:rFonts w:hint="eastAsia" w:ascii="宋体" w:hAnsi="宋体" w:cs="宋体"/>
          <w:sz w:val="24"/>
        </w:rPr>
        <w:t>3.受精率：平均受精率应≥90%。通过抽检一定数量的种蛋进行孵化测定并作好相关记录，以便随时追溯参考，整体受精率≥90%方可作为合格蛋发货。</w:t>
      </w:r>
    </w:p>
    <w:p w14:paraId="72CB06EB">
      <w:pPr>
        <w:spacing w:line="360" w:lineRule="auto"/>
        <w:ind w:firstLine="480" w:firstLineChars="200"/>
        <w:rPr>
          <w:rFonts w:ascii="宋体" w:hAnsi="宋体" w:cs="宋体"/>
          <w:sz w:val="24"/>
        </w:rPr>
      </w:pPr>
      <w:r>
        <w:rPr>
          <w:rFonts w:hint="eastAsia" w:ascii="宋体" w:hAnsi="宋体" w:cs="宋体"/>
          <w:sz w:val="24"/>
        </w:rPr>
        <w:t>4.蛋龄及种蛋贮存条件：每批SPF鸡蛋从产蛋日期至发货日期不超过10天，在恒温库中贮存。不同批次的种蛋按照既有标识整齐码放，标记产蛋日期。定期清理恒温库，并用消毒液对恒温库进行消毒。</w:t>
      </w:r>
    </w:p>
    <w:p w14:paraId="6D3A2CF7">
      <w:pPr>
        <w:spacing w:line="360" w:lineRule="auto"/>
        <w:ind w:firstLine="480" w:firstLineChars="200"/>
        <w:rPr>
          <w:rFonts w:ascii="宋体" w:hAnsi="宋体" w:cs="宋体"/>
          <w:sz w:val="24"/>
        </w:rPr>
      </w:pPr>
      <w:r>
        <w:rPr>
          <w:rFonts w:hint="eastAsia" w:ascii="宋体" w:hAnsi="宋体" w:cs="宋体"/>
          <w:sz w:val="24"/>
        </w:rPr>
        <w:t>5.可追溯性：每枚SPF种蛋上都标有可追溯来源的标识。</w:t>
      </w:r>
    </w:p>
    <w:p w14:paraId="3A3970DB">
      <w:pPr>
        <w:spacing w:line="360" w:lineRule="auto"/>
        <w:ind w:firstLine="480" w:firstLineChars="200"/>
        <w:rPr>
          <w:rFonts w:ascii="宋体" w:hAnsi="宋体" w:cs="宋体"/>
          <w:sz w:val="24"/>
        </w:rPr>
      </w:pPr>
      <w:r>
        <w:rPr>
          <w:rFonts w:hint="eastAsia" w:ascii="宋体" w:hAnsi="宋体" w:cs="宋体"/>
          <w:sz w:val="24"/>
        </w:rPr>
        <w:t>6.SPF鸡蛋微生物检测方法及标准：按照现行国家标准进行检测。全部样品均进行定期检测，检测项目指标均为阴性时判定合格，并出具检测报告。每批鸡蛋在发货时都要附带最近一期的检测报告。</w:t>
      </w:r>
    </w:p>
    <w:p w14:paraId="402B195A">
      <w:pPr>
        <w:spacing w:line="360" w:lineRule="auto"/>
        <w:ind w:firstLine="482" w:firstLineChars="200"/>
        <w:rPr>
          <w:rFonts w:ascii="宋体" w:hAnsi="宋体" w:cs="宋体"/>
          <w:b/>
          <w:bCs/>
          <w:sz w:val="24"/>
        </w:rPr>
      </w:pPr>
      <w:r>
        <w:rPr>
          <w:rFonts w:hint="eastAsia" w:ascii="宋体" w:hAnsi="宋体" w:cs="宋体"/>
          <w:b/>
          <w:bCs/>
          <w:sz w:val="24"/>
        </w:rPr>
        <w:t>标的名称18：豚鼠血球</w:t>
      </w:r>
    </w:p>
    <w:p w14:paraId="3A35344B">
      <w:pPr>
        <w:spacing w:line="360" w:lineRule="auto"/>
        <w:ind w:firstLine="480" w:firstLineChars="200"/>
        <w:rPr>
          <w:rFonts w:ascii="宋体" w:hAnsi="宋体" w:cs="宋体"/>
          <w:sz w:val="24"/>
        </w:rPr>
      </w:pPr>
      <w:r>
        <w:rPr>
          <w:rFonts w:hint="eastAsia" w:ascii="宋体" w:hAnsi="宋体" w:cs="宋体"/>
          <w:sz w:val="24"/>
        </w:rPr>
        <w:t>1.豚鼠血(抗凝剂：阿氏液)</w:t>
      </w:r>
    </w:p>
    <w:p w14:paraId="0F3382B3">
      <w:pPr>
        <w:spacing w:line="360" w:lineRule="auto"/>
        <w:ind w:firstLine="480" w:firstLineChars="200"/>
        <w:rPr>
          <w:rFonts w:ascii="宋体" w:hAnsi="宋体" w:cs="宋体"/>
          <w:sz w:val="24"/>
        </w:rPr>
      </w:pPr>
      <w:r>
        <w:rPr>
          <w:rFonts w:hint="eastAsia" w:ascii="宋体" w:hAnsi="宋体" w:cs="宋体"/>
          <w:sz w:val="24"/>
        </w:rPr>
        <w:t>2.用途：血凝实验，及科学研究</w:t>
      </w:r>
    </w:p>
    <w:p w14:paraId="2FE1509B">
      <w:pPr>
        <w:spacing w:line="360" w:lineRule="auto"/>
        <w:ind w:firstLine="480" w:firstLineChars="200"/>
        <w:rPr>
          <w:rFonts w:ascii="宋体" w:hAnsi="宋体" w:cs="宋体"/>
          <w:sz w:val="24"/>
        </w:rPr>
      </w:pPr>
      <w:r>
        <w:rPr>
          <w:rFonts w:hint="eastAsia" w:ascii="宋体" w:hAnsi="宋体" w:cs="宋体"/>
          <w:sz w:val="24"/>
        </w:rPr>
        <w:t>3.规格：10ml/支</w:t>
      </w:r>
    </w:p>
    <w:p w14:paraId="1F4C9AA7">
      <w:pPr>
        <w:spacing w:line="360" w:lineRule="auto"/>
        <w:ind w:firstLine="480" w:firstLineChars="200"/>
        <w:rPr>
          <w:rFonts w:ascii="宋体" w:hAnsi="宋体" w:cs="宋体"/>
          <w:sz w:val="24"/>
        </w:rPr>
      </w:pPr>
      <w:r>
        <w:rPr>
          <w:rFonts w:hint="eastAsia" w:ascii="宋体" w:hAnsi="宋体" w:cs="宋体"/>
          <w:sz w:val="24"/>
        </w:rPr>
        <w:t>4.主要成分：封闭系统里健康豚鼠无菌采血，添加所需抗凝科学制作，无任何细菌、真菌、支原体、衣原体，不添加任何防腐剂、抗生素</w:t>
      </w:r>
    </w:p>
    <w:p w14:paraId="5B05B558">
      <w:pPr>
        <w:spacing w:line="360" w:lineRule="auto"/>
        <w:ind w:firstLine="480" w:firstLineChars="200"/>
        <w:rPr>
          <w:rFonts w:ascii="宋体" w:hAnsi="宋体" w:cs="宋体"/>
          <w:sz w:val="24"/>
        </w:rPr>
      </w:pPr>
      <w:r>
        <w:rPr>
          <w:rFonts w:hint="eastAsia" w:ascii="宋体" w:hAnsi="宋体" w:cs="宋体"/>
          <w:sz w:val="24"/>
        </w:rPr>
        <w:t>5.储存条件：2-8°保存</w:t>
      </w:r>
    </w:p>
    <w:p w14:paraId="5634AE90">
      <w:pPr>
        <w:spacing w:line="360" w:lineRule="auto"/>
        <w:ind w:firstLine="480" w:firstLineChars="200"/>
        <w:rPr>
          <w:rFonts w:ascii="宋体" w:hAnsi="宋体" w:cs="宋体"/>
          <w:sz w:val="24"/>
        </w:rPr>
      </w:pPr>
      <w:r>
        <w:rPr>
          <w:rFonts w:hint="eastAsia" w:ascii="宋体" w:hAnsi="宋体" w:cs="宋体"/>
          <w:sz w:val="24"/>
        </w:rPr>
        <w:t>6.有效期：原包装未开封有效期为一周，在有效期内使用</w:t>
      </w:r>
    </w:p>
    <w:p w14:paraId="48C15317">
      <w:pPr>
        <w:spacing w:line="360" w:lineRule="auto"/>
        <w:ind w:firstLine="482" w:firstLineChars="200"/>
        <w:rPr>
          <w:rFonts w:ascii="宋体" w:hAnsi="宋体" w:cs="宋体"/>
          <w:b/>
          <w:bCs/>
          <w:sz w:val="24"/>
        </w:rPr>
      </w:pPr>
      <w:r>
        <w:rPr>
          <w:rFonts w:hint="eastAsia" w:ascii="宋体" w:hAnsi="宋体" w:cs="宋体"/>
          <w:b/>
          <w:bCs/>
          <w:sz w:val="24"/>
        </w:rPr>
        <w:t>标的名称19：核酸提取试剂盒1</w:t>
      </w:r>
    </w:p>
    <w:p w14:paraId="0A123AA4">
      <w:pPr>
        <w:spacing w:line="360" w:lineRule="auto"/>
        <w:ind w:firstLine="480" w:firstLineChars="200"/>
        <w:rPr>
          <w:rFonts w:ascii="宋体" w:hAnsi="宋体" w:cs="宋体"/>
          <w:sz w:val="24"/>
        </w:rPr>
      </w:pPr>
      <w:r>
        <w:rPr>
          <w:rFonts w:hint="eastAsia" w:ascii="宋体" w:hAnsi="宋体" w:cs="宋体"/>
          <w:sz w:val="24"/>
        </w:rPr>
        <w:t>1.规格类型：16人份/盒、32人份/盒、48人份/盒、96人份/盒</w:t>
      </w:r>
    </w:p>
    <w:p w14:paraId="6BD0F797">
      <w:pPr>
        <w:spacing w:line="360" w:lineRule="auto"/>
        <w:ind w:firstLine="480" w:firstLineChars="200"/>
        <w:rPr>
          <w:rFonts w:ascii="宋体" w:hAnsi="宋体" w:cs="宋体"/>
          <w:sz w:val="24"/>
        </w:rPr>
      </w:pPr>
      <w:r>
        <w:rPr>
          <w:rFonts w:hint="eastAsia" w:ascii="宋体" w:hAnsi="宋体" w:cs="宋体"/>
          <w:sz w:val="24"/>
        </w:rPr>
        <w:t>2.试剂分装方式种类：单人份、8测试/板、16测试/板，可适配多种仪器使用</w:t>
      </w:r>
    </w:p>
    <w:p w14:paraId="55692596">
      <w:pPr>
        <w:spacing w:line="360" w:lineRule="auto"/>
        <w:ind w:firstLine="480" w:firstLineChars="200"/>
        <w:rPr>
          <w:rFonts w:ascii="宋体" w:hAnsi="宋体" w:cs="宋体"/>
          <w:sz w:val="24"/>
        </w:rPr>
      </w:pPr>
      <w:r>
        <w:rPr>
          <w:rFonts w:hint="eastAsia" w:ascii="宋体" w:hAnsi="宋体" w:cs="宋体"/>
          <w:sz w:val="24"/>
        </w:rPr>
        <w:t>3.储存条件：试剂盒在-20℃~45℃环境温度下可直接运输</w:t>
      </w:r>
    </w:p>
    <w:p w14:paraId="48944BA9">
      <w:pPr>
        <w:spacing w:line="360" w:lineRule="auto"/>
        <w:ind w:firstLine="480" w:firstLineChars="200"/>
        <w:rPr>
          <w:rFonts w:ascii="宋体" w:hAnsi="宋体" w:cs="宋体"/>
          <w:sz w:val="24"/>
        </w:rPr>
      </w:pPr>
      <w:r>
        <w:rPr>
          <w:rFonts w:hint="eastAsia" w:ascii="宋体" w:hAnsi="宋体" w:cs="宋体"/>
          <w:sz w:val="24"/>
        </w:rPr>
        <w:t>4.有效期：12个月</w:t>
      </w:r>
    </w:p>
    <w:p w14:paraId="0F0DF249">
      <w:pPr>
        <w:spacing w:line="360" w:lineRule="auto"/>
        <w:ind w:firstLine="480" w:firstLineChars="200"/>
        <w:rPr>
          <w:rFonts w:ascii="宋体" w:hAnsi="宋体" w:cs="宋体"/>
          <w:sz w:val="24"/>
        </w:rPr>
      </w:pPr>
      <w:r>
        <w:rPr>
          <w:rFonts w:hint="eastAsia" w:ascii="宋体" w:hAnsi="宋体" w:cs="宋体"/>
          <w:sz w:val="24"/>
        </w:rPr>
        <w:t>5.样本类型：于血清、血浆、病毒培养液、拭子洗液等样本</w:t>
      </w:r>
    </w:p>
    <w:p w14:paraId="4FD148D4">
      <w:pPr>
        <w:spacing w:line="360" w:lineRule="auto"/>
        <w:ind w:firstLine="480" w:firstLineChars="200"/>
        <w:rPr>
          <w:rFonts w:ascii="宋体" w:hAnsi="宋体" w:cs="宋体"/>
          <w:sz w:val="24"/>
        </w:rPr>
      </w:pPr>
      <w:r>
        <w:rPr>
          <w:rFonts w:hint="eastAsia" w:ascii="宋体" w:hAnsi="宋体" w:cs="宋体"/>
          <w:sz w:val="24"/>
        </w:rPr>
        <w:t>6.预封装</w:t>
      </w:r>
    </w:p>
    <w:p w14:paraId="338676BF">
      <w:pPr>
        <w:spacing w:line="360" w:lineRule="auto"/>
        <w:ind w:firstLine="480" w:firstLineChars="200"/>
        <w:rPr>
          <w:rFonts w:ascii="宋体" w:hAnsi="宋体" w:cs="宋体"/>
          <w:sz w:val="24"/>
        </w:rPr>
      </w:pPr>
      <w:r>
        <w:rPr>
          <w:rFonts w:hint="eastAsia" w:ascii="宋体" w:hAnsi="宋体" w:cs="宋体"/>
          <w:sz w:val="24"/>
        </w:rPr>
        <w:t>7.处理样本量：10-300μL</w:t>
      </w:r>
    </w:p>
    <w:p w14:paraId="256342B5">
      <w:pPr>
        <w:spacing w:line="360" w:lineRule="auto"/>
        <w:ind w:firstLine="480" w:firstLineChars="200"/>
        <w:rPr>
          <w:rFonts w:ascii="宋体" w:hAnsi="宋体" w:cs="宋体"/>
          <w:sz w:val="24"/>
        </w:rPr>
      </w:pPr>
      <w:r>
        <w:rPr>
          <w:rFonts w:hint="eastAsia" w:ascii="宋体" w:hAnsi="宋体" w:cs="宋体"/>
          <w:sz w:val="24"/>
        </w:rPr>
        <w:t>8.具有单人份</w:t>
      </w:r>
    </w:p>
    <w:p w14:paraId="0F422FCA">
      <w:pPr>
        <w:spacing w:line="360" w:lineRule="auto"/>
        <w:ind w:firstLine="480" w:firstLineChars="200"/>
        <w:rPr>
          <w:rFonts w:ascii="宋体" w:hAnsi="宋体" w:cs="宋体"/>
          <w:sz w:val="24"/>
        </w:rPr>
      </w:pPr>
      <w:r>
        <w:rPr>
          <w:rFonts w:hint="eastAsia" w:ascii="宋体" w:hAnsi="宋体" w:cs="宋体"/>
          <w:sz w:val="24"/>
        </w:rPr>
        <w:t>9.提取方法：通过转移磁珠进行各种不同操作</w:t>
      </w:r>
    </w:p>
    <w:p w14:paraId="293EC012">
      <w:pPr>
        <w:spacing w:line="360" w:lineRule="auto"/>
        <w:ind w:firstLine="480" w:firstLineChars="200"/>
        <w:rPr>
          <w:rFonts w:ascii="宋体" w:hAnsi="宋体" w:cs="宋体"/>
          <w:sz w:val="24"/>
        </w:rPr>
      </w:pPr>
      <w:r>
        <w:rPr>
          <w:rFonts w:hint="eastAsia" w:ascii="宋体" w:hAnsi="宋体" w:cs="宋体"/>
          <w:sz w:val="24"/>
        </w:rPr>
        <w:t>10.洗脱体积：70-100μL</w:t>
      </w:r>
    </w:p>
    <w:p w14:paraId="696FC7CD">
      <w:pPr>
        <w:spacing w:line="360" w:lineRule="auto"/>
        <w:ind w:firstLine="480" w:firstLineChars="200"/>
        <w:rPr>
          <w:rFonts w:ascii="宋体" w:hAnsi="宋体" w:cs="宋体"/>
          <w:sz w:val="24"/>
        </w:rPr>
      </w:pPr>
      <w:r>
        <w:rPr>
          <w:rFonts w:hint="eastAsia" w:ascii="宋体" w:hAnsi="宋体" w:cs="宋体"/>
          <w:sz w:val="24"/>
        </w:rPr>
        <w:t>11.磁珠粒径：纳米级</w:t>
      </w:r>
    </w:p>
    <w:p w14:paraId="41594CE2">
      <w:pPr>
        <w:spacing w:line="360" w:lineRule="auto"/>
        <w:ind w:firstLine="480" w:firstLineChars="200"/>
        <w:rPr>
          <w:rFonts w:ascii="宋体" w:hAnsi="宋体" w:cs="宋体"/>
          <w:sz w:val="24"/>
        </w:rPr>
      </w:pPr>
      <w:r>
        <w:rPr>
          <w:rFonts w:hint="eastAsia" w:ascii="宋体" w:hAnsi="宋体" w:cs="宋体"/>
          <w:sz w:val="24"/>
        </w:rPr>
        <w:t>12.能加热</w:t>
      </w:r>
    </w:p>
    <w:p w14:paraId="76789F73">
      <w:pPr>
        <w:spacing w:line="360" w:lineRule="auto"/>
        <w:ind w:firstLine="482" w:firstLineChars="200"/>
        <w:rPr>
          <w:rFonts w:ascii="宋体" w:hAnsi="宋体" w:cs="宋体"/>
          <w:b/>
          <w:bCs/>
          <w:sz w:val="24"/>
        </w:rPr>
      </w:pPr>
      <w:r>
        <w:rPr>
          <w:rFonts w:hint="eastAsia" w:ascii="宋体" w:hAnsi="宋体" w:cs="宋体"/>
          <w:b/>
          <w:bCs/>
          <w:sz w:val="24"/>
        </w:rPr>
        <w:t>标的名称20：核酸提取试剂盒2</w:t>
      </w:r>
    </w:p>
    <w:p w14:paraId="3DB85147">
      <w:pPr>
        <w:spacing w:line="360" w:lineRule="auto"/>
        <w:ind w:firstLine="480" w:firstLineChars="200"/>
        <w:rPr>
          <w:rFonts w:ascii="宋体" w:hAnsi="宋体" w:cs="宋体"/>
          <w:sz w:val="24"/>
        </w:rPr>
      </w:pPr>
      <w:r>
        <w:rPr>
          <w:rFonts w:hint="eastAsia" w:ascii="宋体" w:hAnsi="宋体" w:cs="宋体"/>
          <w:sz w:val="24"/>
        </w:rPr>
        <w:t>1.规格类型：8人份/盒、32人份/盒、48人份/盒、96人份/盒</w:t>
      </w:r>
    </w:p>
    <w:p w14:paraId="7BAE7A5D">
      <w:pPr>
        <w:spacing w:line="360" w:lineRule="auto"/>
        <w:ind w:firstLine="480" w:firstLineChars="200"/>
        <w:rPr>
          <w:rFonts w:ascii="宋体" w:hAnsi="宋体" w:cs="宋体"/>
          <w:sz w:val="24"/>
        </w:rPr>
      </w:pPr>
      <w:r>
        <w:rPr>
          <w:rFonts w:hint="eastAsia" w:ascii="宋体" w:hAnsi="宋体" w:cs="宋体"/>
          <w:sz w:val="24"/>
        </w:rPr>
        <w:t>2.试剂分装方式种类：单人份、8测试/板、16测试/板，可适配多种仪器使用</w:t>
      </w:r>
    </w:p>
    <w:p w14:paraId="380C88BA">
      <w:pPr>
        <w:spacing w:line="360" w:lineRule="auto"/>
        <w:ind w:firstLine="480" w:firstLineChars="200"/>
        <w:rPr>
          <w:rFonts w:ascii="宋体" w:hAnsi="宋体" w:cs="宋体"/>
          <w:sz w:val="24"/>
        </w:rPr>
      </w:pPr>
      <w:r>
        <w:rPr>
          <w:rFonts w:hint="eastAsia" w:ascii="宋体" w:hAnsi="宋体" w:cs="宋体"/>
          <w:sz w:val="24"/>
        </w:rPr>
        <w:t>3.储存条件：试剂盒在-20℃~45℃环境温度下可直接运输</w:t>
      </w:r>
    </w:p>
    <w:p w14:paraId="2B00CE92">
      <w:pPr>
        <w:spacing w:line="360" w:lineRule="auto"/>
        <w:ind w:firstLine="480" w:firstLineChars="200"/>
        <w:rPr>
          <w:rFonts w:ascii="宋体" w:hAnsi="宋体" w:cs="宋体"/>
          <w:sz w:val="24"/>
        </w:rPr>
      </w:pPr>
      <w:r>
        <w:rPr>
          <w:rFonts w:hint="eastAsia" w:ascii="宋体" w:hAnsi="宋体" w:cs="宋体"/>
          <w:sz w:val="24"/>
        </w:rPr>
        <w:t>4.有效期：12个月</w:t>
      </w:r>
    </w:p>
    <w:p w14:paraId="14EDAB3D">
      <w:pPr>
        <w:spacing w:line="360" w:lineRule="auto"/>
        <w:ind w:firstLine="480" w:firstLineChars="200"/>
        <w:rPr>
          <w:rFonts w:ascii="宋体" w:hAnsi="宋体" w:cs="宋体"/>
          <w:sz w:val="24"/>
        </w:rPr>
      </w:pPr>
      <w:r>
        <w:rPr>
          <w:rFonts w:hint="eastAsia" w:ascii="宋体" w:hAnsi="宋体" w:cs="宋体"/>
          <w:sz w:val="24"/>
        </w:rPr>
        <w:t>5.样本类型：于血清、血浆、病毒培养液、拭子洗液等样本</w:t>
      </w:r>
    </w:p>
    <w:p w14:paraId="6C32F0B9">
      <w:pPr>
        <w:spacing w:line="360" w:lineRule="auto"/>
        <w:ind w:firstLine="480" w:firstLineChars="200"/>
        <w:rPr>
          <w:rFonts w:ascii="宋体" w:hAnsi="宋体" w:cs="宋体"/>
          <w:sz w:val="24"/>
        </w:rPr>
      </w:pPr>
      <w:r>
        <w:rPr>
          <w:rFonts w:hint="eastAsia" w:ascii="宋体" w:hAnsi="宋体" w:cs="宋体"/>
          <w:sz w:val="24"/>
        </w:rPr>
        <w:t>6.预封装</w:t>
      </w:r>
    </w:p>
    <w:p w14:paraId="7E31A0E7">
      <w:pPr>
        <w:spacing w:line="360" w:lineRule="auto"/>
        <w:ind w:firstLine="480" w:firstLineChars="200"/>
        <w:rPr>
          <w:rFonts w:ascii="宋体" w:hAnsi="宋体" w:cs="宋体"/>
          <w:sz w:val="24"/>
        </w:rPr>
      </w:pPr>
      <w:r>
        <w:rPr>
          <w:rFonts w:hint="eastAsia" w:ascii="宋体" w:hAnsi="宋体" w:cs="宋体"/>
          <w:sz w:val="24"/>
        </w:rPr>
        <w:t>7.处理样本量：10-300μL</w:t>
      </w:r>
    </w:p>
    <w:p w14:paraId="16C9000F">
      <w:pPr>
        <w:spacing w:line="360" w:lineRule="auto"/>
        <w:ind w:firstLine="480" w:firstLineChars="200"/>
        <w:rPr>
          <w:rFonts w:ascii="宋体" w:hAnsi="宋体" w:cs="宋体"/>
          <w:sz w:val="24"/>
        </w:rPr>
      </w:pPr>
      <w:r>
        <w:rPr>
          <w:rFonts w:hint="eastAsia" w:ascii="宋体" w:hAnsi="宋体" w:cs="宋体"/>
          <w:sz w:val="24"/>
        </w:rPr>
        <w:t>8.具有单人份</w:t>
      </w:r>
    </w:p>
    <w:p w14:paraId="6E2DBA1E">
      <w:pPr>
        <w:spacing w:line="360" w:lineRule="auto"/>
        <w:ind w:firstLine="480" w:firstLineChars="200"/>
        <w:rPr>
          <w:rFonts w:ascii="宋体" w:hAnsi="宋体" w:cs="宋体"/>
          <w:sz w:val="24"/>
        </w:rPr>
      </w:pPr>
      <w:r>
        <w:rPr>
          <w:rFonts w:hint="eastAsia" w:ascii="宋体" w:hAnsi="宋体" w:cs="宋体"/>
          <w:sz w:val="24"/>
        </w:rPr>
        <w:t>9.提取方法：通过转移磁珠进行各种不同操作</w:t>
      </w:r>
    </w:p>
    <w:p w14:paraId="7717F61D">
      <w:pPr>
        <w:spacing w:line="360" w:lineRule="auto"/>
        <w:ind w:firstLine="480" w:firstLineChars="200"/>
        <w:rPr>
          <w:rFonts w:ascii="宋体" w:hAnsi="宋体" w:cs="宋体"/>
          <w:sz w:val="24"/>
        </w:rPr>
      </w:pPr>
      <w:r>
        <w:rPr>
          <w:rFonts w:hint="eastAsia" w:ascii="宋体" w:hAnsi="宋体" w:cs="宋体"/>
          <w:sz w:val="24"/>
        </w:rPr>
        <w:t>10.洗脱体积：70-100μL</w:t>
      </w:r>
    </w:p>
    <w:p w14:paraId="64752870">
      <w:pPr>
        <w:spacing w:line="360" w:lineRule="auto"/>
        <w:ind w:firstLine="480" w:firstLineChars="200"/>
        <w:rPr>
          <w:rFonts w:ascii="宋体" w:hAnsi="宋体" w:cs="宋体"/>
          <w:sz w:val="24"/>
        </w:rPr>
      </w:pPr>
      <w:r>
        <w:rPr>
          <w:rFonts w:hint="eastAsia" w:ascii="宋体" w:hAnsi="宋体" w:cs="宋体"/>
          <w:sz w:val="24"/>
        </w:rPr>
        <w:t>11.磁珠粒径：纳米级</w:t>
      </w:r>
    </w:p>
    <w:p w14:paraId="4296BBC8">
      <w:pPr>
        <w:spacing w:line="360" w:lineRule="auto"/>
        <w:ind w:firstLine="480" w:firstLineChars="200"/>
        <w:rPr>
          <w:rFonts w:ascii="宋体" w:hAnsi="宋体" w:cs="宋体"/>
          <w:sz w:val="24"/>
        </w:rPr>
      </w:pPr>
      <w:r>
        <w:rPr>
          <w:rFonts w:hint="eastAsia" w:ascii="宋体" w:hAnsi="宋体" w:cs="宋体"/>
          <w:sz w:val="24"/>
        </w:rPr>
        <w:t>12.能加热</w:t>
      </w:r>
    </w:p>
    <w:p w14:paraId="0E328DBE">
      <w:pPr>
        <w:spacing w:line="360" w:lineRule="auto"/>
        <w:ind w:firstLine="482" w:firstLineChars="200"/>
        <w:rPr>
          <w:rFonts w:ascii="宋体" w:hAnsi="宋体" w:cs="宋体"/>
          <w:b/>
          <w:bCs/>
          <w:sz w:val="24"/>
        </w:rPr>
      </w:pPr>
      <w:r>
        <w:rPr>
          <w:rFonts w:hint="eastAsia" w:ascii="宋体" w:hAnsi="宋体" w:cs="宋体"/>
          <w:b/>
          <w:bCs/>
          <w:sz w:val="24"/>
        </w:rPr>
        <w:t>标的名称21：腮腺炎病毒核酸检测试剂盒（荧光PCR法）</w:t>
      </w:r>
    </w:p>
    <w:p w14:paraId="57E14DE1">
      <w:pPr>
        <w:spacing w:line="360" w:lineRule="auto"/>
        <w:ind w:firstLine="480" w:firstLineChars="200"/>
        <w:rPr>
          <w:rFonts w:ascii="宋体" w:hAnsi="宋体" w:cs="宋体"/>
          <w:sz w:val="24"/>
        </w:rPr>
      </w:pPr>
      <w:r>
        <w:rPr>
          <w:rFonts w:hint="eastAsia" w:ascii="宋体" w:hAnsi="宋体" w:cs="宋体"/>
          <w:sz w:val="24"/>
        </w:rPr>
        <w:t>1.本试剂盒用于咽拭子等样本中，腮腺炎病毒核酸的定性检测。</w:t>
      </w:r>
    </w:p>
    <w:p w14:paraId="5B13C18C">
      <w:pPr>
        <w:spacing w:line="360" w:lineRule="auto"/>
        <w:ind w:firstLine="480" w:firstLineChars="200"/>
        <w:rPr>
          <w:rFonts w:ascii="宋体" w:hAnsi="宋体" w:cs="宋体"/>
          <w:sz w:val="24"/>
        </w:rPr>
      </w:pPr>
      <w:r>
        <w:rPr>
          <w:rFonts w:hint="eastAsia" w:ascii="宋体" w:hAnsi="宋体" w:cs="宋体"/>
          <w:sz w:val="24"/>
        </w:rPr>
        <w:t>2.规格：25反应/盒，50反应/盒。</w:t>
      </w:r>
    </w:p>
    <w:p w14:paraId="618A76CA">
      <w:pPr>
        <w:spacing w:line="360" w:lineRule="auto"/>
        <w:ind w:firstLine="480" w:firstLineChars="200"/>
        <w:rPr>
          <w:rFonts w:ascii="宋体" w:hAnsi="宋体" w:cs="宋体"/>
          <w:sz w:val="24"/>
        </w:rPr>
      </w:pPr>
      <w:r>
        <w:rPr>
          <w:rFonts w:hint="eastAsia" w:ascii="宋体" w:hAnsi="宋体" w:cs="宋体"/>
          <w:sz w:val="24"/>
        </w:rPr>
        <w:t>3.主要组成成分：RT-PCR反应液、酶混合液、腮腺炎病毒检测液、阳性对照、去RNA酶水（空白对照）</w:t>
      </w:r>
    </w:p>
    <w:p w14:paraId="67082C31">
      <w:pPr>
        <w:spacing w:line="360" w:lineRule="auto"/>
        <w:ind w:firstLine="480" w:firstLineChars="200"/>
        <w:rPr>
          <w:rFonts w:ascii="宋体" w:hAnsi="宋体" w:cs="宋体"/>
          <w:sz w:val="24"/>
        </w:rPr>
      </w:pPr>
      <w:r>
        <w:rPr>
          <w:rFonts w:hint="eastAsia" w:ascii="宋体" w:hAnsi="宋体" w:cs="宋体"/>
          <w:sz w:val="24"/>
        </w:rPr>
        <w:t>4.储存条件及有效期：避光-20±5℃贮存，有效期12个月。</w:t>
      </w:r>
    </w:p>
    <w:p w14:paraId="586F19D5">
      <w:pPr>
        <w:spacing w:line="360" w:lineRule="auto"/>
        <w:ind w:firstLine="480" w:firstLineChars="200"/>
        <w:rPr>
          <w:rFonts w:ascii="宋体" w:hAnsi="宋体" w:cs="宋体"/>
          <w:sz w:val="24"/>
        </w:rPr>
      </w:pPr>
      <w:r>
        <w:rPr>
          <w:rFonts w:hint="eastAsia" w:ascii="宋体" w:hAnsi="宋体" w:cs="宋体"/>
          <w:sz w:val="24"/>
        </w:rPr>
        <w:t>5.病毒核酸检测通道：FAM、VIC</w:t>
      </w:r>
    </w:p>
    <w:p w14:paraId="749656FE">
      <w:pPr>
        <w:spacing w:line="360" w:lineRule="auto"/>
        <w:ind w:firstLine="480" w:firstLineChars="200"/>
        <w:rPr>
          <w:rFonts w:ascii="宋体" w:hAnsi="宋体" w:cs="宋体"/>
          <w:sz w:val="24"/>
        </w:rPr>
      </w:pPr>
      <w:r>
        <w:rPr>
          <w:rFonts w:hint="eastAsia" w:ascii="PingFang SC" w:hAnsi="PingFang SC" w:eastAsia="PingFang SC" w:cs="PingFang SC"/>
          <w:sz w:val="24"/>
        </w:rPr>
        <w:t>▲</w:t>
      </w:r>
      <w:r>
        <w:rPr>
          <w:rFonts w:hint="eastAsia" w:ascii="宋体" w:hAnsi="宋体" w:cs="宋体"/>
          <w:sz w:val="24"/>
        </w:rPr>
        <w:t>6.最低检测限：500copies/ml</w:t>
      </w:r>
    </w:p>
    <w:p w14:paraId="01E1C882">
      <w:pPr>
        <w:spacing w:line="360" w:lineRule="auto"/>
        <w:ind w:firstLine="480" w:firstLineChars="200"/>
        <w:rPr>
          <w:rFonts w:ascii="宋体" w:hAnsi="宋体" w:cs="宋体"/>
          <w:sz w:val="24"/>
        </w:rPr>
      </w:pPr>
      <w:r>
        <w:rPr>
          <w:rFonts w:hint="eastAsia" w:ascii="宋体" w:hAnsi="宋体" w:cs="宋体"/>
          <w:sz w:val="24"/>
        </w:rPr>
        <w:t>7.线性检测范围：2×103~1×108copies/ml；</w:t>
      </w:r>
    </w:p>
    <w:p w14:paraId="71D54C30">
      <w:pPr>
        <w:spacing w:line="360" w:lineRule="auto"/>
        <w:ind w:firstLine="480" w:firstLineChars="200"/>
        <w:rPr>
          <w:rFonts w:ascii="宋体" w:hAnsi="宋体" w:cs="宋体"/>
          <w:sz w:val="24"/>
        </w:rPr>
      </w:pPr>
      <w:r>
        <w:rPr>
          <w:rFonts w:hint="eastAsia" w:ascii="宋体" w:hAnsi="宋体" w:cs="宋体"/>
          <w:sz w:val="24"/>
        </w:rPr>
        <w:t>8.精密度：检测精密度参考品的变异系数小于5%；</w:t>
      </w:r>
    </w:p>
    <w:p w14:paraId="7F45FC6A">
      <w:pPr>
        <w:spacing w:line="360" w:lineRule="auto"/>
        <w:ind w:firstLine="480" w:firstLineChars="200"/>
        <w:rPr>
          <w:rFonts w:ascii="宋体" w:hAnsi="宋体" w:cs="宋体"/>
          <w:sz w:val="24"/>
        </w:rPr>
      </w:pPr>
      <w:r>
        <w:rPr>
          <w:rFonts w:hint="eastAsia" w:ascii="宋体" w:hAnsi="宋体" w:cs="宋体"/>
          <w:sz w:val="24"/>
        </w:rPr>
        <w:t>9.反应全流程最快时长≤80mins；</w:t>
      </w:r>
    </w:p>
    <w:p w14:paraId="620373C4">
      <w:pPr>
        <w:spacing w:line="360" w:lineRule="auto"/>
        <w:ind w:firstLine="480" w:firstLineChars="200"/>
        <w:rPr>
          <w:rFonts w:ascii="宋体" w:hAnsi="宋体" w:cs="宋体"/>
          <w:sz w:val="24"/>
        </w:rPr>
      </w:pPr>
      <w:r>
        <w:rPr>
          <w:rFonts w:hint="eastAsia" w:ascii="宋体" w:hAnsi="宋体" w:cs="宋体"/>
          <w:sz w:val="24"/>
        </w:rPr>
        <w:t>10.特异性：与其感染部位相同或感染症状相似且常见的其它病原体（人冠状病毒、甲型流感病毒、乙型流感病毒、副流感病毒、呼吸道合胞病毒、人腺病毒、流感嗜血杆菌、肺炎链球菌、嗜肺军团菌、肺炎支原体、肺炎衣原体）以及人类白细胞的总核酸无交叉反应。</w:t>
      </w:r>
    </w:p>
    <w:p w14:paraId="3CC05024">
      <w:pPr>
        <w:spacing w:line="360" w:lineRule="auto"/>
        <w:ind w:firstLine="480" w:firstLineChars="200"/>
        <w:rPr>
          <w:rFonts w:ascii="宋体" w:hAnsi="宋体" w:cs="宋体"/>
          <w:sz w:val="24"/>
        </w:rPr>
      </w:pPr>
      <w:r>
        <w:rPr>
          <w:rFonts w:hint="eastAsia" w:ascii="宋体" w:hAnsi="宋体" w:cs="宋体"/>
          <w:sz w:val="24"/>
        </w:rPr>
        <w:t>11.适用仪器：ABI 7500、QuantStudio™5、QuantStudio™6/7、Roche LightCycler®480、Bio-Rad CFX96™、上海宏石SLAN-96P/S等荧光定量PCR仪。</w:t>
      </w:r>
    </w:p>
    <w:p w14:paraId="35B0451D">
      <w:pPr>
        <w:spacing w:line="360" w:lineRule="auto"/>
        <w:ind w:firstLine="482" w:firstLineChars="200"/>
        <w:rPr>
          <w:rFonts w:ascii="宋体" w:hAnsi="宋体" w:cs="宋体"/>
          <w:b/>
          <w:bCs/>
          <w:sz w:val="24"/>
        </w:rPr>
      </w:pPr>
      <w:r>
        <w:rPr>
          <w:rFonts w:hint="eastAsia" w:ascii="宋体" w:hAnsi="宋体" w:cs="宋体"/>
          <w:b/>
          <w:bCs/>
          <w:sz w:val="24"/>
        </w:rPr>
        <w:t>标的名称22：麻疹病毒、风疹病毒和腮腺炎病毒核酸检测试剂盒（荧光PCR法）</w:t>
      </w:r>
    </w:p>
    <w:p w14:paraId="7ABE8CC6">
      <w:pPr>
        <w:spacing w:line="360" w:lineRule="auto"/>
        <w:ind w:firstLine="480" w:firstLineChars="200"/>
        <w:rPr>
          <w:rFonts w:ascii="宋体" w:hAnsi="宋体" w:cs="宋体"/>
          <w:sz w:val="24"/>
        </w:rPr>
      </w:pPr>
      <w:r>
        <w:rPr>
          <w:rFonts w:hint="eastAsia" w:ascii="宋体" w:hAnsi="宋体" w:cs="宋体"/>
          <w:sz w:val="24"/>
        </w:rPr>
        <w:t>1.本试剂盒用于脑脊液、血清等样本中，麻疹病毒、风疹病毒、腮腺炎病毒核酸的定性检测。</w:t>
      </w:r>
    </w:p>
    <w:p w14:paraId="59CEE3FF">
      <w:pPr>
        <w:spacing w:line="360" w:lineRule="auto"/>
        <w:ind w:firstLine="480" w:firstLineChars="200"/>
        <w:rPr>
          <w:rFonts w:ascii="宋体" w:hAnsi="宋体" w:cs="宋体"/>
          <w:sz w:val="24"/>
        </w:rPr>
      </w:pPr>
      <w:r>
        <w:rPr>
          <w:rFonts w:hint="eastAsia" w:ascii="宋体" w:hAnsi="宋体" w:cs="宋体"/>
          <w:sz w:val="24"/>
        </w:rPr>
        <w:t>2.规格：25反应/盒，50反应/盒。</w:t>
      </w:r>
    </w:p>
    <w:p w14:paraId="412C0501">
      <w:pPr>
        <w:spacing w:line="360" w:lineRule="auto"/>
        <w:ind w:firstLine="480" w:firstLineChars="200"/>
        <w:rPr>
          <w:rFonts w:ascii="宋体" w:hAnsi="宋体" w:cs="宋体"/>
          <w:sz w:val="24"/>
        </w:rPr>
      </w:pPr>
      <w:r>
        <w:rPr>
          <w:rFonts w:hint="eastAsia" w:ascii="宋体" w:hAnsi="宋体" w:cs="宋体"/>
          <w:sz w:val="24"/>
        </w:rPr>
        <w:t>3.主要组成成分：RT-PCR反应液、酶混合液、麻疹、风疹、腮腺炎检测液、阳性对照、去RNA酶水（空白对照）</w:t>
      </w:r>
    </w:p>
    <w:p w14:paraId="15671662">
      <w:pPr>
        <w:spacing w:line="360" w:lineRule="auto"/>
        <w:ind w:firstLine="480" w:firstLineChars="200"/>
        <w:rPr>
          <w:rFonts w:ascii="宋体" w:hAnsi="宋体" w:cs="宋体"/>
          <w:sz w:val="24"/>
        </w:rPr>
      </w:pPr>
      <w:r>
        <w:rPr>
          <w:rFonts w:hint="eastAsia" w:ascii="宋体" w:hAnsi="宋体" w:cs="宋体"/>
          <w:sz w:val="24"/>
        </w:rPr>
        <w:t>4.储存条件及有效期：避光-20±5℃贮存，有效期12个月。开封后避光-20±5℃贮存，对有效期没有影响；冰袋低温运输4天、反复冻融5次对效期没有影响。</w:t>
      </w:r>
    </w:p>
    <w:p w14:paraId="341C85D3">
      <w:pPr>
        <w:spacing w:line="360" w:lineRule="auto"/>
        <w:ind w:firstLine="480" w:firstLineChars="200"/>
        <w:rPr>
          <w:rFonts w:ascii="宋体" w:hAnsi="宋体" w:cs="宋体"/>
          <w:sz w:val="24"/>
        </w:rPr>
      </w:pPr>
      <w:r>
        <w:rPr>
          <w:rFonts w:hint="eastAsia" w:ascii="宋体" w:hAnsi="宋体" w:cs="宋体"/>
          <w:sz w:val="24"/>
        </w:rPr>
        <w:t>5.病毒核酸检测通道：FAM、VIC、CY5、ROX</w:t>
      </w:r>
    </w:p>
    <w:p w14:paraId="54A09112">
      <w:pPr>
        <w:spacing w:line="360" w:lineRule="auto"/>
        <w:ind w:firstLine="480" w:firstLineChars="200"/>
        <w:rPr>
          <w:rFonts w:ascii="宋体" w:hAnsi="宋体" w:cs="宋体"/>
          <w:sz w:val="24"/>
        </w:rPr>
      </w:pPr>
      <w:r>
        <w:rPr>
          <w:rFonts w:hint="eastAsia" w:ascii="PingFang SC" w:hAnsi="PingFang SC" w:eastAsia="PingFang SC" w:cs="PingFang SC"/>
          <w:sz w:val="24"/>
        </w:rPr>
        <w:t>▲</w:t>
      </w:r>
      <w:r>
        <w:rPr>
          <w:rFonts w:hint="eastAsia" w:ascii="宋体" w:hAnsi="宋体" w:cs="宋体"/>
          <w:sz w:val="24"/>
        </w:rPr>
        <w:t>6.最低检测限：500copies/ml</w:t>
      </w:r>
    </w:p>
    <w:p w14:paraId="655D9D9B">
      <w:pPr>
        <w:spacing w:line="360" w:lineRule="auto"/>
        <w:ind w:firstLine="480" w:firstLineChars="200"/>
        <w:rPr>
          <w:rFonts w:ascii="宋体" w:hAnsi="宋体" w:cs="宋体"/>
          <w:sz w:val="24"/>
        </w:rPr>
      </w:pPr>
      <w:r>
        <w:rPr>
          <w:rFonts w:hint="eastAsia" w:ascii="宋体" w:hAnsi="宋体" w:cs="宋体"/>
          <w:sz w:val="24"/>
        </w:rPr>
        <w:t>7.线性检测范围：2×103~1×108copies/ml；</w:t>
      </w:r>
    </w:p>
    <w:p w14:paraId="4478610E">
      <w:pPr>
        <w:spacing w:line="360" w:lineRule="auto"/>
        <w:ind w:firstLine="480" w:firstLineChars="200"/>
        <w:rPr>
          <w:rFonts w:ascii="宋体" w:hAnsi="宋体" w:cs="宋体"/>
          <w:sz w:val="24"/>
        </w:rPr>
      </w:pPr>
      <w:r>
        <w:rPr>
          <w:rFonts w:hint="eastAsia" w:ascii="宋体" w:hAnsi="宋体" w:cs="宋体"/>
          <w:sz w:val="24"/>
        </w:rPr>
        <w:t>8.精密度：检测精密度参考品的变异系数小于5%；</w:t>
      </w:r>
    </w:p>
    <w:p w14:paraId="27B4354A">
      <w:pPr>
        <w:spacing w:line="360" w:lineRule="auto"/>
        <w:ind w:firstLine="480" w:firstLineChars="200"/>
        <w:rPr>
          <w:rFonts w:ascii="宋体" w:hAnsi="宋体" w:cs="宋体"/>
          <w:sz w:val="24"/>
        </w:rPr>
      </w:pPr>
      <w:r>
        <w:rPr>
          <w:rFonts w:hint="eastAsia" w:ascii="宋体" w:hAnsi="宋体" w:cs="宋体"/>
          <w:sz w:val="24"/>
        </w:rPr>
        <w:t>9.反应全流程最快时长≤80mins；</w:t>
      </w:r>
    </w:p>
    <w:p w14:paraId="2880F4ED">
      <w:pPr>
        <w:spacing w:line="360" w:lineRule="auto"/>
        <w:ind w:firstLine="480" w:firstLineChars="200"/>
        <w:rPr>
          <w:rFonts w:ascii="宋体" w:hAnsi="宋体" w:cs="宋体"/>
          <w:sz w:val="24"/>
        </w:rPr>
      </w:pPr>
      <w:r>
        <w:rPr>
          <w:rFonts w:hint="eastAsia" w:ascii="宋体" w:hAnsi="宋体" w:cs="宋体"/>
          <w:sz w:val="24"/>
        </w:rPr>
        <w:t>10.特异性：与其感染部位相同或感染症状相似且常见的其它病原体（弓形虫、脑膜炎奈瑟菌、肺炎链球菌、结核杆菌、流感嗜血杆菌、无乳链球菌、疟原虫其他型别）以及人类白细胞的总核酸无交叉反应。</w:t>
      </w:r>
    </w:p>
    <w:p w14:paraId="34BD5494">
      <w:pPr>
        <w:spacing w:line="360" w:lineRule="auto"/>
        <w:ind w:firstLine="480" w:firstLineChars="200"/>
        <w:rPr>
          <w:rFonts w:ascii="宋体" w:hAnsi="宋体" w:cs="宋体"/>
          <w:sz w:val="24"/>
        </w:rPr>
      </w:pPr>
      <w:r>
        <w:rPr>
          <w:rFonts w:hint="eastAsia" w:ascii="宋体" w:hAnsi="宋体" w:cs="宋体"/>
          <w:sz w:val="24"/>
        </w:rPr>
        <w:t>11.适用仪器：ABI7500、QuantStudio™5、QuantStudio™7、Roche LightCycler®480II、Bio-Rad CFX96™、上海宏石SLAN-96P/S荧光定量PCR仪。等荧光定量PCR仪。</w:t>
      </w:r>
    </w:p>
    <w:p w14:paraId="190C3938">
      <w:pPr>
        <w:spacing w:line="360" w:lineRule="auto"/>
        <w:ind w:firstLine="482" w:firstLineChars="200"/>
        <w:rPr>
          <w:rFonts w:ascii="宋体" w:hAnsi="宋体" w:cs="宋体"/>
          <w:b/>
          <w:bCs/>
          <w:sz w:val="24"/>
        </w:rPr>
      </w:pPr>
      <w:r>
        <w:rPr>
          <w:rFonts w:hint="eastAsia" w:ascii="宋体" w:hAnsi="宋体" w:cs="宋体"/>
          <w:b/>
          <w:bCs/>
          <w:sz w:val="24"/>
        </w:rPr>
        <w:t>标的名称23：黄热病、寨卡病毒、基孔肯雅热病毒、登革热病毒、疟原虫荧光定量PCR试剂</w:t>
      </w:r>
    </w:p>
    <w:p w14:paraId="411025CF">
      <w:pPr>
        <w:spacing w:line="360" w:lineRule="auto"/>
        <w:ind w:firstLine="480" w:firstLineChars="200"/>
        <w:rPr>
          <w:rFonts w:ascii="宋体" w:hAnsi="宋体" w:cs="宋体"/>
          <w:sz w:val="24"/>
        </w:rPr>
      </w:pPr>
      <w:r>
        <w:rPr>
          <w:rFonts w:hint="eastAsia" w:ascii="宋体" w:hAnsi="宋体" w:cs="宋体"/>
          <w:sz w:val="24"/>
        </w:rPr>
        <w:t>1.本试剂盒主要用于血清等样本中，黄热病毒、寨卡病毒、登革病毒、基孔肯雅病毒和疟原虫核酸的定性检测。</w:t>
      </w:r>
    </w:p>
    <w:p w14:paraId="085A8623">
      <w:pPr>
        <w:spacing w:line="360" w:lineRule="auto"/>
        <w:ind w:firstLine="480" w:firstLineChars="200"/>
        <w:rPr>
          <w:rFonts w:ascii="宋体" w:hAnsi="宋体" w:cs="宋体"/>
          <w:sz w:val="24"/>
        </w:rPr>
      </w:pPr>
      <w:r>
        <w:rPr>
          <w:rFonts w:hint="eastAsia" w:ascii="宋体" w:hAnsi="宋体" w:cs="宋体"/>
          <w:sz w:val="24"/>
        </w:rPr>
        <w:t>2.规格：12反应/盒，25反应/盒，50反应/盒</w:t>
      </w:r>
    </w:p>
    <w:p w14:paraId="328DA857">
      <w:pPr>
        <w:spacing w:line="360" w:lineRule="auto"/>
        <w:ind w:firstLine="480" w:firstLineChars="200"/>
        <w:rPr>
          <w:rFonts w:ascii="宋体" w:hAnsi="宋体" w:cs="宋体"/>
          <w:sz w:val="24"/>
        </w:rPr>
      </w:pPr>
      <w:r>
        <w:rPr>
          <w:rFonts w:hint="eastAsia" w:ascii="宋体" w:hAnsi="宋体" w:cs="宋体"/>
          <w:sz w:val="24"/>
        </w:rPr>
        <w:t>3.试剂配制：采用1管全预混模式，无需配制反应体系即可完成多种病原体基因型的定性检测；</w:t>
      </w:r>
    </w:p>
    <w:p w14:paraId="6DD5B5A2">
      <w:pPr>
        <w:spacing w:line="360" w:lineRule="auto"/>
        <w:ind w:firstLine="480" w:firstLineChars="200"/>
        <w:rPr>
          <w:rFonts w:ascii="宋体" w:hAnsi="宋体" w:cs="宋体"/>
          <w:sz w:val="24"/>
        </w:rPr>
      </w:pPr>
      <w:r>
        <w:rPr>
          <w:rFonts w:hint="eastAsia" w:ascii="宋体" w:hAnsi="宋体" w:cs="宋体"/>
          <w:sz w:val="24"/>
        </w:rPr>
        <w:t>4.储存条件及有效期：避光-20±5℃贮存，有效期12个月。</w:t>
      </w:r>
    </w:p>
    <w:p w14:paraId="6E86AA96">
      <w:pPr>
        <w:spacing w:line="360" w:lineRule="auto"/>
        <w:ind w:firstLine="480" w:firstLineChars="200"/>
        <w:rPr>
          <w:rFonts w:ascii="宋体" w:hAnsi="宋体" w:cs="宋体"/>
          <w:sz w:val="24"/>
        </w:rPr>
      </w:pPr>
      <w:r>
        <w:rPr>
          <w:rFonts w:hint="eastAsia" w:ascii="宋体" w:hAnsi="宋体" w:cs="宋体"/>
          <w:sz w:val="24"/>
        </w:rPr>
        <w:t>5.病毒核酸检测通道：FAM、VIC、ROX、CY5。</w:t>
      </w:r>
    </w:p>
    <w:p w14:paraId="2F868959">
      <w:pPr>
        <w:spacing w:line="360" w:lineRule="auto"/>
        <w:ind w:firstLine="480" w:firstLineChars="200"/>
        <w:rPr>
          <w:rFonts w:ascii="宋体" w:hAnsi="宋体" w:cs="宋体"/>
          <w:sz w:val="24"/>
        </w:rPr>
      </w:pPr>
      <w:r>
        <w:rPr>
          <w:rFonts w:hint="eastAsia" w:ascii="PingFang SC" w:hAnsi="PingFang SC" w:eastAsia="PingFang SC" w:cs="PingFang SC"/>
          <w:sz w:val="24"/>
        </w:rPr>
        <w:t>▲</w:t>
      </w:r>
      <w:r>
        <w:rPr>
          <w:rFonts w:hint="eastAsia" w:ascii="宋体" w:hAnsi="宋体" w:cs="宋体"/>
          <w:sz w:val="24"/>
        </w:rPr>
        <w:t>6.最低检测限：500copies/ml</w:t>
      </w:r>
    </w:p>
    <w:p w14:paraId="44E5F5D4">
      <w:pPr>
        <w:spacing w:line="360" w:lineRule="auto"/>
        <w:ind w:firstLine="480" w:firstLineChars="200"/>
        <w:rPr>
          <w:rFonts w:ascii="宋体" w:hAnsi="宋体" w:cs="宋体"/>
          <w:sz w:val="24"/>
        </w:rPr>
      </w:pPr>
      <w:r>
        <w:rPr>
          <w:rFonts w:hint="eastAsia" w:ascii="宋体" w:hAnsi="宋体" w:cs="宋体"/>
          <w:sz w:val="24"/>
        </w:rPr>
        <w:t>7.线性检测范围：2×103~1×108copies/mL；</w:t>
      </w:r>
    </w:p>
    <w:p w14:paraId="587F4D06">
      <w:pPr>
        <w:spacing w:line="360" w:lineRule="auto"/>
        <w:ind w:firstLine="480" w:firstLineChars="200"/>
        <w:rPr>
          <w:rFonts w:ascii="宋体" w:hAnsi="宋体" w:cs="宋体"/>
          <w:sz w:val="24"/>
        </w:rPr>
      </w:pPr>
      <w:r>
        <w:rPr>
          <w:rFonts w:hint="eastAsia" w:ascii="宋体" w:hAnsi="宋体" w:cs="宋体"/>
          <w:sz w:val="24"/>
        </w:rPr>
        <w:t>8.精密度：检测精密度参考品的变异系数小于5%；</w:t>
      </w:r>
    </w:p>
    <w:p w14:paraId="38574C65">
      <w:pPr>
        <w:spacing w:line="360" w:lineRule="auto"/>
        <w:ind w:firstLine="480" w:firstLineChars="200"/>
        <w:rPr>
          <w:rFonts w:ascii="宋体" w:hAnsi="宋体" w:cs="宋体"/>
          <w:sz w:val="24"/>
        </w:rPr>
      </w:pPr>
      <w:r>
        <w:rPr>
          <w:rFonts w:hint="eastAsia" w:ascii="宋体" w:hAnsi="宋体" w:cs="宋体"/>
          <w:sz w:val="24"/>
        </w:rPr>
        <w:t>9.反应全流程最快时长≤70mins；</w:t>
      </w:r>
    </w:p>
    <w:p w14:paraId="5EF2C96E">
      <w:pPr>
        <w:spacing w:line="360" w:lineRule="auto"/>
        <w:ind w:firstLine="480" w:firstLineChars="200"/>
        <w:rPr>
          <w:rFonts w:ascii="宋体" w:hAnsi="宋体" w:cs="宋体"/>
          <w:sz w:val="24"/>
        </w:rPr>
      </w:pPr>
      <w:r>
        <w:rPr>
          <w:rFonts w:hint="eastAsia" w:ascii="宋体" w:hAnsi="宋体" w:cs="宋体"/>
          <w:sz w:val="24"/>
        </w:rPr>
        <w:t>10.特异性：与感染部位相同或感染症状相似的其它病原体（汉滩病毒、汉城病毒、新疆出血热病毒、新布尼亚病毒、拉沙热病毒）以及人类白细胞的总核酸无交叉反应。</w:t>
      </w:r>
    </w:p>
    <w:p w14:paraId="481E7D29">
      <w:pPr>
        <w:spacing w:line="360" w:lineRule="auto"/>
        <w:ind w:firstLine="480" w:firstLineChars="200"/>
        <w:rPr>
          <w:rFonts w:ascii="宋体" w:hAnsi="宋体" w:cs="宋体"/>
          <w:sz w:val="24"/>
        </w:rPr>
      </w:pPr>
      <w:r>
        <w:rPr>
          <w:rFonts w:hint="eastAsia" w:ascii="宋体" w:hAnsi="宋体" w:cs="宋体"/>
          <w:sz w:val="24"/>
        </w:rPr>
        <w:t>11.适用仪器：ABI7500、QuantStudio™5、QuantStudio™6/7、Roche LightCycler®480、Bio-Rad CFX96™、上海宏石SLAN-96P/S等荧光定量PCR仪。</w:t>
      </w:r>
    </w:p>
    <w:p w14:paraId="4D3DC317">
      <w:pPr>
        <w:spacing w:line="360" w:lineRule="auto"/>
        <w:ind w:firstLine="482" w:firstLineChars="200"/>
        <w:rPr>
          <w:rFonts w:ascii="宋体" w:hAnsi="宋体" w:cs="宋体"/>
          <w:b/>
          <w:bCs/>
          <w:sz w:val="24"/>
        </w:rPr>
      </w:pPr>
      <w:r>
        <w:rPr>
          <w:rFonts w:hint="eastAsia" w:ascii="宋体" w:hAnsi="宋体" w:cs="宋体"/>
          <w:b/>
          <w:bCs/>
          <w:sz w:val="24"/>
        </w:rPr>
        <w:t>标的名称24：呼吸道多病原样本核酸提取试剂</w:t>
      </w:r>
    </w:p>
    <w:p w14:paraId="7B05EE73">
      <w:pPr>
        <w:spacing w:line="360" w:lineRule="auto"/>
        <w:ind w:firstLine="480" w:firstLineChars="200"/>
        <w:rPr>
          <w:rFonts w:ascii="宋体" w:hAnsi="宋体" w:cs="宋体"/>
          <w:sz w:val="24"/>
        </w:rPr>
      </w:pPr>
      <w:r>
        <w:rPr>
          <w:rFonts w:hint="eastAsia" w:ascii="宋体" w:hAnsi="宋体" w:cs="宋体"/>
          <w:sz w:val="24"/>
        </w:rPr>
        <w:t>1.适用范围：适用于咽拭子、鼻拭子、痰液等呼吸道样本中细菌、真菌、病毒及非典型病原体核酸的共同提取。提取核酸可用于多种呼吸道多病体外检测。</w:t>
      </w:r>
    </w:p>
    <w:p w14:paraId="750C6F55">
      <w:pPr>
        <w:spacing w:line="360" w:lineRule="auto"/>
        <w:ind w:firstLine="480" w:firstLineChars="200"/>
        <w:rPr>
          <w:rFonts w:ascii="宋体" w:hAnsi="宋体" w:cs="宋体"/>
          <w:sz w:val="24"/>
        </w:rPr>
      </w:pPr>
      <w:r>
        <w:rPr>
          <w:rFonts w:hint="eastAsia" w:ascii="宋体" w:hAnsi="宋体" w:cs="宋体"/>
          <w:sz w:val="24"/>
        </w:rPr>
        <w:t>2.适用机型：适配于基于磁珠吸附原理的全自动或半自动核酸提取仪。包含济凡Purifier32、卓诚惠生MagiCube48、卓诚惠生MagiCube96、卓诚惠生PreSec9600、天隆NP968-C、天隆GeneRotex96、硕世SSNP-3000A、硕世SSNP-9600A等。</w:t>
      </w:r>
    </w:p>
    <w:p w14:paraId="43455F71">
      <w:pPr>
        <w:spacing w:line="360" w:lineRule="auto"/>
        <w:ind w:firstLine="480" w:firstLineChars="200"/>
        <w:rPr>
          <w:rFonts w:ascii="宋体" w:hAnsi="宋体" w:cs="宋体"/>
          <w:sz w:val="24"/>
        </w:rPr>
      </w:pPr>
      <w:r>
        <w:rPr>
          <w:rFonts w:hint="eastAsia" w:ascii="宋体" w:hAnsi="宋体" w:cs="宋体"/>
          <w:sz w:val="24"/>
        </w:rPr>
        <w:t>3.破壁方式：采用机械破壁方式，利用不同粒径研磨珠进行病原体的细胞膜或细胞壁破碎。</w:t>
      </w:r>
    </w:p>
    <w:p w14:paraId="6FD158D6">
      <w:pPr>
        <w:spacing w:line="360" w:lineRule="auto"/>
        <w:ind w:firstLine="480" w:firstLineChars="200"/>
        <w:rPr>
          <w:rFonts w:ascii="宋体" w:hAnsi="宋体" w:cs="宋体"/>
          <w:sz w:val="24"/>
        </w:rPr>
      </w:pPr>
      <w:r>
        <w:rPr>
          <w:rFonts w:hint="eastAsia" w:ascii="宋体" w:hAnsi="宋体" w:cs="宋体"/>
          <w:sz w:val="24"/>
        </w:rPr>
        <w:t>4.研磨珠：研磨珠粒径≤0.6mm，以保证破壁效果，避免核酸的降解和蛋白的变性。</w:t>
      </w:r>
    </w:p>
    <w:p w14:paraId="41BCC90D">
      <w:pPr>
        <w:spacing w:line="360" w:lineRule="auto"/>
        <w:ind w:firstLine="480" w:firstLineChars="200"/>
        <w:rPr>
          <w:rFonts w:ascii="宋体" w:hAnsi="宋体" w:cs="宋体"/>
          <w:sz w:val="24"/>
        </w:rPr>
      </w:pPr>
      <w:r>
        <w:rPr>
          <w:rFonts w:hint="eastAsia" w:ascii="宋体" w:hAnsi="宋体" w:cs="宋体"/>
          <w:sz w:val="24"/>
        </w:rPr>
        <w:t>5.提取方法：采用磁珠吸附法，提取病原体核酸。</w:t>
      </w:r>
    </w:p>
    <w:p w14:paraId="5ECD6590">
      <w:pPr>
        <w:spacing w:line="360" w:lineRule="auto"/>
        <w:ind w:firstLine="480" w:firstLineChars="200"/>
        <w:rPr>
          <w:rFonts w:ascii="宋体" w:hAnsi="宋体" w:cs="宋体"/>
          <w:sz w:val="24"/>
        </w:rPr>
      </w:pPr>
      <w:r>
        <w:rPr>
          <w:rFonts w:hint="eastAsia" w:ascii="宋体" w:hAnsi="宋体" w:cs="宋体"/>
          <w:sz w:val="24"/>
        </w:rPr>
        <w:t>6.上样量：≥200μL。</w:t>
      </w:r>
    </w:p>
    <w:p w14:paraId="4DF7FB43">
      <w:pPr>
        <w:spacing w:line="360" w:lineRule="auto"/>
        <w:ind w:firstLine="480" w:firstLineChars="200"/>
        <w:rPr>
          <w:rFonts w:ascii="宋体" w:hAnsi="宋体" w:cs="宋体"/>
          <w:sz w:val="24"/>
        </w:rPr>
      </w:pPr>
      <w:r>
        <w:rPr>
          <w:rFonts w:hint="eastAsia" w:ascii="宋体" w:hAnsi="宋体" w:cs="宋体"/>
          <w:sz w:val="24"/>
        </w:rPr>
        <w:t>7.提取流程：样本前处理、样本分样、样本破壁离心、样品裂解、核酸结合、磁珠漂洗、核酸洗脱。</w:t>
      </w:r>
    </w:p>
    <w:p w14:paraId="0B89FF27">
      <w:pPr>
        <w:spacing w:line="360" w:lineRule="auto"/>
        <w:ind w:firstLine="480" w:firstLineChars="200"/>
        <w:rPr>
          <w:rFonts w:ascii="宋体" w:hAnsi="宋体" w:cs="宋体"/>
          <w:sz w:val="24"/>
        </w:rPr>
      </w:pPr>
      <w:r>
        <w:rPr>
          <w:rFonts w:hint="eastAsia" w:ascii="宋体" w:hAnsi="宋体" w:cs="宋体"/>
          <w:sz w:val="24"/>
        </w:rPr>
        <w:t>8.试剂组成及规格：每盒包含附带研磨珠的裂解管≥48管、预分装板≥3板、磁棒套≥6条，每盒的检测量≥48T</w:t>
      </w:r>
    </w:p>
    <w:p w14:paraId="750469AC">
      <w:pPr>
        <w:spacing w:line="360" w:lineRule="auto"/>
        <w:ind w:firstLine="480" w:firstLineChars="200"/>
        <w:rPr>
          <w:rFonts w:ascii="宋体" w:hAnsi="宋体" w:cs="宋体"/>
          <w:sz w:val="24"/>
        </w:rPr>
      </w:pPr>
      <w:r>
        <w:rPr>
          <w:rFonts w:hint="eastAsia" w:ascii="宋体" w:hAnsi="宋体" w:cs="宋体"/>
          <w:sz w:val="24"/>
        </w:rPr>
        <w:t>9.售后服务保障：试剂在使用过程中，如有任何问题，保证2小时内答复，4小时内到达用户现场解决问题，直至保证试剂能够正常使用。在应急突发、节假日期间如遇急需试剂可24小时随时响应，2小时内将试剂和工程师到达用户现场，如遇夜间4小时内送达用户现场。</w:t>
      </w:r>
    </w:p>
    <w:p w14:paraId="799FEBEF">
      <w:pPr>
        <w:spacing w:line="360" w:lineRule="auto"/>
        <w:ind w:firstLine="482" w:firstLineChars="200"/>
        <w:rPr>
          <w:rFonts w:ascii="宋体" w:hAnsi="宋体" w:cs="宋体"/>
          <w:b/>
          <w:bCs/>
          <w:sz w:val="24"/>
        </w:rPr>
      </w:pPr>
      <w:r>
        <w:rPr>
          <w:rFonts w:hint="eastAsia" w:ascii="宋体" w:hAnsi="宋体" w:cs="宋体"/>
          <w:b/>
          <w:bCs/>
          <w:sz w:val="24"/>
        </w:rPr>
        <w:t>标的名称25：登革病毒I型/II型/III型/IV型/通用型核酸多重实时荧光PCR检测试剂盒</w:t>
      </w:r>
    </w:p>
    <w:p w14:paraId="4527251C">
      <w:pPr>
        <w:spacing w:line="360" w:lineRule="auto"/>
        <w:ind w:firstLine="480" w:firstLineChars="200"/>
        <w:rPr>
          <w:rFonts w:ascii="宋体" w:hAnsi="宋体" w:cs="宋体"/>
          <w:sz w:val="24"/>
        </w:rPr>
      </w:pPr>
      <w:r>
        <w:rPr>
          <w:rFonts w:hint="eastAsia" w:ascii="宋体" w:hAnsi="宋体" w:cs="宋体"/>
          <w:sz w:val="24"/>
        </w:rPr>
        <w:t>1.适用范围：适用于定性检测从全血或血清及其培养物中提取的登革病毒I型、II型、III型、IV型和通用型的核酸。</w:t>
      </w:r>
    </w:p>
    <w:p w14:paraId="4ACAA824">
      <w:pPr>
        <w:spacing w:line="360" w:lineRule="auto"/>
        <w:ind w:firstLine="480" w:firstLineChars="200"/>
        <w:rPr>
          <w:rFonts w:ascii="宋体" w:hAnsi="宋体" w:cs="宋体"/>
          <w:sz w:val="24"/>
        </w:rPr>
      </w:pPr>
      <w:r>
        <w:rPr>
          <w:rFonts w:hint="eastAsia" w:ascii="宋体" w:hAnsi="宋体" w:cs="宋体"/>
          <w:sz w:val="24"/>
        </w:rPr>
        <w:t>2.适用机型：开放型平台，可适用于各种多通道校正的全自动荧光PCR检测仪。</w:t>
      </w:r>
    </w:p>
    <w:p w14:paraId="6E386C01">
      <w:pPr>
        <w:spacing w:line="360" w:lineRule="auto"/>
        <w:ind w:firstLine="480" w:firstLineChars="200"/>
        <w:rPr>
          <w:rFonts w:ascii="宋体" w:hAnsi="宋体" w:cs="宋体"/>
          <w:sz w:val="24"/>
        </w:rPr>
      </w:pPr>
      <w:r>
        <w:rPr>
          <w:rFonts w:hint="eastAsia" w:ascii="宋体" w:hAnsi="宋体" w:cs="宋体"/>
          <w:sz w:val="24"/>
        </w:rPr>
        <w:t>3.检测技术：多重实时荧光PCR技术。</w:t>
      </w:r>
    </w:p>
    <w:p w14:paraId="61CCA24A">
      <w:pPr>
        <w:spacing w:line="360" w:lineRule="auto"/>
        <w:ind w:firstLine="480" w:firstLineChars="200"/>
        <w:rPr>
          <w:rFonts w:ascii="宋体" w:hAnsi="宋体" w:cs="宋体"/>
          <w:sz w:val="24"/>
        </w:rPr>
      </w:pPr>
      <w:r>
        <w:rPr>
          <w:rFonts w:hint="eastAsia" w:ascii="宋体" w:hAnsi="宋体" w:cs="宋体"/>
          <w:sz w:val="24"/>
        </w:rPr>
        <w:t>4.反应体系：可根据需要提供1管全混体系和除酶以外1管预混液体系包装，同品牌多个不同试剂可使用同一扩增程序上机使用。反应理论时间≤38min，反应时长≤70min。</w:t>
      </w:r>
    </w:p>
    <w:p w14:paraId="29871FDC">
      <w:pPr>
        <w:spacing w:line="360" w:lineRule="auto"/>
        <w:ind w:firstLine="480" w:firstLineChars="200"/>
        <w:rPr>
          <w:rFonts w:ascii="宋体" w:hAnsi="宋体" w:cs="宋体"/>
          <w:sz w:val="24"/>
        </w:rPr>
      </w:pPr>
      <w:r>
        <w:rPr>
          <w:rFonts w:hint="eastAsia" w:ascii="PingFang SC" w:hAnsi="PingFang SC" w:eastAsia="PingFang SC" w:cs="PingFang SC"/>
          <w:sz w:val="24"/>
        </w:rPr>
        <w:t>▲</w:t>
      </w:r>
      <w:r>
        <w:rPr>
          <w:rFonts w:hint="eastAsia" w:ascii="宋体" w:hAnsi="宋体" w:cs="宋体"/>
          <w:sz w:val="24"/>
        </w:rPr>
        <w:t>5.检测性能：灵敏度最低500copies/mL，与其他病原菌均无交叉反应。</w:t>
      </w:r>
    </w:p>
    <w:p w14:paraId="133ABC2C">
      <w:pPr>
        <w:spacing w:line="360" w:lineRule="auto"/>
        <w:ind w:firstLine="480" w:firstLineChars="200"/>
        <w:rPr>
          <w:rFonts w:ascii="宋体" w:hAnsi="宋体" w:cs="宋体"/>
          <w:sz w:val="24"/>
        </w:rPr>
      </w:pPr>
      <w:r>
        <w:rPr>
          <w:rFonts w:hint="eastAsia" w:ascii="宋体" w:hAnsi="宋体" w:cs="宋体"/>
          <w:sz w:val="24"/>
        </w:rPr>
        <w:t>6.质量控制：含有1管阴性对照和1管阳性对照。</w:t>
      </w:r>
    </w:p>
    <w:p w14:paraId="3CBEB0E4">
      <w:pPr>
        <w:spacing w:line="360" w:lineRule="auto"/>
        <w:ind w:firstLine="480" w:firstLineChars="200"/>
        <w:rPr>
          <w:rFonts w:ascii="宋体" w:hAnsi="宋体" w:cs="宋体"/>
          <w:sz w:val="24"/>
        </w:rPr>
      </w:pPr>
      <w:r>
        <w:rPr>
          <w:rFonts w:hint="eastAsia" w:ascii="宋体" w:hAnsi="宋体" w:cs="宋体"/>
          <w:sz w:val="24"/>
        </w:rPr>
        <w:t>7.结果判读：可免费提供试剂盒同品牌的多病原核酸检测结果判读软件，一键即可完成多种病原体的结果判读，判读的试剂盒种类应覆盖≥500种常见病原微生物的核酸检测试剂盒。</w:t>
      </w:r>
    </w:p>
    <w:p w14:paraId="0AF28D76">
      <w:pPr>
        <w:spacing w:line="360" w:lineRule="auto"/>
        <w:ind w:firstLine="480" w:firstLineChars="200"/>
        <w:rPr>
          <w:rFonts w:ascii="宋体" w:hAnsi="宋体" w:cs="宋体"/>
          <w:sz w:val="24"/>
        </w:rPr>
      </w:pPr>
      <w:r>
        <w:rPr>
          <w:rFonts w:hint="eastAsia" w:ascii="宋体" w:hAnsi="宋体" w:cs="宋体"/>
          <w:sz w:val="24"/>
        </w:rPr>
        <w:t>8.有效期：-20±5℃保存，有效期不低于12个月，冻融次数≥7次,可同时提供25T或50T包装。</w:t>
      </w:r>
    </w:p>
    <w:p w14:paraId="4E883B41">
      <w:pPr>
        <w:spacing w:line="360" w:lineRule="auto"/>
        <w:ind w:firstLine="480" w:firstLineChars="200"/>
        <w:rPr>
          <w:rFonts w:ascii="宋体" w:hAnsi="宋体" w:cs="宋体"/>
          <w:sz w:val="24"/>
        </w:rPr>
      </w:pPr>
      <w:r>
        <w:rPr>
          <w:rFonts w:hint="eastAsia" w:ascii="宋体" w:hAnsi="宋体" w:cs="宋体"/>
          <w:sz w:val="24"/>
        </w:rPr>
        <w:t>9.售后服务保障：试剂在使用过程中，如有任何问题，保证2小时内答复，4小时内到达用户现场解决问题，直至保证试剂能够正常使用。在应急突发、节假日期间如遇急需试剂可24小时随时响应，2小时内将试剂和工程师到达用户现场，如遇夜间4小时内送达用户现场。</w:t>
      </w:r>
    </w:p>
    <w:p w14:paraId="3BD75914">
      <w:pPr>
        <w:spacing w:line="360" w:lineRule="auto"/>
        <w:ind w:firstLine="482" w:firstLineChars="200"/>
        <w:rPr>
          <w:rFonts w:ascii="宋体" w:hAnsi="宋体" w:cs="宋体"/>
          <w:b/>
          <w:bCs/>
          <w:sz w:val="24"/>
        </w:rPr>
      </w:pPr>
      <w:r>
        <w:rPr>
          <w:rFonts w:hint="eastAsia" w:ascii="宋体" w:hAnsi="宋体" w:cs="宋体"/>
          <w:b/>
          <w:bCs/>
          <w:sz w:val="24"/>
        </w:rPr>
        <w:t>标的名称26：EA-H1N1/禽流感病毒H3/H5/H7/H9/H10亚型核酸多重实时荧光PCR检测试剂盒</w:t>
      </w:r>
    </w:p>
    <w:p w14:paraId="287F2E2E">
      <w:pPr>
        <w:spacing w:line="360" w:lineRule="auto"/>
        <w:ind w:firstLine="480" w:firstLineChars="200"/>
        <w:rPr>
          <w:rFonts w:ascii="宋体" w:hAnsi="宋体" w:cs="宋体"/>
          <w:sz w:val="24"/>
        </w:rPr>
      </w:pPr>
      <w:r>
        <w:rPr>
          <w:rFonts w:hint="eastAsia" w:ascii="宋体" w:hAnsi="宋体" w:cs="宋体"/>
          <w:sz w:val="24"/>
        </w:rPr>
        <w:t>1.适用范围：适用于定性检测从咽拭子、鼻拭子、痰液和环境样本中提取的甲型流感病毒、欧亚类禽型H1N1猪流感病毒、禽流感病毒H3亚型、H5亚型、H7亚型、H9亚型和H10亚型的核酸。</w:t>
      </w:r>
    </w:p>
    <w:p w14:paraId="51A48A9A">
      <w:pPr>
        <w:spacing w:line="360" w:lineRule="auto"/>
        <w:ind w:firstLine="480" w:firstLineChars="200"/>
        <w:rPr>
          <w:rFonts w:ascii="宋体" w:hAnsi="宋体" w:cs="宋体"/>
          <w:sz w:val="24"/>
        </w:rPr>
      </w:pPr>
      <w:r>
        <w:rPr>
          <w:rFonts w:hint="eastAsia" w:ascii="宋体" w:hAnsi="宋体" w:cs="宋体"/>
          <w:sz w:val="24"/>
        </w:rPr>
        <w:t>2.适用机型：开放型平台，可适用于各种多通道校正的全自动荧光PCR检测仪。</w:t>
      </w:r>
    </w:p>
    <w:p w14:paraId="111B81E9">
      <w:pPr>
        <w:spacing w:line="360" w:lineRule="auto"/>
        <w:ind w:firstLine="480" w:firstLineChars="200"/>
        <w:rPr>
          <w:rFonts w:ascii="宋体" w:hAnsi="宋体" w:cs="宋体"/>
          <w:sz w:val="24"/>
        </w:rPr>
      </w:pPr>
      <w:r>
        <w:rPr>
          <w:rFonts w:hint="eastAsia" w:ascii="宋体" w:hAnsi="宋体" w:cs="宋体"/>
          <w:sz w:val="24"/>
        </w:rPr>
        <w:t>3.检测技术：多重实时荧光PCR技术。</w:t>
      </w:r>
    </w:p>
    <w:p w14:paraId="5E9D99FF">
      <w:pPr>
        <w:spacing w:line="360" w:lineRule="auto"/>
        <w:ind w:firstLine="480" w:firstLineChars="200"/>
        <w:rPr>
          <w:rFonts w:ascii="宋体" w:hAnsi="宋体" w:cs="宋体"/>
          <w:sz w:val="24"/>
        </w:rPr>
      </w:pPr>
      <w:r>
        <w:rPr>
          <w:rFonts w:hint="eastAsia" w:ascii="宋体" w:hAnsi="宋体" w:cs="宋体"/>
          <w:sz w:val="24"/>
        </w:rPr>
        <w:t>4.反应体系：可根据需要提供1管全混体系和除酶以外1管预混液体系包装，同品牌多个不同试剂可使用同一扩增程序上机使用。反应理论时间≤38min，反应时长≤70min。</w:t>
      </w:r>
    </w:p>
    <w:p w14:paraId="057617AF">
      <w:pPr>
        <w:spacing w:line="360" w:lineRule="auto"/>
        <w:ind w:firstLine="480" w:firstLineChars="200"/>
        <w:rPr>
          <w:rFonts w:ascii="宋体" w:hAnsi="宋体" w:cs="宋体"/>
          <w:sz w:val="24"/>
        </w:rPr>
      </w:pPr>
      <w:r>
        <w:rPr>
          <w:rFonts w:hint="eastAsia" w:ascii="PingFang SC" w:hAnsi="PingFang SC" w:eastAsia="PingFang SC" w:cs="PingFang SC"/>
          <w:sz w:val="24"/>
        </w:rPr>
        <w:t>▲</w:t>
      </w:r>
      <w:r>
        <w:rPr>
          <w:rFonts w:hint="eastAsia" w:ascii="宋体" w:hAnsi="宋体" w:cs="宋体"/>
          <w:sz w:val="24"/>
        </w:rPr>
        <w:t>5.检测性能：灵敏度最低500copies/mL，与其他病原菌均无交叉反应。</w:t>
      </w:r>
    </w:p>
    <w:p w14:paraId="68F5C4FC">
      <w:pPr>
        <w:spacing w:line="360" w:lineRule="auto"/>
        <w:ind w:firstLine="480" w:firstLineChars="200"/>
        <w:rPr>
          <w:rFonts w:ascii="宋体" w:hAnsi="宋体" w:cs="宋体"/>
          <w:sz w:val="24"/>
        </w:rPr>
      </w:pPr>
      <w:r>
        <w:rPr>
          <w:rFonts w:hint="eastAsia" w:ascii="宋体" w:hAnsi="宋体" w:cs="宋体"/>
          <w:sz w:val="24"/>
        </w:rPr>
        <w:t>6.质量控制：含有1管阴性对照和1管阳性对照。</w:t>
      </w:r>
    </w:p>
    <w:p w14:paraId="2CB537DB">
      <w:pPr>
        <w:spacing w:line="360" w:lineRule="auto"/>
        <w:ind w:firstLine="480" w:firstLineChars="200"/>
        <w:rPr>
          <w:rFonts w:ascii="宋体" w:hAnsi="宋体" w:cs="宋体"/>
          <w:sz w:val="24"/>
        </w:rPr>
      </w:pPr>
      <w:r>
        <w:rPr>
          <w:rFonts w:hint="eastAsia" w:ascii="宋体" w:hAnsi="宋体" w:cs="宋体"/>
          <w:sz w:val="24"/>
        </w:rPr>
        <w:t>7.结果判读：可免费提供试剂盒同品牌的多病原核酸检测结果判读软件，一键即可完成多种病原体的结果判读，判读的试剂盒种类应覆盖≥500种常见病原微生物的核酸检测试剂盒。</w:t>
      </w:r>
    </w:p>
    <w:p w14:paraId="5DA38E3B">
      <w:pPr>
        <w:spacing w:line="360" w:lineRule="auto"/>
        <w:ind w:firstLine="480" w:firstLineChars="200"/>
        <w:rPr>
          <w:rFonts w:ascii="宋体" w:hAnsi="宋体" w:cs="宋体"/>
          <w:sz w:val="24"/>
        </w:rPr>
      </w:pPr>
      <w:r>
        <w:rPr>
          <w:rFonts w:hint="eastAsia" w:ascii="宋体" w:hAnsi="宋体" w:cs="宋体"/>
          <w:sz w:val="24"/>
        </w:rPr>
        <w:t>8.有效期：-20±5℃保存，有效期不低于12个月，冻融次数≥7次,可同时提供25T或50T包装。</w:t>
      </w:r>
    </w:p>
    <w:p w14:paraId="1A8AABAB">
      <w:pPr>
        <w:spacing w:line="360" w:lineRule="auto"/>
        <w:ind w:firstLine="480" w:firstLineChars="200"/>
        <w:rPr>
          <w:rFonts w:ascii="宋体" w:hAnsi="宋体" w:cs="宋体"/>
          <w:sz w:val="24"/>
        </w:rPr>
      </w:pPr>
      <w:r>
        <w:rPr>
          <w:rFonts w:hint="eastAsia" w:ascii="宋体" w:hAnsi="宋体" w:cs="宋体"/>
          <w:sz w:val="24"/>
        </w:rPr>
        <w:t>9.生产质量：为保证生产厂家试剂的生产质量，要求生产环境需进行日常的环境监测。</w:t>
      </w:r>
    </w:p>
    <w:p w14:paraId="0993A66D">
      <w:pPr>
        <w:spacing w:line="360" w:lineRule="auto"/>
        <w:ind w:firstLine="480" w:firstLineChars="200"/>
        <w:rPr>
          <w:rFonts w:ascii="宋体" w:hAnsi="宋体" w:cs="宋体"/>
          <w:sz w:val="24"/>
        </w:rPr>
      </w:pPr>
      <w:r>
        <w:rPr>
          <w:rFonts w:hint="eastAsia" w:ascii="宋体" w:hAnsi="宋体" w:cs="宋体"/>
          <w:sz w:val="24"/>
        </w:rPr>
        <w:t>10.售后服务保障：试剂在使用过程中，如有任何问题，保证2小时内答复，4小时内到达用户现场解决问题，直至保证试剂能够正常使用。在应急突发、节假日期间如遇急需试剂可24小时随时响应，2小时内将试剂和工程师到达用户现场，如遇夜间4小时内送达用户现场。</w:t>
      </w:r>
    </w:p>
    <w:p w14:paraId="3F8732CC">
      <w:pPr>
        <w:spacing w:line="360" w:lineRule="auto"/>
        <w:ind w:firstLine="482" w:firstLineChars="200"/>
        <w:rPr>
          <w:rFonts w:ascii="宋体" w:hAnsi="宋体" w:cs="宋体"/>
          <w:b/>
          <w:bCs/>
          <w:sz w:val="24"/>
        </w:rPr>
      </w:pPr>
      <w:r>
        <w:rPr>
          <w:rFonts w:hint="eastAsia" w:ascii="宋体" w:hAnsi="宋体" w:cs="宋体"/>
          <w:b/>
          <w:bCs/>
          <w:sz w:val="24"/>
        </w:rPr>
        <w:t>标的名称27：猴痘病毒分支I/II/Ia/Ib/通用型核酸多重实时荧光PCR检测试剂盒</w:t>
      </w:r>
    </w:p>
    <w:p w14:paraId="37004359">
      <w:pPr>
        <w:spacing w:line="360" w:lineRule="auto"/>
        <w:ind w:firstLine="480" w:firstLineChars="200"/>
        <w:rPr>
          <w:rFonts w:ascii="宋体" w:hAnsi="宋体" w:cs="宋体"/>
          <w:sz w:val="24"/>
        </w:rPr>
      </w:pPr>
      <w:r>
        <w:rPr>
          <w:rFonts w:hint="eastAsia" w:ascii="宋体" w:hAnsi="宋体" w:cs="宋体"/>
          <w:sz w:val="24"/>
        </w:rPr>
        <w:t>1.适用范围：适用于定性检测从鼻拭子、咽拭子、唾液、尿液、皮损组织、渗出液、血液等临床样本中提取的猴痘病毒分支I、II、Ia、Ib和通用型的核酸。</w:t>
      </w:r>
    </w:p>
    <w:p w14:paraId="1AC63D96">
      <w:pPr>
        <w:spacing w:line="360" w:lineRule="auto"/>
        <w:ind w:firstLine="480" w:firstLineChars="200"/>
        <w:rPr>
          <w:rFonts w:ascii="宋体" w:hAnsi="宋体" w:cs="宋体"/>
          <w:sz w:val="24"/>
        </w:rPr>
      </w:pPr>
      <w:r>
        <w:rPr>
          <w:rFonts w:hint="eastAsia" w:ascii="宋体" w:hAnsi="宋体" w:cs="宋体"/>
          <w:sz w:val="24"/>
        </w:rPr>
        <w:t>2.适用机型：开放型平台，可适用于各种多通道校正的全自动荧光PCR检测仪。</w:t>
      </w:r>
    </w:p>
    <w:p w14:paraId="077BEB2F">
      <w:pPr>
        <w:spacing w:line="360" w:lineRule="auto"/>
        <w:ind w:firstLine="480" w:firstLineChars="200"/>
        <w:rPr>
          <w:rFonts w:ascii="宋体" w:hAnsi="宋体" w:cs="宋体"/>
          <w:sz w:val="24"/>
        </w:rPr>
      </w:pPr>
      <w:r>
        <w:rPr>
          <w:rFonts w:hint="eastAsia" w:ascii="宋体" w:hAnsi="宋体" w:cs="宋体"/>
          <w:sz w:val="24"/>
        </w:rPr>
        <w:t>3.检测技术：多重实时荧光PCR技术。</w:t>
      </w:r>
    </w:p>
    <w:p w14:paraId="14C77580">
      <w:pPr>
        <w:spacing w:line="360" w:lineRule="auto"/>
        <w:ind w:firstLine="480" w:firstLineChars="200"/>
        <w:rPr>
          <w:rFonts w:ascii="宋体" w:hAnsi="宋体" w:cs="宋体"/>
          <w:sz w:val="24"/>
        </w:rPr>
      </w:pPr>
      <w:r>
        <w:rPr>
          <w:rFonts w:hint="eastAsia" w:ascii="宋体" w:hAnsi="宋体" w:cs="宋体"/>
          <w:sz w:val="24"/>
        </w:rPr>
        <w:t>4.反应体系：可根据需要提供1管全混体系和除酶以外1管预混液体系包装，同品牌多个不同试剂可使用同一扩增程序上机使用。反应理论时间≤28min，反应时长≤60min。</w:t>
      </w:r>
    </w:p>
    <w:p w14:paraId="6E43D7BB">
      <w:pPr>
        <w:spacing w:line="360" w:lineRule="auto"/>
        <w:ind w:firstLine="480" w:firstLineChars="200"/>
        <w:rPr>
          <w:rFonts w:ascii="宋体" w:hAnsi="宋体" w:cs="宋体"/>
          <w:sz w:val="24"/>
        </w:rPr>
      </w:pPr>
      <w:r>
        <w:rPr>
          <w:rFonts w:hint="eastAsia" w:ascii="PingFang SC" w:hAnsi="PingFang SC" w:eastAsia="PingFang SC" w:cs="PingFang SC"/>
          <w:sz w:val="24"/>
        </w:rPr>
        <w:t>▲</w:t>
      </w:r>
      <w:r>
        <w:rPr>
          <w:rFonts w:hint="eastAsia" w:ascii="宋体" w:hAnsi="宋体" w:cs="宋体"/>
          <w:sz w:val="24"/>
        </w:rPr>
        <w:t>5.检测性能：灵敏度最低500copies/mL，与其他病原菌均无交叉反应。</w:t>
      </w:r>
    </w:p>
    <w:p w14:paraId="78805487">
      <w:pPr>
        <w:spacing w:line="360" w:lineRule="auto"/>
        <w:ind w:firstLine="480" w:firstLineChars="200"/>
        <w:rPr>
          <w:rFonts w:ascii="宋体" w:hAnsi="宋体" w:cs="宋体"/>
          <w:sz w:val="24"/>
        </w:rPr>
      </w:pPr>
      <w:r>
        <w:rPr>
          <w:rFonts w:hint="eastAsia" w:ascii="宋体" w:hAnsi="宋体" w:cs="宋体"/>
          <w:sz w:val="24"/>
        </w:rPr>
        <w:t>6.质量控制：含有1管阴性对照和1管阳性对照。</w:t>
      </w:r>
    </w:p>
    <w:p w14:paraId="5BBF7DCC">
      <w:pPr>
        <w:spacing w:line="360" w:lineRule="auto"/>
        <w:ind w:firstLine="480" w:firstLineChars="200"/>
        <w:rPr>
          <w:rFonts w:ascii="宋体" w:hAnsi="宋体" w:cs="宋体"/>
          <w:sz w:val="24"/>
        </w:rPr>
      </w:pPr>
      <w:r>
        <w:rPr>
          <w:rFonts w:hint="eastAsia" w:ascii="宋体" w:hAnsi="宋体" w:cs="宋体"/>
          <w:sz w:val="24"/>
        </w:rPr>
        <w:t>7.结果判读：可免费提供试剂盒同品牌的多病原核酸检测结果判读软件，一键即可完成多种病原体的结果判读，判读的试剂盒种类应覆盖≥500种常见病原微生物的核酸检测试剂盒。</w:t>
      </w:r>
    </w:p>
    <w:p w14:paraId="7FBF25E4">
      <w:pPr>
        <w:spacing w:line="360" w:lineRule="auto"/>
        <w:ind w:firstLine="480" w:firstLineChars="200"/>
        <w:rPr>
          <w:rFonts w:ascii="宋体" w:hAnsi="宋体" w:cs="宋体"/>
          <w:sz w:val="24"/>
        </w:rPr>
      </w:pPr>
      <w:r>
        <w:rPr>
          <w:rFonts w:hint="eastAsia" w:ascii="宋体" w:hAnsi="宋体" w:cs="宋体"/>
          <w:sz w:val="24"/>
        </w:rPr>
        <w:t>8.有效期：-20±5℃保存，有效期不低于12个月，冻融次数≥7次,可同时提供25T或50T包装。</w:t>
      </w:r>
    </w:p>
    <w:p w14:paraId="6DE3FB7E">
      <w:pPr>
        <w:spacing w:line="360" w:lineRule="auto"/>
        <w:ind w:firstLine="480" w:firstLineChars="200"/>
        <w:rPr>
          <w:rFonts w:ascii="宋体" w:hAnsi="宋体" w:cs="宋体"/>
          <w:sz w:val="24"/>
        </w:rPr>
      </w:pPr>
      <w:r>
        <w:rPr>
          <w:rFonts w:hint="eastAsia" w:ascii="宋体" w:hAnsi="宋体" w:cs="宋体"/>
          <w:sz w:val="24"/>
        </w:rPr>
        <w:t>9.生产质量：为保证生产厂家试剂的生产质量，要求生产环境需进行日常的环境监测。</w:t>
      </w:r>
    </w:p>
    <w:p w14:paraId="3F6BD915">
      <w:pPr>
        <w:spacing w:line="360" w:lineRule="auto"/>
        <w:ind w:firstLine="480" w:firstLineChars="200"/>
        <w:rPr>
          <w:rFonts w:ascii="宋体" w:hAnsi="宋体" w:cs="宋体"/>
          <w:sz w:val="24"/>
        </w:rPr>
      </w:pPr>
      <w:r>
        <w:rPr>
          <w:rFonts w:hint="eastAsia" w:ascii="宋体" w:hAnsi="宋体" w:cs="宋体"/>
          <w:sz w:val="24"/>
        </w:rPr>
        <w:t>10.售后服务保障：试剂在使用过程中，如有任何问题，保证2小时内答复，4小时内到达用户现场解决问题，直至保证试剂能够正常使用。在应急突发、节假日期间如遇急需试剂可24小时随时响应，2小时内将试剂和工程师到达用户现场，如遇夜间4小时内送达用户现场。</w:t>
      </w:r>
    </w:p>
    <w:p w14:paraId="73424917">
      <w:pPr>
        <w:spacing w:line="360" w:lineRule="auto"/>
        <w:ind w:firstLine="482" w:firstLineChars="200"/>
        <w:rPr>
          <w:rFonts w:ascii="宋体" w:hAnsi="宋体" w:cs="宋体"/>
          <w:b/>
          <w:bCs/>
          <w:sz w:val="24"/>
        </w:rPr>
      </w:pPr>
      <w:r>
        <w:rPr>
          <w:rFonts w:hint="eastAsia" w:ascii="宋体" w:hAnsi="宋体" w:cs="宋体"/>
          <w:b/>
          <w:bCs/>
          <w:sz w:val="24"/>
        </w:rPr>
        <w:t>标的名称28：札如病毒/腺病毒/星状病毒，三重荧光PCR试剂盒</w:t>
      </w:r>
    </w:p>
    <w:p w14:paraId="5865E12C">
      <w:pPr>
        <w:spacing w:line="360" w:lineRule="auto"/>
        <w:ind w:firstLine="480" w:firstLineChars="200"/>
        <w:rPr>
          <w:rFonts w:ascii="宋体" w:hAnsi="宋体" w:cs="宋体"/>
          <w:sz w:val="24"/>
        </w:rPr>
      </w:pPr>
      <w:r>
        <w:rPr>
          <w:rFonts w:hint="eastAsia" w:ascii="宋体" w:hAnsi="宋体" w:cs="宋体"/>
          <w:sz w:val="24"/>
        </w:rPr>
        <w:t>1.适用范围：适用于定性检测从粪便、肛拭子和呕吐物中提取的札如病毒、腺病毒和星状病毒的核酸。</w:t>
      </w:r>
    </w:p>
    <w:p w14:paraId="46B3F6B7">
      <w:pPr>
        <w:spacing w:line="360" w:lineRule="auto"/>
        <w:ind w:firstLine="480" w:firstLineChars="200"/>
        <w:rPr>
          <w:rFonts w:ascii="宋体" w:hAnsi="宋体" w:cs="宋体"/>
          <w:sz w:val="24"/>
        </w:rPr>
      </w:pPr>
      <w:r>
        <w:rPr>
          <w:rFonts w:hint="eastAsia" w:ascii="宋体" w:hAnsi="宋体" w:cs="宋体"/>
          <w:sz w:val="24"/>
        </w:rPr>
        <w:t>2.适用机型：开放型平台，可适用于各种多通道校正的全自动荧光PCR检测仪。</w:t>
      </w:r>
    </w:p>
    <w:p w14:paraId="5C00F9A0">
      <w:pPr>
        <w:spacing w:line="360" w:lineRule="auto"/>
        <w:ind w:firstLine="480" w:firstLineChars="200"/>
        <w:rPr>
          <w:rFonts w:ascii="宋体" w:hAnsi="宋体" w:cs="宋体"/>
          <w:sz w:val="24"/>
        </w:rPr>
      </w:pPr>
      <w:r>
        <w:rPr>
          <w:rFonts w:hint="eastAsia" w:ascii="宋体" w:hAnsi="宋体" w:cs="宋体"/>
          <w:sz w:val="24"/>
        </w:rPr>
        <w:t>3.检测技术：多重实时荧光PCR技术。</w:t>
      </w:r>
    </w:p>
    <w:p w14:paraId="38BBE157">
      <w:pPr>
        <w:spacing w:line="360" w:lineRule="auto"/>
        <w:ind w:firstLine="480" w:firstLineChars="200"/>
        <w:rPr>
          <w:rFonts w:ascii="宋体" w:hAnsi="宋体" w:cs="宋体"/>
          <w:sz w:val="24"/>
        </w:rPr>
      </w:pPr>
      <w:r>
        <w:rPr>
          <w:rFonts w:hint="eastAsia" w:ascii="宋体" w:hAnsi="宋体" w:cs="宋体"/>
          <w:sz w:val="24"/>
        </w:rPr>
        <w:t>4.反应体系：可根据需要提供1管全混体系和除酶以外1管预混液体系包装，同品牌多个不同试剂可使用同一扩增程序上机使用。反应理论时间≤38min，反应时长≤70min。</w:t>
      </w:r>
    </w:p>
    <w:p w14:paraId="4602EAF8">
      <w:pPr>
        <w:spacing w:line="360" w:lineRule="auto"/>
        <w:ind w:firstLine="480" w:firstLineChars="200"/>
        <w:rPr>
          <w:rFonts w:ascii="宋体" w:hAnsi="宋体" w:cs="宋体"/>
          <w:sz w:val="24"/>
        </w:rPr>
      </w:pPr>
      <w:r>
        <w:rPr>
          <w:rFonts w:hint="eastAsia" w:ascii="PingFang SC" w:hAnsi="PingFang SC" w:eastAsia="PingFang SC" w:cs="PingFang SC"/>
          <w:sz w:val="24"/>
        </w:rPr>
        <w:t>▲</w:t>
      </w:r>
      <w:r>
        <w:rPr>
          <w:rFonts w:hint="eastAsia" w:ascii="宋体" w:hAnsi="宋体" w:cs="宋体"/>
          <w:sz w:val="24"/>
        </w:rPr>
        <w:t>5.检测性能：灵敏度最低500copies/mL，与其他病原菌均无交叉反应。</w:t>
      </w:r>
    </w:p>
    <w:p w14:paraId="5E763946">
      <w:pPr>
        <w:spacing w:line="360" w:lineRule="auto"/>
        <w:ind w:firstLine="480" w:firstLineChars="200"/>
        <w:rPr>
          <w:rFonts w:ascii="宋体" w:hAnsi="宋体" w:cs="宋体"/>
          <w:sz w:val="24"/>
        </w:rPr>
      </w:pPr>
      <w:r>
        <w:rPr>
          <w:rFonts w:hint="eastAsia" w:ascii="宋体" w:hAnsi="宋体" w:cs="宋体"/>
          <w:sz w:val="24"/>
        </w:rPr>
        <w:t>6.质量控制：含有1管阴性对照和</w:t>
      </w:r>
      <w:r>
        <w:rPr>
          <w:rFonts w:ascii="宋体" w:hAnsi="宋体" w:cs="宋体"/>
          <w:sz w:val="24"/>
        </w:rPr>
        <w:t>1管阳性对照</w:t>
      </w:r>
      <w:r>
        <w:rPr>
          <w:rFonts w:hint="eastAsia" w:ascii="宋体" w:hAnsi="宋体" w:cs="宋体"/>
          <w:sz w:val="24"/>
        </w:rPr>
        <w:t>。</w:t>
      </w:r>
    </w:p>
    <w:p w14:paraId="78B0E0B4">
      <w:pPr>
        <w:spacing w:line="360" w:lineRule="auto"/>
        <w:ind w:firstLine="480" w:firstLineChars="200"/>
        <w:rPr>
          <w:rFonts w:ascii="宋体" w:hAnsi="宋体" w:cs="宋体"/>
          <w:sz w:val="24"/>
        </w:rPr>
      </w:pPr>
      <w:r>
        <w:rPr>
          <w:rFonts w:hint="eastAsia" w:ascii="宋体" w:hAnsi="宋体" w:cs="宋体"/>
          <w:sz w:val="24"/>
        </w:rPr>
        <w:t>7</w:t>
      </w:r>
      <w:r>
        <w:rPr>
          <w:rFonts w:ascii="宋体" w:hAnsi="宋体" w:cs="宋体"/>
          <w:sz w:val="24"/>
        </w:rPr>
        <w:t>.评价/检测报告：</w:t>
      </w:r>
      <w:r>
        <w:rPr>
          <w:rFonts w:hint="eastAsia" w:ascii="宋体" w:hAnsi="宋体" w:cs="宋体"/>
          <w:sz w:val="24"/>
        </w:rPr>
        <w:t>试剂盒具有性能评价报告，报告中的性能评价至少包含检出限、特异性、稳定性。</w:t>
      </w:r>
    </w:p>
    <w:p w14:paraId="246232D7">
      <w:pPr>
        <w:spacing w:line="360" w:lineRule="auto"/>
        <w:ind w:firstLine="480" w:firstLineChars="200"/>
        <w:rPr>
          <w:rFonts w:ascii="宋体" w:hAnsi="宋体" w:cs="宋体"/>
          <w:sz w:val="24"/>
        </w:rPr>
      </w:pPr>
      <w:r>
        <w:rPr>
          <w:rFonts w:hint="eastAsia" w:ascii="宋体" w:hAnsi="宋体" w:cs="宋体"/>
          <w:sz w:val="24"/>
        </w:rPr>
        <w:t>8.有效期：-20±5℃保存，有效期不低于12个月，冻融次数≥7次,可同时提供25T或50T包装。</w:t>
      </w:r>
    </w:p>
    <w:p w14:paraId="7C5A2802">
      <w:pPr>
        <w:spacing w:line="360" w:lineRule="auto"/>
        <w:ind w:firstLine="480" w:firstLineChars="200"/>
        <w:rPr>
          <w:rFonts w:ascii="宋体" w:hAnsi="宋体" w:cs="宋体"/>
          <w:sz w:val="24"/>
        </w:rPr>
      </w:pPr>
      <w:r>
        <w:rPr>
          <w:rFonts w:hint="eastAsia" w:ascii="宋体" w:hAnsi="宋体" w:cs="宋体"/>
          <w:sz w:val="24"/>
        </w:rPr>
        <w:t>9.生产质量：为保证生产厂家试剂的生产质量，要求生产环境需进行日常的环境监测。</w:t>
      </w:r>
    </w:p>
    <w:p w14:paraId="4954A4B1">
      <w:pPr>
        <w:spacing w:line="360" w:lineRule="auto"/>
        <w:ind w:firstLine="480" w:firstLineChars="200"/>
        <w:rPr>
          <w:rFonts w:ascii="宋体" w:hAnsi="宋体" w:cs="宋体"/>
          <w:sz w:val="24"/>
        </w:rPr>
      </w:pPr>
      <w:r>
        <w:rPr>
          <w:rFonts w:hint="eastAsia" w:ascii="宋体" w:hAnsi="宋体" w:cs="宋体"/>
          <w:sz w:val="24"/>
        </w:rPr>
        <w:t>10.售后服务保障：试剂在使用过程中，如有任何问题，保证2小时内答复，4小时内到达用户现场解决问题，直至保证试剂能够正常使用。在应急突发、节假日期间如遇急需试剂可24小时随时响应，2小时内将试剂和工程师到达用户现场，如遇夜间4小时内送达用户现场。</w:t>
      </w:r>
    </w:p>
    <w:p w14:paraId="6DAE8FBE">
      <w:pPr>
        <w:spacing w:line="360" w:lineRule="auto"/>
        <w:ind w:firstLine="482" w:firstLineChars="200"/>
        <w:rPr>
          <w:rFonts w:ascii="宋体" w:hAnsi="宋体" w:cs="宋体"/>
          <w:b/>
          <w:bCs/>
          <w:sz w:val="24"/>
        </w:rPr>
      </w:pPr>
      <w:r>
        <w:rPr>
          <w:rFonts w:hint="eastAsia" w:ascii="宋体" w:hAnsi="宋体" w:cs="宋体"/>
          <w:b/>
          <w:bCs/>
          <w:sz w:val="24"/>
        </w:rPr>
        <w:t>标的名称29：A组轮状病毒诺如病毒GⅠ诺如病毒GⅡ核酸三重实时荧光PCR检测试剂盒</w:t>
      </w:r>
    </w:p>
    <w:p w14:paraId="7FF33768">
      <w:pPr>
        <w:spacing w:line="360" w:lineRule="auto"/>
        <w:ind w:firstLine="480" w:firstLineChars="200"/>
        <w:rPr>
          <w:rFonts w:ascii="宋体" w:hAnsi="宋体" w:cs="宋体"/>
          <w:sz w:val="24"/>
        </w:rPr>
      </w:pPr>
      <w:r>
        <w:rPr>
          <w:rFonts w:hint="eastAsia" w:ascii="宋体" w:hAnsi="宋体" w:cs="宋体"/>
          <w:sz w:val="24"/>
        </w:rPr>
        <w:t>1.适用范围：适用于定性检测从粪便、肛拭子和呕吐物中提取的A组轮状病毒、GⅠ型诺如病毒、GⅡ型诺如病毒的核酸。</w:t>
      </w:r>
    </w:p>
    <w:p w14:paraId="2034DFC3">
      <w:pPr>
        <w:spacing w:line="360" w:lineRule="auto"/>
        <w:ind w:firstLine="480" w:firstLineChars="200"/>
        <w:rPr>
          <w:rFonts w:ascii="宋体" w:hAnsi="宋体" w:cs="宋体"/>
          <w:sz w:val="24"/>
        </w:rPr>
      </w:pPr>
      <w:r>
        <w:rPr>
          <w:rFonts w:hint="eastAsia" w:ascii="宋体" w:hAnsi="宋体" w:cs="宋体"/>
          <w:sz w:val="24"/>
        </w:rPr>
        <w:t>2.适用机型：开放型平台，可适用于各种多通道校正的全自动荧光PCR检测仪。</w:t>
      </w:r>
    </w:p>
    <w:p w14:paraId="48D5D167">
      <w:pPr>
        <w:spacing w:line="360" w:lineRule="auto"/>
        <w:ind w:firstLine="480" w:firstLineChars="200"/>
        <w:rPr>
          <w:rFonts w:ascii="宋体" w:hAnsi="宋体" w:cs="宋体"/>
          <w:sz w:val="24"/>
        </w:rPr>
      </w:pPr>
      <w:r>
        <w:rPr>
          <w:rFonts w:hint="eastAsia" w:ascii="宋体" w:hAnsi="宋体" w:cs="宋体"/>
          <w:sz w:val="24"/>
        </w:rPr>
        <w:t>3.检测技术：多重实时荧光PCR技术。</w:t>
      </w:r>
    </w:p>
    <w:p w14:paraId="397EDFAD">
      <w:pPr>
        <w:spacing w:line="360" w:lineRule="auto"/>
        <w:ind w:firstLine="480" w:firstLineChars="200"/>
        <w:rPr>
          <w:rFonts w:ascii="宋体" w:hAnsi="宋体" w:cs="宋体"/>
          <w:sz w:val="24"/>
        </w:rPr>
      </w:pPr>
      <w:r>
        <w:rPr>
          <w:rFonts w:hint="eastAsia" w:ascii="宋体" w:hAnsi="宋体" w:cs="宋体"/>
          <w:sz w:val="24"/>
        </w:rPr>
        <w:t>4.反应体系：可根据需要提供1管全混体系和除酶以外1管预混液体系包装，同品牌多个不同试剂可使用同一扩增程序上机使用。反应理论时间≤38min，反应时长≤70min。</w:t>
      </w:r>
    </w:p>
    <w:p w14:paraId="2E9B3F03">
      <w:pPr>
        <w:spacing w:line="360" w:lineRule="auto"/>
        <w:ind w:firstLine="480" w:firstLineChars="200"/>
        <w:rPr>
          <w:rFonts w:ascii="宋体" w:hAnsi="宋体" w:cs="宋体"/>
          <w:sz w:val="24"/>
        </w:rPr>
      </w:pPr>
      <w:r>
        <w:rPr>
          <w:rFonts w:hint="eastAsia" w:ascii="PingFang SC" w:hAnsi="PingFang SC" w:eastAsia="PingFang SC" w:cs="PingFang SC"/>
          <w:sz w:val="24"/>
        </w:rPr>
        <w:t>▲</w:t>
      </w:r>
      <w:r>
        <w:rPr>
          <w:rFonts w:hint="eastAsia" w:ascii="宋体" w:hAnsi="宋体" w:cs="宋体"/>
          <w:sz w:val="24"/>
        </w:rPr>
        <w:t>5.检测性能：灵敏度最低500copies/mL，与其他病原菌均无交叉反应。</w:t>
      </w:r>
    </w:p>
    <w:p w14:paraId="1C1F5B86">
      <w:pPr>
        <w:spacing w:line="360" w:lineRule="auto"/>
        <w:ind w:firstLine="480" w:firstLineChars="200"/>
        <w:rPr>
          <w:rFonts w:ascii="宋体" w:hAnsi="宋体" w:cs="宋体"/>
          <w:sz w:val="24"/>
        </w:rPr>
      </w:pPr>
      <w:r>
        <w:rPr>
          <w:rFonts w:hint="eastAsia" w:ascii="宋体" w:hAnsi="宋体" w:cs="宋体"/>
          <w:sz w:val="24"/>
        </w:rPr>
        <w:t>6.质量控制：含有1管阴性对照和1管阳性对照。</w:t>
      </w:r>
    </w:p>
    <w:p w14:paraId="4D0BD930">
      <w:pPr>
        <w:spacing w:line="360" w:lineRule="auto"/>
        <w:ind w:firstLine="480" w:firstLineChars="200"/>
        <w:rPr>
          <w:rFonts w:ascii="宋体" w:hAnsi="宋体" w:cs="宋体"/>
          <w:sz w:val="24"/>
        </w:rPr>
      </w:pPr>
      <w:r>
        <w:rPr>
          <w:rFonts w:hint="eastAsia" w:ascii="宋体" w:hAnsi="宋体" w:cs="宋体"/>
          <w:sz w:val="24"/>
        </w:rPr>
        <w:t>7.评价/检测报告：试剂盒具有性能评价报告，报告中的性能评价至少包含检出限、特异性、稳定性。</w:t>
      </w:r>
    </w:p>
    <w:p w14:paraId="2B38D084">
      <w:pPr>
        <w:spacing w:line="360" w:lineRule="auto"/>
        <w:ind w:firstLine="480" w:firstLineChars="200"/>
        <w:rPr>
          <w:rFonts w:ascii="宋体" w:hAnsi="宋体" w:cs="宋体"/>
          <w:sz w:val="24"/>
        </w:rPr>
      </w:pPr>
      <w:r>
        <w:rPr>
          <w:rFonts w:hint="eastAsia" w:ascii="宋体" w:hAnsi="宋体" w:cs="宋体"/>
          <w:sz w:val="24"/>
        </w:rPr>
        <w:t>8.有效期：-20±5℃保存，有效期不低于12个月，冻融次数≥7次,可同时提供25T或50T包装。</w:t>
      </w:r>
    </w:p>
    <w:p w14:paraId="6E337695">
      <w:pPr>
        <w:spacing w:line="360" w:lineRule="auto"/>
        <w:ind w:firstLine="480" w:firstLineChars="200"/>
        <w:rPr>
          <w:rFonts w:ascii="宋体" w:hAnsi="宋体" w:cs="宋体"/>
          <w:sz w:val="24"/>
        </w:rPr>
      </w:pPr>
      <w:r>
        <w:rPr>
          <w:rFonts w:hint="eastAsia" w:ascii="宋体" w:hAnsi="宋体" w:cs="宋体"/>
          <w:sz w:val="24"/>
        </w:rPr>
        <w:t>9.生产质量：为保证生产厂家试剂的生产质量，要求生产环境需进行日常的环境监测。</w:t>
      </w:r>
    </w:p>
    <w:p w14:paraId="30547025">
      <w:pPr>
        <w:spacing w:line="360" w:lineRule="auto"/>
        <w:ind w:firstLine="480" w:firstLineChars="200"/>
        <w:rPr>
          <w:rFonts w:ascii="宋体" w:hAnsi="宋体" w:cs="宋体"/>
          <w:sz w:val="24"/>
        </w:rPr>
      </w:pPr>
      <w:r>
        <w:rPr>
          <w:rFonts w:hint="eastAsia" w:ascii="宋体" w:hAnsi="宋体" w:cs="宋体"/>
          <w:sz w:val="24"/>
        </w:rPr>
        <w:t>10.售后服务保障：试剂在使用过程中，如有任何问题，保证2小时内答复，4小时内到达用户现场解决问题，直至保证试剂能够正常使用。在应急突发、节假日期间如遇急需试剂可24小时随时响应，2小时内将试剂和工程师到达用户现场，如遇夜间4小时内送达用户现场。</w:t>
      </w:r>
    </w:p>
    <w:p w14:paraId="63E7DF5F">
      <w:pPr>
        <w:spacing w:line="360" w:lineRule="auto"/>
        <w:ind w:firstLine="482" w:firstLineChars="200"/>
        <w:rPr>
          <w:rFonts w:ascii="宋体" w:hAnsi="宋体" w:cs="宋体"/>
          <w:b/>
          <w:bCs/>
          <w:sz w:val="24"/>
        </w:rPr>
      </w:pPr>
      <w:r>
        <w:rPr>
          <w:rFonts w:hint="eastAsia" w:ascii="宋体" w:hAnsi="宋体" w:cs="宋体"/>
          <w:b/>
          <w:bCs/>
          <w:sz w:val="24"/>
        </w:rPr>
        <w:t>标的名称30：甲型乙型甲型H1N1亚型季节性H3亚型人类流感病毒核酸四重实时荧光PCR检测试剂盒</w:t>
      </w:r>
    </w:p>
    <w:p w14:paraId="0ECD38EE">
      <w:pPr>
        <w:spacing w:line="360" w:lineRule="auto"/>
        <w:ind w:firstLine="480" w:firstLineChars="200"/>
        <w:rPr>
          <w:rFonts w:ascii="宋体" w:hAnsi="宋体" w:cs="宋体"/>
          <w:sz w:val="24"/>
        </w:rPr>
      </w:pPr>
      <w:r>
        <w:rPr>
          <w:rFonts w:hint="eastAsia" w:ascii="宋体" w:hAnsi="宋体" w:cs="宋体"/>
          <w:sz w:val="24"/>
        </w:rPr>
        <w:t>1.适用范围：适用于定性检测从咽拭子、鼻拭子和痰液中提取的甲型、乙型、甲型H1N1亚型和季节性H3亚型人类流感病毒的核酸。</w:t>
      </w:r>
    </w:p>
    <w:p w14:paraId="3C7B5A44">
      <w:pPr>
        <w:spacing w:line="360" w:lineRule="auto"/>
        <w:ind w:firstLine="480" w:firstLineChars="200"/>
        <w:rPr>
          <w:rFonts w:ascii="宋体" w:hAnsi="宋体" w:cs="宋体"/>
          <w:sz w:val="24"/>
        </w:rPr>
      </w:pPr>
      <w:r>
        <w:rPr>
          <w:rFonts w:hint="eastAsia" w:ascii="宋体" w:hAnsi="宋体" w:cs="宋体"/>
          <w:sz w:val="24"/>
        </w:rPr>
        <w:t>2.适用机型：开放型平台，可适用于各种多通道校正的全自动荧光PCR检测仪。</w:t>
      </w:r>
    </w:p>
    <w:p w14:paraId="783FA3E7">
      <w:pPr>
        <w:spacing w:line="360" w:lineRule="auto"/>
        <w:ind w:firstLine="480" w:firstLineChars="200"/>
        <w:rPr>
          <w:rFonts w:ascii="宋体" w:hAnsi="宋体" w:cs="宋体"/>
          <w:sz w:val="24"/>
        </w:rPr>
      </w:pPr>
      <w:r>
        <w:rPr>
          <w:rFonts w:hint="eastAsia" w:ascii="宋体" w:hAnsi="宋体" w:cs="宋体"/>
          <w:sz w:val="24"/>
        </w:rPr>
        <w:t>3.检测技术：多重实时荧光PCR技术。</w:t>
      </w:r>
    </w:p>
    <w:p w14:paraId="66F6007D">
      <w:pPr>
        <w:spacing w:line="360" w:lineRule="auto"/>
        <w:ind w:firstLine="480" w:firstLineChars="200"/>
        <w:rPr>
          <w:rFonts w:ascii="宋体" w:hAnsi="宋体" w:cs="宋体"/>
          <w:sz w:val="24"/>
        </w:rPr>
      </w:pPr>
      <w:r>
        <w:rPr>
          <w:rFonts w:hint="eastAsia" w:ascii="宋体" w:hAnsi="宋体" w:cs="宋体"/>
          <w:sz w:val="24"/>
        </w:rPr>
        <w:t>4.反应体系：可根据需要提供1管全混体系和除酶以外1管预混液体系包装，同品牌多个不同试剂可使用同一扩增程序上机使用。反应理论时间≤38min，反应时长≤70min。</w:t>
      </w:r>
    </w:p>
    <w:p w14:paraId="6C0F456D">
      <w:pPr>
        <w:spacing w:line="360" w:lineRule="auto"/>
        <w:ind w:firstLine="480" w:firstLineChars="200"/>
        <w:rPr>
          <w:rFonts w:ascii="宋体" w:hAnsi="宋体" w:cs="宋体"/>
          <w:sz w:val="24"/>
        </w:rPr>
      </w:pPr>
      <w:r>
        <w:rPr>
          <w:rFonts w:hint="eastAsia" w:ascii="PingFang SC" w:hAnsi="PingFang SC" w:eastAsia="PingFang SC" w:cs="PingFang SC"/>
          <w:sz w:val="24"/>
        </w:rPr>
        <w:t>▲</w:t>
      </w:r>
      <w:r>
        <w:rPr>
          <w:rFonts w:hint="eastAsia" w:ascii="宋体" w:hAnsi="宋体" w:cs="宋体"/>
          <w:sz w:val="24"/>
        </w:rPr>
        <w:t>5.检测性能：灵敏度最低500copies/mL，与其他病原菌均无交叉反应。</w:t>
      </w:r>
    </w:p>
    <w:p w14:paraId="6699A126">
      <w:pPr>
        <w:spacing w:line="360" w:lineRule="auto"/>
        <w:ind w:firstLine="480" w:firstLineChars="200"/>
        <w:rPr>
          <w:rFonts w:ascii="宋体" w:hAnsi="宋体" w:cs="宋体"/>
          <w:sz w:val="24"/>
        </w:rPr>
      </w:pPr>
      <w:r>
        <w:rPr>
          <w:rFonts w:hint="eastAsia" w:ascii="宋体" w:hAnsi="宋体" w:cs="宋体"/>
          <w:sz w:val="24"/>
        </w:rPr>
        <w:t>6.质量控制：含有1管阴性对照和1管阳性对照。</w:t>
      </w:r>
    </w:p>
    <w:p w14:paraId="229F9EE5">
      <w:pPr>
        <w:spacing w:line="360" w:lineRule="auto"/>
        <w:ind w:firstLine="480" w:firstLineChars="200"/>
        <w:rPr>
          <w:rFonts w:ascii="宋体" w:hAnsi="宋体" w:cs="宋体"/>
          <w:sz w:val="24"/>
        </w:rPr>
      </w:pPr>
      <w:r>
        <w:rPr>
          <w:rFonts w:hint="eastAsia" w:ascii="宋体" w:hAnsi="宋体" w:cs="宋体"/>
          <w:sz w:val="24"/>
        </w:rPr>
        <w:t>7.性能验证报告：试剂盒具有性能评价报告，报告中的性能评价至少包含检出限、特异性、稳定性。</w:t>
      </w:r>
    </w:p>
    <w:p w14:paraId="62B1B4E2">
      <w:pPr>
        <w:spacing w:line="360" w:lineRule="auto"/>
        <w:ind w:firstLine="480" w:firstLineChars="200"/>
        <w:rPr>
          <w:rFonts w:ascii="宋体" w:hAnsi="宋体" w:cs="宋体"/>
          <w:sz w:val="24"/>
        </w:rPr>
      </w:pPr>
      <w:r>
        <w:rPr>
          <w:rFonts w:hint="eastAsia" w:ascii="宋体" w:hAnsi="宋体" w:cs="宋体"/>
          <w:sz w:val="24"/>
        </w:rPr>
        <w:t>8.有效期：-20±5℃保存，有效期不低于12个月，冻融次数≥7次,可同时提供25T或50T包装。</w:t>
      </w:r>
    </w:p>
    <w:p w14:paraId="18ECE1BD">
      <w:pPr>
        <w:spacing w:line="360" w:lineRule="auto"/>
        <w:ind w:firstLine="480" w:firstLineChars="200"/>
        <w:rPr>
          <w:rFonts w:ascii="宋体" w:hAnsi="宋体" w:cs="宋体"/>
          <w:sz w:val="24"/>
        </w:rPr>
      </w:pPr>
      <w:r>
        <w:rPr>
          <w:rFonts w:hint="eastAsia" w:ascii="宋体" w:hAnsi="宋体" w:cs="宋体"/>
          <w:sz w:val="24"/>
        </w:rPr>
        <w:t>9.生产质量：为保证生产厂家试剂的生产质量，要求生产环境需进行日常的环境监测。</w:t>
      </w:r>
    </w:p>
    <w:p w14:paraId="5DA40473">
      <w:pPr>
        <w:spacing w:line="360" w:lineRule="auto"/>
        <w:ind w:firstLine="480" w:firstLineChars="200"/>
        <w:rPr>
          <w:rFonts w:ascii="宋体" w:hAnsi="宋体" w:cs="宋体"/>
          <w:sz w:val="24"/>
        </w:rPr>
      </w:pPr>
      <w:r>
        <w:rPr>
          <w:rFonts w:hint="eastAsia" w:ascii="宋体" w:hAnsi="宋体" w:cs="宋体"/>
          <w:sz w:val="24"/>
        </w:rPr>
        <w:t>10.售后服务保障：试剂在使用过程中，如有任何问题，保证2小时内答复，4小时内到达用户现场解决问题，直至保证试剂能够正常使用。在应急突发、节假日期间如遇急需试剂可24小时随时响应，2小时内将试剂和工程师到达用户现场，如遇夜间4小时内送达用户现场。</w:t>
      </w:r>
    </w:p>
    <w:p w14:paraId="2603EC1F">
      <w:pPr>
        <w:spacing w:line="360" w:lineRule="auto"/>
        <w:ind w:firstLine="482" w:firstLineChars="200"/>
        <w:rPr>
          <w:rFonts w:ascii="宋体" w:hAnsi="宋体" w:cs="宋体"/>
          <w:b/>
          <w:bCs/>
          <w:sz w:val="24"/>
        </w:rPr>
      </w:pPr>
      <w:r>
        <w:rPr>
          <w:rFonts w:hint="eastAsia" w:ascii="宋体" w:hAnsi="宋体" w:cs="宋体"/>
          <w:b/>
          <w:bCs/>
          <w:sz w:val="24"/>
        </w:rPr>
        <w:t>标的名称31：四种疟原虫和疟原虫通用型核酸多重实时荧光PCR检测试剂盒</w:t>
      </w:r>
    </w:p>
    <w:p w14:paraId="67B5F039">
      <w:pPr>
        <w:spacing w:line="360" w:lineRule="auto"/>
        <w:ind w:firstLine="480" w:firstLineChars="200"/>
        <w:rPr>
          <w:rFonts w:ascii="宋体" w:hAnsi="宋体" w:cs="宋体"/>
          <w:sz w:val="24"/>
        </w:rPr>
      </w:pPr>
      <w:r>
        <w:rPr>
          <w:rFonts w:hint="eastAsia" w:ascii="宋体" w:hAnsi="宋体" w:cs="宋体"/>
          <w:sz w:val="24"/>
        </w:rPr>
        <w:t>1.适用范围：适用于定性检测从人全血样本中提取的四种疟原虫（包括三日疟原虫、间日疟原虫、卵形疟原虫和恶性疟原虫）和疟原虫通用型核酸。</w:t>
      </w:r>
    </w:p>
    <w:p w14:paraId="20BCE81D">
      <w:pPr>
        <w:spacing w:line="360" w:lineRule="auto"/>
        <w:ind w:firstLine="480" w:firstLineChars="200"/>
        <w:rPr>
          <w:rFonts w:ascii="宋体" w:hAnsi="宋体" w:cs="宋体"/>
          <w:sz w:val="24"/>
        </w:rPr>
      </w:pPr>
      <w:r>
        <w:rPr>
          <w:rFonts w:hint="eastAsia" w:ascii="宋体" w:hAnsi="宋体" w:cs="宋体"/>
          <w:sz w:val="24"/>
        </w:rPr>
        <w:t>2.适用机型：开放型平台，可适用于各种多通道校正的全自动荧光PCR检测仪。</w:t>
      </w:r>
    </w:p>
    <w:p w14:paraId="43125EAC">
      <w:pPr>
        <w:spacing w:line="360" w:lineRule="auto"/>
        <w:ind w:firstLine="480" w:firstLineChars="200"/>
        <w:rPr>
          <w:rFonts w:ascii="宋体" w:hAnsi="宋体" w:cs="宋体"/>
          <w:sz w:val="24"/>
        </w:rPr>
      </w:pPr>
      <w:r>
        <w:rPr>
          <w:rFonts w:hint="eastAsia" w:ascii="宋体" w:hAnsi="宋体" w:cs="宋体"/>
          <w:sz w:val="24"/>
        </w:rPr>
        <w:t>3.检测技术：多重实时荧光PCR技术。</w:t>
      </w:r>
    </w:p>
    <w:p w14:paraId="4EE406F4">
      <w:pPr>
        <w:spacing w:line="360" w:lineRule="auto"/>
        <w:ind w:firstLine="480" w:firstLineChars="200"/>
        <w:rPr>
          <w:rFonts w:ascii="宋体" w:hAnsi="宋体" w:cs="宋体"/>
          <w:sz w:val="24"/>
        </w:rPr>
      </w:pPr>
      <w:r>
        <w:rPr>
          <w:rFonts w:hint="eastAsia" w:ascii="宋体" w:hAnsi="宋体" w:cs="宋体"/>
          <w:sz w:val="24"/>
        </w:rPr>
        <w:t>4.反应体系：可根据需要提供1管全混体系和除酶以外1管预混液体系包装，同品牌多个不同试剂可使用同一扩增程序上机使用。反应理论时间≤28min，反应时长≤60min。</w:t>
      </w:r>
    </w:p>
    <w:p w14:paraId="2A2E1EB1">
      <w:pPr>
        <w:spacing w:line="360" w:lineRule="auto"/>
        <w:ind w:firstLine="480" w:firstLineChars="200"/>
        <w:rPr>
          <w:rFonts w:ascii="宋体" w:hAnsi="宋体" w:cs="宋体"/>
          <w:sz w:val="24"/>
        </w:rPr>
      </w:pPr>
      <w:r>
        <w:rPr>
          <w:rFonts w:hint="eastAsia" w:ascii="PingFang SC" w:hAnsi="PingFang SC" w:eastAsia="PingFang SC" w:cs="PingFang SC"/>
          <w:sz w:val="24"/>
        </w:rPr>
        <w:t>▲</w:t>
      </w:r>
      <w:r>
        <w:rPr>
          <w:rFonts w:hint="eastAsia" w:ascii="宋体" w:hAnsi="宋体" w:cs="宋体"/>
          <w:sz w:val="24"/>
        </w:rPr>
        <w:t>5.检测性能：灵敏度最低500copies/mL，与其他病原菌均无交叉反应。</w:t>
      </w:r>
    </w:p>
    <w:p w14:paraId="2D7C5AFC">
      <w:pPr>
        <w:spacing w:line="360" w:lineRule="auto"/>
        <w:ind w:firstLine="480" w:firstLineChars="200"/>
        <w:rPr>
          <w:rFonts w:ascii="宋体" w:hAnsi="宋体" w:cs="宋体"/>
          <w:sz w:val="24"/>
        </w:rPr>
      </w:pPr>
      <w:r>
        <w:rPr>
          <w:rFonts w:hint="eastAsia" w:ascii="宋体" w:hAnsi="宋体" w:cs="宋体"/>
          <w:sz w:val="24"/>
        </w:rPr>
        <w:t>6.质量控制：含有1管阴性对照和1管阳性对照。</w:t>
      </w:r>
    </w:p>
    <w:p w14:paraId="3A4DB72A">
      <w:pPr>
        <w:spacing w:line="360" w:lineRule="auto"/>
        <w:ind w:firstLine="480" w:firstLineChars="200"/>
        <w:rPr>
          <w:rFonts w:ascii="宋体" w:hAnsi="宋体" w:cs="宋体"/>
          <w:sz w:val="24"/>
        </w:rPr>
      </w:pPr>
      <w:r>
        <w:rPr>
          <w:rFonts w:hint="eastAsia" w:ascii="宋体" w:hAnsi="宋体" w:cs="宋体"/>
          <w:sz w:val="24"/>
        </w:rPr>
        <w:t>7.结果判读：可免费提供试剂盒同品牌的多病原核酸检测结果判读软件，一键即可完成多种病原体的结果判读，判读的试剂盒种类应覆盖≥500种常见病原微生物的核酸检测试剂盒。</w:t>
      </w:r>
    </w:p>
    <w:p w14:paraId="5E15DA3E">
      <w:pPr>
        <w:spacing w:line="360" w:lineRule="auto"/>
        <w:ind w:firstLine="480" w:firstLineChars="200"/>
        <w:rPr>
          <w:rFonts w:ascii="宋体" w:hAnsi="宋体" w:cs="宋体"/>
          <w:sz w:val="24"/>
        </w:rPr>
      </w:pPr>
      <w:r>
        <w:rPr>
          <w:rFonts w:hint="eastAsia" w:ascii="宋体" w:hAnsi="宋体" w:cs="宋体"/>
          <w:sz w:val="24"/>
        </w:rPr>
        <w:t>8.有效期：-20±5℃保存，有效期不低于12个月，冻融次数≥7次,可同时提供25T或50T包装。</w:t>
      </w:r>
    </w:p>
    <w:p w14:paraId="1E9391B2">
      <w:pPr>
        <w:spacing w:line="360" w:lineRule="auto"/>
        <w:ind w:firstLine="480" w:firstLineChars="200"/>
        <w:rPr>
          <w:rFonts w:ascii="宋体" w:hAnsi="宋体" w:cs="宋体"/>
          <w:sz w:val="24"/>
        </w:rPr>
      </w:pPr>
      <w:r>
        <w:rPr>
          <w:rFonts w:hint="eastAsia" w:ascii="宋体" w:hAnsi="宋体" w:cs="宋体"/>
          <w:sz w:val="24"/>
        </w:rPr>
        <w:t>9.生产质量：为保证生产厂家试剂的生产质量，要求生产环境需进行日常的环境监测。</w:t>
      </w:r>
    </w:p>
    <w:p w14:paraId="1114B546">
      <w:pPr>
        <w:spacing w:line="360" w:lineRule="auto"/>
        <w:ind w:firstLine="480" w:firstLineChars="200"/>
        <w:rPr>
          <w:rFonts w:ascii="宋体" w:hAnsi="宋体" w:cs="宋体"/>
          <w:sz w:val="24"/>
        </w:rPr>
      </w:pPr>
      <w:r>
        <w:rPr>
          <w:rFonts w:hint="eastAsia" w:ascii="宋体" w:hAnsi="宋体" w:cs="宋体"/>
          <w:sz w:val="24"/>
        </w:rPr>
        <w:t>10.售后服务保障：试剂在使用过程中，如有任何问题，保证2小时内答复，4小时内到达用户现场解决问题，直至保证试剂能够正常使用。在应急突发、节假日期间如遇急需试剂可24小时随时响应，2小时内将试剂和工程师到达用户现场，如遇夜间4小时内送达用户现场。</w:t>
      </w:r>
    </w:p>
    <w:p w14:paraId="73DE42AE">
      <w:pPr>
        <w:spacing w:line="360" w:lineRule="auto"/>
        <w:ind w:firstLine="482" w:firstLineChars="200"/>
        <w:rPr>
          <w:rFonts w:ascii="宋体" w:hAnsi="宋体" w:cs="宋体"/>
          <w:b/>
          <w:bCs/>
          <w:sz w:val="24"/>
        </w:rPr>
      </w:pPr>
      <w:r>
        <w:rPr>
          <w:rFonts w:hint="eastAsia" w:ascii="宋体" w:hAnsi="宋体" w:cs="宋体"/>
          <w:b/>
          <w:bCs/>
          <w:sz w:val="24"/>
        </w:rPr>
        <w:t>标的名称32：白喉棒状杆菌tox毒力基因双重实时荧光PCR检测试剂盒</w:t>
      </w:r>
    </w:p>
    <w:p w14:paraId="269EA8EF">
      <w:pPr>
        <w:spacing w:line="360" w:lineRule="auto"/>
        <w:ind w:firstLine="480" w:firstLineChars="200"/>
        <w:rPr>
          <w:rFonts w:ascii="宋体" w:hAnsi="宋体" w:cs="宋体"/>
          <w:sz w:val="24"/>
        </w:rPr>
      </w:pPr>
      <w:r>
        <w:rPr>
          <w:rFonts w:hint="eastAsia" w:ascii="宋体" w:hAnsi="宋体" w:cs="宋体"/>
          <w:sz w:val="24"/>
        </w:rPr>
        <w:t>1.适用范围：适用于定性检测从临床样本中提取的白喉棒状杆菌种属和tox毒力基因的定性检测。</w:t>
      </w:r>
    </w:p>
    <w:p w14:paraId="67316A4C">
      <w:pPr>
        <w:spacing w:line="360" w:lineRule="auto"/>
        <w:ind w:firstLine="480" w:firstLineChars="200"/>
        <w:rPr>
          <w:rFonts w:ascii="宋体" w:hAnsi="宋体" w:cs="宋体"/>
          <w:sz w:val="24"/>
        </w:rPr>
      </w:pPr>
      <w:r>
        <w:rPr>
          <w:rFonts w:hint="eastAsia" w:ascii="宋体" w:hAnsi="宋体" w:cs="宋体"/>
          <w:sz w:val="24"/>
        </w:rPr>
        <w:t>2.适用机型：开放型平台，可适用于各种多通道校正的全自动荧光PCR检测仪。</w:t>
      </w:r>
    </w:p>
    <w:p w14:paraId="48849F62">
      <w:pPr>
        <w:spacing w:line="360" w:lineRule="auto"/>
        <w:ind w:firstLine="480" w:firstLineChars="200"/>
        <w:rPr>
          <w:rFonts w:ascii="宋体" w:hAnsi="宋体" w:cs="宋体"/>
          <w:sz w:val="24"/>
        </w:rPr>
      </w:pPr>
      <w:r>
        <w:rPr>
          <w:rFonts w:hint="eastAsia" w:ascii="宋体" w:hAnsi="宋体" w:cs="宋体"/>
          <w:sz w:val="24"/>
        </w:rPr>
        <w:t>3.检测技术：多重实时荧光PCR技术。</w:t>
      </w:r>
    </w:p>
    <w:p w14:paraId="7443C14E">
      <w:pPr>
        <w:spacing w:line="360" w:lineRule="auto"/>
        <w:ind w:firstLine="480" w:firstLineChars="200"/>
        <w:rPr>
          <w:rFonts w:ascii="宋体" w:hAnsi="宋体" w:cs="宋体"/>
          <w:sz w:val="24"/>
        </w:rPr>
      </w:pPr>
      <w:r>
        <w:rPr>
          <w:rFonts w:hint="eastAsia" w:ascii="宋体" w:hAnsi="宋体" w:cs="宋体"/>
          <w:sz w:val="24"/>
        </w:rPr>
        <w:t>4.反应体系：可根据需要提供1管全混体系和除酶以外1管预混液体系包装，同品牌多个不同试剂可使用同一扩增程序上机使用。反应理论时间≤28min，反应时长≤60min。</w:t>
      </w:r>
    </w:p>
    <w:p w14:paraId="0C9D3569">
      <w:pPr>
        <w:spacing w:line="360" w:lineRule="auto"/>
        <w:ind w:firstLine="480" w:firstLineChars="200"/>
        <w:rPr>
          <w:rFonts w:ascii="宋体" w:hAnsi="宋体" w:cs="宋体"/>
          <w:sz w:val="24"/>
        </w:rPr>
      </w:pPr>
      <w:r>
        <w:rPr>
          <w:rFonts w:hint="eastAsia" w:ascii="PingFang SC" w:hAnsi="PingFang SC" w:eastAsia="PingFang SC" w:cs="PingFang SC"/>
          <w:sz w:val="24"/>
        </w:rPr>
        <w:t>▲</w:t>
      </w:r>
      <w:r>
        <w:rPr>
          <w:rFonts w:hint="eastAsia" w:ascii="宋体" w:hAnsi="宋体" w:cs="宋体"/>
          <w:sz w:val="24"/>
        </w:rPr>
        <w:t>5.检测性能：灵敏度最低500copies/mL，与其他病原菌均无交叉反应。</w:t>
      </w:r>
    </w:p>
    <w:p w14:paraId="65160D7A">
      <w:pPr>
        <w:spacing w:line="360" w:lineRule="auto"/>
        <w:ind w:firstLine="480" w:firstLineChars="200"/>
        <w:rPr>
          <w:rFonts w:ascii="宋体" w:hAnsi="宋体" w:cs="宋体"/>
          <w:sz w:val="24"/>
        </w:rPr>
      </w:pPr>
      <w:r>
        <w:rPr>
          <w:rFonts w:hint="eastAsia" w:ascii="宋体" w:hAnsi="宋体" w:cs="宋体"/>
          <w:sz w:val="24"/>
        </w:rPr>
        <w:t>6.质量控制：含有1管阴性对照和1管阳性对照。</w:t>
      </w:r>
    </w:p>
    <w:p w14:paraId="34A677E8">
      <w:pPr>
        <w:spacing w:line="360" w:lineRule="auto"/>
        <w:ind w:firstLine="480" w:firstLineChars="200"/>
        <w:rPr>
          <w:rFonts w:ascii="宋体" w:hAnsi="宋体" w:cs="宋体"/>
          <w:sz w:val="24"/>
        </w:rPr>
      </w:pPr>
      <w:r>
        <w:rPr>
          <w:rFonts w:hint="eastAsia" w:ascii="宋体" w:hAnsi="宋体" w:cs="宋体"/>
          <w:sz w:val="24"/>
        </w:rPr>
        <w:t>7.结果判读：可免费提供试剂盒同品牌的多病原核酸检测结果判读软件，一键即可完成多种病原体的结果判读，判读的试剂盒种类应覆盖≥500种常见病原微生物的核酸检测试剂盒。</w:t>
      </w:r>
    </w:p>
    <w:p w14:paraId="38F79643">
      <w:pPr>
        <w:spacing w:line="360" w:lineRule="auto"/>
        <w:ind w:firstLine="480" w:firstLineChars="200"/>
        <w:rPr>
          <w:rFonts w:ascii="宋体" w:hAnsi="宋体" w:cs="宋体"/>
          <w:sz w:val="24"/>
        </w:rPr>
      </w:pPr>
      <w:r>
        <w:rPr>
          <w:rFonts w:hint="eastAsia" w:ascii="宋体" w:hAnsi="宋体" w:cs="宋体"/>
          <w:sz w:val="24"/>
        </w:rPr>
        <w:t>8.有效期：-20±5℃保存，有效期不低于12个月，冻融次数≥7次,可同时提供25T或50T包装。</w:t>
      </w:r>
    </w:p>
    <w:p w14:paraId="212CB0BB">
      <w:pPr>
        <w:spacing w:line="360" w:lineRule="auto"/>
        <w:ind w:firstLine="480" w:firstLineChars="200"/>
        <w:rPr>
          <w:rFonts w:ascii="宋体" w:hAnsi="宋体" w:cs="宋体"/>
          <w:sz w:val="24"/>
        </w:rPr>
      </w:pPr>
      <w:r>
        <w:rPr>
          <w:rFonts w:hint="eastAsia" w:ascii="宋体" w:hAnsi="宋体" w:cs="宋体"/>
          <w:sz w:val="24"/>
        </w:rPr>
        <w:t>9.生产质量：为保证生产厂家试剂的生产质量，要求生产环境需进行日常的环境监测。</w:t>
      </w:r>
    </w:p>
    <w:p w14:paraId="2E85FA22">
      <w:pPr>
        <w:spacing w:line="360" w:lineRule="auto"/>
        <w:ind w:firstLine="480" w:firstLineChars="200"/>
        <w:rPr>
          <w:rFonts w:ascii="宋体" w:hAnsi="宋体" w:cs="宋体"/>
          <w:sz w:val="24"/>
        </w:rPr>
      </w:pPr>
      <w:r>
        <w:rPr>
          <w:rFonts w:hint="eastAsia" w:ascii="宋体" w:hAnsi="宋体" w:cs="宋体"/>
          <w:sz w:val="24"/>
        </w:rPr>
        <w:t>10.售后服务保障：试剂在使用过程中，如有任何问题，保证2小时内答复，4小时内到达用户现场解决问题，直至保证试剂能够正常使用。在应急突发、节假日期间如遇急需试剂可24小时随时响应，2小时内将试剂和工程师到达用户现场，如遇夜间4小时内送达用户现场。</w:t>
      </w:r>
    </w:p>
    <w:p w14:paraId="5F918281">
      <w:pPr>
        <w:spacing w:line="360" w:lineRule="auto"/>
        <w:ind w:firstLine="482" w:firstLineChars="200"/>
        <w:rPr>
          <w:rFonts w:ascii="宋体" w:hAnsi="宋体" w:cs="宋体"/>
          <w:b/>
          <w:bCs/>
          <w:sz w:val="24"/>
        </w:rPr>
      </w:pPr>
      <w:r>
        <w:rPr>
          <w:rFonts w:hint="eastAsia" w:ascii="宋体" w:hAnsi="宋体" w:cs="宋体"/>
          <w:b/>
          <w:bCs/>
          <w:sz w:val="24"/>
        </w:rPr>
        <w:t>标的名称33：白喉棒状杆菌toxA/toxB毒力基因双重实时荧光PCR检测试剂盒</w:t>
      </w:r>
    </w:p>
    <w:p w14:paraId="4F1D12BC">
      <w:pPr>
        <w:spacing w:line="360" w:lineRule="auto"/>
        <w:ind w:firstLine="480" w:firstLineChars="200"/>
        <w:rPr>
          <w:rFonts w:ascii="宋体" w:hAnsi="宋体" w:cs="宋体"/>
          <w:sz w:val="24"/>
        </w:rPr>
      </w:pPr>
      <w:r>
        <w:rPr>
          <w:rFonts w:hint="eastAsia" w:ascii="宋体" w:hAnsi="宋体" w:cs="宋体"/>
          <w:sz w:val="24"/>
        </w:rPr>
        <w:t>1.适用范围：适用于定性检测从临床样本或培养物中提取的白喉棒状杆菌toxA/toxB毒力基因。</w:t>
      </w:r>
    </w:p>
    <w:p w14:paraId="38D37703">
      <w:pPr>
        <w:spacing w:line="360" w:lineRule="auto"/>
        <w:ind w:firstLine="480" w:firstLineChars="200"/>
        <w:rPr>
          <w:rFonts w:ascii="宋体" w:hAnsi="宋体" w:cs="宋体"/>
          <w:sz w:val="24"/>
        </w:rPr>
      </w:pPr>
      <w:r>
        <w:rPr>
          <w:rFonts w:hint="eastAsia" w:ascii="宋体" w:hAnsi="宋体" w:cs="宋体"/>
          <w:sz w:val="24"/>
        </w:rPr>
        <w:t>2.适用机型：开放型平台，可适用于各种多通道校正的全自动荧光PCR检测仪。</w:t>
      </w:r>
    </w:p>
    <w:p w14:paraId="1ED36D03">
      <w:pPr>
        <w:spacing w:line="360" w:lineRule="auto"/>
        <w:ind w:firstLine="480" w:firstLineChars="200"/>
        <w:rPr>
          <w:rFonts w:ascii="宋体" w:hAnsi="宋体" w:cs="宋体"/>
          <w:sz w:val="24"/>
        </w:rPr>
      </w:pPr>
      <w:r>
        <w:rPr>
          <w:rFonts w:hint="eastAsia" w:ascii="宋体" w:hAnsi="宋体" w:cs="宋体"/>
          <w:sz w:val="24"/>
        </w:rPr>
        <w:t>3.检测技术：多重实时荧光PCR技术。</w:t>
      </w:r>
    </w:p>
    <w:p w14:paraId="2FCB9096">
      <w:pPr>
        <w:spacing w:line="360" w:lineRule="auto"/>
        <w:ind w:firstLine="480" w:firstLineChars="200"/>
        <w:rPr>
          <w:rFonts w:ascii="宋体" w:hAnsi="宋体" w:cs="宋体"/>
          <w:sz w:val="24"/>
        </w:rPr>
      </w:pPr>
      <w:r>
        <w:rPr>
          <w:rFonts w:hint="eastAsia" w:ascii="宋体" w:hAnsi="宋体" w:cs="宋体"/>
          <w:sz w:val="24"/>
        </w:rPr>
        <w:t>4.反应体系：可根据需要提供1管全混体系和除酶以外1管预混液体系包装，同品牌多个不同试剂可使用同一扩增程序上机使用。反应理论时间≤28min，反应时长≤60min。</w:t>
      </w:r>
    </w:p>
    <w:p w14:paraId="1C440648">
      <w:pPr>
        <w:spacing w:line="360" w:lineRule="auto"/>
        <w:ind w:firstLine="480" w:firstLineChars="200"/>
        <w:rPr>
          <w:rFonts w:ascii="宋体" w:hAnsi="宋体" w:cs="宋体"/>
          <w:sz w:val="24"/>
        </w:rPr>
      </w:pPr>
      <w:r>
        <w:rPr>
          <w:rFonts w:hint="eastAsia" w:ascii="PingFang SC" w:hAnsi="PingFang SC" w:eastAsia="PingFang SC" w:cs="PingFang SC"/>
          <w:sz w:val="24"/>
        </w:rPr>
        <w:t>▲</w:t>
      </w:r>
      <w:r>
        <w:rPr>
          <w:rFonts w:hint="eastAsia" w:ascii="宋体" w:hAnsi="宋体" w:cs="宋体"/>
          <w:sz w:val="24"/>
        </w:rPr>
        <w:t>5.检测性能：灵敏度最低500copies/mL，与其他病原菌均无交叉反应。</w:t>
      </w:r>
    </w:p>
    <w:p w14:paraId="7089F328">
      <w:pPr>
        <w:spacing w:line="360" w:lineRule="auto"/>
        <w:ind w:firstLine="480" w:firstLineChars="200"/>
        <w:rPr>
          <w:rFonts w:ascii="宋体" w:hAnsi="宋体" w:cs="宋体"/>
          <w:sz w:val="24"/>
        </w:rPr>
      </w:pPr>
      <w:r>
        <w:rPr>
          <w:rFonts w:hint="eastAsia" w:ascii="宋体" w:hAnsi="宋体" w:cs="宋体"/>
          <w:sz w:val="24"/>
        </w:rPr>
        <w:t>6.质量控制：含有1管阴性对照和1管阳性对照。</w:t>
      </w:r>
    </w:p>
    <w:p w14:paraId="655C2B74">
      <w:pPr>
        <w:spacing w:line="360" w:lineRule="auto"/>
        <w:ind w:firstLine="480" w:firstLineChars="200"/>
        <w:rPr>
          <w:rFonts w:ascii="宋体" w:hAnsi="宋体" w:cs="宋体"/>
          <w:sz w:val="24"/>
        </w:rPr>
      </w:pPr>
      <w:r>
        <w:rPr>
          <w:rFonts w:hint="eastAsia" w:ascii="宋体" w:hAnsi="宋体" w:cs="宋体"/>
          <w:sz w:val="24"/>
        </w:rPr>
        <w:t>7.结果判读：可免费提供试剂盒同品牌的多病原核酸检测结果判读软件，一键即可完成多种病原体的结果判读，判读的试剂盒种类应覆盖≥500种常见病原微生物的核酸检测试剂盒。</w:t>
      </w:r>
    </w:p>
    <w:p w14:paraId="5F90712B">
      <w:pPr>
        <w:spacing w:line="360" w:lineRule="auto"/>
        <w:ind w:firstLine="480" w:firstLineChars="200"/>
        <w:rPr>
          <w:rFonts w:ascii="宋体" w:hAnsi="宋体" w:cs="宋体"/>
          <w:sz w:val="24"/>
        </w:rPr>
      </w:pPr>
      <w:r>
        <w:rPr>
          <w:rFonts w:hint="eastAsia" w:ascii="宋体" w:hAnsi="宋体" w:cs="宋体"/>
          <w:sz w:val="24"/>
        </w:rPr>
        <w:t>8.有效期：-20±5℃保存，有效期不低于12个月，冻融次数≥7次,可同时提供25T或50T包装。</w:t>
      </w:r>
    </w:p>
    <w:p w14:paraId="44DA79FE">
      <w:pPr>
        <w:spacing w:line="360" w:lineRule="auto"/>
        <w:ind w:firstLine="480" w:firstLineChars="200"/>
        <w:rPr>
          <w:rFonts w:ascii="宋体" w:hAnsi="宋体" w:cs="宋体"/>
          <w:sz w:val="24"/>
        </w:rPr>
      </w:pPr>
      <w:r>
        <w:rPr>
          <w:rFonts w:hint="eastAsia" w:ascii="宋体" w:hAnsi="宋体" w:cs="宋体"/>
          <w:sz w:val="24"/>
        </w:rPr>
        <w:t>9.生产质量：为保证生产厂家试剂的生产质量，要求生产环境需进行日常的环境监测。</w:t>
      </w:r>
    </w:p>
    <w:p w14:paraId="4AF3C418">
      <w:pPr>
        <w:spacing w:line="360" w:lineRule="auto"/>
        <w:ind w:firstLine="480" w:firstLineChars="200"/>
        <w:rPr>
          <w:rFonts w:ascii="宋体" w:hAnsi="宋体" w:cs="宋体"/>
          <w:sz w:val="24"/>
        </w:rPr>
      </w:pPr>
      <w:r>
        <w:rPr>
          <w:rFonts w:hint="eastAsia" w:ascii="宋体" w:hAnsi="宋体" w:cs="宋体"/>
          <w:sz w:val="24"/>
        </w:rPr>
        <w:t>10.售后服务保障：试剂在使用过程中，如有任何问题，保证2小时内答复，4小时内到达用户现场解决问题，直至保证试剂能够正常使用。在应急突发、节假日期间如遇急需试剂可24小时随时响应，2小时内将试剂和工程师到达用户现场，如遇夜间4小时内送达用户现场。</w:t>
      </w:r>
    </w:p>
    <w:p w14:paraId="6D43A06F">
      <w:pPr>
        <w:spacing w:line="360" w:lineRule="auto"/>
        <w:ind w:firstLine="482" w:firstLineChars="200"/>
        <w:rPr>
          <w:rFonts w:ascii="宋体" w:hAnsi="宋体" w:cs="宋体"/>
          <w:b/>
          <w:bCs/>
          <w:sz w:val="24"/>
        </w:rPr>
      </w:pPr>
      <w:r>
        <w:rPr>
          <w:rFonts w:hint="eastAsia" w:ascii="宋体" w:hAnsi="宋体" w:cs="宋体"/>
          <w:b/>
          <w:bCs/>
          <w:sz w:val="24"/>
        </w:rPr>
        <w:t>标的名称34：寨卡病毒荧光定量PCR</w:t>
      </w:r>
    </w:p>
    <w:p w14:paraId="5ED107CA">
      <w:pPr>
        <w:spacing w:line="360" w:lineRule="auto"/>
        <w:ind w:firstLine="480" w:firstLineChars="200"/>
        <w:rPr>
          <w:rFonts w:ascii="宋体" w:hAnsi="宋体" w:cs="宋体"/>
          <w:sz w:val="24"/>
        </w:rPr>
      </w:pPr>
      <w:r>
        <w:rPr>
          <w:rFonts w:hint="eastAsia" w:ascii="宋体" w:hAnsi="宋体" w:cs="宋体"/>
          <w:sz w:val="24"/>
        </w:rPr>
        <w:t>1.适用范围：适用于定性检测从临床样本或病毒分离物中提取的寨卡病毒的核酸。</w:t>
      </w:r>
    </w:p>
    <w:p w14:paraId="65DA408D">
      <w:pPr>
        <w:spacing w:line="360" w:lineRule="auto"/>
        <w:ind w:firstLine="480" w:firstLineChars="200"/>
        <w:rPr>
          <w:rFonts w:ascii="宋体" w:hAnsi="宋体" w:cs="宋体"/>
          <w:sz w:val="24"/>
        </w:rPr>
      </w:pPr>
      <w:r>
        <w:rPr>
          <w:rFonts w:hint="eastAsia" w:ascii="宋体" w:hAnsi="宋体" w:cs="宋体"/>
          <w:sz w:val="24"/>
        </w:rPr>
        <w:t>2.适用机型：开放型平台，可适用于各种多通道校正的全自动荧光PCR检测仪。</w:t>
      </w:r>
    </w:p>
    <w:p w14:paraId="72C418DB">
      <w:pPr>
        <w:spacing w:line="360" w:lineRule="auto"/>
        <w:ind w:firstLine="480" w:firstLineChars="200"/>
        <w:rPr>
          <w:rFonts w:ascii="宋体" w:hAnsi="宋体" w:cs="宋体"/>
          <w:sz w:val="24"/>
        </w:rPr>
      </w:pPr>
      <w:r>
        <w:rPr>
          <w:rFonts w:hint="eastAsia" w:ascii="宋体" w:hAnsi="宋体" w:cs="宋体"/>
          <w:sz w:val="24"/>
        </w:rPr>
        <w:t>3.检测技术：多重实时荧光PCR技术。</w:t>
      </w:r>
    </w:p>
    <w:p w14:paraId="7582EDFB">
      <w:pPr>
        <w:spacing w:line="360" w:lineRule="auto"/>
        <w:ind w:firstLine="480" w:firstLineChars="200"/>
        <w:rPr>
          <w:rFonts w:ascii="宋体" w:hAnsi="宋体" w:cs="宋体"/>
          <w:sz w:val="24"/>
        </w:rPr>
      </w:pPr>
      <w:r>
        <w:rPr>
          <w:rFonts w:hint="eastAsia" w:ascii="宋体" w:hAnsi="宋体" w:cs="宋体"/>
          <w:sz w:val="24"/>
        </w:rPr>
        <w:t>4.反应体系：可根据需要提供1管全混体系和除酶以外1管预混液体系包装，同品牌多个不同试剂可使用同一扩增程序上机使用。反应理论时间≤38min，反应时长≤70min。</w:t>
      </w:r>
    </w:p>
    <w:p w14:paraId="1914504E">
      <w:pPr>
        <w:spacing w:line="360" w:lineRule="auto"/>
        <w:ind w:firstLine="480" w:firstLineChars="200"/>
        <w:rPr>
          <w:rFonts w:ascii="宋体" w:hAnsi="宋体" w:cs="宋体"/>
          <w:sz w:val="24"/>
        </w:rPr>
      </w:pPr>
      <w:r>
        <w:rPr>
          <w:rFonts w:hint="eastAsia" w:ascii="PingFang SC" w:hAnsi="PingFang SC" w:eastAsia="PingFang SC" w:cs="PingFang SC"/>
          <w:sz w:val="24"/>
        </w:rPr>
        <w:t>▲</w:t>
      </w:r>
      <w:r>
        <w:rPr>
          <w:rFonts w:hint="eastAsia" w:ascii="宋体" w:hAnsi="宋体" w:cs="宋体"/>
          <w:sz w:val="24"/>
        </w:rPr>
        <w:t>5.检测性能：灵敏度最低500copies/mL，与其他病原菌均无交叉反应。</w:t>
      </w:r>
    </w:p>
    <w:p w14:paraId="22C261D4">
      <w:pPr>
        <w:spacing w:line="360" w:lineRule="auto"/>
        <w:ind w:firstLine="480" w:firstLineChars="200"/>
        <w:rPr>
          <w:rFonts w:ascii="宋体" w:hAnsi="宋体" w:cs="宋体"/>
          <w:sz w:val="24"/>
        </w:rPr>
      </w:pPr>
      <w:r>
        <w:rPr>
          <w:rFonts w:hint="eastAsia" w:ascii="宋体" w:hAnsi="宋体" w:cs="宋体"/>
          <w:sz w:val="24"/>
        </w:rPr>
        <w:t>6.质量控制：含有1管阴性对照和1管阳性对照。</w:t>
      </w:r>
    </w:p>
    <w:p w14:paraId="2CC273D2">
      <w:pPr>
        <w:spacing w:line="360" w:lineRule="auto"/>
        <w:ind w:firstLine="480" w:firstLineChars="200"/>
        <w:rPr>
          <w:rFonts w:ascii="宋体" w:hAnsi="宋体" w:cs="宋体"/>
          <w:sz w:val="24"/>
        </w:rPr>
      </w:pPr>
      <w:r>
        <w:rPr>
          <w:rFonts w:hint="eastAsia" w:ascii="宋体" w:hAnsi="宋体" w:cs="宋体"/>
          <w:sz w:val="24"/>
        </w:rPr>
        <w:t>7.评价报告：提供寨卡病毒的室间质评报告，其中试剂结果的阴阳性符合率为100%。</w:t>
      </w:r>
    </w:p>
    <w:p w14:paraId="4FA2B4D3">
      <w:pPr>
        <w:spacing w:line="360" w:lineRule="auto"/>
        <w:ind w:firstLine="480" w:firstLineChars="200"/>
        <w:rPr>
          <w:rFonts w:ascii="宋体" w:hAnsi="宋体" w:cs="宋体"/>
          <w:sz w:val="24"/>
        </w:rPr>
      </w:pPr>
      <w:r>
        <w:rPr>
          <w:rFonts w:hint="eastAsia" w:ascii="宋体" w:hAnsi="宋体" w:cs="宋体"/>
          <w:sz w:val="24"/>
        </w:rPr>
        <w:t>8.有效期：-20±5℃保存，有效期不低于12个月，冻融次数≥7次,可同时提供25T或50T包装。</w:t>
      </w:r>
    </w:p>
    <w:p w14:paraId="483A13E7">
      <w:pPr>
        <w:spacing w:line="360" w:lineRule="auto"/>
        <w:ind w:firstLine="480" w:firstLineChars="200"/>
        <w:rPr>
          <w:rFonts w:ascii="宋体" w:hAnsi="宋体" w:cs="宋体"/>
          <w:sz w:val="24"/>
        </w:rPr>
      </w:pPr>
      <w:r>
        <w:rPr>
          <w:rFonts w:hint="eastAsia" w:ascii="宋体" w:hAnsi="宋体" w:cs="宋体"/>
          <w:sz w:val="24"/>
        </w:rPr>
        <w:t>9.生产质量：为保证生产厂家试剂的生产质量，要求生产环境需进行日常的环境监测。</w:t>
      </w:r>
    </w:p>
    <w:p w14:paraId="03EC9C44">
      <w:pPr>
        <w:spacing w:line="360" w:lineRule="auto"/>
        <w:ind w:firstLine="480" w:firstLineChars="200"/>
        <w:rPr>
          <w:rFonts w:ascii="宋体" w:hAnsi="宋体" w:cs="宋体"/>
          <w:sz w:val="24"/>
        </w:rPr>
      </w:pPr>
      <w:r>
        <w:rPr>
          <w:rFonts w:hint="eastAsia" w:ascii="宋体" w:hAnsi="宋体" w:cs="宋体"/>
          <w:sz w:val="24"/>
        </w:rPr>
        <w:t>10.售后服务保障：试剂在使用过程中，如有任何问题，保证2小时内答复，4小时内到达用户现场解决问题，直至保证试剂能够正常使用。在应急突发、节假日期间如遇急需试剂可24小时随时响应，2小时内将试剂和工程师到达用户现场，如遇夜间4小时内送达用户现场。</w:t>
      </w:r>
    </w:p>
    <w:p w14:paraId="41A978D2">
      <w:pPr>
        <w:spacing w:line="360" w:lineRule="auto"/>
        <w:ind w:firstLine="482" w:firstLineChars="200"/>
        <w:rPr>
          <w:rFonts w:ascii="宋体" w:hAnsi="宋体" w:cs="宋体"/>
          <w:b/>
          <w:bCs/>
          <w:sz w:val="24"/>
        </w:rPr>
      </w:pPr>
      <w:r>
        <w:rPr>
          <w:rFonts w:hint="eastAsia" w:ascii="宋体" w:hAnsi="宋体" w:cs="宋体"/>
          <w:b/>
          <w:bCs/>
          <w:sz w:val="24"/>
        </w:rPr>
        <w:t>标的名称35：登革热病毒荧光定量PCR</w:t>
      </w:r>
    </w:p>
    <w:p w14:paraId="1888CABE">
      <w:pPr>
        <w:spacing w:line="360" w:lineRule="auto"/>
        <w:ind w:firstLine="480" w:firstLineChars="200"/>
        <w:rPr>
          <w:rFonts w:ascii="宋体" w:hAnsi="宋体" w:cs="宋体"/>
          <w:sz w:val="24"/>
        </w:rPr>
      </w:pPr>
      <w:r>
        <w:rPr>
          <w:rFonts w:hint="eastAsia" w:ascii="宋体" w:hAnsi="宋体" w:cs="宋体"/>
          <w:sz w:val="24"/>
        </w:rPr>
        <w:t>1.适用范围：适用于定性检测从全血或血清及其培养物中提取的登革病毒通用型核酸。</w:t>
      </w:r>
    </w:p>
    <w:p w14:paraId="00F9EC8B">
      <w:pPr>
        <w:spacing w:line="360" w:lineRule="auto"/>
        <w:ind w:firstLine="480" w:firstLineChars="200"/>
        <w:rPr>
          <w:rFonts w:ascii="宋体" w:hAnsi="宋体" w:cs="宋体"/>
          <w:sz w:val="24"/>
        </w:rPr>
      </w:pPr>
      <w:r>
        <w:rPr>
          <w:rFonts w:hint="eastAsia" w:ascii="宋体" w:hAnsi="宋体" w:cs="宋体"/>
          <w:sz w:val="24"/>
        </w:rPr>
        <w:t>2.适用机型：开放型平台，可适用于各种多通道校正的全自动荧光PCR检测仪。</w:t>
      </w:r>
    </w:p>
    <w:p w14:paraId="13FEFF27">
      <w:pPr>
        <w:spacing w:line="360" w:lineRule="auto"/>
        <w:ind w:firstLine="480" w:firstLineChars="200"/>
        <w:rPr>
          <w:rFonts w:ascii="宋体" w:hAnsi="宋体" w:cs="宋体"/>
          <w:sz w:val="24"/>
        </w:rPr>
      </w:pPr>
      <w:r>
        <w:rPr>
          <w:rFonts w:hint="eastAsia" w:ascii="宋体" w:hAnsi="宋体" w:cs="宋体"/>
          <w:sz w:val="24"/>
        </w:rPr>
        <w:t>3.检测技术：多重实时荧光PCR技术。</w:t>
      </w:r>
    </w:p>
    <w:p w14:paraId="4E61A143">
      <w:pPr>
        <w:spacing w:line="360" w:lineRule="auto"/>
        <w:ind w:firstLine="480" w:firstLineChars="200"/>
        <w:rPr>
          <w:rFonts w:ascii="宋体" w:hAnsi="宋体" w:cs="宋体"/>
          <w:sz w:val="24"/>
        </w:rPr>
      </w:pPr>
      <w:r>
        <w:rPr>
          <w:rFonts w:hint="eastAsia" w:ascii="宋体" w:hAnsi="宋体" w:cs="宋体"/>
          <w:sz w:val="24"/>
        </w:rPr>
        <w:t>4.反应体系：可根据需要提供1管全混体系和除酶以外1管预混液体系包装，同品牌多个不同试剂可使用同一扩增程序上机使用。反应理论时间≤38min，反应时长≤70min。</w:t>
      </w:r>
    </w:p>
    <w:p w14:paraId="563BED41">
      <w:pPr>
        <w:spacing w:line="360" w:lineRule="auto"/>
        <w:ind w:firstLine="480" w:firstLineChars="200"/>
        <w:rPr>
          <w:rFonts w:ascii="宋体" w:hAnsi="宋体" w:cs="宋体"/>
          <w:sz w:val="24"/>
        </w:rPr>
      </w:pPr>
      <w:r>
        <w:rPr>
          <w:rFonts w:hint="eastAsia" w:ascii="PingFang SC" w:hAnsi="PingFang SC" w:eastAsia="PingFang SC" w:cs="PingFang SC"/>
          <w:sz w:val="24"/>
        </w:rPr>
        <w:t>▲</w:t>
      </w:r>
      <w:r>
        <w:rPr>
          <w:rFonts w:hint="eastAsia" w:ascii="宋体" w:hAnsi="宋体" w:cs="宋体"/>
          <w:sz w:val="24"/>
        </w:rPr>
        <w:t>5.检测性能：灵敏度最低500copies/mL，与其他病原菌均无交叉反应。</w:t>
      </w:r>
    </w:p>
    <w:p w14:paraId="49066307">
      <w:pPr>
        <w:spacing w:line="360" w:lineRule="auto"/>
        <w:ind w:firstLine="480" w:firstLineChars="200"/>
        <w:rPr>
          <w:rFonts w:ascii="宋体" w:hAnsi="宋体" w:cs="宋体"/>
          <w:sz w:val="24"/>
        </w:rPr>
      </w:pPr>
      <w:r>
        <w:rPr>
          <w:rFonts w:hint="eastAsia" w:ascii="宋体" w:hAnsi="宋体" w:cs="宋体"/>
          <w:sz w:val="24"/>
        </w:rPr>
        <w:t>6.质量控制：含有1管阴性对照和1管阳性对照。</w:t>
      </w:r>
    </w:p>
    <w:p w14:paraId="54E7518D">
      <w:pPr>
        <w:spacing w:line="360" w:lineRule="auto"/>
        <w:ind w:firstLine="480" w:firstLineChars="200"/>
        <w:rPr>
          <w:rFonts w:ascii="宋体" w:hAnsi="宋体" w:cs="宋体"/>
          <w:sz w:val="24"/>
        </w:rPr>
      </w:pPr>
      <w:r>
        <w:rPr>
          <w:rFonts w:hint="eastAsia" w:ascii="宋体" w:hAnsi="宋体" w:cs="宋体"/>
          <w:sz w:val="24"/>
        </w:rPr>
        <w:t>7.评价报告：提供登革病毒的室间质评报告，其中试剂结果的阴阳性符合率为100%。</w:t>
      </w:r>
    </w:p>
    <w:p w14:paraId="01E36921">
      <w:pPr>
        <w:spacing w:line="360" w:lineRule="auto"/>
        <w:ind w:firstLine="480" w:firstLineChars="200"/>
        <w:rPr>
          <w:rFonts w:ascii="宋体" w:hAnsi="宋体" w:cs="宋体"/>
          <w:sz w:val="24"/>
        </w:rPr>
      </w:pPr>
      <w:r>
        <w:rPr>
          <w:rFonts w:hint="eastAsia" w:ascii="宋体" w:hAnsi="宋体" w:cs="宋体"/>
          <w:sz w:val="24"/>
        </w:rPr>
        <w:t>8.有效期：-20±5℃保存，有效期不低于12个月，冻融次数≥7次,可同时提供25T或50T包装。</w:t>
      </w:r>
    </w:p>
    <w:p w14:paraId="0B8E74FF">
      <w:pPr>
        <w:spacing w:line="360" w:lineRule="auto"/>
        <w:ind w:firstLine="480" w:firstLineChars="200"/>
        <w:rPr>
          <w:rFonts w:ascii="宋体" w:hAnsi="宋体" w:cs="宋体"/>
          <w:sz w:val="24"/>
        </w:rPr>
      </w:pPr>
      <w:r>
        <w:rPr>
          <w:rFonts w:hint="eastAsia" w:ascii="宋体" w:hAnsi="宋体" w:cs="宋体"/>
          <w:sz w:val="24"/>
        </w:rPr>
        <w:t>9.生产质量：为保证生产厂家试剂的生产质量，要求生产环境需进行日常的环境监测。</w:t>
      </w:r>
    </w:p>
    <w:p w14:paraId="3F50AD1E">
      <w:pPr>
        <w:spacing w:line="360" w:lineRule="auto"/>
        <w:ind w:firstLine="480" w:firstLineChars="200"/>
        <w:rPr>
          <w:rFonts w:ascii="宋体" w:hAnsi="宋体" w:cs="宋体"/>
          <w:sz w:val="24"/>
        </w:rPr>
      </w:pPr>
      <w:r>
        <w:rPr>
          <w:rFonts w:hint="eastAsia" w:ascii="宋体" w:hAnsi="宋体" w:cs="宋体"/>
          <w:sz w:val="24"/>
        </w:rPr>
        <w:t>10.售后服务保障：试剂在使用过程中，如有任何问题，保证2小时内答复，4小时内到达用户现场解决问题，直至保证试剂能够正常使用。在应急突发、节假日期间如遇急需试剂可24小时随时响应，2小时内将试剂和工程师到达用户现场，如遇夜间4小时内送达用户现场。</w:t>
      </w:r>
    </w:p>
    <w:p w14:paraId="2255A60E">
      <w:pPr>
        <w:spacing w:line="360" w:lineRule="auto"/>
        <w:ind w:firstLine="482" w:firstLineChars="200"/>
        <w:rPr>
          <w:rFonts w:ascii="宋体" w:hAnsi="宋体" w:cs="宋体"/>
          <w:b/>
          <w:bCs/>
          <w:sz w:val="24"/>
        </w:rPr>
      </w:pPr>
      <w:r>
        <w:rPr>
          <w:rFonts w:hint="eastAsia" w:ascii="宋体" w:hAnsi="宋体" w:cs="宋体"/>
          <w:b/>
          <w:bCs/>
          <w:sz w:val="24"/>
        </w:rPr>
        <w:t>标的名称36：登革病毒I型/II型/III型/IV型/通用型核酸多重实时荧光PCR检测试剂盒</w:t>
      </w:r>
    </w:p>
    <w:p w14:paraId="47992482">
      <w:pPr>
        <w:spacing w:line="360" w:lineRule="auto"/>
        <w:ind w:firstLine="480" w:firstLineChars="200"/>
        <w:rPr>
          <w:rFonts w:ascii="宋体" w:hAnsi="宋体" w:cs="宋体"/>
          <w:sz w:val="24"/>
        </w:rPr>
      </w:pPr>
      <w:r>
        <w:rPr>
          <w:rFonts w:hint="eastAsia" w:ascii="宋体" w:hAnsi="宋体" w:cs="宋体"/>
          <w:sz w:val="24"/>
        </w:rPr>
        <w:t>1.适用范围：适用于定性检测从全血或血清及其培养物中提取的登革病毒I型、II型、III型、IV型和通用型的核酸。</w:t>
      </w:r>
    </w:p>
    <w:p w14:paraId="255A451D">
      <w:pPr>
        <w:spacing w:line="360" w:lineRule="auto"/>
        <w:ind w:firstLine="480" w:firstLineChars="200"/>
        <w:rPr>
          <w:rFonts w:ascii="宋体" w:hAnsi="宋体" w:cs="宋体"/>
          <w:sz w:val="24"/>
        </w:rPr>
      </w:pPr>
      <w:r>
        <w:rPr>
          <w:rFonts w:hint="eastAsia" w:ascii="宋体" w:hAnsi="宋体" w:cs="宋体"/>
          <w:sz w:val="24"/>
        </w:rPr>
        <w:t>2.适用机型：开放型平台，可适用于各种多通道校正的全自动荧光PCR检测仪。</w:t>
      </w:r>
    </w:p>
    <w:p w14:paraId="53932D5C">
      <w:pPr>
        <w:spacing w:line="360" w:lineRule="auto"/>
        <w:ind w:firstLine="480" w:firstLineChars="200"/>
        <w:rPr>
          <w:rFonts w:ascii="宋体" w:hAnsi="宋体" w:cs="宋体"/>
          <w:sz w:val="24"/>
        </w:rPr>
      </w:pPr>
      <w:r>
        <w:rPr>
          <w:rFonts w:hint="eastAsia" w:ascii="宋体" w:hAnsi="宋体" w:cs="宋体"/>
          <w:sz w:val="24"/>
        </w:rPr>
        <w:t>3.检测技术：多重实时荧光PCR技术。</w:t>
      </w:r>
    </w:p>
    <w:p w14:paraId="20B3BA0A">
      <w:pPr>
        <w:spacing w:line="360" w:lineRule="auto"/>
        <w:ind w:firstLine="480" w:firstLineChars="200"/>
        <w:rPr>
          <w:rFonts w:ascii="宋体" w:hAnsi="宋体" w:cs="宋体"/>
          <w:sz w:val="24"/>
        </w:rPr>
      </w:pPr>
      <w:r>
        <w:rPr>
          <w:rFonts w:hint="eastAsia" w:ascii="宋体" w:hAnsi="宋体" w:cs="宋体"/>
          <w:sz w:val="24"/>
        </w:rPr>
        <w:t>4.反应体系：可根据需要提供1管全混体系和除酶以外1管预混液体系包装，同品牌多个不同试剂可使用同一扩增程序上机使用。反应理论时间≤38min，反应时长≤70min。</w:t>
      </w:r>
    </w:p>
    <w:p w14:paraId="3E054955">
      <w:pPr>
        <w:spacing w:line="360" w:lineRule="auto"/>
        <w:ind w:firstLine="480" w:firstLineChars="200"/>
        <w:rPr>
          <w:rFonts w:ascii="宋体" w:hAnsi="宋体" w:cs="宋体"/>
          <w:sz w:val="24"/>
        </w:rPr>
      </w:pPr>
      <w:r>
        <w:rPr>
          <w:rFonts w:hint="eastAsia" w:ascii="PingFang SC" w:hAnsi="PingFang SC" w:eastAsia="PingFang SC" w:cs="PingFang SC"/>
          <w:sz w:val="24"/>
        </w:rPr>
        <w:t>▲</w:t>
      </w:r>
      <w:r>
        <w:rPr>
          <w:rFonts w:hint="eastAsia" w:ascii="宋体" w:hAnsi="宋体" w:cs="宋体"/>
          <w:sz w:val="24"/>
        </w:rPr>
        <w:t>5.检测性能：灵敏度最低500copies/mL，与其他病原菌均无交叉反应。</w:t>
      </w:r>
    </w:p>
    <w:p w14:paraId="7E94C021">
      <w:pPr>
        <w:spacing w:line="360" w:lineRule="auto"/>
        <w:ind w:firstLine="480" w:firstLineChars="200"/>
        <w:rPr>
          <w:rFonts w:ascii="宋体" w:hAnsi="宋体" w:cs="宋体"/>
          <w:sz w:val="24"/>
        </w:rPr>
      </w:pPr>
      <w:r>
        <w:rPr>
          <w:rFonts w:hint="eastAsia" w:ascii="宋体" w:hAnsi="宋体" w:cs="宋体"/>
          <w:sz w:val="24"/>
        </w:rPr>
        <w:t>6.质量控制：含有1管阴性对照和1管阳性对照。</w:t>
      </w:r>
    </w:p>
    <w:p w14:paraId="60351E79">
      <w:pPr>
        <w:spacing w:line="360" w:lineRule="auto"/>
        <w:ind w:firstLine="480" w:firstLineChars="200"/>
        <w:rPr>
          <w:rFonts w:ascii="宋体" w:hAnsi="宋体" w:cs="宋体"/>
          <w:sz w:val="24"/>
        </w:rPr>
      </w:pPr>
      <w:r>
        <w:rPr>
          <w:rFonts w:hint="eastAsia" w:ascii="宋体" w:hAnsi="宋体" w:cs="宋体"/>
          <w:sz w:val="24"/>
        </w:rPr>
        <w:t>7.结果判读：可免费提供试剂盒同品牌的多病原核酸检测结果判读软件，一键即可完成多种病原体的结果判读，判读的试剂盒种类应覆盖≥500种常见病原微生物的核酸检测试剂盒。（提供多病原核酸判读软件截图及软件著作权为证）</w:t>
      </w:r>
    </w:p>
    <w:p w14:paraId="163D914A">
      <w:pPr>
        <w:spacing w:line="360" w:lineRule="auto"/>
        <w:ind w:firstLine="480" w:firstLineChars="200"/>
        <w:rPr>
          <w:rFonts w:ascii="宋体" w:hAnsi="宋体" w:cs="宋体"/>
          <w:sz w:val="24"/>
        </w:rPr>
      </w:pPr>
      <w:r>
        <w:rPr>
          <w:rFonts w:hint="eastAsia" w:ascii="宋体" w:hAnsi="宋体" w:cs="宋体"/>
          <w:sz w:val="24"/>
        </w:rPr>
        <w:t>8.有效期：-20±5℃保存，有效期不低于12个月，冻融次数≥7次,可同时提供25T或50T包装。</w:t>
      </w:r>
    </w:p>
    <w:p w14:paraId="15FC7C97">
      <w:pPr>
        <w:spacing w:line="360" w:lineRule="auto"/>
        <w:ind w:firstLine="480" w:firstLineChars="200"/>
        <w:rPr>
          <w:rFonts w:ascii="宋体" w:hAnsi="宋体" w:cs="宋体"/>
          <w:sz w:val="24"/>
        </w:rPr>
      </w:pPr>
      <w:r>
        <w:rPr>
          <w:rFonts w:hint="eastAsia" w:ascii="宋体" w:hAnsi="宋体" w:cs="宋体"/>
          <w:sz w:val="24"/>
        </w:rPr>
        <w:t>9.生产质量：为保证生产厂家试剂的生产质量，要求生产环境需进行日常的环境监测。</w:t>
      </w:r>
    </w:p>
    <w:p w14:paraId="042F08D0">
      <w:pPr>
        <w:spacing w:line="360" w:lineRule="auto"/>
        <w:ind w:firstLine="480" w:firstLineChars="200"/>
        <w:rPr>
          <w:rFonts w:ascii="宋体" w:hAnsi="宋体" w:cs="宋体"/>
          <w:sz w:val="24"/>
        </w:rPr>
      </w:pPr>
      <w:r>
        <w:rPr>
          <w:rFonts w:hint="eastAsia" w:ascii="宋体" w:hAnsi="宋体" w:cs="宋体"/>
          <w:sz w:val="24"/>
        </w:rPr>
        <w:t>10.售后服务保障：试剂在使用过程中，如有任何问题，保证2小时内答复，4小时内到达用户现场解决问题，直至保证试剂能够正常使用。在应急突发、节假日期间如遇急需试剂可24小时随时响应，2小时内将试剂和工程师到达用户现场，如遇夜间4小时内送达用户现场。</w:t>
      </w:r>
    </w:p>
    <w:p w14:paraId="3B07D302">
      <w:pPr>
        <w:spacing w:line="360" w:lineRule="auto"/>
        <w:ind w:firstLine="482" w:firstLineChars="200"/>
        <w:rPr>
          <w:rFonts w:ascii="宋体" w:hAnsi="宋体" w:cs="宋体"/>
          <w:b/>
          <w:bCs/>
          <w:sz w:val="24"/>
        </w:rPr>
      </w:pPr>
      <w:r>
        <w:rPr>
          <w:rFonts w:hint="eastAsia" w:ascii="宋体" w:hAnsi="宋体" w:cs="宋体"/>
          <w:b/>
          <w:bCs/>
          <w:sz w:val="24"/>
        </w:rPr>
        <w:t>标的名称37：水痘-带状疱疹病毒核酸实时荧光PCR检测试剂盒</w:t>
      </w:r>
    </w:p>
    <w:p w14:paraId="56B52874">
      <w:pPr>
        <w:spacing w:line="360" w:lineRule="auto"/>
        <w:ind w:firstLine="480" w:firstLineChars="200"/>
        <w:rPr>
          <w:rFonts w:ascii="宋体" w:hAnsi="宋体" w:cs="宋体"/>
          <w:sz w:val="24"/>
        </w:rPr>
      </w:pPr>
      <w:r>
        <w:rPr>
          <w:rFonts w:hint="eastAsia" w:ascii="宋体" w:hAnsi="宋体" w:cs="宋体"/>
          <w:sz w:val="24"/>
        </w:rPr>
        <w:t>1.适用范围：适用于定性检测从临床样本或病毒分离物中提取的水痘。</w:t>
      </w:r>
    </w:p>
    <w:p w14:paraId="2DD74106">
      <w:pPr>
        <w:spacing w:line="360" w:lineRule="auto"/>
        <w:ind w:firstLine="480" w:firstLineChars="200"/>
        <w:rPr>
          <w:rFonts w:ascii="宋体" w:hAnsi="宋体" w:cs="宋体"/>
          <w:sz w:val="24"/>
        </w:rPr>
      </w:pPr>
      <w:r>
        <w:rPr>
          <w:rFonts w:hint="eastAsia" w:ascii="宋体" w:hAnsi="宋体" w:cs="宋体"/>
          <w:sz w:val="24"/>
        </w:rPr>
        <w:t>2.适用机型：开放型平台，可适用于各种多通道校正的全自动荧光PCR检测仪。</w:t>
      </w:r>
    </w:p>
    <w:p w14:paraId="1587B771">
      <w:pPr>
        <w:spacing w:line="360" w:lineRule="auto"/>
        <w:ind w:firstLine="480" w:firstLineChars="200"/>
        <w:rPr>
          <w:rFonts w:ascii="宋体" w:hAnsi="宋体" w:cs="宋体"/>
          <w:sz w:val="24"/>
        </w:rPr>
      </w:pPr>
      <w:r>
        <w:rPr>
          <w:rFonts w:hint="eastAsia" w:ascii="宋体" w:hAnsi="宋体" w:cs="宋体"/>
          <w:sz w:val="24"/>
        </w:rPr>
        <w:t>3.检测技术：多重实时荧光PCR技术。</w:t>
      </w:r>
    </w:p>
    <w:p w14:paraId="441B6BE7">
      <w:pPr>
        <w:spacing w:line="360" w:lineRule="auto"/>
        <w:ind w:firstLine="480" w:firstLineChars="200"/>
        <w:rPr>
          <w:rFonts w:ascii="宋体" w:hAnsi="宋体" w:cs="宋体"/>
          <w:sz w:val="24"/>
        </w:rPr>
      </w:pPr>
      <w:r>
        <w:rPr>
          <w:rFonts w:hint="eastAsia" w:ascii="宋体" w:hAnsi="宋体" w:cs="宋体"/>
          <w:sz w:val="24"/>
        </w:rPr>
        <w:t>4.反应体系：可根据需要提供1管全混体系和除酶以外1管预混液体系包装，同品牌多个不同试剂可使用同一扩增程序上机使用。反应理论时间≤28min，反应时长≤60min。</w:t>
      </w:r>
    </w:p>
    <w:p w14:paraId="39A99816">
      <w:pPr>
        <w:spacing w:line="360" w:lineRule="auto"/>
        <w:ind w:firstLine="480" w:firstLineChars="200"/>
        <w:rPr>
          <w:rFonts w:ascii="宋体" w:hAnsi="宋体" w:cs="宋体"/>
          <w:sz w:val="24"/>
        </w:rPr>
      </w:pPr>
      <w:r>
        <w:rPr>
          <w:rFonts w:hint="eastAsia" w:ascii="PingFang SC" w:hAnsi="PingFang SC" w:eastAsia="PingFang SC" w:cs="PingFang SC"/>
          <w:sz w:val="24"/>
        </w:rPr>
        <w:t>▲</w:t>
      </w:r>
      <w:r>
        <w:rPr>
          <w:rFonts w:hint="eastAsia" w:ascii="宋体" w:hAnsi="宋体" w:cs="宋体"/>
          <w:sz w:val="24"/>
        </w:rPr>
        <w:t>5.检测性能：灵敏度最低500copies/mL，与其他病原菌均无交叉反应。</w:t>
      </w:r>
    </w:p>
    <w:p w14:paraId="5EE3B975">
      <w:pPr>
        <w:spacing w:line="360" w:lineRule="auto"/>
        <w:ind w:firstLine="480" w:firstLineChars="200"/>
        <w:rPr>
          <w:rFonts w:ascii="宋体" w:hAnsi="宋体" w:cs="宋体"/>
          <w:sz w:val="24"/>
        </w:rPr>
      </w:pPr>
      <w:r>
        <w:rPr>
          <w:rFonts w:hint="eastAsia" w:ascii="宋体" w:hAnsi="宋体" w:cs="宋体"/>
          <w:sz w:val="24"/>
        </w:rPr>
        <w:t>6.质量控制：含有1管阴性对照和1管阳性对照。</w:t>
      </w:r>
    </w:p>
    <w:p w14:paraId="787980E3">
      <w:pPr>
        <w:spacing w:line="360" w:lineRule="auto"/>
        <w:ind w:firstLine="480" w:firstLineChars="200"/>
        <w:rPr>
          <w:rFonts w:ascii="宋体" w:hAnsi="宋体" w:cs="宋体"/>
          <w:sz w:val="24"/>
        </w:rPr>
      </w:pPr>
      <w:r>
        <w:rPr>
          <w:rFonts w:hint="eastAsia" w:ascii="宋体" w:hAnsi="宋体" w:cs="宋体"/>
          <w:sz w:val="24"/>
        </w:rPr>
        <w:t>7.结果判读：可免费提供试剂盒同品牌的多病原核酸检测结果判读软件，一键即可完成多种病原体的结果判读，判读的试剂盒种类应覆盖≥500种常见病原微生物的核酸检测试剂盒。</w:t>
      </w:r>
    </w:p>
    <w:p w14:paraId="66BBB858">
      <w:pPr>
        <w:spacing w:line="360" w:lineRule="auto"/>
        <w:ind w:firstLine="480" w:firstLineChars="200"/>
        <w:rPr>
          <w:rFonts w:ascii="宋体" w:hAnsi="宋体" w:cs="宋体"/>
          <w:sz w:val="24"/>
        </w:rPr>
      </w:pPr>
      <w:r>
        <w:rPr>
          <w:rFonts w:hint="eastAsia" w:ascii="宋体" w:hAnsi="宋体" w:cs="宋体"/>
          <w:sz w:val="24"/>
        </w:rPr>
        <w:t>8.有效期：-20±5℃保存，有效期不低于12个月，冻融次数≥7次,可同时提供25T或50T包装。</w:t>
      </w:r>
    </w:p>
    <w:p w14:paraId="299DCC38">
      <w:pPr>
        <w:spacing w:line="360" w:lineRule="auto"/>
        <w:ind w:firstLine="480" w:firstLineChars="200"/>
        <w:rPr>
          <w:rFonts w:ascii="宋体" w:hAnsi="宋体" w:cs="宋体"/>
          <w:sz w:val="24"/>
        </w:rPr>
      </w:pPr>
      <w:r>
        <w:rPr>
          <w:rFonts w:hint="eastAsia" w:ascii="宋体" w:hAnsi="宋体" w:cs="宋体"/>
          <w:sz w:val="24"/>
        </w:rPr>
        <w:t>9.生产质量：为保证生产厂家试剂的生产质量，要求生产环境需进行日常的环境监测。</w:t>
      </w:r>
    </w:p>
    <w:p w14:paraId="69137C9F">
      <w:pPr>
        <w:spacing w:line="360" w:lineRule="auto"/>
        <w:ind w:firstLine="480" w:firstLineChars="200"/>
        <w:rPr>
          <w:rFonts w:ascii="宋体" w:hAnsi="宋体" w:cs="宋体"/>
          <w:sz w:val="24"/>
        </w:rPr>
      </w:pPr>
      <w:r>
        <w:rPr>
          <w:rFonts w:hint="eastAsia" w:ascii="宋体" w:hAnsi="宋体" w:cs="宋体"/>
          <w:sz w:val="24"/>
        </w:rPr>
        <w:t>10.售后服务保障：试剂在使用过程中，如有任何问题，保证2小时内答复，4小时内到达用户现场解决问题，直至保证试剂能够正常使用。在应急突发、节假日期间如遇急需试剂可24小时随时响应，2小时内将试剂和工程师到达用户现场，如遇夜间4小时内送达用户现场。</w:t>
      </w:r>
    </w:p>
    <w:p w14:paraId="2A07B272">
      <w:pPr>
        <w:spacing w:line="360" w:lineRule="auto"/>
        <w:ind w:firstLine="482" w:firstLineChars="200"/>
        <w:rPr>
          <w:rFonts w:ascii="宋体" w:hAnsi="宋体" w:cs="宋体"/>
          <w:b/>
          <w:bCs/>
          <w:sz w:val="24"/>
        </w:rPr>
      </w:pPr>
      <w:r>
        <w:rPr>
          <w:rFonts w:hint="eastAsia" w:ascii="宋体" w:hAnsi="宋体" w:cs="宋体"/>
          <w:b/>
          <w:bCs/>
          <w:sz w:val="24"/>
        </w:rPr>
        <w:t>标的名称38：炭疽芽孢杆菌核酸实时荧光PCR检测试剂盒</w:t>
      </w:r>
    </w:p>
    <w:p w14:paraId="54C6564F">
      <w:pPr>
        <w:spacing w:line="360" w:lineRule="auto"/>
        <w:ind w:firstLine="480" w:firstLineChars="200"/>
        <w:rPr>
          <w:rFonts w:ascii="宋体" w:hAnsi="宋体" w:cs="宋体"/>
          <w:sz w:val="24"/>
        </w:rPr>
      </w:pPr>
      <w:r>
        <w:rPr>
          <w:rFonts w:hint="eastAsia" w:ascii="宋体" w:hAnsi="宋体" w:cs="宋体"/>
          <w:sz w:val="24"/>
        </w:rPr>
        <w:t>1.适用范围：适用于定性检测从环境样本、临床样本、食品样本及其培养物中提取的炭疽芽胞杆菌保护性抗原基因（pagA）、荚膜合成相关基因（cap）和RNA聚合酶基因（rpoB）。</w:t>
      </w:r>
    </w:p>
    <w:p w14:paraId="6B5F85A7">
      <w:pPr>
        <w:spacing w:line="360" w:lineRule="auto"/>
        <w:ind w:firstLine="480" w:firstLineChars="200"/>
        <w:rPr>
          <w:rFonts w:ascii="宋体" w:hAnsi="宋体" w:cs="宋体"/>
          <w:sz w:val="24"/>
        </w:rPr>
      </w:pPr>
      <w:r>
        <w:rPr>
          <w:rFonts w:hint="eastAsia" w:ascii="宋体" w:hAnsi="宋体" w:cs="宋体"/>
          <w:sz w:val="24"/>
        </w:rPr>
        <w:t>2.适用机型：开放型平台，可适用于各种多通道校正的全自动荧光PCR检测仪。</w:t>
      </w:r>
    </w:p>
    <w:p w14:paraId="0665F128">
      <w:pPr>
        <w:spacing w:line="360" w:lineRule="auto"/>
        <w:ind w:firstLine="480" w:firstLineChars="200"/>
        <w:rPr>
          <w:rFonts w:ascii="宋体" w:hAnsi="宋体" w:cs="宋体"/>
          <w:sz w:val="24"/>
        </w:rPr>
      </w:pPr>
      <w:r>
        <w:rPr>
          <w:rFonts w:hint="eastAsia" w:ascii="宋体" w:hAnsi="宋体" w:cs="宋体"/>
          <w:sz w:val="24"/>
        </w:rPr>
        <w:t>3.检测技术：多重实时荧光PCR技术。</w:t>
      </w:r>
    </w:p>
    <w:p w14:paraId="466BCFC8">
      <w:pPr>
        <w:spacing w:line="360" w:lineRule="auto"/>
        <w:ind w:firstLine="480" w:firstLineChars="200"/>
        <w:rPr>
          <w:rFonts w:ascii="宋体" w:hAnsi="宋体" w:cs="宋体"/>
          <w:sz w:val="24"/>
        </w:rPr>
      </w:pPr>
      <w:r>
        <w:rPr>
          <w:rFonts w:hint="eastAsia" w:ascii="宋体" w:hAnsi="宋体" w:cs="宋体"/>
          <w:sz w:val="24"/>
        </w:rPr>
        <w:t>4.反应体系：可根据需要提供1管全混体系和除酶以外1管预混液体系包装，同品牌多个不同试剂可使用同一扩增程序上机使用。反应理论时间≤28min，反应时长≤60min。</w:t>
      </w:r>
    </w:p>
    <w:p w14:paraId="61897652">
      <w:pPr>
        <w:spacing w:line="360" w:lineRule="auto"/>
        <w:ind w:firstLine="480" w:firstLineChars="200"/>
        <w:rPr>
          <w:rFonts w:ascii="宋体" w:hAnsi="宋体" w:cs="宋体"/>
          <w:sz w:val="24"/>
        </w:rPr>
      </w:pPr>
      <w:r>
        <w:rPr>
          <w:rFonts w:hint="eastAsia" w:ascii="PingFang SC" w:hAnsi="PingFang SC" w:eastAsia="PingFang SC" w:cs="PingFang SC"/>
          <w:sz w:val="24"/>
        </w:rPr>
        <w:t>▲</w:t>
      </w:r>
      <w:r>
        <w:rPr>
          <w:rFonts w:hint="eastAsia" w:ascii="宋体" w:hAnsi="宋体" w:cs="宋体"/>
          <w:sz w:val="24"/>
        </w:rPr>
        <w:t>5.检测性能：灵敏度最低500copies/mL，与其他病原菌均无交叉反应。</w:t>
      </w:r>
    </w:p>
    <w:p w14:paraId="06AF5226">
      <w:pPr>
        <w:spacing w:line="360" w:lineRule="auto"/>
        <w:ind w:firstLine="480" w:firstLineChars="200"/>
        <w:rPr>
          <w:rFonts w:ascii="宋体" w:hAnsi="宋体" w:cs="宋体"/>
          <w:sz w:val="24"/>
        </w:rPr>
      </w:pPr>
      <w:r>
        <w:rPr>
          <w:rFonts w:hint="eastAsia" w:ascii="宋体" w:hAnsi="宋体" w:cs="宋体"/>
          <w:sz w:val="24"/>
        </w:rPr>
        <w:t>6.质量控制：含有1管阴性对照和1管阳性对照。</w:t>
      </w:r>
    </w:p>
    <w:p w14:paraId="0752A7C7">
      <w:pPr>
        <w:spacing w:line="360" w:lineRule="auto"/>
        <w:ind w:firstLine="480" w:firstLineChars="200"/>
        <w:rPr>
          <w:rFonts w:ascii="宋体" w:hAnsi="宋体" w:cs="宋体"/>
          <w:sz w:val="24"/>
        </w:rPr>
      </w:pPr>
      <w:r>
        <w:rPr>
          <w:rFonts w:hint="eastAsia" w:ascii="宋体" w:hAnsi="宋体" w:cs="宋体"/>
          <w:sz w:val="24"/>
        </w:rPr>
        <w:t>7.结果判读：可免费提供试剂盒同品牌的多病原核酸检测结果判读软件，一键即可完成多种病原体的结果判读，判读的试剂盒种类应覆盖≥500种常见病原微生物的核酸检测试剂盒。</w:t>
      </w:r>
    </w:p>
    <w:p w14:paraId="64D9066E">
      <w:pPr>
        <w:spacing w:line="360" w:lineRule="auto"/>
        <w:ind w:firstLine="480" w:firstLineChars="200"/>
        <w:rPr>
          <w:rFonts w:ascii="宋体" w:hAnsi="宋体" w:cs="宋体"/>
          <w:sz w:val="24"/>
        </w:rPr>
      </w:pPr>
      <w:r>
        <w:rPr>
          <w:rFonts w:hint="eastAsia" w:ascii="宋体" w:hAnsi="宋体" w:cs="宋体"/>
          <w:sz w:val="24"/>
        </w:rPr>
        <w:t>8.有效期：-20±5℃保存，有效期不低于12个月，冻融次数≥7次,可同时提供25T或50T包装。</w:t>
      </w:r>
    </w:p>
    <w:p w14:paraId="30B464B9">
      <w:pPr>
        <w:spacing w:line="360" w:lineRule="auto"/>
        <w:ind w:firstLine="480" w:firstLineChars="200"/>
        <w:rPr>
          <w:rFonts w:ascii="宋体" w:hAnsi="宋体" w:cs="宋体"/>
          <w:sz w:val="24"/>
        </w:rPr>
      </w:pPr>
      <w:r>
        <w:rPr>
          <w:rFonts w:hint="eastAsia" w:ascii="宋体" w:hAnsi="宋体" w:cs="宋体"/>
          <w:sz w:val="24"/>
        </w:rPr>
        <w:t>9.生产质量：为保证生产厂家试剂的生产质量，要求生产环境需进行日常的环境监测。</w:t>
      </w:r>
    </w:p>
    <w:p w14:paraId="1D71345C">
      <w:pPr>
        <w:spacing w:line="360" w:lineRule="auto"/>
        <w:ind w:firstLine="480" w:firstLineChars="200"/>
        <w:rPr>
          <w:rFonts w:ascii="宋体" w:hAnsi="宋体" w:cs="宋体"/>
          <w:sz w:val="24"/>
        </w:rPr>
      </w:pPr>
      <w:r>
        <w:rPr>
          <w:rFonts w:hint="eastAsia" w:ascii="宋体" w:hAnsi="宋体" w:cs="宋体"/>
          <w:sz w:val="24"/>
        </w:rPr>
        <w:t>10.售后服务保障：试剂在使用过程中，如有任何问题，保证2小时内答复，4小时内到达用户现场解决问题，直至保证试剂能够正常使用。在应急突发、节假日期间如遇急需试剂可24小时随时响应，2小时内将试剂和工程师到达用户现场，如遇夜间4小时内送达用户现场。</w:t>
      </w:r>
    </w:p>
    <w:p w14:paraId="0A0D3F9E">
      <w:pPr>
        <w:spacing w:line="360" w:lineRule="auto"/>
        <w:ind w:firstLine="482" w:firstLineChars="200"/>
        <w:rPr>
          <w:rFonts w:ascii="宋体" w:hAnsi="宋体" w:cs="宋体"/>
          <w:b/>
          <w:bCs/>
          <w:sz w:val="24"/>
        </w:rPr>
      </w:pPr>
      <w:r>
        <w:rPr>
          <w:rFonts w:hint="eastAsia" w:ascii="宋体" w:hAnsi="宋体" w:cs="宋体"/>
          <w:b/>
          <w:bCs/>
          <w:sz w:val="24"/>
        </w:rPr>
        <w:t>标的名称39：炭疽芽胞杆菌pagA基因cap基因rpoB基因三重实时荧光PCR检测试剂盒</w:t>
      </w:r>
    </w:p>
    <w:p w14:paraId="7B382DE8">
      <w:pPr>
        <w:spacing w:line="360" w:lineRule="auto"/>
        <w:ind w:firstLine="480" w:firstLineChars="200"/>
        <w:rPr>
          <w:rFonts w:ascii="宋体" w:hAnsi="宋体" w:cs="宋体"/>
          <w:sz w:val="24"/>
        </w:rPr>
      </w:pPr>
      <w:r>
        <w:rPr>
          <w:rFonts w:hint="eastAsia" w:ascii="宋体" w:hAnsi="宋体" w:cs="宋体"/>
          <w:sz w:val="24"/>
        </w:rPr>
        <w:t>1.适用范围：适用于定性检测从环境样本、临床样本、食品样本及其培养物中提取的炭疽芽胞杆菌保护性抗原基因（pagA）、荚膜合成相关基因（cap）和RNA聚合酶基因（rpoB）。</w:t>
      </w:r>
    </w:p>
    <w:p w14:paraId="24BA9E25">
      <w:pPr>
        <w:spacing w:line="360" w:lineRule="auto"/>
        <w:ind w:firstLine="480" w:firstLineChars="200"/>
        <w:rPr>
          <w:rFonts w:ascii="宋体" w:hAnsi="宋体" w:cs="宋体"/>
          <w:sz w:val="24"/>
        </w:rPr>
      </w:pPr>
      <w:r>
        <w:rPr>
          <w:rFonts w:hint="eastAsia" w:ascii="宋体" w:hAnsi="宋体" w:cs="宋体"/>
          <w:sz w:val="24"/>
        </w:rPr>
        <w:t>2.适用机型：开放型平台，可适用于各种多通道校正的全自动荧光PCR检测仪。</w:t>
      </w:r>
    </w:p>
    <w:p w14:paraId="056A527C">
      <w:pPr>
        <w:spacing w:line="360" w:lineRule="auto"/>
        <w:ind w:firstLine="480" w:firstLineChars="200"/>
        <w:rPr>
          <w:rFonts w:ascii="宋体" w:hAnsi="宋体" w:cs="宋体"/>
          <w:sz w:val="24"/>
        </w:rPr>
      </w:pPr>
      <w:r>
        <w:rPr>
          <w:rFonts w:hint="eastAsia" w:ascii="宋体" w:hAnsi="宋体" w:cs="宋体"/>
          <w:sz w:val="24"/>
        </w:rPr>
        <w:t>3.检测技术：多重实时荧光PCR技术。</w:t>
      </w:r>
    </w:p>
    <w:p w14:paraId="58C9630E">
      <w:pPr>
        <w:spacing w:line="360" w:lineRule="auto"/>
        <w:ind w:firstLine="480" w:firstLineChars="200"/>
        <w:rPr>
          <w:rFonts w:ascii="宋体" w:hAnsi="宋体" w:cs="宋体"/>
          <w:sz w:val="24"/>
        </w:rPr>
      </w:pPr>
      <w:r>
        <w:rPr>
          <w:rFonts w:hint="eastAsia" w:ascii="宋体" w:hAnsi="宋体" w:cs="宋体"/>
          <w:sz w:val="24"/>
        </w:rPr>
        <w:t>4.反应体系：可根据需要提供1管全混体系和除酶以外1管预混液体系包装，同品牌多个不同试剂可使用同一扩增程序上机使用。反应理论时间≤28min，反应时长≤60min。</w:t>
      </w:r>
    </w:p>
    <w:p w14:paraId="04CBC099">
      <w:pPr>
        <w:spacing w:line="360" w:lineRule="auto"/>
        <w:ind w:firstLine="480" w:firstLineChars="200"/>
        <w:rPr>
          <w:rFonts w:ascii="宋体" w:hAnsi="宋体" w:cs="宋体"/>
          <w:sz w:val="24"/>
        </w:rPr>
      </w:pPr>
      <w:r>
        <w:rPr>
          <w:rFonts w:hint="eastAsia" w:ascii="PingFang SC" w:hAnsi="PingFang SC" w:eastAsia="PingFang SC" w:cs="PingFang SC"/>
          <w:sz w:val="24"/>
        </w:rPr>
        <w:t>▲</w:t>
      </w:r>
      <w:r>
        <w:rPr>
          <w:rFonts w:hint="eastAsia" w:ascii="宋体" w:hAnsi="宋体" w:cs="宋体"/>
          <w:sz w:val="24"/>
        </w:rPr>
        <w:t>5.检测性能：灵敏度最低500copies/mL，与其他病原菌均无交叉反应。</w:t>
      </w:r>
    </w:p>
    <w:p w14:paraId="70651CB6">
      <w:pPr>
        <w:spacing w:line="360" w:lineRule="auto"/>
        <w:ind w:firstLine="480" w:firstLineChars="200"/>
        <w:rPr>
          <w:rFonts w:ascii="宋体" w:hAnsi="宋体" w:cs="宋体"/>
          <w:sz w:val="24"/>
        </w:rPr>
      </w:pPr>
      <w:r>
        <w:rPr>
          <w:rFonts w:hint="eastAsia" w:ascii="宋体" w:hAnsi="宋体" w:cs="宋体"/>
          <w:sz w:val="24"/>
        </w:rPr>
        <w:t>6.质量控制：含有1管阴性对照和1管阳性对照。</w:t>
      </w:r>
    </w:p>
    <w:p w14:paraId="11B8A364">
      <w:pPr>
        <w:spacing w:line="360" w:lineRule="auto"/>
        <w:ind w:firstLine="480" w:firstLineChars="200"/>
        <w:rPr>
          <w:rFonts w:ascii="宋体" w:hAnsi="宋体" w:cs="宋体"/>
          <w:sz w:val="24"/>
        </w:rPr>
      </w:pPr>
      <w:r>
        <w:rPr>
          <w:rFonts w:hint="eastAsia" w:ascii="宋体" w:hAnsi="宋体" w:cs="宋体"/>
          <w:sz w:val="24"/>
        </w:rPr>
        <w:t>7.结果判读：可免费提供试剂盒同品牌的多病原核酸检测结果判读软件，一键即可完成多种病原体的结果判读，判读的试剂盒种类应覆盖≥500种常见病原微生物的核酸检测试剂盒。</w:t>
      </w:r>
    </w:p>
    <w:p w14:paraId="7B3D8754">
      <w:pPr>
        <w:spacing w:line="360" w:lineRule="auto"/>
        <w:ind w:firstLine="480" w:firstLineChars="200"/>
        <w:rPr>
          <w:rFonts w:ascii="宋体" w:hAnsi="宋体" w:cs="宋体"/>
          <w:sz w:val="24"/>
        </w:rPr>
      </w:pPr>
      <w:r>
        <w:rPr>
          <w:rFonts w:hint="eastAsia" w:ascii="宋体" w:hAnsi="宋体" w:cs="宋体"/>
          <w:sz w:val="24"/>
        </w:rPr>
        <w:t>8.有效期：-20±5℃保存，有效期不低于12个月，冻融次数≥7次,可同时提供25T或50T包装。</w:t>
      </w:r>
    </w:p>
    <w:p w14:paraId="51AD8166">
      <w:pPr>
        <w:spacing w:line="360" w:lineRule="auto"/>
        <w:ind w:firstLine="480" w:firstLineChars="200"/>
        <w:rPr>
          <w:rFonts w:ascii="宋体" w:hAnsi="宋体" w:cs="宋体"/>
          <w:sz w:val="24"/>
        </w:rPr>
      </w:pPr>
      <w:r>
        <w:rPr>
          <w:rFonts w:hint="eastAsia" w:ascii="宋体" w:hAnsi="宋体" w:cs="宋体"/>
          <w:sz w:val="24"/>
        </w:rPr>
        <w:t>9.生产质量：为保证生产厂家试剂的生产质量，要求生产环境需进行日常的环境监测。</w:t>
      </w:r>
    </w:p>
    <w:p w14:paraId="2FEB081F">
      <w:pPr>
        <w:spacing w:line="360" w:lineRule="auto"/>
        <w:ind w:firstLine="480" w:firstLineChars="200"/>
        <w:rPr>
          <w:rFonts w:ascii="宋体" w:hAnsi="宋体" w:cs="宋体"/>
          <w:sz w:val="24"/>
        </w:rPr>
      </w:pPr>
      <w:r>
        <w:rPr>
          <w:rFonts w:hint="eastAsia" w:ascii="宋体" w:hAnsi="宋体" w:cs="宋体"/>
          <w:sz w:val="24"/>
        </w:rPr>
        <w:t>10.售后服务保障：试剂在使用过程中，如有任何问题，保证2小时内答复，4小时内到达用户现场解决问题，直至保证试剂能够正常使用。在应急突发、节假日期间如遇急需试剂可24小时随时响应，2小时内将试剂和工程师到达用户现场，如遇夜间4小时内送达用户现场。</w:t>
      </w:r>
    </w:p>
    <w:p w14:paraId="18CB8E3C">
      <w:pPr>
        <w:spacing w:line="360" w:lineRule="auto"/>
        <w:ind w:firstLine="482" w:firstLineChars="200"/>
        <w:rPr>
          <w:rFonts w:ascii="宋体" w:hAnsi="宋体" w:cs="宋体"/>
          <w:b/>
          <w:bCs/>
          <w:sz w:val="24"/>
        </w:rPr>
      </w:pPr>
      <w:r>
        <w:rPr>
          <w:rFonts w:hint="eastAsia" w:ascii="宋体" w:hAnsi="宋体" w:cs="宋体"/>
          <w:b/>
          <w:bCs/>
          <w:sz w:val="24"/>
        </w:rPr>
        <w:t>标的名称40：17种发热伴出疹病原体核酸多重联检试剂盒[全预混版]（实时荧光PCR法）</w:t>
      </w:r>
    </w:p>
    <w:p w14:paraId="380699E3">
      <w:pPr>
        <w:spacing w:line="360" w:lineRule="auto"/>
        <w:ind w:firstLine="480" w:firstLineChars="200"/>
        <w:rPr>
          <w:rFonts w:ascii="宋体" w:hAnsi="宋体" w:cs="宋体"/>
          <w:sz w:val="24"/>
        </w:rPr>
      </w:pPr>
      <w:r>
        <w:rPr>
          <w:rFonts w:hint="eastAsia" w:ascii="宋体" w:hAnsi="宋体" w:cs="宋体"/>
          <w:sz w:val="24"/>
        </w:rPr>
        <w:t>1.检测技术：基于实时荧光PCR技术，选用Taqman探针，用于对水痘-带状疱疹病毒、肠道病毒、风疹病毒、麻疹病毒、人疱疹病毒6型、化脓链球菌、伤寒沙门菌、副伤寒沙门菌、回归热螺旋体、伯氏疏螺旋体、普氏立克次体、登革热病毒、基孔肯雅病毒、猴痘病毒、寨卡病毒、莫氏立克次体、恙虫病东方体的定性检测和鉴别。</w:t>
      </w:r>
    </w:p>
    <w:p w14:paraId="16AECE67">
      <w:pPr>
        <w:spacing w:line="360" w:lineRule="auto"/>
        <w:ind w:firstLine="480" w:firstLineChars="200"/>
        <w:rPr>
          <w:rFonts w:ascii="宋体" w:hAnsi="宋体" w:cs="宋体"/>
          <w:sz w:val="24"/>
        </w:rPr>
      </w:pPr>
      <w:r>
        <w:rPr>
          <w:rFonts w:hint="eastAsia" w:ascii="宋体" w:hAnsi="宋体" w:cs="宋体"/>
          <w:sz w:val="24"/>
        </w:rPr>
        <w:t>2.试剂组成：提供酶与反应混合液全预混的包装方式，试剂盒包含阳性质控品和阴性质控品。</w:t>
      </w:r>
    </w:p>
    <w:p w14:paraId="0C1A81FE">
      <w:pPr>
        <w:spacing w:line="360" w:lineRule="auto"/>
        <w:ind w:firstLine="480" w:firstLineChars="200"/>
        <w:rPr>
          <w:rFonts w:ascii="宋体" w:hAnsi="宋体" w:cs="宋体"/>
          <w:sz w:val="24"/>
        </w:rPr>
      </w:pPr>
      <w:r>
        <w:rPr>
          <w:rFonts w:hint="eastAsia" w:ascii="PingFang SC" w:hAnsi="PingFang SC" w:eastAsia="PingFang SC" w:cs="PingFang SC"/>
          <w:sz w:val="24"/>
        </w:rPr>
        <w:t>▲</w:t>
      </w:r>
      <w:r>
        <w:rPr>
          <w:rFonts w:hint="eastAsia" w:ascii="宋体" w:hAnsi="宋体" w:cs="宋体"/>
          <w:sz w:val="24"/>
        </w:rPr>
        <w:t>3.检测性能：最低检测限为500copies/mL，与其他病原体无交叉反应。</w:t>
      </w:r>
    </w:p>
    <w:p w14:paraId="283AE99E">
      <w:pPr>
        <w:spacing w:line="360" w:lineRule="auto"/>
        <w:ind w:firstLine="480" w:firstLineChars="200"/>
        <w:rPr>
          <w:rFonts w:ascii="宋体" w:hAnsi="宋体" w:cs="宋体"/>
          <w:sz w:val="24"/>
        </w:rPr>
      </w:pPr>
      <w:r>
        <w:rPr>
          <w:rFonts w:hint="eastAsia" w:ascii="宋体" w:hAnsi="宋体" w:cs="宋体"/>
          <w:sz w:val="24"/>
        </w:rPr>
        <w:t>4.样本类型：可检测的样本类型包括皮疹液（组织）、血液、尿液、脑脊液、咽拭子等临床样本及病毒分离物。</w:t>
      </w:r>
    </w:p>
    <w:p w14:paraId="4127E8EF">
      <w:pPr>
        <w:spacing w:line="360" w:lineRule="auto"/>
        <w:ind w:firstLine="480" w:firstLineChars="200"/>
        <w:rPr>
          <w:rFonts w:ascii="宋体" w:hAnsi="宋体" w:cs="宋体"/>
          <w:sz w:val="24"/>
        </w:rPr>
      </w:pPr>
      <w:r>
        <w:rPr>
          <w:rFonts w:hint="eastAsia" w:ascii="宋体" w:hAnsi="宋体" w:cs="宋体"/>
          <w:sz w:val="24"/>
        </w:rPr>
        <w:t>5.适用仪器：适用于含FAM、HEX（VIC）、ROX和CY5通道并经过校准的全自动荧光PCR仪，适配ABI系列（如Prism7500、QuantStudio5、QuantStudio7等）、Roche系列（如LightCycler480Ⅱ、CobasZ480等）、BioRad系列（如CFX96等）、宏石系列（如SLAN-96P/S等）、天隆系列（如Gentier96R等）、博日系列（如QuantGene9600等）、雅睿系列（如MA6000等）。</w:t>
      </w:r>
    </w:p>
    <w:p w14:paraId="15C2E10C">
      <w:pPr>
        <w:spacing w:line="360" w:lineRule="auto"/>
        <w:ind w:firstLine="480" w:firstLineChars="200"/>
        <w:rPr>
          <w:rFonts w:ascii="宋体" w:hAnsi="宋体" w:cs="宋体"/>
          <w:sz w:val="24"/>
        </w:rPr>
      </w:pPr>
      <w:r>
        <w:rPr>
          <w:rFonts w:hint="eastAsia" w:ascii="宋体" w:hAnsi="宋体" w:cs="宋体"/>
          <w:sz w:val="24"/>
        </w:rPr>
        <w:t>6.试剂规格：25人份/盒，50人份/盒。</w:t>
      </w:r>
    </w:p>
    <w:p w14:paraId="401F5A58">
      <w:pPr>
        <w:spacing w:line="360" w:lineRule="auto"/>
        <w:ind w:firstLine="480" w:firstLineChars="200"/>
        <w:rPr>
          <w:rFonts w:ascii="宋体" w:hAnsi="宋体" w:cs="宋体"/>
          <w:sz w:val="24"/>
        </w:rPr>
      </w:pPr>
      <w:r>
        <w:rPr>
          <w:rFonts w:hint="eastAsia" w:ascii="宋体" w:hAnsi="宋体" w:cs="宋体"/>
          <w:sz w:val="24"/>
        </w:rPr>
        <w:t>7.有效期：-20℃及以下避光保存，有效期不少于12个月，且试剂到货后有效期不少于10个月。</w:t>
      </w:r>
    </w:p>
    <w:p w14:paraId="19F9AD0C">
      <w:pPr>
        <w:spacing w:line="360" w:lineRule="auto"/>
        <w:ind w:firstLine="480" w:firstLineChars="200"/>
        <w:rPr>
          <w:rFonts w:ascii="宋体" w:hAnsi="宋体" w:cs="宋体"/>
          <w:sz w:val="24"/>
        </w:rPr>
      </w:pPr>
      <w:r>
        <w:rPr>
          <w:rFonts w:hint="eastAsia" w:ascii="宋体" w:hAnsi="宋体" w:cs="宋体"/>
          <w:sz w:val="24"/>
        </w:rPr>
        <w:t>8.反应体系：不超过25μL。</w:t>
      </w:r>
    </w:p>
    <w:p w14:paraId="34F70506">
      <w:pPr>
        <w:spacing w:line="360" w:lineRule="auto"/>
        <w:ind w:firstLine="480" w:firstLineChars="200"/>
        <w:rPr>
          <w:rFonts w:ascii="宋体" w:hAnsi="宋体" w:cs="宋体"/>
          <w:sz w:val="24"/>
        </w:rPr>
      </w:pPr>
      <w:r>
        <w:rPr>
          <w:rFonts w:hint="eastAsia" w:ascii="宋体" w:hAnsi="宋体" w:cs="宋体"/>
          <w:sz w:val="24"/>
        </w:rPr>
        <w:t>9.需提供与人体健康有关的病原微生物实验室备案凭证，防护等级BSL-2</w:t>
      </w:r>
    </w:p>
    <w:p w14:paraId="21CAABE5">
      <w:pPr>
        <w:spacing w:line="360" w:lineRule="auto"/>
        <w:ind w:firstLine="482" w:firstLineChars="200"/>
        <w:rPr>
          <w:rFonts w:ascii="宋体" w:hAnsi="宋体" w:cs="宋体"/>
          <w:b/>
          <w:bCs/>
          <w:sz w:val="24"/>
        </w:rPr>
      </w:pPr>
      <w:r>
        <w:rPr>
          <w:rFonts w:hint="eastAsia" w:ascii="宋体" w:hAnsi="宋体" w:cs="宋体"/>
          <w:b/>
          <w:bCs/>
          <w:sz w:val="24"/>
        </w:rPr>
        <w:t>标的名称41：22种发热伴出血病原体核酸联检试剂盒[全预混版]（实时荧光PCR法）</w:t>
      </w:r>
    </w:p>
    <w:p w14:paraId="05D2EE20">
      <w:pPr>
        <w:spacing w:line="360" w:lineRule="auto"/>
        <w:ind w:firstLine="480" w:firstLineChars="200"/>
        <w:rPr>
          <w:rFonts w:ascii="宋体" w:hAnsi="宋体" w:cs="宋体"/>
          <w:sz w:val="24"/>
        </w:rPr>
      </w:pPr>
      <w:r>
        <w:rPr>
          <w:rFonts w:hint="eastAsia" w:ascii="宋体" w:hAnsi="宋体" w:cs="宋体"/>
          <w:sz w:val="24"/>
        </w:rPr>
        <w:t>1.检测技术：基于实时荧光PCR技术，选用Taqman探针，用于对大别班达病毒（又称新布尼亚病毒、发热伴血小板减少综合征病毒）、汉滩病毒、汉城病毒、普马拉病毒、登革热病毒、克里米亚刚果出血热病毒、湿地病毒、钩端螺旋体、嗜吞噬细胞无形体、猪链球菌、鄂木斯克出血热病毒、卡萨诺尔森林病毒、埃博拉病毒、马尔堡病毒、拉沙热病毒、马秋波病毒、鸠宁病毒、辛诺柏病毒、黄热病毒、裂谷热病毒、瓜纳瑞托病毒、萨比亚病毒的定性检测和鉴别。</w:t>
      </w:r>
    </w:p>
    <w:p w14:paraId="74043039">
      <w:pPr>
        <w:spacing w:line="360" w:lineRule="auto"/>
        <w:ind w:firstLine="480" w:firstLineChars="200"/>
        <w:rPr>
          <w:rFonts w:ascii="宋体" w:hAnsi="宋体" w:cs="宋体"/>
          <w:sz w:val="24"/>
        </w:rPr>
      </w:pPr>
      <w:r>
        <w:rPr>
          <w:rFonts w:hint="eastAsia" w:ascii="宋体" w:hAnsi="宋体" w:cs="宋体"/>
          <w:sz w:val="24"/>
        </w:rPr>
        <w:t>2.试剂组成：提供酶与反应混合液全预混的包装方式，试剂盒包含阳性质控品和阴性质控品。</w:t>
      </w:r>
    </w:p>
    <w:p w14:paraId="058BDF02">
      <w:pPr>
        <w:spacing w:line="360" w:lineRule="auto"/>
        <w:ind w:firstLine="480" w:firstLineChars="200"/>
        <w:rPr>
          <w:rFonts w:ascii="宋体" w:hAnsi="宋体" w:cs="宋体"/>
          <w:sz w:val="24"/>
        </w:rPr>
      </w:pPr>
      <w:r>
        <w:rPr>
          <w:rFonts w:hint="eastAsia" w:ascii="PingFang SC" w:hAnsi="PingFang SC" w:eastAsia="PingFang SC" w:cs="PingFang SC"/>
          <w:sz w:val="24"/>
        </w:rPr>
        <w:t>▲</w:t>
      </w:r>
      <w:r>
        <w:rPr>
          <w:rFonts w:hint="eastAsia" w:ascii="宋体" w:hAnsi="宋体" w:cs="宋体"/>
          <w:sz w:val="24"/>
        </w:rPr>
        <w:t>3.检测性能：最低检测限为500copies/mL，与其他病原体无交叉反应。</w:t>
      </w:r>
    </w:p>
    <w:p w14:paraId="359E3CBA">
      <w:pPr>
        <w:spacing w:line="360" w:lineRule="auto"/>
        <w:ind w:firstLine="480" w:firstLineChars="200"/>
        <w:rPr>
          <w:rFonts w:ascii="宋体" w:hAnsi="宋体" w:cs="宋体"/>
          <w:sz w:val="24"/>
        </w:rPr>
      </w:pPr>
      <w:r>
        <w:rPr>
          <w:rFonts w:hint="eastAsia" w:ascii="宋体" w:hAnsi="宋体" w:cs="宋体"/>
          <w:sz w:val="24"/>
        </w:rPr>
        <w:t>4.样本类型：可检测的样本类型包括血液、体液、组织样本等。</w:t>
      </w:r>
    </w:p>
    <w:p w14:paraId="459E9F4A">
      <w:pPr>
        <w:spacing w:line="360" w:lineRule="auto"/>
        <w:ind w:firstLine="480" w:firstLineChars="200"/>
        <w:rPr>
          <w:rFonts w:ascii="宋体" w:hAnsi="宋体" w:cs="宋体"/>
          <w:sz w:val="24"/>
        </w:rPr>
      </w:pPr>
      <w:r>
        <w:rPr>
          <w:rFonts w:hint="eastAsia" w:ascii="宋体" w:hAnsi="宋体" w:cs="宋体"/>
          <w:sz w:val="24"/>
        </w:rPr>
        <w:t>5.适用仪器：适用于含FAM、HEX（VIC）、ROX和CY5通道并经过校准的全自动荧光PCR仪，适配ABI系列（如Prism7500、QuantStudio5、QuantStudio7等）、Roche系列（如LightCycler480Ⅱ、CobasZ480等）、BioRad系列（如CFX96等）、宏石系列（如SLAN-96P/S等）、天隆系列（如Gentier96R等）、博日系列（如QuantGene9600等）、雅睿系列（如MA6000等）。</w:t>
      </w:r>
    </w:p>
    <w:p w14:paraId="54615628">
      <w:pPr>
        <w:spacing w:line="360" w:lineRule="auto"/>
        <w:ind w:firstLine="480" w:firstLineChars="200"/>
        <w:rPr>
          <w:rFonts w:ascii="宋体" w:hAnsi="宋体" w:cs="宋体"/>
          <w:sz w:val="24"/>
        </w:rPr>
      </w:pPr>
      <w:r>
        <w:rPr>
          <w:rFonts w:hint="eastAsia" w:ascii="宋体" w:hAnsi="宋体" w:cs="宋体"/>
          <w:sz w:val="24"/>
        </w:rPr>
        <w:t>6.试剂规格：25人份/盒，50人份/盒。</w:t>
      </w:r>
    </w:p>
    <w:p w14:paraId="407C02E4">
      <w:pPr>
        <w:spacing w:line="360" w:lineRule="auto"/>
        <w:ind w:firstLine="480" w:firstLineChars="200"/>
        <w:rPr>
          <w:rFonts w:ascii="宋体" w:hAnsi="宋体" w:cs="宋体"/>
          <w:sz w:val="24"/>
        </w:rPr>
      </w:pPr>
      <w:r>
        <w:rPr>
          <w:rFonts w:hint="eastAsia" w:ascii="宋体" w:hAnsi="宋体" w:cs="宋体"/>
          <w:sz w:val="24"/>
        </w:rPr>
        <w:t>7.有效期：-20℃及以下避光保存，有效期不少于12个月，且试剂到货后有效期不少于10个月。</w:t>
      </w:r>
    </w:p>
    <w:p w14:paraId="50ED8970">
      <w:pPr>
        <w:spacing w:line="360" w:lineRule="auto"/>
        <w:ind w:firstLine="480" w:firstLineChars="200"/>
        <w:rPr>
          <w:rFonts w:ascii="宋体" w:hAnsi="宋体" w:cs="宋体"/>
          <w:sz w:val="24"/>
        </w:rPr>
      </w:pPr>
      <w:r>
        <w:rPr>
          <w:rFonts w:hint="eastAsia" w:ascii="宋体" w:hAnsi="宋体" w:cs="宋体"/>
          <w:sz w:val="24"/>
        </w:rPr>
        <w:t>8.反应体系：不超过25μL。</w:t>
      </w:r>
    </w:p>
    <w:p w14:paraId="5AE997D3">
      <w:pPr>
        <w:spacing w:line="360" w:lineRule="auto"/>
        <w:ind w:firstLine="480" w:firstLineChars="200"/>
        <w:rPr>
          <w:rFonts w:ascii="宋体" w:hAnsi="宋体" w:cs="宋体"/>
          <w:sz w:val="24"/>
        </w:rPr>
      </w:pPr>
      <w:r>
        <w:rPr>
          <w:rFonts w:hint="eastAsia" w:ascii="宋体" w:hAnsi="宋体" w:cs="宋体"/>
          <w:sz w:val="24"/>
        </w:rPr>
        <w:t>9.需提供与人体健康有关的病原微生物实验室备案凭证，防护等级BSL-2</w:t>
      </w:r>
    </w:p>
    <w:p w14:paraId="19BDF65B">
      <w:pPr>
        <w:spacing w:line="360" w:lineRule="auto"/>
        <w:ind w:firstLine="482" w:firstLineChars="200"/>
        <w:rPr>
          <w:rFonts w:ascii="宋体" w:hAnsi="宋体" w:cs="宋体"/>
          <w:b/>
          <w:bCs/>
          <w:sz w:val="24"/>
        </w:rPr>
      </w:pPr>
      <w:r>
        <w:rPr>
          <w:rFonts w:hint="eastAsia" w:ascii="宋体" w:hAnsi="宋体" w:cs="宋体"/>
          <w:b/>
          <w:bCs/>
          <w:sz w:val="24"/>
        </w:rPr>
        <w:t>标的名称42：22种脑炎/脑膜炎病原体核酸联检试剂盒[全预混版]（实时荧光PCR法）</w:t>
      </w:r>
    </w:p>
    <w:p w14:paraId="4188BCA5">
      <w:pPr>
        <w:spacing w:line="360" w:lineRule="auto"/>
        <w:ind w:firstLine="480" w:firstLineChars="200"/>
        <w:rPr>
          <w:rFonts w:ascii="宋体" w:hAnsi="宋体" w:cs="宋体"/>
          <w:sz w:val="24"/>
        </w:rPr>
      </w:pPr>
      <w:r>
        <w:rPr>
          <w:rFonts w:hint="eastAsia" w:ascii="宋体" w:hAnsi="宋体" w:cs="宋体"/>
          <w:sz w:val="24"/>
        </w:rPr>
        <w:t>1.检测技术：基于实时荧光PCR技术，选用Taqman探针，用于对流感嗜血杆菌、无乳链球菌、肺炎链球菌、单增李斯特菌、脑膜炎奈瑟菌、化脓性链球菌、金黄色葡萄球菌、乙型脑炎病毒、巨细胞病毒、水痘-带状疱疹病毒、单纯疱疹病毒、腮腺炎病毒、肠道病毒、隐球菌、EB病毒、猪链球菌、大肠杆菌、狂犬病毒、蜱传脑炎病毒、结核分枝杆菌、大别班达病毒、西尼罗病毒的定性检测和鉴别。</w:t>
      </w:r>
    </w:p>
    <w:p w14:paraId="2FAE2D12">
      <w:pPr>
        <w:spacing w:line="360" w:lineRule="auto"/>
        <w:ind w:firstLine="480" w:firstLineChars="200"/>
        <w:rPr>
          <w:rFonts w:ascii="宋体" w:hAnsi="宋体" w:cs="宋体"/>
          <w:sz w:val="24"/>
        </w:rPr>
      </w:pPr>
      <w:r>
        <w:rPr>
          <w:rFonts w:hint="eastAsia" w:ascii="宋体" w:hAnsi="宋体" w:cs="宋体"/>
          <w:sz w:val="24"/>
        </w:rPr>
        <w:t>2.试剂组成：提供酶与反应混合液全预混的包装方式，试剂盒包含阳性质控品和阴性质控品。</w:t>
      </w:r>
    </w:p>
    <w:p w14:paraId="698B4191">
      <w:pPr>
        <w:spacing w:line="360" w:lineRule="auto"/>
        <w:ind w:firstLine="480" w:firstLineChars="200"/>
        <w:rPr>
          <w:rFonts w:ascii="宋体" w:hAnsi="宋体" w:cs="宋体"/>
          <w:sz w:val="24"/>
        </w:rPr>
      </w:pPr>
      <w:r>
        <w:rPr>
          <w:rFonts w:hint="eastAsia" w:ascii="PingFang SC" w:hAnsi="PingFang SC" w:eastAsia="PingFang SC" w:cs="PingFang SC"/>
          <w:sz w:val="24"/>
        </w:rPr>
        <w:t>▲</w:t>
      </w:r>
      <w:r>
        <w:rPr>
          <w:rFonts w:hint="eastAsia" w:ascii="宋体" w:hAnsi="宋体" w:cs="宋体"/>
          <w:sz w:val="24"/>
        </w:rPr>
        <w:t>3.检测性能：最低检测限为500copies/mL，与其他病原体无交叉反应。</w:t>
      </w:r>
    </w:p>
    <w:p w14:paraId="2092B65D">
      <w:pPr>
        <w:spacing w:line="360" w:lineRule="auto"/>
        <w:ind w:firstLine="480" w:firstLineChars="200"/>
        <w:rPr>
          <w:rFonts w:ascii="宋体" w:hAnsi="宋体" w:cs="宋体"/>
          <w:sz w:val="24"/>
        </w:rPr>
      </w:pPr>
      <w:r>
        <w:rPr>
          <w:rFonts w:hint="eastAsia" w:ascii="宋体" w:hAnsi="宋体" w:cs="宋体"/>
          <w:sz w:val="24"/>
        </w:rPr>
        <w:t>4.样本类型：可检测的样本类型包括脑脊液、血液、疱疹液及病原培养物等。</w:t>
      </w:r>
    </w:p>
    <w:p w14:paraId="4AE37D5B">
      <w:pPr>
        <w:spacing w:line="360" w:lineRule="auto"/>
        <w:ind w:firstLine="480" w:firstLineChars="200"/>
        <w:rPr>
          <w:rFonts w:ascii="宋体" w:hAnsi="宋体" w:cs="宋体"/>
          <w:sz w:val="24"/>
        </w:rPr>
      </w:pPr>
      <w:r>
        <w:rPr>
          <w:rFonts w:hint="eastAsia" w:ascii="宋体" w:hAnsi="宋体" w:cs="宋体"/>
          <w:sz w:val="24"/>
        </w:rPr>
        <w:t>5.适用仪器：适用于含FAM、HEX（VIC）、ROX和CY5通道并经过校准的全自动荧光PCR仪，适配ABI系列（如Prism7500、QuantStudio5、QuantStudio7等）、Roche系列（如LightCycler480Ⅱ、CobasZ480等）、BioRad系列（如CFX96等）、宏石系列（如SLAN-96P/S等）、天隆系列（如Gentier96R等）、博日系列（如QuantGene9600等）、雅睿系列（如MA6000等）。</w:t>
      </w:r>
    </w:p>
    <w:p w14:paraId="478A554C">
      <w:pPr>
        <w:spacing w:line="360" w:lineRule="auto"/>
        <w:ind w:firstLine="480" w:firstLineChars="200"/>
        <w:rPr>
          <w:rFonts w:ascii="宋体" w:hAnsi="宋体" w:cs="宋体"/>
          <w:sz w:val="24"/>
        </w:rPr>
      </w:pPr>
      <w:r>
        <w:rPr>
          <w:rFonts w:hint="eastAsia" w:ascii="宋体" w:hAnsi="宋体" w:cs="宋体"/>
          <w:sz w:val="24"/>
        </w:rPr>
        <w:t>6.试剂规格：25人份/盒，50人份/盒。</w:t>
      </w:r>
    </w:p>
    <w:p w14:paraId="525102C1">
      <w:pPr>
        <w:spacing w:line="360" w:lineRule="auto"/>
        <w:ind w:firstLine="480" w:firstLineChars="200"/>
        <w:rPr>
          <w:rFonts w:ascii="宋体" w:hAnsi="宋体" w:cs="宋体"/>
          <w:sz w:val="24"/>
        </w:rPr>
      </w:pPr>
      <w:r>
        <w:rPr>
          <w:rFonts w:hint="eastAsia" w:ascii="宋体" w:hAnsi="宋体" w:cs="宋体"/>
          <w:sz w:val="24"/>
        </w:rPr>
        <w:t>7.有效期：-20℃及以下避光保存，有效期不少于12个月，且试剂到货后有效期不少于10个月。</w:t>
      </w:r>
    </w:p>
    <w:p w14:paraId="21BA2918">
      <w:pPr>
        <w:spacing w:line="360" w:lineRule="auto"/>
        <w:ind w:firstLine="480" w:firstLineChars="200"/>
        <w:rPr>
          <w:rFonts w:ascii="宋体" w:hAnsi="宋体" w:cs="宋体"/>
          <w:sz w:val="24"/>
        </w:rPr>
      </w:pPr>
      <w:r>
        <w:rPr>
          <w:rFonts w:hint="eastAsia" w:ascii="宋体" w:hAnsi="宋体" w:cs="宋体"/>
          <w:sz w:val="24"/>
        </w:rPr>
        <w:t>8.反应体系：不超过25μL。</w:t>
      </w:r>
    </w:p>
    <w:p w14:paraId="2710D2E2">
      <w:pPr>
        <w:spacing w:line="360" w:lineRule="auto"/>
        <w:ind w:firstLine="480" w:firstLineChars="200"/>
        <w:rPr>
          <w:rFonts w:ascii="宋体" w:hAnsi="宋体" w:cs="宋体"/>
          <w:sz w:val="24"/>
        </w:rPr>
      </w:pPr>
      <w:r>
        <w:rPr>
          <w:rFonts w:hint="eastAsia" w:ascii="宋体" w:hAnsi="宋体" w:cs="宋体"/>
          <w:sz w:val="24"/>
        </w:rPr>
        <w:t>9.需提供与人体健康有关的病原微生物实验室备案凭证，防护等级BSL-2</w:t>
      </w:r>
    </w:p>
    <w:p w14:paraId="16E501C1">
      <w:pPr>
        <w:spacing w:line="360" w:lineRule="auto"/>
        <w:ind w:firstLine="482" w:firstLineChars="200"/>
        <w:rPr>
          <w:rFonts w:ascii="宋体" w:hAnsi="宋体" w:cs="宋体"/>
          <w:b/>
          <w:bCs/>
          <w:sz w:val="24"/>
        </w:rPr>
      </w:pPr>
      <w:r>
        <w:rPr>
          <w:rFonts w:hint="eastAsia" w:ascii="宋体" w:hAnsi="宋体" w:cs="宋体"/>
          <w:b/>
          <w:bCs/>
          <w:sz w:val="24"/>
        </w:rPr>
        <w:t>标的名称43：革兰氏阳性菌药敏板链球菌</w:t>
      </w:r>
    </w:p>
    <w:p w14:paraId="04322318">
      <w:pPr>
        <w:spacing w:line="360" w:lineRule="auto"/>
        <w:ind w:firstLine="480" w:firstLineChars="200"/>
        <w:rPr>
          <w:rFonts w:ascii="宋体" w:hAnsi="宋体" w:cs="宋体"/>
          <w:sz w:val="24"/>
        </w:rPr>
      </w:pPr>
      <w:r>
        <w:rPr>
          <w:rFonts w:hint="eastAsia" w:ascii="宋体" w:hAnsi="宋体" w:cs="宋体"/>
          <w:sz w:val="24"/>
        </w:rPr>
        <w:t>1.用途：用于猩红热链球菌、肺炎链球菌的药物敏感试验；</w:t>
      </w:r>
    </w:p>
    <w:p w14:paraId="4E331FB0">
      <w:pPr>
        <w:spacing w:line="360" w:lineRule="auto"/>
        <w:ind w:firstLine="480" w:firstLineChars="200"/>
        <w:rPr>
          <w:rFonts w:ascii="宋体" w:hAnsi="宋体" w:cs="宋体"/>
          <w:sz w:val="24"/>
        </w:rPr>
      </w:pPr>
      <w:r>
        <w:rPr>
          <w:rFonts w:hint="eastAsia" w:ascii="宋体" w:hAnsi="宋体" w:cs="宋体"/>
          <w:sz w:val="24"/>
        </w:rPr>
        <w:t>2.每块药敏板上都设有一系列对倍稀释浓度的抗生素，通过加入待检细菌与肉汤培养液稀释的菌悬液，在35℃环境下，经20-24小时孵育后，对药敏板条进行读数，经数据分析得到MIC值，并根据美国临床和实验室标准化委员会（CLSI）的相应标准获得相应敏感(S)、中度敏感(I)和耐药(R)的结；</w:t>
      </w:r>
    </w:p>
    <w:p w14:paraId="3E0917EF">
      <w:pPr>
        <w:spacing w:line="360" w:lineRule="auto"/>
        <w:ind w:firstLine="480" w:firstLineChars="200"/>
        <w:rPr>
          <w:rFonts w:ascii="宋体" w:hAnsi="宋体" w:cs="宋体"/>
          <w:sz w:val="24"/>
        </w:rPr>
      </w:pPr>
      <w:r>
        <w:rPr>
          <w:rFonts w:hint="eastAsia" w:ascii="宋体" w:hAnsi="宋体" w:cs="宋体"/>
          <w:sz w:val="24"/>
        </w:rPr>
        <w:t>3.所包含的抗生素种类：阿莫西林、头孢吡肟、头孢噻肟、氯霉素、克林霉素、红霉素、左氧氟沙星、利奈唑烷、美罗培南、莫西沙星、青霉素、替考拉宁、四环素、复方新诺明、万古霉素、氨苄西林、厄他培南、头孢曲松、亚胺培南；</w:t>
      </w:r>
    </w:p>
    <w:p w14:paraId="677D49DB">
      <w:pPr>
        <w:spacing w:line="360" w:lineRule="auto"/>
        <w:ind w:firstLine="480" w:firstLineChars="200"/>
        <w:rPr>
          <w:rFonts w:ascii="宋体" w:hAnsi="宋体" w:cs="宋体"/>
          <w:sz w:val="24"/>
        </w:rPr>
      </w:pPr>
      <w:r>
        <w:rPr>
          <w:rFonts w:hint="eastAsia" w:ascii="宋体" w:hAnsi="宋体" w:cs="宋体"/>
          <w:sz w:val="24"/>
        </w:rPr>
        <w:t>4.生产厂家可提供关于本产品的微生物鉴定药敏分析软件；</w:t>
      </w:r>
    </w:p>
    <w:p w14:paraId="00B90E25">
      <w:pPr>
        <w:spacing w:line="360" w:lineRule="auto"/>
        <w:ind w:firstLine="480" w:firstLineChars="200"/>
        <w:rPr>
          <w:rFonts w:ascii="宋体" w:hAnsi="宋体" w:cs="宋体"/>
          <w:sz w:val="24"/>
        </w:rPr>
      </w:pPr>
      <w:r>
        <w:rPr>
          <w:rFonts w:hint="eastAsia" w:ascii="宋体" w:hAnsi="宋体" w:cs="宋体"/>
          <w:sz w:val="24"/>
        </w:rPr>
        <w:t>5.包装规格：10块/盒（包含配套的接种肉汤和接种水)。</w:t>
      </w:r>
    </w:p>
    <w:p w14:paraId="32F5F524">
      <w:pPr>
        <w:spacing w:line="360" w:lineRule="auto"/>
        <w:ind w:firstLine="482" w:firstLineChars="200"/>
        <w:rPr>
          <w:rFonts w:ascii="宋体" w:hAnsi="宋体" w:cs="宋体"/>
          <w:b/>
          <w:bCs/>
          <w:sz w:val="24"/>
        </w:rPr>
      </w:pPr>
      <w:r>
        <w:rPr>
          <w:rFonts w:hint="eastAsia" w:ascii="宋体" w:hAnsi="宋体" w:cs="宋体"/>
          <w:b/>
          <w:bCs/>
          <w:sz w:val="24"/>
        </w:rPr>
        <w:t>标的名称44：急救包</w:t>
      </w:r>
    </w:p>
    <w:p w14:paraId="09A896A8">
      <w:pPr>
        <w:spacing w:line="360" w:lineRule="auto"/>
        <w:ind w:firstLine="480" w:firstLineChars="200"/>
        <w:rPr>
          <w:rFonts w:ascii="宋体" w:hAnsi="宋体" w:cs="宋体"/>
          <w:sz w:val="24"/>
        </w:rPr>
      </w:pPr>
      <w:r>
        <w:rPr>
          <w:rFonts w:hint="eastAsia" w:ascii="宋体" w:hAnsi="宋体" w:cs="宋体"/>
          <w:sz w:val="24"/>
        </w:rPr>
        <w:t>1.包含8片/包创可贴，6CM*60CM纱布绷带2卷/袋；</w:t>
      </w:r>
    </w:p>
    <w:p w14:paraId="71AA8B28">
      <w:pPr>
        <w:spacing w:line="360" w:lineRule="auto"/>
        <w:ind w:firstLine="482" w:firstLineChars="200"/>
        <w:rPr>
          <w:rFonts w:ascii="宋体" w:hAnsi="宋体" w:cs="宋体"/>
          <w:b/>
          <w:bCs/>
          <w:sz w:val="24"/>
        </w:rPr>
      </w:pPr>
      <w:r>
        <w:rPr>
          <w:rFonts w:hint="eastAsia" w:ascii="宋体" w:hAnsi="宋体" w:cs="宋体"/>
          <w:b/>
          <w:bCs/>
          <w:sz w:val="24"/>
        </w:rPr>
        <w:t>标的名称45：一次性接种环（10ul）</w:t>
      </w:r>
    </w:p>
    <w:p w14:paraId="725C1212">
      <w:pPr>
        <w:spacing w:line="360" w:lineRule="auto"/>
        <w:ind w:firstLine="480" w:firstLineChars="200"/>
        <w:rPr>
          <w:rFonts w:ascii="宋体" w:hAnsi="宋体" w:cs="宋体"/>
          <w:sz w:val="24"/>
        </w:rPr>
      </w:pPr>
      <w:r>
        <w:rPr>
          <w:rFonts w:hint="eastAsia" w:ascii="宋体" w:hAnsi="宋体" w:cs="宋体"/>
          <w:sz w:val="24"/>
        </w:rPr>
        <w:t>1.产品为一次性定量塑料接种环/接种针，材质：高抗冲聚苯乙烯(HIPS)，杆体柔韧可弯曲，环口光滑无毛刺，划线不划破琼脂平板。</w:t>
      </w:r>
    </w:p>
    <w:p w14:paraId="08C188E8">
      <w:pPr>
        <w:spacing w:line="360" w:lineRule="auto"/>
        <w:ind w:firstLine="480" w:firstLineChars="200"/>
        <w:rPr>
          <w:rFonts w:ascii="宋体" w:hAnsi="宋体" w:cs="宋体"/>
          <w:sz w:val="24"/>
        </w:rPr>
      </w:pPr>
      <w:r>
        <w:rPr>
          <w:rFonts w:hint="eastAsia" w:ascii="宋体" w:hAnsi="宋体" w:cs="宋体"/>
          <w:sz w:val="24"/>
        </w:rPr>
        <w:t>2.灭菌方式：环氧乙烷EO灭菌；无DNase、无RNase、无热原；每批次提供出厂无菌检测报告；环口定量校准，满足菌落计数定量接种要求。</w:t>
      </w:r>
    </w:p>
    <w:p w14:paraId="182D9702">
      <w:pPr>
        <w:spacing w:line="360" w:lineRule="auto"/>
        <w:ind w:firstLine="480" w:firstLineChars="200"/>
        <w:rPr>
          <w:rFonts w:ascii="宋体" w:hAnsi="宋体" w:cs="宋体"/>
          <w:sz w:val="24"/>
        </w:rPr>
      </w:pPr>
      <w:r>
        <w:rPr>
          <w:rFonts w:hint="eastAsia" w:ascii="宋体" w:hAnsi="宋体" w:cs="宋体"/>
          <w:sz w:val="24"/>
        </w:rPr>
        <w:t>3.规格色标区分：10μL接种环：橙色，环内径约3.62mm，杆长219mm，定量10μL；</w:t>
      </w:r>
    </w:p>
    <w:p w14:paraId="6AF08038">
      <w:pPr>
        <w:spacing w:line="360" w:lineRule="auto"/>
        <w:ind w:firstLine="480" w:firstLineChars="200"/>
        <w:rPr>
          <w:rFonts w:ascii="宋体" w:hAnsi="宋体" w:cs="宋体"/>
          <w:sz w:val="24"/>
        </w:rPr>
      </w:pPr>
      <w:r>
        <w:rPr>
          <w:rFonts w:hint="eastAsia" w:ascii="宋体" w:hAnsi="宋体" w:cs="宋体"/>
          <w:sz w:val="24"/>
        </w:rPr>
        <w:t>4.每批次环口内径尺寸、取样量校验报告、无菌报告；可提供第三方检测校准资料，满足疾控实验室验收归档要求。</w:t>
      </w:r>
    </w:p>
    <w:p w14:paraId="6C4735B7">
      <w:pPr>
        <w:spacing w:line="360" w:lineRule="auto"/>
        <w:ind w:firstLine="482" w:firstLineChars="200"/>
        <w:rPr>
          <w:rFonts w:ascii="宋体" w:hAnsi="宋体" w:cs="宋体"/>
          <w:b/>
          <w:bCs/>
          <w:sz w:val="24"/>
        </w:rPr>
      </w:pPr>
      <w:r>
        <w:rPr>
          <w:rFonts w:hint="eastAsia" w:ascii="宋体" w:hAnsi="宋体" w:cs="宋体"/>
          <w:b/>
          <w:bCs/>
          <w:sz w:val="24"/>
        </w:rPr>
        <w:t>标的名称46：一次性接种环（1ul）</w:t>
      </w:r>
    </w:p>
    <w:p w14:paraId="7B1ABA43">
      <w:pPr>
        <w:spacing w:line="360" w:lineRule="auto"/>
        <w:ind w:firstLine="480" w:firstLineChars="200"/>
        <w:rPr>
          <w:rFonts w:ascii="宋体" w:hAnsi="宋体" w:cs="宋体"/>
          <w:sz w:val="24"/>
        </w:rPr>
      </w:pPr>
      <w:r>
        <w:rPr>
          <w:rFonts w:hint="eastAsia" w:ascii="宋体" w:hAnsi="宋体" w:cs="宋体"/>
          <w:sz w:val="24"/>
        </w:rPr>
        <w:t>1.产品为一次性定量塑料接种环/接种针，材质：高抗冲聚苯乙烯(HIPS)，杆体柔韧可弯曲，环口光滑无毛刺，划线不划破琼脂平板。</w:t>
      </w:r>
    </w:p>
    <w:p w14:paraId="50BF20D4">
      <w:pPr>
        <w:spacing w:line="360" w:lineRule="auto"/>
        <w:ind w:firstLine="480" w:firstLineChars="200"/>
        <w:rPr>
          <w:rFonts w:ascii="宋体" w:hAnsi="宋体" w:cs="宋体"/>
          <w:sz w:val="24"/>
        </w:rPr>
      </w:pPr>
      <w:r>
        <w:rPr>
          <w:rFonts w:hint="eastAsia" w:ascii="宋体" w:hAnsi="宋体" w:cs="宋体"/>
          <w:sz w:val="24"/>
        </w:rPr>
        <w:t>2.灭菌方式：环氧乙烷EO灭菌；无DNase、无RNase、无热原；每批次提供出厂无菌检测报告；环口定量校准，满足菌落计数定量接种要求。</w:t>
      </w:r>
    </w:p>
    <w:p w14:paraId="38248F33">
      <w:pPr>
        <w:spacing w:line="360" w:lineRule="auto"/>
        <w:ind w:firstLine="480" w:firstLineChars="200"/>
        <w:rPr>
          <w:rFonts w:ascii="宋体" w:hAnsi="宋体" w:cs="宋体"/>
          <w:sz w:val="24"/>
        </w:rPr>
      </w:pPr>
      <w:r>
        <w:rPr>
          <w:rFonts w:hint="eastAsia" w:ascii="宋体" w:hAnsi="宋体" w:cs="宋体"/>
          <w:sz w:val="24"/>
        </w:rPr>
        <w:t>3.规格色标区分：1μL接种环：蓝色，环内径约0.85‑0.88mm，杆长216mm，定量1μL；</w:t>
      </w:r>
    </w:p>
    <w:p w14:paraId="2E7899AD">
      <w:pPr>
        <w:spacing w:line="360" w:lineRule="auto"/>
        <w:ind w:firstLine="480" w:firstLineChars="200"/>
        <w:rPr>
          <w:rFonts w:ascii="宋体" w:hAnsi="宋体" w:cs="宋体"/>
          <w:sz w:val="24"/>
        </w:rPr>
      </w:pPr>
      <w:r>
        <w:rPr>
          <w:rFonts w:hint="eastAsia" w:ascii="宋体" w:hAnsi="宋体" w:cs="宋体"/>
          <w:sz w:val="24"/>
        </w:rPr>
        <w:t>4.每批次环口内径尺寸、取样量校验报告、无菌报告；可提供第三方检测校准资料，满足疾控实验室验收归档要求。</w:t>
      </w:r>
    </w:p>
    <w:p w14:paraId="6312240F">
      <w:pPr>
        <w:spacing w:line="360" w:lineRule="auto"/>
        <w:ind w:firstLine="482" w:firstLineChars="200"/>
        <w:rPr>
          <w:rFonts w:ascii="宋体" w:hAnsi="宋体" w:cs="宋体"/>
          <w:b/>
          <w:bCs/>
          <w:sz w:val="24"/>
        </w:rPr>
      </w:pPr>
      <w:r>
        <w:rPr>
          <w:rFonts w:hint="eastAsia" w:ascii="宋体" w:hAnsi="宋体" w:cs="宋体"/>
          <w:b/>
          <w:bCs/>
          <w:sz w:val="24"/>
        </w:rPr>
        <w:t>标的名称47：一次性接种针</w:t>
      </w:r>
    </w:p>
    <w:p w14:paraId="1DB5D546">
      <w:pPr>
        <w:spacing w:line="360" w:lineRule="auto"/>
        <w:ind w:firstLine="480" w:firstLineChars="200"/>
        <w:rPr>
          <w:rFonts w:ascii="宋体" w:hAnsi="宋体" w:cs="宋体"/>
          <w:sz w:val="24"/>
        </w:rPr>
      </w:pPr>
      <w:r>
        <w:rPr>
          <w:rFonts w:hint="eastAsia" w:ascii="宋体" w:hAnsi="宋体" w:cs="宋体"/>
          <w:sz w:val="24"/>
        </w:rPr>
        <w:t>1.产品为一次性定量塑料接种环/接种针，材质：高抗冲聚苯乙烯(HIPS)，杆体柔韧可弯曲，环口光滑无毛刺，划线不划破琼脂平板。</w:t>
      </w:r>
    </w:p>
    <w:p w14:paraId="47616A02">
      <w:pPr>
        <w:spacing w:line="360" w:lineRule="auto"/>
        <w:ind w:firstLine="480" w:firstLineChars="200"/>
        <w:rPr>
          <w:rFonts w:ascii="宋体" w:hAnsi="宋体" w:cs="宋体"/>
          <w:sz w:val="24"/>
        </w:rPr>
      </w:pPr>
      <w:r>
        <w:rPr>
          <w:rFonts w:hint="eastAsia" w:ascii="宋体" w:hAnsi="宋体" w:cs="宋体"/>
          <w:sz w:val="24"/>
        </w:rPr>
        <w:t>2.灭菌方式：环氧乙烷EO灭菌；无DNase、无RNase、无热原；每批次提供出厂无菌检测报告；环口定量校准，满足菌落计数定量接种要求。</w:t>
      </w:r>
    </w:p>
    <w:p w14:paraId="22559A62">
      <w:pPr>
        <w:spacing w:line="360" w:lineRule="auto"/>
        <w:ind w:firstLine="480" w:firstLineChars="200"/>
        <w:rPr>
          <w:rFonts w:ascii="宋体" w:hAnsi="宋体" w:cs="宋体"/>
          <w:sz w:val="24"/>
        </w:rPr>
      </w:pPr>
      <w:r>
        <w:rPr>
          <w:rFonts w:hint="eastAsia" w:ascii="宋体" w:hAnsi="宋体" w:cs="宋体"/>
          <w:sz w:val="24"/>
        </w:rPr>
        <w:t>3.规格色标区分：接种针：橙色，实心针端，杆长约218mm，用于挑取单菌落。</w:t>
      </w:r>
    </w:p>
    <w:p w14:paraId="510B388A">
      <w:pPr>
        <w:spacing w:line="360" w:lineRule="auto"/>
        <w:ind w:firstLine="480" w:firstLineChars="200"/>
        <w:rPr>
          <w:rFonts w:ascii="宋体" w:hAnsi="宋体" w:cs="宋体"/>
          <w:sz w:val="24"/>
        </w:rPr>
      </w:pPr>
      <w:r>
        <w:rPr>
          <w:rFonts w:hint="eastAsia" w:ascii="宋体" w:hAnsi="宋体" w:cs="宋体"/>
          <w:sz w:val="24"/>
        </w:rPr>
        <w:t>4.每批次环口内径尺寸、取样量校验报告、无菌报告；可提供第三方检测校准资料，满足疾控实验室验收归档要求。</w:t>
      </w:r>
    </w:p>
    <w:p w14:paraId="0AA16162">
      <w:pPr>
        <w:spacing w:line="360" w:lineRule="auto"/>
        <w:ind w:firstLine="482" w:firstLineChars="200"/>
        <w:rPr>
          <w:rFonts w:ascii="宋体" w:hAnsi="宋体" w:cs="宋体"/>
          <w:b/>
          <w:bCs/>
          <w:sz w:val="24"/>
        </w:rPr>
      </w:pPr>
      <w:r>
        <w:rPr>
          <w:rFonts w:hint="eastAsia" w:ascii="宋体" w:hAnsi="宋体" w:cs="宋体"/>
          <w:b/>
          <w:bCs/>
          <w:sz w:val="24"/>
        </w:rPr>
        <w:t>标的名称</w:t>
      </w:r>
      <w:r>
        <w:rPr>
          <w:rFonts w:ascii="宋体" w:hAnsi="宋体" w:cs="宋体"/>
          <w:b/>
          <w:bCs/>
          <w:sz w:val="24"/>
        </w:rPr>
        <w:t>48：吸头20µL</w:t>
      </w:r>
    </w:p>
    <w:p w14:paraId="1FF1EC93">
      <w:pPr>
        <w:spacing w:line="360" w:lineRule="auto"/>
        <w:ind w:firstLine="480" w:firstLineChars="200"/>
        <w:rPr>
          <w:rFonts w:ascii="宋体" w:hAnsi="宋体" w:cs="宋体"/>
          <w:sz w:val="24"/>
        </w:rPr>
      </w:pPr>
      <w:r>
        <w:rPr>
          <w:rFonts w:ascii="宋体" w:hAnsi="宋体" w:cs="宋体"/>
          <w:sz w:val="24"/>
        </w:rPr>
        <w:t xml:space="preserve">1.选用符合USP Class </w:t>
      </w:r>
      <w:r>
        <w:rPr>
          <w:rFonts w:hint="eastAsia" w:ascii="宋体" w:hAnsi="宋体" w:cs="宋体"/>
          <w:sz w:val="24"/>
        </w:rPr>
        <w:t>Ⅵ标准原料，安全无污染，保障实验可靠性。</w:t>
      </w:r>
    </w:p>
    <w:p w14:paraId="6F0D00A6">
      <w:pPr>
        <w:spacing w:line="360" w:lineRule="auto"/>
        <w:ind w:firstLine="480" w:firstLineChars="200"/>
        <w:rPr>
          <w:rFonts w:ascii="宋体" w:hAnsi="宋体" w:cs="宋体"/>
          <w:sz w:val="24"/>
        </w:rPr>
      </w:pPr>
      <w:r>
        <w:rPr>
          <w:rFonts w:ascii="宋体" w:hAnsi="宋体" w:cs="宋体"/>
          <w:sz w:val="24"/>
        </w:rPr>
        <w:t>2.万级净化车间生产，经EO灭菌。无菌无酶无热原，能满足细胞培养、分子生物学等严苛实验需求。</w:t>
      </w:r>
    </w:p>
    <w:p w14:paraId="6720DCCC">
      <w:pPr>
        <w:spacing w:line="360" w:lineRule="auto"/>
        <w:ind w:firstLine="480" w:firstLineChars="200"/>
        <w:rPr>
          <w:rFonts w:ascii="宋体" w:hAnsi="宋体" w:cs="宋体"/>
          <w:sz w:val="24"/>
        </w:rPr>
      </w:pPr>
      <w:r>
        <w:rPr>
          <w:rFonts w:ascii="宋体" w:hAnsi="宋体" w:cs="宋体"/>
          <w:sz w:val="24"/>
        </w:rPr>
        <w:t>3.内壁光滑且气密性佳，液体残留极少，移液精度高。</w:t>
      </w:r>
    </w:p>
    <w:p w14:paraId="4CEA402C">
      <w:pPr>
        <w:spacing w:line="360" w:lineRule="auto"/>
        <w:ind w:firstLine="480" w:firstLineChars="200"/>
        <w:rPr>
          <w:rFonts w:ascii="宋体" w:hAnsi="宋体" w:cs="宋体"/>
          <w:sz w:val="24"/>
        </w:rPr>
      </w:pPr>
      <w:r>
        <w:rPr>
          <w:rFonts w:ascii="宋体" w:hAnsi="宋体" w:cs="宋体"/>
          <w:sz w:val="24"/>
        </w:rPr>
        <w:t>4.严格生产体系把控，产品同心度高、批间差异小，适配自动化移液系统。</w:t>
      </w:r>
    </w:p>
    <w:p w14:paraId="239CE98D">
      <w:pPr>
        <w:spacing w:line="360" w:lineRule="auto"/>
        <w:ind w:firstLine="482" w:firstLineChars="200"/>
        <w:rPr>
          <w:rFonts w:ascii="宋体" w:hAnsi="宋体" w:cs="宋体"/>
          <w:b/>
          <w:bCs/>
          <w:sz w:val="24"/>
        </w:rPr>
      </w:pPr>
      <w:r>
        <w:rPr>
          <w:rFonts w:hint="eastAsia" w:ascii="宋体" w:hAnsi="宋体" w:cs="宋体"/>
          <w:b/>
          <w:bCs/>
          <w:sz w:val="24"/>
        </w:rPr>
        <w:t>标的名称</w:t>
      </w:r>
      <w:r>
        <w:rPr>
          <w:rFonts w:ascii="宋体" w:hAnsi="宋体" w:cs="宋体"/>
          <w:b/>
          <w:bCs/>
          <w:sz w:val="24"/>
        </w:rPr>
        <w:t>49：压敏型封板膜</w:t>
      </w:r>
    </w:p>
    <w:p w14:paraId="171BDCB5">
      <w:pPr>
        <w:spacing w:line="360" w:lineRule="auto"/>
        <w:ind w:firstLine="480" w:firstLineChars="200"/>
        <w:rPr>
          <w:rFonts w:ascii="宋体" w:hAnsi="宋体" w:cs="宋体"/>
          <w:sz w:val="24"/>
        </w:rPr>
      </w:pPr>
      <w:r>
        <w:rPr>
          <w:rFonts w:ascii="宋体" w:hAnsi="宋体" w:cs="宋体"/>
          <w:sz w:val="24"/>
        </w:rPr>
        <w:t>1.应用：适用材质为PP、PE、PS、PC的96孔板和384孔板。</w:t>
      </w:r>
    </w:p>
    <w:p w14:paraId="5E3F0AA4">
      <w:pPr>
        <w:spacing w:line="360" w:lineRule="auto"/>
        <w:ind w:firstLine="480" w:firstLineChars="200"/>
        <w:rPr>
          <w:rFonts w:ascii="宋体" w:hAnsi="宋体" w:cs="宋体"/>
          <w:sz w:val="24"/>
        </w:rPr>
      </w:pPr>
      <w:r>
        <w:rPr>
          <w:rFonts w:hint="eastAsia" w:ascii="宋体" w:hAnsi="宋体" w:cs="宋体"/>
          <w:sz w:val="24"/>
        </w:rPr>
        <w:t>2.外观：两侧设加宽可撕条，膜使用层高透明度，初始无黏性不沾手套、贴板施加压力产生强黏性。</w:t>
      </w:r>
    </w:p>
    <w:p w14:paraId="42DCDF06">
      <w:pPr>
        <w:spacing w:line="360" w:lineRule="auto"/>
        <w:ind w:firstLine="480" w:firstLineChars="200"/>
        <w:rPr>
          <w:rFonts w:ascii="宋体" w:hAnsi="宋体" w:cs="宋体"/>
          <w:sz w:val="24"/>
        </w:rPr>
      </w:pPr>
      <w:r>
        <w:rPr>
          <w:rFonts w:ascii="宋体" w:hAnsi="宋体" w:cs="宋体"/>
          <w:sz w:val="24"/>
        </w:rPr>
        <w:t>3.性能：无菌无酶，透光率≥94%。</w:t>
      </w:r>
    </w:p>
    <w:p w14:paraId="71A8D970">
      <w:pPr>
        <w:spacing w:line="360" w:lineRule="auto"/>
        <w:ind w:firstLine="482" w:firstLineChars="200"/>
        <w:rPr>
          <w:rFonts w:ascii="宋体" w:hAnsi="宋体" w:cs="宋体"/>
          <w:b/>
          <w:bCs/>
          <w:sz w:val="24"/>
        </w:rPr>
      </w:pPr>
      <w:r>
        <w:rPr>
          <w:rFonts w:hint="eastAsia" w:ascii="宋体" w:hAnsi="宋体" w:cs="宋体"/>
          <w:b/>
          <w:bCs/>
          <w:sz w:val="24"/>
        </w:rPr>
        <w:t>标的名称</w:t>
      </w:r>
      <w:r>
        <w:rPr>
          <w:rFonts w:ascii="宋体" w:hAnsi="宋体" w:cs="宋体"/>
          <w:b/>
          <w:bCs/>
          <w:sz w:val="24"/>
        </w:rPr>
        <w:t xml:space="preserve">50：0.2 ml </w:t>
      </w:r>
      <w:r>
        <w:rPr>
          <w:rFonts w:hint="eastAsia" w:ascii="宋体" w:hAnsi="宋体" w:cs="宋体"/>
          <w:b/>
          <w:bCs/>
          <w:sz w:val="24"/>
        </w:rPr>
        <w:t>半</w:t>
      </w:r>
      <w:r>
        <w:rPr>
          <w:rFonts w:ascii="宋体" w:hAnsi="宋体" w:cs="宋体"/>
          <w:b/>
          <w:bCs/>
          <w:sz w:val="24"/>
        </w:rPr>
        <w:t>96孔PCR</w:t>
      </w:r>
    </w:p>
    <w:p w14:paraId="35C06A08">
      <w:pPr>
        <w:spacing w:line="360" w:lineRule="auto"/>
        <w:ind w:firstLine="480" w:firstLineChars="200"/>
        <w:rPr>
          <w:rFonts w:ascii="宋体" w:hAnsi="宋体" w:cs="宋体"/>
          <w:sz w:val="24"/>
        </w:rPr>
      </w:pPr>
      <w:r>
        <w:rPr>
          <w:rFonts w:hint="eastAsia" w:ascii="宋体" w:hAnsi="宋体" w:cs="宋体"/>
          <w:sz w:val="24"/>
        </w:rPr>
        <w:t>1.应用：适用qPCR和PCR实验，兼容主流0.2mL加热模块qPCR和PCR仪器。</w:t>
      </w:r>
    </w:p>
    <w:p w14:paraId="0A391F6A">
      <w:pPr>
        <w:spacing w:line="360" w:lineRule="auto"/>
        <w:ind w:firstLine="480" w:firstLineChars="200"/>
        <w:rPr>
          <w:rFonts w:ascii="宋体" w:hAnsi="宋体" w:cs="宋体"/>
          <w:sz w:val="24"/>
        </w:rPr>
      </w:pPr>
      <w:r>
        <w:rPr>
          <w:rFonts w:hint="eastAsia" w:ascii="宋体" w:hAnsi="宋体" w:cs="宋体"/>
          <w:sz w:val="24"/>
        </w:rPr>
        <w:t>2.外观：设3条分割线、可掰开作72孔板/48孔板/24孔板使用，背面黑色数字和字母标识、贴膜撕膜字体不会脱落。</w:t>
      </w:r>
    </w:p>
    <w:p w14:paraId="2122FB7C">
      <w:pPr>
        <w:spacing w:line="360" w:lineRule="auto"/>
        <w:ind w:firstLine="480" w:firstLineChars="200"/>
        <w:rPr>
          <w:rFonts w:ascii="宋体" w:hAnsi="宋体" w:cs="宋体"/>
          <w:sz w:val="24"/>
        </w:rPr>
      </w:pPr>
      <w:r>
        <w:rPr>
          <w:rFonts w:hint="eastAsia" w:ascii="宋体" w:hAnsi="宋体" w:cs="宋体"/>
          <w:sz w:val="24"/>
        </w:rPr>
        <w:t>3.性能：无菌无酶，低核酸蛋白吸附，蒸发率＜5%。</w:t>
      </w:r>
    </w:p>
    <w:p w14:paraId="114777D0">
      <w:pPr>
        <w:spacing w:line="360" w:lineRule="auto"/>
        <w:ind w:firstLine="482" w:firstLineChars="200"/>
        <w:rPr>
          <w:rFonts w:ascii="宋体" w:hAnsi="宋体" w:cs="宋体"/>
          <w:b/>
          <w:bCs/>
          <w:sz w:val="24"/>
        </w:rPr>
      </w:pPr>
      <w:r>
        <w:rPr>
          <w:rFonts w:hint="eastAsia" w:ascii="宋体" w:hAnsi="宋体" w:cs="宋体"/>
          <w:b/>
          <w:bCs/>
          <w:sz w:val="24"/>
        </w:rPr>
        <w:t>标的名称51：六价铬单元素溶液标准物质</w:t>
      </w:r>
    </w:p>
    <w:p w14:paraId="208FE5B0">
      <w:pPr>
        <w:spacing w:line="360" w:lineRule="auto"/>
        <w:ind w:firstLine="480" w:firstLineChars="200"/>
        <w:rPr>
          <w:rFonts w:ascii="宋体" w:hAnsi="宋体" w:cs="宋体"/>
          <w:sz w:val="24"/>
        </w:rPr>
      </w:pPr>
      <w:r>
        <w:rPr>
          <w:rFonts w:hint="eastAsia" w:ascii="宋体" w:hAnsi="宋体" w:cs="宋体"/>
          <w:sz w:val="24"/>
        </w:rPr>
        <w:t>1.水溶液基体，定值浓度准确，适配分光光度法水质六价铬检测；均匀性、稳定性满足环境监测质控要求；包装规格20mL/支，可用于曲线绘制、质量控制、能力验证。</w:t>
      </w:r>
    </w:p>
    <w:p w14:paraId="2E0FABA2">
      <w:pPr>
        <w:spacing w:line="360" w:lineRule="auto"/>
        <w:ind w:firstLine="482" w:firstLineChars="200"/>
        <w:rPr>
          <w:rFonts w:ascii="宋体" w:hAnsi="宋体" w:cs="宋体"/>
          <w:b/>
          <w:bCs/>
          <w:sz w:val="24"/>
        </w:rPr>
      </w:pPr>
      <w:r>
        <w:rPr>
          <w:rFonts w:hint="eastAsia" w:ascii="宋体" w:hAnsi="宋体" w:cs="宋体"/>
          <w:b/>
          <w:bCs/>
          <w:sz w:val="24"/>
        </w:rPr>
        <w:t>标的名称52：紫外分光光度计溶液标准物质</w:t>
      </w:r>
    </w:p>
    <w:p w14:paraId="5585540F">
      <w:pPr>
        <w:spacing w:line="360" w:lineRule="auto"/>
        <w:ind w:firstLine="480" w:firstLineChars="200"/>
        <w:rPr>
          <w:rFonts w:ascii="宋体" w:hAnsi="宋体" w:cs="宋体"/>
          <w:sz w:val="24"/>
        </w:rPr>
      </w:pPr>
      <w:r>
        <w:rPr>
          <w:rFonts w:hint="eastAsia" w:ascii="宋体" w:hAnsi="宋体" w:cs="宋体"/>
          <w:sz w:val="24"/>
        </w:rPr>
        <w:t>1.紫外检定专用标准溶液，波长响应准确，透光量定值精准，用于紫外分光光度计波长准确度、吸光度准确度核查、期间核查校准；20mL/支，满足实验室仪器计量质控需求。</w:t>
      </w:r>
    </w:p>
    <w:p w14:paraId="5C22F02E">
      <w:pPr>
        <w:spacing w:line="360" w:lineRule="auto"/>
        <w:ind w:firstLine="482" w:firstLineChars="200"/>
        <w:rPr>
          <w:rFonts w:ascii="宋体" w:hAnsi="宋体" w:cs="宋体"/>
          <w:b/>
          <w:bCs/>
          <w:sz w:val="24"/>
        </w:rPr>
      </w:pPr>
      <w:r>
        <w:rPr>
          <w:rFonts w:hint="eastAsia" w:ascii="宋体" w:hAnsi="宋体" w:cs="宋体"/>
          <w:b/>
          <w:bCs/>
          <w:sz w:val="24"/>
        </w:rPr>
        <w:t>标的名称53：粉尘中游离二氧化硅质量控制样品（焦磷酸法）</w:t>
      </w:r>
    </w:p>
    <w:p w14:paraId="2BD1746D">
      <w:pPr>
        <w:spacing w:line="360" w:lineRule="auto"/>
        <w:ind w:firstLine="480" w:firstLineChars="200"/>
        <w:rPr>
          <w:rFonts w:ascii="宋体" w:hAnsi="宋体" w:cs="宋体"/>
          <w:sz w:val="24"/>
        </w:rPr>
      </w:pPr>
      <w:r>
        <w:rPr>
          <w:rFonts w:hint="eastAsia" w:ascii="宋体" w:hAnsi="宋体" w:cs="宋体"/>
          <w:sz w:val="24"/>
        </w:rPr>
        <w:t>1.粉末态质控样品，适配焦磷酸法测定粉尘游离二氧化硅含量；含量梯度覆盖低、中、高浓度，均匀性良好，用于实验室内控、比对、结果质量考核。</w:t>
      </w:r>
    </w:p>
    <w:p w14:paraId="5901354F">
      <w:pPr>
        <w:spacing w:line="360" w:lineRule="auto"/>
        <w:ind w:firstLine="482" w:firstLineChars="200"/>
        <w:rPr>
          <w:rFonts w:ascii="宋体" w:hAnsi="宋体" w:cs="宋体"/>
          <w:b/>
          <w:bCs/>
          <w:sz w:val="24"/>
        </w:rPr>
      </w:pPr>
      <w:r>
        <w:rPr>
          <w:rFonts w:hint="eastAsia" w:ascii="宋体" w:hAnsi="宋体" w:cs="宋体"/>
          <w:b/>
          <w:bCs/>
          <w:sz w:val="24"/>
        </w:rPr>
        <w:t>标的名称54：碘盐含碘量速测液</w:t>
      </w:r>
    </w:p>
    <w:p w14:paraId="7663F66E">
      <w:pPr>
        <w:spacing w:line="360" w:lineRule="auto"/>
        <w:ind w:firstLine="480" w:firstLineChars="200"/>
        <w:rPr>
          <w:rFonts w:ascii="宋体" w:hAnsi="宋体" w:cs="宋体"/>
          <w:sz w:val="24"/>
        </w:rPr>
      </w:pPr>
      <w:r>
        <w:rPr>
          <w:rFonts w:hint="eastAsia" w:ascii="宋体" w:hAnsi="宋体" w:cs="宋体"/>
          <w:sz w:val="24"/>
        </w:rPr>
        <w:t>1.适配食盐碘含量快速筛查，显色稳定、反应特异性强；单盒可完成不少于200次样品检测，适用于日常快速筛查、现场抽检。</w:t>
      </w:r>
    </w:p>
    <w:p w14:paraId="3AE01BAF">
      <w:pPr>
        <w:spacing w:line="360" w:lineRule="auto"/>
        <w:ind w:firstLine="482" w:firstLineChars="200"/>
        <w:rPr>
          <w:rFonts w:ascii="宋体" w:hAnsi="宋体" w:cs="宋体"/>
          <w:b/>
          <w:bCs/>
          <w:sz w:val="24"/>
        </w:rPr>
      </w:pPr>
      <w:r>
        <w:rPr>
          <w:rFonts w:hint="eastAsia" w:ascii="宋体" w:hAnsi="宋体" w:cs="宋体"/>
          <w:b/>
          <w:bCs/>
          <w:sz w:val="24"/>
        </w:rPr>
        <w:t>标的名称55：水溶性非食用色素快速筛查盒</w:t>
      </w:r>
    </w:p>
    <w:p w14:paraId="45FEF7D4">
      <w:pPr>
        <w:spacing w:line="360" w:lineRule="auto"/>
        <w:ind w:firstLine="480" w:firstLineChars="200"/>
        <w:rPr>
          <w:rFonts w:ascii="宋体" w:hAnsi="宋体" w:cs="宋体"/>
          <w:sz w:val="24"/>
        </w:rPr>
      </w:pPr>
      <w:r>
        <w:rPr>
          <w:rFonts w:hint="eastAsia" w:ascii="宋体" w:hAnsi="宋体" w:cs="宋体"/>
          <w:sz w:val="24"/>
        </w:rPr>
        <w:t>1.适配食品中违法水溶性色素快速筛查，显色反应灵敏、抗干扰性强；单盒可完成不少于50份样品筛查，无需大型设备。</w:t>
      </w:r>
    </w:p>
    <w:p w14:paraId="7BA87D98">
      <w:pPr>
        <w:spacing w:line="360" w:lineRule="auto"/>
        <w:ind w:firstLine="482" w:firstLineChars="200"/>
        <w:rPr>
          <w:rFonts w:ascii="宋体" w:hAnsi="宋体" w:cs="宋体"/>
          <w:b/>
          <w:bCs/>
          <w:sz w:val="24"/>
        </w:rPr>
      </w:pPr>
      <w:r>
        <w:rPr>
          <w:rFonts w:hint="eastAsia" w:ascii="宋体" w:hAnsi="宋体" w:cs="宋体"/>
          <w:b/>
          <w:bCs/>
          <w:sz w:val="24"/>
        </w:rPr>
        <w:t>标的名称56：吊白块速测管</w:t>
      </w:r>
    </w:p>
    <w:p w14:paraId="7728BE29">
      <w:pPr>
        <w:spacing w:line="360" w:lineRule="auto"/>
        <w:ind w:firstLine="480" w:firstLineChars="200"/>
        <w:rPr>
          <w:rFonts w:ascii="宋体" w:hAnsi="宋体" w:cs="宋体"/>
          <w:sz w:val="24"/>
        </w:rPr>
      </w:pPr>
      <w:r>
        <w:rPr>
          <w:rFonts w:hint="eastAsia" w:ascii="宋体" w:hAnsi="宋体" w:cs="宋体"/>
          <w:sz w:val="24"/>
        </w:rPr>
        <w:t>1.用于快速检测适用于食品中吊白块非法添加物快速定性筛查，检出限符合筛查规范；单盒可测不少于50份样品。</w:t>
      </w:r>
    </w:p>
    <w:p w14:paraId="16746F67">
      <w:pPr>
        <w:spacing w:line="360" w:lineRule="auto"/>
        <w:ind w:firstLine="482" w:firstLineChars="200"/>
        <w:rPr>
          <w:rFonts w:ascii="宋体" w:hAnsi="宋体" w:cs="宋体"/>
          <w:b/>
          <w:bCs/>
          <w:sz w:val="24"/>
        </w:rPr>
      </w:pPr>
      <w:r>
        <w:rPr>
          <w:rFonts w:hint="eastAsia" w:ascii="宋体" w:hAnsi="宋体" w:cs="宋体"/>
          <w:b/>
          <w:bCs/>
          <w:sz w:val="24"/>
        </w:rPr>
        <w:t>标的名称57：农药浸提液(固体)</w:t>
      </w:r>
    </w:p>
    <w:p w14:paraId="6D81EA0E">
      <w:pPr>
        <w:spacing w:line="360" w:lineRule="auto"/>
        <w:ind w:firstLine="480" w:firstLineChars="200"/>
        <w:rPr>
          <w:rFonts w:ascii="宋体" w:hAnsi="宋体" w:cs="宋体"/>
          <w:sz w:val="24"/>
        </w:rPr>
      </w:pPr>
      <w:r>
        <w:rPr>
          <w:rFonts w:hint="eastAsia" w:ascii="宋体" w:hAnsi="宋体" w:cs="宋体"/>
          <w:sz w:val="24"/>
        </w:rPr>
        <w:t>1.适配果蔬农药残留前处理浸提体系，溶解性好、低干扰、适配快速卡法筛查；单套可配制不少于300mL工作液。</w:t>
      </w:r>
    </w:p>
    <w:p w14:paraId="636159AB">
      <w:pPr>
        <w:spacing w:line="360" w:lineRule="auto"/>
        <w:ind w:firstLine="482" w:firstLineChars="200"/>
        <w:rPr>
          <w:rFonts w:ascii="宋体" w:hAnsi="宋体" w:cs="宋体"/>
          <w:b/>
          <w:bCs/>
          <w:sz w:val="24"/>
        </w:rPr>
      </w:pPr>
      <w:r>
        <w:rPr>
          <w:rFonts w:hint="eastAsia" w:ascii="宋体" w:hAnsi="宋体" w:cs="宋体"/>
          <w:b/>
          <w:bCs/>
          <w:sz w:val="24"/>
        </w:rPr>
        <w:t>标的名称58：农药速测卡</w:t>
      </w:r>
    </w:p>
    <w:p w14:paraId="62D3362D">
      <w:pPr>
        <w:spacing w:line="360" w:lineRule="auto"/>
        <w:ind w:firstLine="480" w:firstLineChars="200"/>
        <w:rPr>
          <w:rFonts w:ascii="宋体" w:hAnsi="宋体" w:cs="宋体"/>
          <w:sz w:val="24"/>
        </w:rPr>
      </w:pPr>
      <w:r>
        <w:rPr>
          <w:rFonts w:hint="eastAsia" w:ascii="宋体" w:hAnsi="宋体" w:cs="宋体"/>
          <w:sz w:val="24"/>
        </w:rPr>
        <w:t>1.适配有机磷、氨基甲酸酯类农药残留快速筛查，抑制率显色判定，适用于食品、果蔬日常筛查。</w:t>
      </w:r>
    </w:p>
    <w:p w14:paraId="5C482006">
      <w:pPr>
        <w:spacing w:line="360" w:lineRule="auto"/>
        <w:ind w:firstLine="482" w:firstLineChars="200"/>
        <w:rPr>
          <w:rFonts w:ascii="宋体" w:hAnsi="宋体" w:cs="宋体"/>
          <w:b/>
          <w:bCs/>
          <w:sz w:val="24"/>
        </w:rPr>
      </w:pPr>
      <w:r>
        <w:rPr>
          <w:rFonts w:hint="eastAsia" w:ascii="宋体" w:hAnsi="宋体" w:cs="宋体"/>
          <w:b/>
          <w:bCs/>
          <w:sz w:val="24"/>
        </w:rPr>
        <w:t>标的名称59：溴敌隆等鼠药速测盒</w:t>
      </w:r>
    </w:p>
    <w:p w14:paraId="55137E81">
      <w:pPr>
        <w:spacing w:line="360" w:lineRule="auto"/>
        <w:ind w:firstLine="480" w:firstLineChars="200"/>
        <w:rPr>
          <w:rFonts w:ascii="宋体" w:hAnsi="宋体" w:cs="宋体"/>
          <w:sz w:val="24"/>
        </w:rPr>
      </w:pPr>
      <w:r>
        <w:rPr>
          <w:rFonts w:hint="eastAsia" w:ascii="宋体" w:hAnsi="宋体" w:cs="宋体"/>
          <w:sz w:val="24"/>
        </w:rPr>
        <w:t>1.适配食品、粮食中常见抗凝类鼠药快速定性筛查，特异性强、无交叉干扰，适用于中毒筛查及风险排查。</w:t>
      </w:r>
    </w:p>
    <w:p w14:paraId="5B10402F">
      <w:pPr>
        <w:spacing w:line="360" w:lineRule="auto"/>
        <w:ind w:firstLine="482" w:firstLineChars="200"/>
        <w:rPr>
          <w:rFonts w:ascii="宋体" w:hAnsi="宋体" w:cs="宋体"/>
          <w:b/>
          <w:bCs/>
          <w:sz w:val="24"/>
        </w:rPr>
      </w:pPr>
      <w:r>
        <w:rPr>
          <w:rFonts w:hint="eastAsia" w:ascii="宋体" w:hAnsi="宋体" w:cs="宋体"/>
          <w:b/>
          <w:bCs/>
          <w:sz w:val="24"/>
        </w:rPr>
        <w:t>标的名称60：苏丹红速测盒</w:t>
      </w:r>
    </w:p>
    <w:p w14:paraId="56E4F07B">
      <w:pPr>
        <w:spacing w:line="360" w:lineRule="auto"/>
        <w:ind w:firstLine="480" w:firstLineChars="200"/>
        <w:rPr>
          <w:rFonts w:ascii="宋体" w:hAnsi="宋体" w:cs="宋体"/>
          <w:sz w:val="24"/>
        </w:rPr>
      </w:pPr>
      <w:r>
        <w:rPr>
          <w:rFonts w:hint="eastAsia" w:ascii="宋体" w:hAnsi="宋体" w:cs="宋体"/>
          <w:sz w:val="24"/>
        </w:rPr>
        <w:t>1.适用于食品、油料中苏丹红非法色素快速筛查，检出限满足筛查要求。</w:t>
      </w:r>
    </w:p>
    <w:p w14:paraId="67C7B40C">
      <w:pPr>
        <w:spacing w:line="360" w:lineRule="auto"/>
        <w:ind w:firstLine="482" w:firstLineChars="200"/>
        <w:rPr>
          <w:rFonts w:ascii="宋体" w:hAnsi="宋体" w:cs="宋体"/>
          <w:b/>
          <w:bCs/>
          <w:sz w:val="24"/>
        </w:rPr>
      </w:pPr>
      <w:r>
        <w:rPr>
          <w:rFonts w:hint="eastAsia" w:ascii="宋体" w:hAnsi="宋体" w:cs="宋体"/>
          <w:b/>
          <w:bCs/>
          <w:sz w:val="24"/>
        </w:rPr>
        <w:t>标的名称61：毒鼠强速测试剂盒</w:t>
      </w:r>
    </w:p>
    <w:p w14:paraId="3C36FFC5">
      <w:pPr>
        <w:spacing w:line="360" w:lineRule="auto"/>
        <w:ind w:firstLine="480" w:firstLineChars="200"/>
        <w:rPr>
          <w:rFonts w:ascii="宋体" w:hAnsi="宋体" w:cs="宋体"/>
          <w:sz w:val="24"/>
        </w:rPr>
      </w:pPr>
      <w:r>
        <w:rPr>
          <w:rFonts w:hint="eastAsia" w:ascii="宋体" w:hAnsi="宋体" w:cs="宋体"/>
          <w:sz w:val="24"/>
        </w:rPr>
        <w:t>1.适配食品、水样、粮食中毒鼠强剧毒物质快速定性检测，反应特异性高、假阳性低，满足应急筛查需求。</w:t>
      </w:r>
    </w:p>
    <w:p w14:paraId="4D1FCD1F">
      <w:pPr>
        <w:spacing w:line="360" w:lineRule="auto"/>
        <w:ind w:firstLine="482" w:firstLineChars="200"/>
        <w:rPr>
          <w:rFonts w:ascii="宋体" w:hAnsi="宋体" w:cs="宋体"/>
          <w:b/>
          <w:bCs/>
          <w:sz w:val="24"/>
        </w:rPr>
      </w:pPr>
      <w:r>
        <w:rPr>
          <w:rFonts w:hint="eastAsia" w:ascii="宋体" w:hAnsi="宋体" w:cs="宋体"/>
          <w:b/>
          <w:bCs/>
          <w:sz w:val="24"/>
        </w:rPr>
        <w:t>标的名称62：食物中钡速测盒</w:t>
      </w:r>
    </w:p>
    <w:p w14:paraId="1C2F4CC5">
      <w:pPr>
        <w:spacing w:line="360" w:lineRule="auto"/>
        <w:ind w:firstLine="480" w:firstLineChars="200"/>
        <w:rPr>
          <w:rFonts w:ascii="宋体" w:hAnsi="宋体" w:cs="宋体"/>
          <w:sz w:val="24"/>
        </w:rPr>
      </w:pPr>
      <w:r>
        <w:rPr>
          <w:rFonts w:hint="eastAsia" w:ascii="宋体" w:hAnsi="宋体" w:cs="宋体"/>
          <w:sz w:val="24"/>
        </w:rPr>
        <w:t>1.适用于食品中钡离子超标快速筛查，显色梯度明显、判定直观，适用于公共卫生风险筛查。</w:t>
      </w:r>
    </w:p>
    <w:p w14:paraId="2D3F9F18">
      <w:pPr>
        <w:spacing w:line="360" w:lineRule="auto"/>
        <w:ind w:firstLine="482" w:firstLineChars="200"/>
        <w:rPr>
          <w:rFonts w:ascii="宋体" w:hAnsi="宋体" w:cs="宋体"/>
          <w:b/>
          <w:bCs/>
          <w:sz w:val="24"/>
        </w:rPr>
      </w:pPr>
      <w:r>
        <w:rPr>
          <w:rFonts w:hint="eastAsia" w:ascii="宋体" w:hAnsi="宋体" w:cs="宋体"/>
          <w:b/>
          <w:bCs/>
          <w:sz w:val="24"/>
        </w:rPr>
        <w:t>标的名称63：砷速测试剂盒</w:t>
      </w:r>
    </w:p>
    <w:p w14:paraId="2833F4BC">
      <w:pPr>
        <w:spacing w:line="360" w:lineRule="auto"/>
        <w:ind w:firstLine="480" w:firstLineChars="200"/>
        <w:rPr>
          <w:rFonts w:ascii="宋体" w:hAnsi="宋体" w:cs="宋体"/>
          <w:sz w:val="24"/>
        </w:rPr>
      </w:pPr>
      <w:r>
        <w:rPr>
          <w:rFonts w:hint="eastAsia" w:ascii="宋体" w:hAnsi="宋体" w:cs="宋体"/>
          <w:sz w:val="24"/>
        </w:rPr>
        <w:t>1.食品、水样中总砷快速筛查体系，反应灵敏、稳定，满足现场及实验室快速筛查质控要求。</w:t>
      </w:r>
    </w:p>
    <w:p w14:paraId="4526685A">
      <w:pPr>
        <w:spacing w:line="360" w:lineRule="auto"/>
        <w:ind w:firstLine="482" w:firstLineChars="200"/>
        <w:rPr>
          <w:rFonts w:ascii="宋体" w:hAnsi="宋体" w:cs="宋体"/>
          <w:b/>
          <w:bCs/>
          <w:sz w:val="24"/>
        </w:rPr>
      </w:pPr>
      <w:r>
        <w:rPr>
          <w:rFonts w:hint="eastAsia" w:ascii="宋体" w:hAnsi="宋体" w:cs="宋体"/>
          <w:b/>
          <w:bCs/>
          <w:sz w:val="24"/>
        </w:rPr>
        <w:t>标的名称64：汞速测试剂盒</w:t>
      </w:r>
    </w:p>
    <w:p w14:paraId="05F8A0DC">
      <w:pPr>
        <w:spacing w:line="360" w:lineRule="auto"/>
        <w:ind w:firstLine="480" w:firstLineChars="200"/>
        <w:rPr>
          <w:rFonts w:ascii="宋体" w:hAnsi="宋体" w:cs="宋体"/>
          <w:sz w:val="24"/>
        </w:rPr>
      </w:pPr>
      <w:r>
        <w:rPr>
          <w:rFonts w:hint="eastAsia" w:ascii="宋体" w:hAnsi="宋体" w:cs="宋体"/>
          <w:sz w:val="24"/>
        </w:rPr>
        <w:t>1.适配食品、环境样品汞含量快速定性筛查，抗干扰强，显色稳定，适配日常风险监测。</w:t>
      </w:r>
    </w:p>
    <w:p w14:paraId="4069D12A">
      <w:pPr>
        <w:spacing w:line="360" w:lineRule="auto"/>
        <w:ind w:firstLine="482" w:firstLineChars="200"/>
        <w:rPr>
          <w:rFonts w:ascii="宋体" w:hAnsi="宋体" w:cs="宋体"/>
          <w:b/>
          <w:bCs/>
          <w:sz w:val="24"/>
        </w:rPr>
      </w:pPr>
      <w:r>
        <w:rPr>
          <w:rFonts w:hint="eastAsia" w:ascii="宋体" w:hAnsi="宋体" w:cs="宋体"/>
          <w:b/>
          <w:bCs/>
          <w:sz w:val="24"/>
        </w:rPr>
        <w:t>标的名称65：有毒扁豆速测盒</w:t>
      </w:r>
    </w:p>
    <w:p w14:paraId="33510CB4">
      <w:pPr>
        <w:spacing w:line="360" w:lineRule="auto"/>
        <w:ind w:firstLine="480" w:firstLineChars="200"/>
        <w:rPr>
          <w:rFonts w:ascii="宋体" w:hAnsi="宋体" w:cs="宋体"/>
          <w:sz w:val="24"/>
        </w:rPr>
      </w:pPr>
      <w:r>
        <w:rPr>
          <w:rFonts w:hint="eastAsia" w:ascii="宋体" w:hAnsi="宋体" w:cs="宋体"/>
          <w:sz w:val="24"/>
        </w:rPr>
        <w:t>1.针对植物性食材皂素、有毒生物碱快速筛查，可筛查变质、未熟扁豆毒性指标，单盒可测不少于20份。</w:t>
      </w:r>
    </w:p>
    <w:p w14:paraId="0E506762">
      <w:pPr>
        <w:spacing w:line="360" w:lineRule="auto"/>
        <w:ind w:firstLine="482" w:firstLineChars="200"/>
        <w:rPr>
          <w:rFonts w:ascii="宋体" w:hAnsi="宋体" w:cs="宋体"/>
          <w:b/>
          <w:bCs/>
          <w:sz w:val="24"/>
        </w:rPr>
      </w:pPr>
      <w:r>
        <w:rPr>
          <w:rFonts w:hint="eastAsia" w:ascii="宋体" w:hAnsi="宋体" w:cs="宋体"/>
          <w:b/>
          <w:bCs/>
          <w:sz w:val="24"/>
        </w:rPr>
        <w:t>标的名称66：食用油酸价、过氧化值快速检测试纸</w:t>
      </w:r>
    </w:p>
    <w:p w14:paraId="58DB64A7">
      <w:pPr>
        <w:spacing w:line="360" w:lineRule="auto"/>
        <w:ind w:firstLine="480" w:firstLineChars="200"/>
        <w:rPr>
          <w:rFonts w:ascii="宋体" w:hAnsi="宋体" w:cs="宋体"/>
          <w:sz w:val="24"/>
        </w:rPr>
      </w:pPr>
      <w:r>
        <w:rPr>
          <w:rFonts w:hint="eastAsia" w:ascii="宋体" w:hAnsi="宋体" w:cs="宋体"/>
          <w:sz w:val="24"/>
        </w:rPr>
        <w:t>1.适配食用植物油酸价、过氧化值两项指标快速筛查，变色梯度清晰、判定直观，满足食用油变质筛查；单盒≥20次检测量。</w:t>
      </w:r>
    </w:p>
    <w:p w14:paraId="48CC4CC7">
      <w:pPr>
        <w:spacing w:line="360" w:lineRule="auto"/>
        <w:ind w:firstLine="482" w:firstLineChars="200"/>
        <w:rPr>
          <w:rFonts w:ascii="宋体" w:hAnsi="宋体" w:cs="宋体"/>
          <w:b/>
          <w:bCs/>
          <w:sz w:val="24"/>
        </w:rPr>
      </w:pPr>
      <w:r>
        <w:rPr>
          <w:rFonts w:hint="eastAsia" w:ascii="宋体" w:hAnsi="宋体" w:cs="宋体"/>
          <w:b/>
          <w:bCs/>
          <w:sz w:val="24"/>
        </w:rPr>
        <w:t>标的名称67：重金属铅速测盒</w:t>
      </w:r>
    </w:p>
    <w:p w14:paraId="3FD8B05B">
      <w:pPr>
        <w:spacing w:line="360" w:lineRule="auto"/>
        <w:ind w:firstLine="480" w:firstLineChars="200"/>
        <w:rPr>
          <w:rFonts w:ascii="宋体" w:hAnsi="宋体" w:cs="宋体"/>
          <w:sz w:val="24"/>
        </w:rPr>
      </w:pPr>
      <w:r>
        <w:rPr>
          <w:rFonts w:hint="eastAsia" w:ascii="宋体" w:hAnsi="宋体" w:cs="宋体"/>
          <w:sz w:val="24"/>
        </w:rPr>
        <w:t>1.食品、水体中铅污染快速定性筛查，灵敏度高，操作便捷，适用于日常风险监测筛查。</w:t>
      </w:r>
    </w:p>
    <w:p w14:paraId="49CD020D">
      <w:pPr>
        <w:spacing w:line="360" w:lineRule="auto"/>
        <w:ind w:firstLine="482" w:firstLineChars="200"/>
        <w:rPr>
          <w:rFonts w:ascii="宋体" w:hAnsi="宋体" w:cs="宋体"/>
          <w:b/>
          <w:bCs/>
          <w:sz w:val="24"/>
        </w:rPr>
      </w:pPr>
      <w:r>
        <w:rPr>
          <w:rFonts w:hint="eastAsia" w:ascii="宋体" w:hAnsi="宋体" w:cs="宋体"/>
          <w:b/>
          <w:bCs/>
          <w:sz w:val="24"/>
        </w:rPr>
        <w:t>标的名称68：大米石蜡矿物油速测盒</w:t>
      </w:r>
    </w:p>
    <w:p w14:paraId="58C24287">
      <w:pPr>
        <w:spacing w:line="360" w:lineRule="auto"/>
        <w:ind w:firstLine="480" w:firstLineChars="200"/>
        <w:rPr>
          <w:rFonts w:ascii="宋体" w:hAnsi="宋体" w:cs="宋体"/>
          <w:sz w:val="24"/>
        </w:rPr>
      </w:pPr>
      <w:r>
        <w:rPr>
          <w:rFonts w:hint="eastAsia" w:ascii="宋体" w:hAnsi="宋体" w:cs="宋体"/>
          <w:sz w:val="24"/>
        </w:rPr>
        <w:t>1.适用于大米、粮油中非法添加矿物油、石蜡快速筛查，反应特异性强、结果稳定。</w:t>
      </w:r>
    </w:p>
    <w:p w14:paraId="10007A36">
      <w:pPr>
        <w:spacing w:line="360" w:lineRule="auto"/>
        <w:ind w:firstLine="482" w:firstLineChars="200"/>
        <w:rPr>
          <w:rFonts w:ascii="宋体" w:hAnsi="宋体" w:cs="宋体"/>
          <w:b/>
          <w:bCs/>
          <w:sz w:val="24"/>
        </w:rPr>
      </w:pPr>
      <w:r>
        <w:rPr>
          <w:rFonts w:hint="eastAsia" w:ascii="宋体" w:hAnsi="宋体" w:cs="宋体"/>
          <w:b/>
          <w:bCs/>
          <w:sz w:val="24"/>
        </w:rPr>
        <w:t>标的名称69：氟乙酰胺速测盒</w:t>
      </w:r>
    </w:p>
    <w:p w14:paraId="426CB60B">
      <w:pPr>
        <w:spacing w:line="360" w:lineRule="auto"/>
        <w:ind w:firstLine="480" w:firstLineChars="200"/>
        <w:rPr>
          <w:rFonts w:ascii="宋体" w:hAnsi="宋体" w:cs="宋体"/>
          <w:sz w:val="24"/>
        </w:rPr>
      </w:pPr>
      <w:r>
        <w:rPr>
          <w:rFonts w:hint="eastAsia" w:ascii="宋体" w:hAnsi="宋体" w:cs="宋体"/>
          <w:sz w:val="24"/>
        </w:rPr>
        <w:t>1.针对剧毒鼠药氟乙酰胺快速定性筛查，适用于食品、可疑样品中毒物排查，筛查灵敏度高。</w:t>
      </w:r>
    </w:p>
    <w:p w14:paraId="77562B76">
      <w:pPr>
        <w:spacing w:line="360" w:lineRule="auto"/>
        <w:ind w:firstLine="482" w:firstLineChars="200"/>
        <w:rPr>
          <w:rFonts w:ascii="宋体" w:hAnsi="宋体" w:cs="宋体"/>
          <w:b/>
          <w:bCs/>
          <w:sz w:val="24"/>
        </w:rPr>
      </w:pPr>
      <w:r>
        <w:rPr>
          <w:rFonts w:hint="eastAsia" w:ascii="宋体" w:hAnsi="宋体" w:cs="宋体"/>
          <w:b/>
          <w:bCs/>
          <w:sz w:val="24"/>
        </w:rPr>
        <w:t>标的名称70：鼠药磷化锌速测盒</w:t>
      </w:r>
    </w:p>
    <w:p w14:paraId="02C9F49B">
      <w:pPr>
        <w:spacing w:line="360" w:lineRule="auto"/>
        <w:ind w:firstLine="480" w:firstLineChars="200"/>
        <w:rPr>
          <w:rFonts w:ascii="宋体" w:hAnsi="宋体" w:cs="宋体"/>
          <w:sz w:val="24"/>
        </w:rPr>
      </w:pPr>
      <w:r>
        <w:rPr>
          <w:rFonts w:hint="eastAsia" w:ascii="宋体" w:hAnsi="宋体" w:cs="宋体"/>
          <w:sz w:val="24"/>
        </w:rPr>
        <w:t>1.适配粮食、食品中磷化锌毒物快速筛查，显色稳定、判定清晰，满足公共卫生应急筛查。</w:t>
      </w:r>
    </w:p>
    <w:p w14:paraId="4289BA4A">
      <w:pPr>
        <w:spacing w:line="360" w:lineRule="auto"/>
        <w:ind w:firstLine="482" w:firstLineChars="200"/>
        <w:rPr>
          <w:rFonts w:ascii="宋体" w:hAnsi="宋体" w:cs="宋体"/>
          <w:b/>
          <w:bCs/>
          <w:sz w:val="24"/>
        </w:rPr>
      </w:pPr>
      <w:r>
        <w:rPr>
          <w:rFonts w:hint="eastAsia" w:ascii="宋体" w:hAnsi="宋体" w:cs="宋体"/>
          <w:b/>
          <w:bCs/>
          <w:sz w:val="24"/>
        </w:rPr>
        <w:t>标的名称71：酒中氰化物速测盒</w:t>
      </w:r>
    </w:p>
    <w:p w14:paraId="48E0FF12">
      <w:pPr>
        <w:spacing w:line="360" w:lineRule="auto"/>
        <w:ind w:firstLine="480" w:firstLineChars="200"/>
        <w:rPr>
          <w:rFonts w:ascii="宋体" w:hAnsi="宋体" w:cs="宋体"/>
          <w:sz w:val="24"/>
        </w:rPr>
      </w:pPr>
      <w:r>
        <w:rPr>
          <w:rFonts w:hint="eastAsia" w:ascii="宋体" w:hAnsi="宋体" w:cs="宋体"/>
          <w:sz w:val="24"/>
        </w:rPr>
        <w:t>1.适用于酒类饮品氰化物残留快速筛查，检出限符合筛查规范，抗酒体基质干扰强，单盒可测≥50份。</w:t>
      </w:r>
    </w:p>
    <w:p w14:paraId="6C9BB8DA">
      <w:pPr>
        <w:spacing w:line="360" w:lineRule="auto"/>
        <w:ind w:firstLine="482" w:firstLineChars="200"/>
        <w:rPr>
          <w:rFonts w:ascii="宋体" w:hAnsi="宋体" w:cs="宋体"/>
          <w:b/>
          <w:bCs/>
          <w:sz w:val="24"/>
        </w:rPr>
      </w:pPr>
      <w:r>
        <w:rPr>
          <w:rFonts w:hint="eastAsia" w:ascii="宋体" w:hAnsi="宋体" w:cs="宋体"/>
          <w:b/>
          <w:bCs/>
          <w:sz w:val="24"/>
        </w:rPr>
        <w:t>标的名称72：劣质食用油鉴别速测盒</w:t>
      </w:r>
    </w:p>
    <w:p w14:paraId="7C92D426">
      <w:pPr>
        <w:spacing w:line="360" w:lineRule="auto"/>
        <w:ind w:firstLine="480" w:firstLineChars="200"/>
        <w:rPr>
          <w:rFonts w:ascii="宋体" w:hAnsi="宋体" w:cs="宋体"/>
          <w:sz w:val="24"/>
        </w:rPr>
      </w:pPr>
      <w:r>
        <w:rPr>
          <w:rFonts w:hint="eastAsia" w:ascii="宋体" w:hAnsi="宋体" w:cs="宋体"/>
          <w:sz w:val="24"/>
        </w:rPr>
        <w:t>1.适配地沟油、劣质变质食用油快速筛查，综合基质反应判定，特异性强、稳定性好。</w:t>
      </w:r>
    </w:p>
    <w:p w14:paraId="6F93ACC6">
      <w:pPr>
        <w:spacing w:line="360" w:lineRule="auto"/>
        <w:ind w:firstLine="482" w:firstLineChars="200"/>
        <w:rPr>
          <w:rFonts w:ascii="宋体" w:hAnsi="宋体" w:cs="宋体"/>
          <w:b/>
          <w:bCs/>
          <w:sz w:val="24"/>
        </w:rPr>
      </w:pPr>
      <w:r>
        <w:rPr>
          <w:rFonts w:hint="eastAsia" w:ascii="宋体" w:hAnsi="宋体" w:cs="宋体"/>
          <w:b/>
          <w:bCs/>
          <w:sz w:val="24"/>
        </w:rPr>
        <w:t>标的名称73：肉类新鲜度速测盒</w:t>
      </w:r>
    </w:p>
    <w:p w14:paraId="2EB45D5B">
      <w:pPr>
        <w:spacing w:line="360" w:lineRule="auto"/>
        <w:ind w:firstLine="480" w:firstLineChars="200"/>
        <w:rPr>
          <w:rFonts w:ascii="宋体" w:hAnsi="宋体" w:cs="宋体"/>
          <w:sz w:val="24"/>
        </w:rPr>
      </w:pPr>
      <w:r>
        <w:rPr>
          <w:rFonts w:hint="eastAsia" w:ascii="宋体" w:hAnsi="宋体" w:cs="宋体"/>
          <w:sz w:val="24"/>
        </w:rPr>
        <w:t>1.依据肉类腐败代谢物显色判定，快速判别肉品新鲜度、变质程度，单盒可测≥50份。</w:t>
      </w:r>
    </w:p>
    <w:p w14:paraId="3A9FCE68">
      <w:pPr>
        <w:spacing w:line="360" w:lineRule="auto"/>
        <w:ind w:firstLine="482" w:firstLineChars="200"/>
        <w:rPr>
          <w:rFonts w:ascii="宋体" w:hAnsi="宋体" w:cs="宋体"/>
          <w:b/>
          <w:bCs/>
          <w:sz w:val="24"/>
        </w:rPr>
      </w:pPr>
      <w:r>
        <w:rPr>
          <w:rFonts w:hint="eastAsia" w:ascii="宋体" w:hAnsi="宋体" w:cs="宋体"/>
          <w:b/>
          <w:bCs/>
          <w:sz w:val="24"/>
        </w:rPr>
        <w:t>标的名称74：甲醇速测盒</w:t>
      </w:r>
    </w:p>
    <w:p w14:paraId="775B8D66">
      <w:pPr>
        <w:spacing w:line="360" w:lineRule="auto"/>
        <w:ind w:firstLine="480" w:firstLineChars="200"/>
        <w:rPr>
          <w:rFonts w:ascii="宋体" w:hAnsi="宋体" w:cs="宋体"/>
          <w:sz w:val="24"/>
        </w:rPr>
      </w:pPr>
      <w:r>
        <w:rPr>
          <w:rFonts w:hint="eastAsia" w:ascii="宋体" w:hAnsi="宋体" w:cs="宋体"/>
          <w:sz w:val="24"/>
        </w:rPr>
        <w:t>1.适用于酒类饮品中甲醇超标快速筛查，显色稳定、梯度明显，可快速判定是否超标，单盒≥25次检测。</w:t>
      </w:r>
    </w:p>
    <w:p w14:paraId="32722E05">
      <w:pPr>
        <w:spacing w:line="360" w:lineRule="auto"/>
        <w:ind w:firstLine="482" w:firstLineChars="200"/>
        <w:rPr>
          <w:rFonts w:ascii="宋体" w:hAnsi="宋体" w:cs="宋体"/>
          <w:b/>
          <w:bCs/>
          <w:sz w:val="24"/>
        </w:rPr>
      </w:pPr>
      <w:r>
        <w:rPr>
          <w:rFonts w:hint="eastAsia" w:ascii="宋体" w:hAnsi="宋体" w:cs="宋体"/>
          <w:b/>
          <w:bCs/>
          <w:sz w:val="24"/>
        </w:rPr>
        <w:t>标的名称75：食用油中大麻油快速检测试剂</w:t>
      </w:r>
    </w:p>
    <w:p w14:paraId="26FAFEA1">
      <w:pPr>
        <w:spacing w:line="360" w:lineRule="auto"/>
        <w:ind w:firstLine="480" w:firstLineChars="200"/>
        <w:rPr>
          <w:rFonts w:ascii="宋体" w:hAnsi="宋体" w:cs="宋体"/>
          <w:sz w:val="24"/>
        </w:rPr>
      </w:pPr>
      <w:r>
        <w:rPr>
          <w:rFonts w:hint="eastAsia" w:ascii="宋体" w:hAnsi="宋体" w:cs="宋体"/>
          <w:sz w:val="24"/>
        </w:rPr>
        <w:t>1.针对食用油非法掺杂大麻油品快速筛查，反应特异性高、无基质干扰，适配油品安全排查。</w:t>
      </w:r>
    </w:p>
    <w:p w14:paraId="340C59A8">
      <w:pPr>
        <w:spacing w:line="360" w:lineRule="auto"/>
        <w:ind w:firstLine="482" w:firstLineChars="200"/>
        <w:rPr>
          <w:rFonts w:ascii="宋体" w:hAnsi="宋体" w:cs="宋体"/>
          <w:b/>
          <w:bCs/>
          <w:sz w:val="24"/>
        </w:rPr>
      </w:pPr>
      <w:r>
        <w:rPr>
          <w:rFonts w:hint="eastAsia" w:ascii="宋体" w:hAnsi="宋体" w:cs="宋体"/>
          <w:b/>
          <w:bCs/>
          <w:sz w:val="24"/>
        </w:rPr>
        <w:t>标的名称76：巴豆油鉴别试剂</w:t>
      </w:r>
    </w:p>
    <w:p w14:paraId="54BF682A">
      <w:pPr>
        <w:spacing w:line="360" w:lineRule="auto"/>
        <w:ind w:firstLine="480" w:firstLineChars="200"/>
        <w:rPr>
          <w:rFonts w:ascii="宋体" w:hAnsi="宋体" w:cs="宋体"/>
          <w:sz w:val="24"/>
        </w:rPr>
      </w:pPr>
      <w:r>
        <w:rPr>
          <w:rFonts w:hint="eastAsia" w:ascii="宋体" w:hAnsi="宋体" w:cs="宋体"/>
          <w:sz w:val="24"/>
        </w:rPr>
        <w:t>1.植物油中巴豆油有毒掺假快速鉴别体系，显色反应稳定、判定直观，适配食用油风险筛查。</w:t>
      </w:r>
    </w:p>
    <w:p w14:paraId="3EE2CECE">
      <w:pPr>
        <w:spacing w:line="360" w:lineRule="auto"/>
        <w:ind w:firstLine="482" w:firstLineChars="200"/>
        <w:rPr>
          <w:rFonts w:ascii="宋体" w:hAnsi="宋体" w:cs="宋体"/>
          <w:b/>
          <w:bCs/>
          <w:sz w:val="24"/>
        </w:rPr>
      </w:pPr>
      <w:r>
        <w:rPr>
          <w:rFonts w:hint="eastAsia" w:ascii="宋体" w:hAnsi="宋体" w:cs="宋体"/>
          <w:b/>
          <w:bCs/>
          <w:sz w:val="24"/>
        </w:rPr>
        <w:t>标的名称77：矿物油鉴别试剂</w:t>
      </w:r>
    </w:p>
    <w:p w14:paraId="61012EBC">
      <w:pPr>
        <w:spacing w:line="360" w:lineRule="auto"/>
        <w:ind w:firstLine="480" w:firstLineChars="200"/>
        <w:rPr>
          <w:rFonts w:ascii="宋体" w:hAnsi="宋体" w:cs="宋体"/>
          <w:sz w:val="24"/>
        </w:rPr>
      </w:pPr>
      <w:r>
        <w:rPr>
          <w:rFonts w:hint="eastAsia" w:ascii="宋体" w:hAnsi="宋体" w:cs="宋体"/>
          <w:sz w:val="24"/>
        </w:rPr>
        <w:t>1.各类食用植物油中非法矿物油掺假快速筛查试剂，反应灵敏、抗干扰强。</w:t>
      </w:r>
    </w:p>
    <w:p w14:paraId="43CBD8EC">
      <w:pPr>
        <w:spacing w:line="360" w:lineRule="auto"/>
        <w:ind w:firstLine="482" w:firstLineChars="200"/>
        <w:rPr>
          <w:rFonts w:ascii="宋体" w:hAnsi="宋体" w:cs="宋体"/>
          <w:b/>
          <w:bCs/>
          <w:sz w:val="24"/>
        </w:rPr>
      </w:pPr>
      <w:r>
        <w:rPr>
          <w:rFonts w:hint="eastAsia" w:ascii="宋体" w:hAnsi="宋体" w:cs="宋体"/>
          <w:b/>
          <w:bCs/>
          <w:sz w:val="24"/>
        </w:rPr>
        <w:t>标的名称78：蓖麻油鉴别试剂</w:t>
      </w:r>
    </w:p>
    <w:p w14:paraId="36E39CF6">
      <w:pPr>
        <w:spacing w:line="360" w:lineRule="auto"/>
        <w:ind w:firstLine="480" w:firstLineChars="200"/>
        <w:rPr>
          <w:rFonts w:ascii="宋体" w:hAnsi="宋体" w:cs="宋体"/>
          <w:sz w:val="24"/>
        </w:rPr>
      </w:pPr>
      <w:r>
        <w:rPr>
          <w:rFonts w:hint="eastAsia" w:ascii="宋体" w:hAnsi="宋体" w:cs="宋体"/>
          <w:sz w:val="24"/>
        </w:rPr>
        <w:t>1.食用油中有毒蓖麻油掺假快速定性鉴别。</w:t>
      </w:r>
    </w:p>
    <w:p w14:paraId="4744E93B">
      <w:pPr>
        <w:spacing w:line="360" w:lineRule="auto"/>
        <w:ind w:firstLine="482" w:firstLineChars="200"/>
        <w:rPr>
          <w:rFonts w:ascii="宋体" w:hAnsi="宋体" w:cs="宋体"/>
          <w:b/>
          <w:bCs/>
          <w:sz w:val="24"/>
        </w:rPr>
      </w:pPr>
      <w:r>
        <w:rPr>
          <w:rFonts w:hint="eastAsia" w:ascii="宋体" w:hAnsi="宋体" w:cs="宋体"/>
          <w:b/>
          <w:bCs/>
          <w:sz w:val="24"/>
        </w:rPr>
        <w:t>标的名称79：桐油鉴别试剂</w:t>
      </w:r>
    </w:p>
    <w:p w14:paraId="481A1DAA">
      <w:pPr>
        <w:spacing w:line="360" w:lineRule="auto"/>
        <w:ind w:firstLine="480" w:firstLineChars="200"/>
        <w:rPr>
          <w:rFonts w:ascii="宋体" w:hAnsi="宋体" w:cs="宋体"/>
          <w:sz w:val="24"/>
        </w:rPr>
      </w:pPr>
      <w:r>
        <w:rPr>
          <w:rFonts w:hint="eastAsia" w:ascii="宋体" w:hAnsi="宋体" w:cs="宋体"/>
          <w:sz w:val="24"/>
        </w:rPr>
        <w:t>1.食用植物油中非法桐油掺假筛查，显色特征明显、判定准确，单盒可测≥20份。</w:t>
      </w:r>
    </w:p>
    <w:p w14:paraId="2C3C4406">
      <w:pPr>
        <w:spacing w:line="360" w:lineRule="auto"/>
        <w:ind w:firstLine="482" w:firstLineChars="200"/>
        <w:rPr>
          <w:rFonts w:ascii="宋体" w:hAnsi="宋体" w:cs="宋体"/>
          <w:b/>
          <w:bCs/>
          <w:sz w:val="24"/>
        </w:rPr>
      </w:pPr>
      <w:r>
        <w:rPr>
          <w:rFonts w:hint="eastAsia" w:ascii="宋体" w:hAnsi="宋体" w:cs="宋体"/>
          <w:b/>
          <w:bCs/>
          <w:sz w:val="24"/>
        </w:rPr>
        <w:t>标的名称80：牛奶新鲜度速测盒</w:t>
      </w:r>
    </w:p>
    <w:p w14:paraId="6DF5F684">
      <w:pPr>
        <w:spacing w:line="360" w:lineRule="auto"/>
        <w:ind w:firstLine="480" w:firstLineChars="200"/>
        <w:rPr>
          <w:rFonts w:ascii="宋体" w:hAnsi="宋体" w:cs="宋体"/>
          <w:sz w:val="24"/>
        </w:rPr>
      </w:pPr>
      <w:r>
        <w:rPr>
          <w:rFonts w:hint="eastAsia" w:ascii="宋体" w:hAnsi="宋体" w:cs="宋体"/>
          <w:sz w:val="24"/>
        </w:rPr>
        <w:t>1.快速判别牛乳变质、酸度异常、新鲜度不合格，抗乳基质干扰强，单盒≥50次检测。</w:t>
      </w:r>
    </w:p>
    <w:p w14:paraId="31C8D5E7">
      <w:pPr>
        <w:spacing w:line="360" w:lineRule="auto"/>
        <w:ind w:firstLine="482" w:firstLineChars="200"/>
        <w:rPr>
          <w:rFonts w:ascii="宋体" w:hAnsi="宋体" w:cs="宋体"/>
          <w:b/>
          <w:bCs/>
          <w:sz w:val="24"/>
        </w:rPr>
      </w:pPr>
      <w:r>
        <w:rPr>
          <w:rFonts w:hint="eastAsia" w:ascii="宋体" w:hAnsi="宋体" w:cs="宋体"/>
          <w:b/>
          <w:bCs/>
          <w:sz w:val="24"/>
        </w:rPr>
        <w:t>标的名称81：黄曲霉毒素M1速测卡</w:t>
      </w:r>
    </w:p>
    <w:p w14:paraId="6FD41203">
      <w:pPr>
        <w:spacing w:line="360" w:lineRule="auto"/>
        <w:ind w:firstLine="480" w:firstLineChars="200"/>
        <w:rPr>
          <w:rFonts w:ascii="宋体" w:hAnsi="宋体" w:cs="宋体"/>
          <w:sz w:val="24"/>
        </w:rPr>
      </w:pPr>
      <w:r>
        <w:rPr>
          <w:rFonts w:hint="eastAsia" w:ascii="宋体" w:hAnsi="宋体" w:cs="宋体"/>
          <w:sz w:val="24"/>
        </w:rPr>
        <w:t>1.适配乳及乳制品黄曲霉毒素M1污染快速筛查，灵敏度满足国标筛查要求，批次稳定。</w:t>
      </w:r>
    </w:p>
    <w:p w14:paraId="498F4768">
      <w:pPr>
        <w:spacing w:line="360" w:lineRule="auto"/>
        <w:ind w:firstLine="482" w:firstLineChars="200"/>
        <w:rPr>
          <w:rFonts w:ascii="宋体" w:hAnsi="宋体" w:cs="宋体"/>
          <w:b/>
          <w:bCs/>
          <w:sz w:val="24"/>
        </w:rPr>
      </w:pPr>
      <w:r>
        <w:rPr>
          <w:rFonts w:hint="eastAsia" w:ascii="宋体" w:hAnsi="宋体" w:cs="宋体"/>
          <w:b/>
          <w:bCs/>
          <w:sz w:val="24"/>
        </w:rPr>
        <w:t>标的名称82：钡对照液</w:t>
      </w:r>
    </w:p>
    <w:p w14:paraId="32775CC5">
      <w:pPr>
        <w:spacing w:line="360" w:lineRule="auto"/>
        <w:ind w:firstLine="480" w:firstLineChars="200"/>
        <w:rPr>
          <w:rFonts w:ascii="宋体" w:hAnsi="宋体" w:cs="宋体"/>
          <w:sz w:val="24"/>
        </w:rPr>
      </w:pPr>
      <w:r>
        <w:rPr>
          <w:rFonts w:hint="eastAsia" w:ascii="宋体" w:hAnsi="宋体" w:cs="宋体"/>
          <w:sz w:val="24"/>
        </w:rPr>
        <w:t>1.实验室定性定量实验专用标准对照溶液，浓度定值准确，基体纯净，用于筛查实验阳性对照、结果比对核查，2mL规格。</w:t>
      </w:r>
    </w:p>
    <w:p w14:paraId="5559DDC9">
      <w:pPr>
        <w:spacing w:line="360" w:lineRule="auto"/>
        <w:ind w:firstLine="482" w:firstLineChars="200"/>
        <w:rPr>
          <w:rFonts w:ascii="宋体" w:hAnsi="宋体" w:cs="宋体"/>
          <w:b/>
          <w:bCs/>
          <w:sz w:val="24"/>
        </w:rPr>
      </w:pPr>
      <w:r>
        <w:rPr>
          <w:rFonts w:hint="eastAsia" w:ascii="宋体" w:hAnsi="宋体" w:cs="宋体"/>
          <w:b/>
          <w:bCs/>
          <w:sz w:val="24"/>
        </w:rPr>
        <w:t>标的名称83：氰化物对照液</w:t>
      </w:r>
    </w:p>
    <w:p w14:paraId="18614646">
      <w:pPr>
        <w:spacing w:line="360" w:lineRule="auto"/>
        <w:ind w:firstLine="480" w:firstLineChars="200"/>
        <w:rPr>
          <w:rFonts w:ascii="宋体" w:hAnsi="宋体" w:cs="宋体"/>
          <w:sz w:val="24"/>
        </w:rPr>
      </w:pPr>
      <w:r>
        <w:rPr>
          <w:rFonts w:hint="eastAsia" w:ascii="宋体" w:hAnsi="宋体" w:cs="宋体"/>
          <w:sz w:val="24"/>
        </w:rPr>
        <w:t>1.标准定值对照体系，基体稳定，用于氰化物筛查实验阳性对照、实验质控核查，2mL规格。</w:t>
      </w:r>
    </w:p>
    <w:p w14:paraId="35EDED29">
      <w:pPr>
        <w:spacing w:line="360" w:lineRule="auto"/>
        <w:ind w:firstLine="482" w:firstLineChars="200"/>
        <w:rPr>
          <w:rFonts w:ascii="宋体" w:hAnsi="宋体" w:cs="宋体"/>
          <w:b/>
          <w:bCs/>
          <w:sz w:val="24"/>
        </w:rPr>
      </w:pPr>
      <w:r>
        <w:rPr>
          <w:rFonts w:hint="eastAsia" w:ascii="宋体" w:hAnsi="宋体" w:cs="宋体"/>
          <w:b/>
          <w:bCs/>
          <w:sz w:val="24"/>
        </w:rPr>
        <w:t>标的名称84：溴敌隆对照液</w:t>
      </w:r>
    </w:p>
    <w:p w14:paraId="291DC321">
      <w:pPr>
        <w:spacing w:line="360" w:lineRule="auto"/>
        <w:ind w:firstLine="480" w:firstLineChars="200"/>
        <w:rPr>
          <w:rFonts w:ascii="宋体" w:hAnsi="宋体" w:cs="宋体"/>
          <w:sz w:val="24"/>
        </w:rPr>
      </w:pPr>
      <w:r>
        <w:rPr>
          <w:rFonts w:hint="eastAsia" w:ascii="宋体" w:hAnsi="宋体" w:cs="宋体"/>
          <w:sz w:val="24"/>
        </w:rPr>
        <w:t>1.高纯度标准对照溶液，定值精准、稳定性好，用于鼠药检测方法验证、阳性对照、实验质控，1mL规格。</w:t>
      </w:r>
    </w:p>
    <w:p w14:paraId="1DB6D3CF">
      <w:pPr>
        <w:spacing w:line="360" w:lineRule="auto"/>
        <w:ind w:firstLine="482" w:firstLineChars="200"/>
        <w:rPr>
          <w:rFonts w:ascii="宋体" w:hAnsi="宋体" w:cs="宋体"/>
          <w:b/>
          <w:bCs/>
          <w:sz w:val="24"/>
        </w:rPr>
      </w:pPr>
      <w:r>
        <w:rPr>
          <w:rFonts w:hint="eastAsia" w:ascii="宋体" w:hAnsi="宋体" w:cs="宋体"/>
          <w:b/>
          <w:bCs/>
          <w:sz w:val="24"/>
        </w:rPr>
        <w:t>标的名称85：组胺对照液</w:t>
      </w:r>
    </w:p>
    <w:p w14:paraId="1AD447BB">
      <w:pPr>
        <w:spacing w:line="360" w:lineRule="auto"/>
        <w:ind w:firstLine="480" w:firstLineChars="200"/>
        <w:rPr>
          <w:rFonts w:ascii="宋体" w:hAnsi="宋体" w:cs="宋体"/>
          <w:sz w:val="24"/>
        </w:rPr>
      </w:pPr>
      <w:r>
        <w:rPr>
          <w:rFonts w:hint="eastAsia" w:ascii="宋体" w:hAnsi="宋体" w:cs="宋体"/>
          <w:sz w:val="24"/>
        </w:rPr>
        <w:t>1.食品毒素检测专用标准对照品，浓度准确、基质洁净，用于水产品组胺检测质控、阳性对照，2mL规格。</w:t>
      </w:r>
    </w:p>
    <w:p w14:paraId="0EC5E01C">
      <w:pPr>
        <w:spacing w:line="360" w:lineRule="auto"/>
        <w:ind w:firstLine="482" w:firstLineChars="200"/>
        <w:rPr>
          <w:rFonts w:ascii="宋体" w:hAnsi="宋体" w:cs="宋体"/>
          <w:b/>
          <w:bCs/>
          <w:sz w:val="24"/>
        </w:rPr>
      </w:pPr>
      <w:r>
        <w:rPr>
          <w:rFonts w:hint="eastAsia" w:ascii="宋体" w:hAnsi="宋体" w:cs="宋体"/>
          <w:b/>
          <w:bCs/>
          <w:sz w:val="24"/>
        </w:rPr>
        <w:t>标的名称86：硫酸沙丁胺醇对照液</w:t>
      </w:r>
    </w:p>
    <w:p w14:paraId="1D226194">
      <w:pPr>
        <w:spacing w:line="360" w:lineRule="auto"/>
        <w:ind w:firstLine="480" w:firstLineChars="200"/>
        <w:rPr>
          <w:rFonts w:ascii="宋体" w:hAnsi="宋体" w:cs="宋体"/>
          <w:sz w:val="24"/>
        </w:rPr>
      </w:pPr>
      <w:r>
        <w:rPr>
          <w:rFonts w:hint="eastAsia" w:ascii="宋体" w:hAnsi="宋体" w:cs="宋体"/>
          <w:sz w:val="24"/>
        </w:rPr>
        <w:t>1.兽药残留筛查专用标准对照溶液，定值准确、稳定性高，用于残留检测方法验证与质控，2mL规格。</w:t>
      </w:r>
    </w:p>
    <w:p w14:paraId="470F4AA5">
      <w:pPr>
        <w:spacing w:line="360" w:lineRule="auto"/>
        <w:ind w:firstLine="482" w:firstLineChars="200"/>
        <w:rPr>
          <w:rFonts w:ascii="宋体" w:hAnsi="宋体" w:cs="宋体"/>
          <w:b/>
          <w:bCs/>
          <w:sz w:val="24"/>
        </w:rPr>
      </w:pPr>
      <w:r>
        <w:rPr>
          <w:rFonts w:hint="eastAsia" w:ascii="宋体" w:hAnsi="宋体" w:cs="宋体"/>
          <w:b/>
          <w:bCs/>
          <w:sz w:val="24"/>
        </w:rPr>
        <w:t>标的名称87：桐油对照品</w:t>
      </w:r>
    </w:p>
    <w:p w14:paraId="6BE0BCDF">
      <w:pPr>
        <w:spacing w:line="360" w:lineRule="auto"/>
        <w:ind w:firstLine="480" w:firstLineChars="200"/>
        <w:rPr>
          <w:rFonts w:ascii="宋体" w:hAnsi="宋体" w:cs="宋体"/>
          <w:sz w:val="24"/>
        </w:rPr>
      </w:pPr>
      <w:r>
        <w:rPr>
          <w:rFonts w:hint="eastAsia" w:ascii="宋体" w:hAnsi="宋体" w:cs="宋体"/>
          <w:sz w:val="24"/>
        </w:rPr>
        <w:t>1.纯正基体对照样品，用于食用油桐油掺假鉴别实验阳性比对，实验稳定性一致。</w:t>
      </w:r>
    </w:p>
    <w:p w14:paraId="597E0438">
      <w:pPr>
        <w:spacing w:line="360" w:lineRule="auto"/>
        <w:ind w:firstLine="482" w:firstLineChars="200"/>
        <w:rPr>
          <w:rFonts w:ascii="宋体" w:hAnsi="宋体" w:cs="宋体"/>
          <w:b/>
          <w:bCs/>
          <w:sz w:val="24"/>
        </w:rPr>
      </w:pPr>
      <w:r>
        <w:rPr>
          <w:rFonts w:hint="eastAsia" w:ascii="宋体" w:hAnsi="宋体" w:cs="宋体"/>
          <w:b/>
          <w:bCs/>
          <w:sz w:val="24"/>
        </w:rPr>
        <w:t>标的名称88：砷对照液</w:t>
      </w:r>
    </w:p>
    <w:p w14:paraId="0238D971">
      <w:pPr>
        <w:spacing w:line="360" w:lineRule="auto"/>
        <w:ind w:firstLine="480" w:firstLineChars="200"/>
        <w:rPr>
          <w:rFonts w:ascii="宋体" w:hAnsi="宋体" w:cs="宋体"/>
          <w:sz w:val="24"/>
        </w:rPr>
      </w:pPr>
      <w:r>
        <w:rPr>
          <w:rFonts w:hint="eastAsia" w:ascii="宋体" w:hAnsi="宋体" w:cs="宋体"/>
          <w:sz w:val="24"/>
        </w:rPr>
        <w:t>1.无机砷筛查专用标准对照溶液，浓度精准、基体无干扰，用于日常实验质控、阳性对照核查。</w:t>
      </w:r>
    </w:p>
    <w:p w14:paraId="5076D31B">
      <w:pPr>
        <w:spacing w:line="360" w:lineRule="auto"/>
        <w:ind w:firstLine="482" w:firstLineChars="200"/>
        <w:rPr>
          <w:rFonts w:ascii="宋体" w:hAnsi="宋体" w:cs="宋体"/>
          <w:b/>
          <w:bCs/>
          <w:sz w:val="24"/>
        </w:rPr>
      </w:pPr>
      <w:r>
        <w:rPr>
          <w:rFonts w:hint="eastAsia" w:ascii="宋体" w:hAnsi="宋体" w:cs="宋体"/>
          <w:b/>
          <w:bCs/>
          <w:sz w:val="24"/>
        </w:rPr>
        <w:t>标的名称89：汞对照液</w:t>
      </w:r>
    </w:p>
    <w:p w14:paraId="71F593B3">
      <w:pPr>
        <w:spacing w:line="360" w:lineRule="auto"/>
        <w:ind w:firstLine="480" w:firstLineChars="200"/>
        <w:rPr>
          <w:rFonts w:ascii="宋体" w:hAnsi="宋体" w:cs="宋体"/>
          <w:sz w:val="24"/>
        </w:rPr>
      </w:pPr>
      <w:r>
        <w:rPr>
          <w:rFonts w:hint="eastAsia" w:ascii="宋体" w:hAnsi="宋体" w:cs="宋体"/>
          <w:sz w:val="24"/>
        </w:rPr>
        <w:t>1.汞筛查实验专用标准对照体系，定值稳定、杂质低，适配快速筛查方法质控比对。</w:t>
      </w:r>
    </w:p>
    <w:p w14:paraId="0827769B">
      <w:pPr>
        <w:spacing w:line="360" w:lineRule="auto"/>
        <w:ind w:firstLine="482" w:firstLineChars="200"/>
        <w:rPr>
          <w:rFonts w:ascii="宋体" w:hAnsi="宋体" w:cs="宋体"/>
          <w:b/>
          <w:bCs/>
          <w:sz w:val="24"/>
        </w:rPr>
      </w:pPr>
      <w:r>
        <w:rPr>
          <w:rFonts w:hint="eastAsia" w:ascii="宋体" w:hAnsi="宋体" w:cs="宋体"/>
          <w:b/>
          <w:bCs/>
          <w:sz w:val="24"/>
        </w:rPr>
        <w:t>标的名称90：敌鼠钠盐对照液</w:t>
      </w:r>
    </w:p>
    <w:p w14:paraId="158B1B9D">
      <w:pPr>
        <w:spacing w:line="360" w:lineRule="auto"/>
        <w:ind w:firstLine="480" w:firstLineChars="200"/>
        <w:rPr>
          <w:rFonts w:ascii="宋体" w:hAnsi="宋体" w:cs="宋体"/>
          <w:sz w:val="24"/>
        </w:rPr>
      </w:pPr>
      <w:r>
        <w:rPr>
          <w:rFonts w:hint="eastAsia" w:ascii="宋体" w:hAnsi="宋体" w:cs="宋体"/>
          <w:sz w:val="24"/>
        </w:rPr>
        <w:t>1.抗凝类鼠药检测专用标准对照液，浓度准确、稳定性强，用于筛查实验质控、阳性对照验证，2mL规格。</w:t>
      </w:r>
    </w:p>
    <w:p w14:paraId="189FD8BC">
      <w:pPr>
        <w:spacing w:line="360" w:lineRule="auto"/>
        <w:ind w:firstLine="482" w:firstLineChars="200"/>
        <w:rPr>
          <w:rFonts w:ascii="宋体" w:hAnsi="宋体" w:cs="宋体"/>
          <w:b/>
          <w:bCs/>
          <w:sz w:val="24"/>
        </w:rPr>
      </w:pPr>
      <w:r>
        <w:rPr>
          <w:rFonts w:hint="eastAsia" w:ascii="宋体" w:hAnsi="宋体" w:cs="宋体"/>
          <w:b/>
          <w:bCs/>
          <w:sz w:val="24"/>
        </w:rPr>
        <w:t>标的名称91：氟乙酰胺对照液（乙醇溶液）</w:t>
      </w:r>
    </w:p>
    <w:p w14:paraId="358B9538">
      <w:pPr>
        <w:spacing w:line="360" w:lineRule="auto"/>
        <w:ind w:firstLine="480" w:firstLineChars="200"/>
        <w:rPr>
          <w:rFonts w:ascii="宋体" w:hAnsi="宋体" w:cs="宋体"/>
          <w:sz w:val="24"/>
        </w:rPr>
      </w:pPr>
      <w:r>
        <w:rPr>
          <w:rFonts w:hint="eastAsia" w:ascii="宋体" w:hAnsi="宋体" w:cs="宋体"/>
          <w:sz w:val="24"/>
        </w:rPr>
        <w:t>1.剧毒鼠药氟乙酰胺标准对照溶液，基体稳定，定值准确；用于快速筛查实验阳性对照、方法验证、实验质控核查；包装规格适配实验室微量检测使用，满足应急毒物检测比对需求。</w:t>
      </w:r>
    </w:p>
    <w:p w14:paraId="7A44CEDB">
      <w:pPr>
        <w:spacing w:line="360" w:lineRule="auto"/>
        <w:ind w:firstLine="482" w:firstLineChars="200"/>
        <w:rPr>
          <w:rFonts w:ascii="宋体" w:hAnsi="宋体" w:cs="宋体"/>
          <w:b/>
          <w:bCs/>
          <w:sz w:val="24"/>
        </w:rPr>
      </w:pPr>
      <w:r>
        <w:rPr>
          <w:rFonts w:hint="eastAsia" w:ascii="宋体" w:hAnsi="宋体" w:cs="宋体"/>
          <w:b/>
          <w:bCs/>
          <w:sz w:val="24"/>
        </w:rPr>
        <w:t>标的名称92：亚硝酸盐速测管</w:t>
      </w:r>
    </w:p>
    <w:p w14:paraId="2A434D8E">
      <w:pPr>
        <w:spacing w:line="360" w:lineRule="auto"/>
        <w:ind w:firstLine="480" w:firstLineChars="200"/>
        <w:rPr>
          <w:rFonts w:ascii="宋体" w:hAnsi="宋体" w:cs="宋体"/>
          <w:sz w:val="24"/>
        </w:rPr>
      </w:pPr>
      <w:r>
        <w:rPr>
          <w:rFonts w:hint="eastAsia" w:ascii="宋体" w:hAnsi="宋体" w:cs="宋体"/>
          <w:sz w:val="24"/>
        </w:rPr>
        <w:t>1.食品、水样中亚硝酸盐检测专用标准对照溶液，浓度定值精准，基体洁净无干扰；用于亚硝酸盐快速检测阳性对照、实验质量控制，适配现场及实验室筛查。</w:t>
      </w:r>
    </w:p>
    <w:p w14:paraId="7F6C2DD0">
      <w:pPr>
        <w:spacing w:line="360" w:lineRule="auto"/>
        <w:ind w:firstLine="482" w:firstLineChars="200"/>
        <w:rPr>
          <w:rFonts w:ascii="宋体" w:hAnsi="宋体" w:cs="宋体"/>
          <w:b/>
          <w:bCs/>
          <w:sz w:val="24"/>
        </w:rPr>
      </w:pPr>
      <w:r>
        <w:rPr>
          <w:rFonts w:hint="eastAsia" w:ascii="宋体" w:hAnsi="宋体" w:cs="宋体"/>
          <w:b/>
          <w:bCs/>
          <w:sz w:val="24"/>
        </w:rPr>
        <w:t>标的名称93：呕吐毒素快速检测卡</w:t>
      </w:r>
    </w:p>
    <w:p w14:paraId="1EAB1FA2">
      <w:pPr>
        <w:spacing w:line="360" w:lineRule="auto"/>
        <w:ind w:firstLine="480" w:firstLineChars="200"/>
        <w:rPr>
          <w:rFonts w:ascii="宋体" w:hAnsi="宋体" w:cs="宋体"/>
          <w:sz w:val="24"/>
        </w:rPr>
      </w:pPr>
      <w:r>
        <w:rPr>
          <w:rFonts w:hint="eastAsia" w:ascii="宋体" w:hAnsi="宋体" w:cs="宋体"/>
          <w:sz w:val="24"/>
        </w:rPr>
        <w:t>1.适用于粮食、谷物中呕吐毒素快速筛查，灵敏度满足筛查规范，单盒不少于10次测定用量，可现场快速判读结果。</w:t>
      </w:r>
    </w:p>
    <w:p w14:paraId="77D5C35A">
      <w:pPr>
        <w:spacing w:line="360" w:lineRule="auto"/>
        <w:ind w:firstLine="482" w:firstLineChars="200"/>
        <w:rPr>
          <w:rFonts w:ascii="宋体" w:hAnsi="宋体" w:cs="宋体"/>
          <w:b/>
          <w:bCs/>
          <w:sz w:val="24"/>
        </w:rPr>
      </w:pPr>
      <w:r>
        <w:rPr>
          <w:rFonts w:hint="eastAsia" w:ascii="宋体" w:hAnsi="宋体" w:cs="宋体"/>
          <w:b/>
          <w:bCs/>
          <w:sz w:val="24"/>
        </w:rPr>
        <w:t>标的名称94：黄曲霉毒素B1速测卡</w:t>
      </w:r>
    </w:p>
    <w:p w14:paraId="3FAC6A6B">
      <w:pPr>
        <w:spacing w:line="360" w:lineRule="auto"/>
        <w:ind w:firstLine="480" w:firstLineChars="200"/>
        <w:rPr>
          <w:rFonts w:ascii="宋体" w:hAnsi="宋体" w:cs="宋体"/>
          <w:sz w:val="24"/>
        </w:rPr>
      </w:pPr>
      <w:r>
        <w:rPr>
          <w:rFonts w:hint="eastAsia" w:ascii="宋体" w:hAnsi="宋体" w:cs="宋体"/>
          <w:sz w:val="24"/>
        </w:rPr>
        <w:t>1.用于粮油、食品中黄曲霉毒素B1快速筛查，检出限符合相关要求，单盒不少于5次测定用量。</w:t>
      </w:r>
    </w:p>
    <w:p w14:paraId="7EE9A8F7">
      <w:pPr>
        <w:spacing w:line="360" w:lineRule="auto"/>
        <w:ind w:firstLine="482" w:firstLineChars="200"/>
        <w:rPr>
          <w:rFonts w:ascii="宋体" w:hAnsi="宋体" w:cs="宋体"/>
          <w:b/>
          <w:bCs/>
          <w:sz w:val="24"/>
        </w:rPr>
      </w:pPr>
      <w:r>
        <w:rPr>
          <w:rFonts w:hint="eastAsia" w:ascii="宋体" w:hAnsi="宋体" w:cs="宋体"/>
          <w:b/>
          <w:bCs/>
          <w:sz w:val="24"/>
        </w:rPr>
        <w:t>标的名称95：硼砂硼酸速测包</w:t>
      </w:r>
    </w:p>
    <w:p w14:paraId="49655312">
      <w:pPr>
        <w:spacing w:line="360" w:lineRule="auto"/>
        <w:ind w:firstLine="480" w:firstLineChars="200"/>
        <w:rPr>
          <w:rFonts w:ascii="宋体" w:hAnsi="宋体" w:cs="宋体"/>
          <w:sz w:val="24"/>
        </w:rPr>
      </w:pPr>
      <w:r>
        <w:rPr>
          <w:rFonts w:hint="eastAsia" w:ascii="宋体" w:hAnsi="宋体" w:cs="宋体"/>
          <w:sz w:val="24"/>
        </w:rPr>
        <w:t>1.适用于食品中硼砂、硼酸非法添加快速定性筛查，抗基质干扰，每盒可检测多份样品，适合现场快速筛查。</w:t>
      </w:r>
    </w:p>
    <w:p w14:paraId="22428D99">
      <w:pPr>
        <w:spacing w:line="360" w:lineRule="auto"/>
        <w:ind w:firstLine="482" w:firstLineChars="200"/>
        <w:rPr>
          <w:rFonts w:ascii="宋体" w:hAnsi="宋体" w:cs="宋体"/>
          <w:b/>
          <w:bCs/>
          <w:sz w:val="24"/>
        </w:rPr>
      </w:pPr>
      <w:r>
        <w:rPr>
          <w:rFonts w:hint="eastAsia" w:ascii="宋体" w:hAnsi="宋体" w:cs="宋体"/>
          <w:b/>
          <w:bCs/>
          <w:sz w:val="24"/>
        </w:rPr>
        <w:t>标的名称96：注水肉检测试纸</w:t>
      </w:r>
    </w:p>
    <w:p w14:paraId="019B87A3">
      <w:pPr>
        <w:spacing w:line="360" w:lineRule="auto"/>
        <w:ind w:firstLine="480" w:firstLineChars="200"/>
        <w:rPr>
          <w:rFonts w:ascii="宋体" w:hAnsi="宋体" w:cs="宋体"/>
          <w:sz w:val="24"/>
        </w:rPr>
      </w:pPr>
      <w:r>
        <w:rPr>
          <w:rFonts w:hint="eastAsia" w:ascii="宋体" w:hAnsi="宋体" w:cs="宋体"/>
          <w:sz w:val="24"/>
        </w:rPr>
        <w:t>1.用于畜禽肉注水情况快速筛查，每盒可测多份样品，适用于现场抽检排查。</w:t>
      </w:r>
    </w:p>
    <w:p w14:paraId="325FD227">
      <w:pPr>
        <w:spacing w:line="360" w:lineRule="auto"/>
        <w:ind w:firstLine="482" w:firstLineChars="200"/>
        <w:rPr>
          <w:rFonts w:ascii="宋体" w:hAnsi="宋体" w:cs="宋体"/>
          <w:b/>
          <w:bCs/>
          <w:sz w:val="24"/>
        </w:rPr>
      </w:pPr>
      <w:r>
        <w:rPr>
          <w:rFonts w:hint="eastAsia" w:ascii="宋体" w:hAnsi="宋体" w:cs="宋体"/>
          <w:b/>
          <w:bCs/>
          <w:sz w:val="24"/>
        </w:rPr>
        <w:t>标的名称97：甲醛定性速测管</w:t>
      </w:r>
    </w:p>
    <w:p w14:paraId="6A703410">
      <w:pPr>
        <w:spacing w:line="360" w:lineRule="auto"/>
        <w:ind w:firstLine="480" w:firstLineChars="200"/>
        <w:rPr>
          <w:rFonts w:ascii="宋体" w:hAnsi="宋体" w:cs="宋体"/>
          <w:sz w:val="24"/>
        </w:rPr>
      </w:pPr>
      <w:r>
        <w:rPr>
          <w:rFonts w:hint="eastAsia" w:ascii="宋体" w:hAnsi="宋体" w:cs="宋体"/>
          <w:sz w:val="24"/>
        </w:rPr>
        <w:t>1.甲醛检测专用标准对照溶液；用于食品、环境样品甲醛快速筛查实验的阳性对照、结果核查。</w:t>
      </w:r>
    </w:p>
    <w:p w14:paraId="558E9B6C">
      <w:pPr>
        <w:spacing w:line="360" w:lineRule="auto"/>
        <w:ind w:firstLine="482" w:firstLineChars="200"/>
        <w:rPr>
          <w:rFonts w:ascii="宋体" w:hAnsi="宋体" w:cs="宋体"/>
          <w:b/>
          <w:bCs/>
          <w:sz w:val="24"/>
        </w:rPr>
      </w:pPr>
      <w:r>
        <w:rPr>
          <w:rFonts w:hint="eastAsia" w:ascii="宋体" w:hAnsi="宋体" w:cs="宋体"/>
          <w:b/>
          <w:bCs/>
          <w:sz w:val="24"/>
        </w:rPr>
        <w:t>标的名称98：二氧化硫速测盒</w:t>
      </w:r>
    </w:p>
    <w:p w14:paraId="20F4E994">
      <w:pPr>
        <w:spacing w:line="360" w:lineRule="auto"/>
        <w:ind w:firstLine="480" w:firstLineChars="200"/>
        <w:rPr>
          <w:rFonts w:ascii="宋体" w:hAnsi="宋体" w:cs="宋体"/>
          <w:sz w:val="24"/>
        </w:rPr>
      </w:pPr>
      <w:r>
        <w:rPr>
          <w:rFonts w:hint="eastAsia" w:ascii="宋体" w:hAnsi="宋体" w:cs="宋体"/>
          <w:sz w:val="24"/>
        </w:rPr>
        <w:t>1.食品中二氧化硫残留检测对照溶液；用于快速检测试剂盒实验质控、阳性对照，适配果蔬、干货等样品筛查。</w:t>
      </w:r>
    </w:p>
    <w:p w14:paraId="74E8F4F2">
      <w:pPr>
        <w:spacing w:line="360" w:lineRule="auto"/>
        <w:ind w:firstLine="482" w:firstLineChars="200"/>
        <w:rPr>
          <w:rFonts w:ascii="宋体" w:hAnsi="宋体" w:cs="宋体"/>
          <w:b/>
          <w:bCs/>
          <w:sz w:val="24"/>
        </w:rPr>
      </w:pPr>
      <w:r>
        <w:rPr>
          <w:rFonts w:hint="eastAsia" w:ascii="宋体" w:hAnsi="宋体" w:cs="宋体"/>
          <w:b/>
          <w:bCs/>
          <w:sz w:val="24"/>
        </w:rPr>
        <w:t>标的名称99：瘦肉精三联速测卡</w:t>
      </w:r>
    </w:p>
    <w:p w14:paraId="5249F2E0">
      <w:pPr>
        <w:spacing w:line="360" w:lineRule="auto"/>
        <w:ind w:firstLine="480" w:firstLineChars="200"/>
        <w:rPr>
          <w:rFonts w:ascii="宋体" w:hAnsi="宋体" w:cs="宋体"/>
          <w:sz w:val="24"/>
        </w:rPr>
      </w:pPr>
      <w:r>
        <w:rPr>
          <w:rFonts w:hint="eastAsia" w:ascii="宋体" w:hAnsi="宋体" w:cs="宋体"/>
          <w:sz w:val="24"/>
        </w:rPr>
        <w:t>1.可同时筛查多种瘦肉精类违禁兽药，特异性强，无明显交叉反应；每盒可测多份样品，适用于畜禽样品快速筛查。</w:t>
      </w:r>
    </w:p>
    <w:p w14:paraId="1FCF32C7">
      <w:pPr>
        <w:spacing w:line="360" w:lineRule="auto"/>
        <w:ind w:firstLine="482" w:firstLineChars="200"/>
        <w:rPr>
          <w:rFonts w:ascii="宋体" w:hAnsi="宋体" w:cs="宋体"/>
          <w:b/>
          <w:bCs/>
          <w:sz w:val="24"/>
        </w:rPr>
      </w:pPr>
      <w:r>
        <w:rPr>
          <w:rFonts w:hint="eastAsia" w:ascii="宋体" w:hAnsi="宋体" w:cs="宋体"/>
          <w:b/>
          <w:bCs/>
          <w:sz w:val="24"/>
        </w:rPr>
        <w:t>标的名称100：生熟豆浆速测试剂包</w:t>
      </w:r>
    </w:p>
    <w:p w14:paraId="46A346DD">
      <w:pPr>
        <w:spacing w:line="360" w:lineRule="auto"/>
        <w:ind w:firstLine="480" w:firstLineChars="200"/>
        <w:rPr>
          <w:rFonts w:ascii="宋体" w:hAnsi="宋体" w:cs="宋体"/>
          <w:sz w:val="24"/>
        </w:rPr>
      </w:pPr>
      <w:r>
        <w:rPr>
          <w:rFonts w:hint="eastAsia" w:ascii="宋体" w:hAnsi="宋体" w:cs="宋体"/>
          <w:sz w:val="24"/>
        </w:rPr>
        <w:t>1.用于筛查豆浆是否彻底加热，排查皂素等有毒物质；单套可检测50份样品，操作简单，适合现场快速筛查。</w:t>
      </w:r>
    </w:p>
    <w:p w14:paraId="72B09F12">
      <w:pPr>
        <w:spacing w:line="360" w:lineRule="auto"/>
        <w:ind w:firstLine="482" w:firstLineChars="200"/>
        <w:rPr>
          <w:rFonts w:ascii="宋体" w:hAnsi="宋体" w:cs="宋体"/>
          <w:b/>
          <w:bCs/>
          <w:sz w:val="24"/>
        </w:rPr>
      </w:pPr>
      <w:r>
        <w:rPr>
          <w:rFonts w:hint="eastAsia" w:ascii="宋体" w:hAnsi="宋体" w:cs="宋体"/>
          <w:b/>
          <w:bCs/>
          <w:sz w:val="24"/>
        </w:rPr>
        <w:t>标的名称101：氰化物检测试剂包</w:t>
      </w:r>
    </w:p>
    <w:p w14:paraId="100A3432">
      <w:pPr>
        <w:spacing w:line="360" w:lineRule="auto"/>
        <w:ind w:firstLine="480" w:firstLineChars="200"/>
        <w:rPr>
          <w:rFonts w:ascii="宋体" w:hAnsi="宋体" w:cs="宋体"/>
          <w:sz w:val="24"/>
        </w:rPr>
      </w:pPr>
      <w:r>
        <w:rPr>
          <w:rFonts w:hint="eastAsia" w:ascii="宋体" w:hAnsi="宋体" w:cs="宋体"/>
          <w:sz w:val="24"/>
        </w:rPr>
        <w:t>1.食品、可疑样品中氰化物快速定性筛查，检出限符合筛查规范；每盒可测多份样品，用于中毒应急风险排查。</w:t>
      </w:r>
    </w:p>
    <w:p w14:paraId="6DD431D1">
      <w:pPr>
        <w:spacing w:line="360" w:lineRule="auto"/>
        <w:ind w:firstLine="482" w:firstLineChars="200"/>
        <w:rPr>
          <w:rFonts w:ascii="宋体" w:hAnsi="宋体" w:cs="宋体"/>
          <w:b/>
          <w:bCs/>
          <w:sz w:val="24"/>
        </w:rPr>
      </w:pPr>
      <w:r>
        <w:rPr>
          <w:rFonts w:hint="eastAsia" w:ascii="宋体" w:hAnsi="宋体" w:cs="宋体"/>
          <w:b/>
          <w:bCs/>
          <w:sz w:val="24"/>
        </w:rPr>
        <w:t>标的名称102：鼠药安妥检测试纸</w:t>
      </w:r>
    </w:p>
    <w:p w14:paraId="4059D192">
      <w:pPr>
        <w:spacing w:line="360" w:lineRule="auto"/>
        <w:ind w:firstLine="480" w:firstLineChars="200"/>
        <w:rPr>
          <w:rFonts w:ascii="宋体" w:hAnsi="宋体" w:cs="宋体"/>
          <w:sz w:val="24"/>
        </w:rPr>
      </w:pPr>
      <w:r>
        <w:rPr>
          <w:rFonts w:hint="eastAsia" w:ascii="宋体" w:hAnsi="宋体" w:cs="宋体"/>
          <w:sz w:val="24"/>
        </w:rPr>
        <w:t>1.食品、粮食中安妥鼠药快速定性筛查，反应特异性高；每盒可测多份样品，用于公共卫生毒物排查。</w:t>
      </w:r>
    </w:p>
    <w:p w14:paraId="52D5C29B">
      <w:pPr>
        <w:spacing w:line="360" w:lineRule="auto"/>
        <w:ind w:firstLine="482" w:firstLineChars="200"/>
        <w:rPr>
          <w:rFonts w:ascii="宋体" w:hAnsi="宋体" w:cs="宋体"/>
          <w:b/>
          <w:bCs/>
          <w:sz w:val="24"/>
        </w:rPr>
      </w:pPr>
      <w:r>
        <w:rPr>
          <w:rFonts w:hint="eastAsia" w:ascii="宋体" w:hAnsi="宋体" w:cs="宋体"/>
          <w:b/>
          <w:bCs/>
          <w:sz w:val="24"/>
        </w:rPr>
        <w:t>标的名称103：乳品中糊精速测试剂</w:t>
      </w:r>
    </w:p>
    <w:p w14:paraId="3F8019AC">
      <w:pPr>
        <w:spacing w:line="360" w:lineRule="auto"/>
        <w:ind w:firstLine="480" w:firstLineChars="200"/>
        <w:rPr>
          <w:rFonts w:ascii="宋体" w:hAnsi="宋体" w:cs="宋体"/>
          <w:sz w:val="24"/>
        </w:rPr>
      </w:pPr>
      <w:r>
        <w:rPr>
          <w:rFonts w:hint="eastAsia" w:ascii="宋体" w:hAnsi="宋体" w:cs="宋体"/>
          <w:sz w:val="24"/>
        </w:rPr>
        <w:t>1.乳制品糊精掺假快速筛查，抗乳基质干扰；每盒可测多份样品，用于乳品质量快速筛查。</w:t>
      </w:r>
    </w:p>
    <w:p w14:paraId="2C2FDCC2">
      <w:pPr>
        <w:spacing w:line="360" w:lineRule="auto"/>
        <w:ind w:firstLine="482" w:firstLineChars="200"/>
        <w:rPr>
          <w:rFonts w:ascii="宋体" w:hAnsi="宋体" w:cs="宋体"/>
          <w:b/>
          <w:bCs/>
          <w:sz w:val="24"/>
        </w:rPr>
      </w:pPr>
      <w:r>
        <w:rPr>
          <w:rFonts w:hint="eastAsia" w:ascii="宋体" w:hAnsi="宋体" w:cs="宋体"/>
          <w:b/>
          <w:bCs/>
          <w:sz w:val="24"/>
        </w:rPr>
        <w:t>标的名称104：乌洛托品甲醛速测管</w:t>
      </w:r>
    </w:p>
    <w:p w14:paraId="116BF06E">
      <w:pPr>
        <w:spacing w:line="360" w:lineRule="auto"/>
        <w:ind w:firstLine="480" w:firstLineChars="200"/>
        <w:rPr>
          <w:rFonts w:ascii="宋体" w:hAnsi="宋体" w:cs="宋体"/>
          <w:sz w:val="24"/>
        </w:rPr>
      </w:pPr>
      <w:r>
        <w:rPr>
          <w:rFonts w:hint="eastAsia" w:ascii="宋体" w:hAnsi="宋体" w:cs="宋体"/>
          <w:sz w:val="24"/>
        </w:rPr>
        <w:t>1.样品中乌洛托品水解产生甲醛的快速筛查；单盒50份样品用量，显色稳定，适合食品样品筛查。</w:t>
      </w:r>
    </w:p>
    <w:p w14:paraId="71045F70">
      <w:pPr>
        <w:spacing w:line="360" w:lineRule="auto"/>
        <w:ind w:firstLine="482" w:firstLineChars="200"/>
        <w:rPr>
          <w:rFonts w:ascii="宋体" w:hAnsi="宋体" w:cs="宋体"/>
          <w:b/>
          <w:bCs/>
          <w:sz w:val="24"/>
        </w:rPr>
      </w:pPr>
      <w:r>
        <w:rPr>
          <w:rFonts w:hint="eastAsia" w:ascii="宋体" w:hAnsi="宋体" w:cs="宋体"/>
          <w:b/>
          <w:bCs/>
          <w:sz w:val="24"/>
        </w:rPr>
        <w:t>标的名称105：硝酸盐速测管</w:t>
      </w:r>
    </w:p>
    <w:p w14:paraId="6C553DBA">
      <w:pPr>
        <w:spacing w:line="360" w:lineRule="auto"/>
        <w:ind w:firstLine="480" w:firstLineChars="200"/>
        <w:rPr>
          <w:rFonts w:ascii="宋体" w:hAnsi="宋体" w:cs="宋体"/>
          <w:sz w:val="24"/>
        </w:rPr>
      </w:pPr>
      <w:r>
        <w:rPr>
          <w:rFonts w:hint="eastAsia" w:ascii="宋体" w:hAnsi="宋体" w:cs="宋体"/>
          <w:sz w:val="24"/>
        </w:rPr>
        <w:t>1.食品、水样硝酸盐快速定性筛查；单盒不少于10份样品用量，显色梯度明显，判定直观。</w:t>
      </w:r>
    </w:p>
    <w:p w14:paraId="5D7661E5">
      <w:pPr>
        <w:spacing w:line="360" w:lineRule="auto"/>
        <w:ind w:firstLine="482" w:firstLineChars="200"/>
        <w:rPr>
          <w:rFonts w:ascii="宋体" w:hAnsi="宋体" w:cs="宋体"/>
          <w:b/>
          <w:bCs/>
          <w:sz w:val="24"/>
        </w:rPr>
      </w:pPr>
      <w:r>
        <w:rPr>
          <w:rFonts w:hint="eastAsia" w:ascii="宋体" w:hAnsi="宋体" w:cs="宋体"/>
          <w:b/>
          <w:bCs/>
          <w:sz w:val="24"/>
        </w:rPr>
        <w:t>标的名称106：重金属镉快速检测试剂盒</w:t>
      </w:r>
    </w:p>
    <w:p w14:paraId="20A5B1C0">
      <w:pPr>
        <w:spacing w:line="360" w:lineRule="auto"/>
        <w:ind w:firstLine="480" w:firstLineChars="200"/>
        <w:rPr>
          <w:rFonts w:ascii="宋体" w:hAnsi="宋体" w:cs="宋体"/>
          <w:sz w:val="24"/>
        </w:rPr>
      </w:pPr>
      <w:r>
        <w:rPr>
          <w:rFonts w:hint="eastAsia" w:ascii="宋体" w:hAnsi="宋体" w:cs="宋体"/>
          <w:sz w:val="24"/>
        </w:rPr>
        <w:t>1.食品、环境样品中镉快速筛查；10次/盒，灵敏度满足筛查规范，操作便捷。</w:t>
      </w:r>
    </w:p>
    <w:p w14:paraId="1BD2AA9D">
      <w:pPr>
        <w:spacing w:line="360" w:lineRule="auto"/>
        <w:ind w:firstLine="482" w:firstLineChars="200"/>
        <w:rPr>
          <w:rFonts w:ascii="宋体" w:hAnsi="宋体" w:cs="宋体"/>
          <w:b/>
          <w:bCs/>
          <w:sz w:val="24"/>
        </w:rPr>
      </w:pPr>
      <w:r>
        <w:rPr>
          <w:rFonts w:hint="eastAsia" w:ascii="宋体" w:hAnsi="宋体" w:cs="宋体"/>
          <w:b/>
          <w:bCs/>
          <w:sz w:val="24"/>
        </w:rPr>
        <w:t>标的名称107：三聚氰胺速测卡</w:t>
      </w:r>
    </w:p>
    <w:p w14:paraId="290B05F0">
      <w:pPr>
        <w:spacing w:line="360" w:lineRule="auto"/>
        <w:ind w:firstLine="480" w:firstLineChars="200"/>
        <w:rPr>
          <w:rFonts w:ascii="宋体" w:hAnsi="宋体" w:cs="宋体"/>
          <w:sz w:val="24"/>
        </w:rPr>
      </w:pPr>
      <w:r>
        <w:rPr>
          <w:rFonts w:hint="eastAsia" w:ascii="宋体" w:hAnsi="宋体" w:cs="宋体"/>
          <w:sz w:val="24"/>
        </w:rPr>
        <w:t>1.乳及乳制品三聚氰胺快速筛查，5片装，结果判读简单，适合现场快速筛查。</w:t>
      </w:r>
    </w:p>
    <w:p w14:paraId="410D11D5">
      <w:pPr>
        <w:spacing w:line="360" w:lineRule="auto"/>
        <w:ind w:firstLine="482" w:firstLineChars="200"/>
        <w:rPr>
          <w:rFonts w:ascii="宋体" w:hAnsi="宋体" w:cs="宋体"/>
          <w:b/>
          <w:bCs/>
          <w:sz w:val="24"/>
        </w:rPr>
      </w:pPr>
      <w:r>
        <w:rPr>
          <w:rFonts w:hint="eastAsia" w:ascii="宋体" w:hAnsi="宋体" w:cs="宋体"/>
          <w:b/>
          <w:bCs/>
          <w:sz w:val="24"/>
        </w:rPr>
        <w:t>标的名称108：盐酸克伦特罗速测卡</w:t>
      </w:r>
    </w:p>
    <w:p w14:paraId="0232FA9A">
      <w:pPr>
        <w:spacing w:line="360" w:lineRule="auto"/>
        <w:ind w:firstLine="480" w:firstLineChars="200"/>
        <w:rPr>
          <w:rFonts w:ascii="宋体" w:hAnsi="宋体" w:cs="宋体"/>
          <w:sz w:val="24"/>
        </w:rPr>
      </w:pPr>
      <w:r>
        <w:rPr>
          <w:rFonts w:hint="eastAsia" w:ascii="宋体" w:hAnsi="宋体" w:cs="宋体"/>
          <w:sz w:val="24"/>
        </w:rPr>
        <w:t>1.畜禽样品盐酸克伦特罗快速筛查，5片装，特异性好，假阳性率低。</w:t>
      </w:r>
    </w:p>
    <w:p w14:paraId="14BF6681">
      <w:pPr>
        <w:spacing w:line="360" w:lineRule="auto"/>
        <w:ind w:firstLine="482" w:firstLineChars="200"/>
        <w:rPr>
          <w:rFonts w:ascii="宋体" w:hAnsi="宋体" w:cs="宋体"/>
          <w:b/>
          <w:bCs/>
          <w:sz w:val="24"/>
        </w:rPr>
      </w:pPr>
      <w:r>
        <w:rPr>
          <w:rFonts w:hint="eastAsia" w:ascii="宋体" w:hAnsi="宋体" w:cs="宋体"/>
          <w:b/>
          <w:bCs/>
          <w:sz w:val="24"/>
        </w:rPr>
        <w:t>标的名称109：敌鼠钠盐测试包</w:t>
      </w:r>
    </w:p>
    <w:p w14:paraId="3810B1C6">
      <w:pPr>
        <w:spacing w:line="360" w:lineRule="auto"/>
        <w:ind w:firstLine="480" w:firstLineChars="200"/>
        <w:rPr>
          <w:rFonts w:ascii="宋体" w:hAnsi="宋体" w:cs="宋体"/>
          <w:sz w:val="24"/>
        </w:rPr>
      </w:pPr>
      <w:r>
        <w:rPr>
          <w:rFonts w:hint="eastAsia" w:ascii="宋体" w:hAnsi="宋体" w:cs="宋体"/>
          <w:sz w:val="24"/>
        </w:rPr>
        <w:t>1.食品、粮食敌鼠钠盐鼠药快速定性筛查；每盒可测多份样品，显色稳定，用于毒物风险排查。</w:t>
      </w:r>
    </w:p>
    <w:p w14:paraId="68DB2343">
      <w:pPr>
        <w:spacing w:line="360" w:lineRule="auto"/>
        <w:ind w:firstLine="482" w:firstLineChars="200"/>
        <w:rPr>
          <w:rFonts w:ascii="宋体" w:hAnsi="宋体" w:cs="宋体"/>
          <w:b/>
          <w:bCs/>
          <w:sz w:val="24"/>
        </w:rPr>
      </w:pPr>
      <w:r>
        <w:rPr>
          <w:rFonts w:hint="eastAsia" w:ascii="宋体" w:hAnsi="宋体" w:cs="宋体"/>
          <w:b/>
          <w:bCs/>
          <w:sz w:val="24"/>
        </w:rPr>
        <w:t>标的名称110：镍单元素溶液标准物质</w:t>
      </w:r>
    </w:p>
    <w:p w14:paraId="76524FDE">
      <w:pPr>
        <w:spacing w:line="360" w:lineRule="auto"/>
        <w:ind w:firstLine="480" w:firstLineChars="200"/>
        <w:rPr>
          <w:rFonts w:ascii="宋体" w:hAnsi="宋体" w:cs="宋体"/>
          <w:sz w:val="24"/>
        </w:rPr>
      </w:pPr>
      <w:r>
        <w:rPr>
          <w:rFonts w:hint="eastAsia" w:ascii="宋体" w:hAnsi="宋体" w:cs="宋体"/>
          <w:sz w:val="24"/>
        </w:rPr>
        <w:t>1.浓度100mg/L，水溶液基体；用于仪器曲线绘制、质量控制。</w:t>
      </w:r>
    </w:p>
    <w:p w14:paraId="3106F1A6">
      <w:pPr>
        <w:spacing w:line="360" w:lineRule="auto"/>
        <w:ind w:firstLine="482" w:firstLineChars="200"/>
        <w:rPr>
          <w:rFonts w:ascii="宋体" w:hAnsi="宋体" w:cs="宋体"/>
          <w:b/>
          <w:bCs/>
          <w:sz w:val="24"/>
        </w:rPr>
      </w:pPr>
      <w:r>
        <w:rPr>
          <w:rFonts w:hint="eastAsia" w:ascii="宋体" w:hAnsi="宋体" w:cs="宋体"/>
          <w:b/>
          <w:bCs/>
          <w:sz w:val="24"/>
        </w:rPr>
        <w:t>标的名称111：银单元素溶液标准物质</w:t>
      </w:r>
    </w:p>
    <w:p w14:paraId="0ABF043E">
      <w:pPr>
        <w:spacing w:line="360" w:lineRule="auto"/>
        <w:ind w:firstLine="480" w:firstLineChars="200"/>
        <w:rPr>
          <w:rFonts w:ascii="宋体" w:hAnsi="宋体" w:cs="宋体"/>
          <w:sz w:val="24"/>
        </w:rPr>
      </w:pPr>
      <w:r>
        <w:rPr>
          <w:rFonts w:hint="eastAsia" w:ascii="宋体" w:hAnsi="宋体" w:cs="宋体"/>
          <w:sz w:val="24"/>
        </w:rPr>
        <w:t>1.浓度1000mg/L，水溶液基体，定值准确；用于原子光谱仪器校准、质控使用。</w:t>
      </w:r>
    </w:p>
    <w:p w14:paraId="40784647">
      <w:pPr>
        <w:spacing w:line="360" w:lineRule="auto"/>
        <w:ind w:firstLine="482" w:firstLineChars="200"/>
        <w:rPr>
          <w:rFonts w:ascii="宋体" w:hAnsi="宋体" w:cs="宋体"/>
          <w:b/>
          <w:bCs/>
          <w:sz w:val="24"/>
        </w:rPr>
      </w:pPr>
      <w:r>
        <w:rPr>
          <w:rFonts w:hint="eastAsia" w:ascii="宋体" w:hAnsi="宋体" w:cs="宋体"/>
          <w:b/>
          <w:bCs/>
          <w:sz w:val="24"/>
        </w:rPr>
        <w:t>标的名称112：十字交叉雾化器</w:t>
      </w:r>
    </w:p>
    <w:p w14:paraId="4B570865">
      <w:pPr>
        <w:spacing w:line="360" w:lineRule="auto"/>
        <w:ind w:firstLine="480" w:firstLineChars="200"/>
        <w:rPr>
          <w:rFonts w:ascii="宋体" w:hAnsi="宋体" w:cs="宋体"/>
          <w:sz w:val="24"/>
        </w:rPr>
      </w:pPr>
      <w:r>
        <w:rPr>
          <w:rFonts w:hint="eastAsia" w:ascii="宋体" w:hAnsi="宋体" w:cs="宋体"/>
          <w:sz w:val="24"/>
        </w:rPr>
        <w:t>1.适配PE8000电感耦合等离子体发射光谱仪进样使用。锥形，含喷嘴一套；适配电感耦合等离子体发射光谱仪，进样稳定，耐酸腐蚀。</w:t>
      </w:r>
    </w:p>
    <w:p w14:paraId="29CC07D5">
      <w:pPr>
        <w:spacing w:line="360" w:lineRule="auto"/>
        <w:ind w:firstLine="482" w:firstLineChars="200"/>
        <w:rPr>
          <w:rFonts w:ascii="宋体" w:hAnsi="宋体" w:cs="宋体"/>
          <w:b/>
          <w:bCs/>
          <w:sz w:val="24"/>
        </w:rPr>
      </w:pPr>
      <w:r>
        <w:rPr>
          <w:rFonts w:hint="eastAsia" w:ascii="宋体" w:hAnsi="宋体" w:cs="宋体"/>
          <w:b/>
          <w:bCs/>
          <w:sz w:val="24"/>
        </w:rPr>
        <w:t>标的名称113：水平观测窗</w:t>
      </w:r>
    </w:p>
    <w:p w14:paraId="74CD56D5">
      <w:pPr>
        <w:spacing w:line="360" w:lineRule="auto"/>
        <w:ind w:firstLine="480" w:firstLineChars="200"/>
        <w:rPr>
          <w:rFonts w:ascii="宋体" w:hAnsi="宋体" w:cs="宋体"/>
          <w:sz w:val="24"/>
        </w:rPr>
      </w:pPr>
      <w:r>
        <w:rPr>
          <w:rFonts w:hint="eastAsia" w:ascii="宋体" w:hAnsi="宋体" w:cs="宋体"/>
          <w:sz w:val="24"/>
        </w:rPr>
        <w:t>1.圆形，石英材质；适配电感耦合等离子体发射光谱仪，透光性能好，耐高温，用于仪器观测。</w:t>
      </w:r>
    </w:p>
    <w:p w14:paraId="5761F362">
      <w:pPr>
        <w:spacing w:line="360" w:lineRule="auto"/>
        <w:ind w:firstLine="482" w:firstLineChars="200"/>
        <w:rPr>
          <w:rFonts w:ascii="宋体" w:hAnsi="宋体" w:cs="宋体"/>
          <w:b/>
          <w:bCs/>
          <w:sz w:val="24"/>
        </w:rPr>
      </w:pPr>
      <w:r>
        <w:rPr>
          <w:rFonts w:hint="eastAsia" w:ascii="宋体" w:hAnsi="宋体" w:cs="宋体"/>
          <w:b/>
          <w:bCs/>
          <w:sz w:val="24"/>
        </w:rPr>
        <w:t>标的名称114：垂直观测窗</w:t>
      </w:r>
    </w:p>
    <w:p w14:paraId="3F7EA1A5">
      <w:pPr>
        <w:spacing w:line="360" w:lineRule="auto"/>
        <w:ind w:firstLine="480" w:firstLineChars="200"/>
        <w:rPr>
          <w:rFonts w:ascii="宋体" w:hAnsi="宋体" w:cs="宋体"/>
          <w:sz w:val="24"/>
        </w:rPr>
      </w:pPr>
      <w:r>
        <w:rPr>
          <w:rFonts w:hint="eastAsia" w:ascii="宋体" w:hAnsi="宋体" w:cs="宋体"/>
          <w:sz w:val="24"/>
        </w:rPr>
        <w:t>1.适配PE8000电感耦合等离子体发柱状，石英材质；适配电感耦合等离子体发射光谱仪，耐高温、耐等离子体辐射，用于仪器观测。射光谱仪进样使用。</w:t>
      </w:r>
    </w:p>
    <w:p w14:paraId="2DBE670F">
      <w:pPr>
        <w:spacing w:line="360" w:lineRule="auto"/>
        <w:ind w:firstLine="482" w:firstLineChars="200"/>
        <w:rPr>
          <w:rFonts w:ascii="宋体" w:hAnsi="宋体" w:cs="宋体"/>
          <w:b/>
          <w:bCs/>
          <w:sz w:val="24"/>
        </w:rPr>
      </w:pPr>
      <w:r>
        <w:rPr>
          <w:rFonts w:hint="eastAsia" w:ascii="宋体" w:hAnsi="宋体" w:cs="宋体"/>
          <w:b/>
          <w:bCs/>
          <w:sz w:val="24"/>
        </w:rPr>
        <w:t>标的名称115：氧化铝中心管</w:t>
      </w:r>
    </w:p>
    <w:p w14:paraId="0AA92AF5">
      <w:pPr>
        <w:spacing w:line="360" w:lineRule="auto"/>
        <w:ind w:firstLine="480" w:firstLineChars="200"/>
        <w:rPr>
          <w:rFonts w:ascii="宋体" w:hAnsi="宋体" w:cs="宋体"/>
          <w:sz w:val="24"/>
        </w:rPr>
      </w:pPr>
      <w:r>
        <w:rPr>
          <w:rFonts w:hint="eastAsia" w:ascii="宋体" w:hAnsi="宋体" w:cs="宋体"/>
          <w:sz w:val="24"/>
        </w:rPr>
        <w:t>1.氧化铝、圆柱形；适配电感耦合等离子体发射光谱仪，耐高温，抗侵蚀，仪器进样部件。</w:t>
      </w:r>
    </w:p>
    <w:p w14:paraId="054153CB">
      <w:pPr>
        <w:spacing w:line="360" w:lineRule="auto"/>
        <w:ind w:firstLine="482" w:firstLineChars="200"/>
        <w:rPr>
          <w:rFonts w:ascii="宋体" w:hAnsi="宋体" w:cs="宋体"/>
          <w:b/>
          <w:bCs/>
          <w:sz w:val="24"/>
        </w:rPr>
      </w:pPr>
      <w:r>
        <w:rPr>
          <w:rFonts w:hint="eastAsia" w:ascii="宋体" w:hAnsi="宋体" w:cs="宋体"/>
          <w:b/>
          <w:bCs/>
          <w:sz w:val="24"/>
        </w:rPr>
        <w:t>标的名称116：进样毛细管</w:t>
      </w:r>
    </w:p>
    <w:p w14:paraId="3E59C1B8">
      <w:pPr>
        <w:spacing w:line="360" w:lineRule="auto"/>
        <w:ind w:firstLine="480" w:firstLineChars="200"/>
        <w:rPr>
          <w:rFonts w:ascii="宋体" w:hAnsi="宋体" w:cs="宋体"/>
          <w:sz w:val="24"/>
        </w:rPr>
      </w:pPr>
      <w:r>
        <w:rPr>
          <w:rFonts w:hint="eastAsia" w:ascii="宋体" w:hAnsi="宋体" w:cs="宋体"/>
          <w:sz w:val="24"/>
        </w:rPr>
        <w:t>1.PVC材质，长度3m；适配电感耦合等离子体发射光谱仪，耐稀酸，输送样品溶液，作为仪器进样管路。</w:t>
      </w:r>
    </w:p>
    <w:p w14:paraId="541BE437">
      <w:pPr>
        <w:spacing w:line="360" w:lineRule="auto"/>
        <w:ind w:firstLine="482" w:firstLineChars="200"/>
        <w:rPr>
          <w:rFonts w:ascii="宋体" w:hAnsi="宋体" w:cs="宋体"/>
          <w:b/>
          <w:bCs/>
          <w:sz w:val="24"/>
        </w:rPr>
      </w:pPr>
      <w:r>
        <w:rPr>
          <w:rFonts w:hint="eastAsia" w:ascii="宋体" w:hAnsi="宋体" w:cs="宋体"/>
          <w:b/>
          <w:bCs/>
          <w:sz w:val="24"/>
        </w:rPr>
        <w:t>标的名称117：宝石喷嘴1</w:t>
      </w:r>
    </w:p>
    <w:p w14:paraId="59010E16">
      <w:pPr>
        <w:spacing w:line="360" w:lineRule="auto"/>
        <w:ind w:firstLine="480" w:firstLineChars="200"/>
        <w:rPr>
          <w:rFonts w:ascii="宋体" w:hAnsi="宋体" w:cs="宋体"/>
          <w:sz w:val="24"/>
        </w:rPr>
      </w:pPr>
      <w:r>
        <w:rPr>
          <w:rFonts w:hint="eastAsia" w:ascii="宋体" w:hAnsi="宋体" w:cs="宋体"/>
          <w:sz w:val="24"/>
        </w:rPr>
        <w:t>1.耐酸材质，红蓝各一颗；适配电感耦合等离子体发射光谱仪，雾化器配套部件，耐盐耐酸，进样稳定。</w:t>
      </w:r>
    </w:p>
    <w:p w14:paraId="739BB9F7">
      <w:pPr>
        <w:spacing w:line="360" w:lineRule="auto"/>
        <w:ind w:firstLine="482" w:firstLineChars="200"/>
        <w:rPr>
          <w:rFonts w:ascii="宋体" w:hAnsi="宋体" w:cs="宋体"/>
          <w:b/>
          <w:bCs/>
          <w:sz w:val="24"/>
        </w:rPr>
      </w:pPr>
      <w:r>
        <w:rPr>
          <w:rFonts w:hint="eastAsia" w:ascii="宋体" w:hAnsi="宋体" w:cs="宋体"/>
          <w:b/>
          <w:bCs/>
          <w:sz w:val="24"/>
        </w:rPr>
        <w:t>标的名称118：宝石喷嘴2</w:t>
      </w:r>
    </w:p>
    <w:p w14:paraId="44D24B15">
      <w:pPr>
        <w:spacing w:line="360" w:lineRule="auto"/>
        <w:ind w:firstLine="480" w:firstLineChars="200"/>
        <w:rPr>
          <w:rFonts w:ascii="宋体" w:hAnsi="宋体" w:cs="宋体"/>
          <w:sz w:val="24"/>
        </w:rPr>
      </w:pPr>
      <w:r>
        <w:rPr>
          <w:rFonts w:hint="eastAsia" w:ascii="宋体" w:hAnsi="宋体" w:cs="宋体"/>
          <w:sz w:val="24"/>
        </w:rPr>
        <w:t>1.适配PE8000电感耦合等离子体发射光谱仪进样使用。耐酸材质，红蓝各一颗；适配电感耦合等离子体发射光谱仪，雾化器配套部件，耐盐耐酸，进样稳定。</w:t>
      </w:r>
    </w:p>
    <w:p w14:paraId="47D9EAEB">
      <w:pPr>
        <w:spacing w:line="360" w:lineRule="auto"/>
        <w:ind w:firstLine="482" w:firstLineChars="200"/>
        <w:rPr>
          <w:rFonts w:ascii="宋体" w:hAnsi="宋体" w:cs="宋体"/>
          <w:b/>
          <w:bCs/>
          <w:sz w:val="24"/>
        </w:rPr>
      </w:pPr>
      <w:r>
        <w:rPr>
          <w:rFonts w:hint="eastAsia" w:ascii="宋体" w:hAnsi="宋体" w:cs="宋体"/>
          <w:b/>
          <w:bCs/>
          <w:sz w:val="24"/>
        </w:rPr>
        <w:t>标的名称119：ICP-MS冷却液</w:t>
      </w:r>
    </w:p>
    <w:p w14:paraId="76DAB8C3">
      <w:pPr>
        <w:spacing w:line="360" w:lineRule="auto"/>
        <w:ind w:firstLine="480" w:firstLineChars="200"/>
        <w:rPr>
          <w:rFonts w:ascii="宋体" w:hAnsi="宋体" w:cs="宋体"/>
          <w:sz w:val="24"/>
        </w:rPr>
      </w:pPr>
      <w:r>
        <w:rPr>
          <w:rFonts w:hint="eastAsia" w:ascii="宋体" w:hAnsi="宋体" w:cs="宋体"/>
          <w:sz w:val="24"/>
        </w:rPr>
        <w:t>1.适配电感耦合等离子体质谱仪，用于仪器冷却，低杂质，不干扰样品检测。</w:t>
      </w:r>
    </w:p>
    <w:p w14:paraId="336C931D">
      <w:pPr>
        <w:spacing w:line="360" w:lineRule="auto"/>
        <w:ind w:firstLine="482" w:firstLineChars="200"/>
        <w:rPr>
          <w:rFonts w:ascii="宋体" w:hAnsi="宋体" w:cs="宋体"/>
          <w:b/>
          <w:bCs/>
          <w:sz w:val="24"/>
        </w:rPr>
      </w:pPr>
      <w:r>
        <w:rPr>
          <w:rFonts w:hint="eastAsia" w:ascii="宋体" w:hAnsi="宋体" w:cs="宋体"/>
          <w:b/>
          <w:bCs/>
          <w:sz w:val="24"/>
        </w:rPr>
        <w:t>标的名称120：ICP冷却液</w:t>
      </w:r>
    </w:p>
    <w:p w14:paraId="37B69956">
      <w:pPr>
        <w:numPr>
          <w:ilvl w:val="0"/>
          <w:numId w:val="8"/>
        </w:numPr>
        <w:spacing w:line="360" w:lineRule="auto"/>
        <w:ind w:firstLine="480" w:firstLineChars="200"/>
        <w:rPr>
          <w:rFonts w:ascii="宋体" w:hAnsi="宋体" w:cs="宋体"/>
          <w:sz w:val="24"/>
        </w:rPr>
      </w:pPr>
      <w:r>
        <w:rPr>
          <w:rFonts w:hint="eastAsia" w:ascii="宋体" w:hAnsi="宋体" w:cs="宋体"/>
          <w:sz w:val="24"/>
        </w:rPr>
        <w:t>1.8L独立包装，每箱5瓶；适配电感耦合等离子体发射光谱仪，低金属杂质，用于仪器冷却循环。</w:t>
      </w:r>
    </w:p>
    <w:p w14:paraId="65912AAB">
      <w:pPr>
        <w:spacing w:line="360" w:lineRule="auto"/>
        <w:ind w:firstLine="482" w:firstLineChars="200"/>
        <w:rPr>
          <w:rFonts w:ascii="宋体" w:hAnsi="宋体" w:cs="宋体"/>
          <w:b/>
          <w:bCs/>
          <w:sz w:val="24"/>
        </w:rPr>
      </w:pPr>
      <w:r>
        <w:rPr>
          <w:rFonts w:hint="eastAsia" w:ascii="宋体" w:hAnsi="宋体" w:cs="宋体"/>
          <w:b/>
          <w:bCs/>
          <w:sz w:val="24"/>
        </w:rPr>
        <w:t>标的名称121：一次性塑料采水瓶</w:t>
      </w:r>
    </w:p>
    <w:p w14:paraId="44A869C9">
      <w:pPr>
        <w:spacing w:line="360" w:lineRule="auto"/>
        <w:ind w:firstLine="480" w:firstLineChars="200"/>
        <w:rPr>
          <w:rFonts w:ascii="宋体" w:hAnsi="宋体" w:cs="宋体"/>
          <w:sz w:val="24"/>
        </w:rPr>
      </w:pPr>
      <w:r>
        <w:rPr>
          <w:rFonts w:hint="eastAsia" w:ascii="宋体" w:hAnsi="宋体" w:cs="宋体"/>
          <w:sz w:val="24"/>
        </w:rPr>
        <w:t>1.食品级PP材质，干净澄清透明；用于现场水样采集，耐酸碱，密封不渗漏。</w:t>
      </w:r>
    </w:p>
    <w:p w14:paraId="4D0F5180">
      <w:pPr>
        <w:spacing w:line="360" w:lineRule="auto"/>
        <w:ind w:firstLine="482" w:firstLineChars="200"/>
        <w:rPr>
          <w:rFonts w:ascii="宋体" w:hAnsi="宋体" w:cs="宋体"/>
          <w:b/>
          <w:bCs/>
          <w:sz w:val="24"/>
        </w:rPr>
      </w:pPr>
      <w:r>
        <w:rPr>
          <w:rFonts w:hint="eastAsia" w:ascii="宋体" w:hAnsi="宋体" w:cs="宋体"/>
          <w:b/>
          <w:bCs/>
          <w:sz w:val="24"/>
        </w:rPr>
        <w:t>标的名称122：废液缸</w:t>
      </w:r>
    </w:p>
    <w:p w14:paraId="1A9DEFAD">
      <w:pPr>
        <w:spacing w:line="360" w:lineRule="auto"/>
        <w:ind w:firstLine="480" w:firstLineChars="200"/>
        <w:rPr>
          <w:rFonts w:ascii="宋体" w:hAnsi="宋体" w:cs="宋体"/>
          <w:sz w:val="24"/>
        </w:rPr>
      </w:pPr>
      <w:r>
        <w:rPr>
          <w:rFonts w:hint="eastAsia" w:ascii="宋体" w:hAnsi="宋体" w:cs="宋体"/>
          <w:sz w:val="24"/>
        </w:rPr>
        <w:t>1.用途：收集现场检测产生的废液</w:t>
      </w:r>
    </w:p>
    <w:p w14:paraId="7AF38AEC">
      <w:pPr>
        <w:spacing w:line="360" w:lineRule="auto"/>
        <w:ind w:firstLine="480" w:firstLineChars="200"/>
        <w:rPr>
          <w:rFonts w:ascii="宋体" w:hAnsi="宋体" w:cs="宋体"/>
          <w:sz w:val="24"/>
        </w:rPr>
      </w:pPr>
      <w:r>
        <w:rPr>
          <w:rFonts w:hint="eastAsia" w:ascii="宋体" w:hAnsi="宋体" w:cs="宋体"/>
          <w:sz w:val="24"/>
        </w:rPr>
        <w:t>2.耐酸碱，圆形、螺口、有提手</w:t>
      </w:r>
    </w:p>
    <w:p w14:paraId="15992B35">
      <w:pPr>
        <w:spacing w:line="360" w:lineRule="auto"/>
        <w:ind w:firstLine="480" w:firstLineChars="200"/>
        <w:rPr>
          <w:rFonts w:ascii="宋体" w:hAnsi="宋体" w:cs="宋体"/>
          <w:sz w:val="24"/>
        </w:rPr>
      </w:pPr>
      <w:r>
        <w:rPr>
          <w:rFonts w:hint="eastAsia" w:ascii="宋体" w:hAnsi="宋体" w:cs="宋体"/>
          <w:sz w:val="24"/>
        </w:rPr>
        <w:t>3.规格：5L/个</w:t>
      </w:r>
    </w:p>
    <w:p w14:paraId="6DD6AC0A">
      <w:pPr>
        <w:spacing w:line="360" w:lineRule="auto"/>
        <w:ind w:firstLine="482" w:firstLineChars="200"/>
        <w:rPr>
          <w:rFonts w:ascii="宋体" w:hAnsi="宋体" w:cs="宋体"/>
          <w:b/>
          <w:bCs/>
          <w:sz w:val="24"/>
        </w:rPr>
      </w:pPr>
      <w:r>
        <w:rPr>
          <w:rFonts w:hint="eastAsia" w:ascii="宋体" w:hAnsi="宋体" w:cs="宋体"/>
          <w:b/>
          <w:bCs/>
          <w:sz w:val="24"/>
        </w:rPr>
        <w:t>标的名称123：PET标签1</w:t>
      </w:r>
    </w:p>
    <w:p w14:paraId="005630F4">
      <w:pPr>
        <w:spacing w:line="360" w:lineRule="auto"/>
        <w:ind w:firstLine="480" w:firstLineChars="200"/>
        <w:rPr>
          <w:rFonts w:ascii="宋体" w:hAnsi="宋体" w:cs="宋体"/>
          <w:sz w:val="24"/>
        </w:rPr>
      </w:pPr>
      <w:r>
        <w:rPr>
          <w:rFonts w:hint="eastAsia" w:ascii="宋体" w:hAnsi="宋体" w:cs="宋体"/>
          <w:sz w:val="24"/>
        </w:rPr>
        <w:t>1.用途：样品采集标签，记录采样信息</w:t>
      </w:r>
    </w:p>
    <w:p w14:paraId="105312DF">
      <w:pPr>
        <w:spacing w:line="360" w:lineRule="auto"/>
        <w:ind w:firstLine="480" w:firstLineChars="200"/>
        <w:rPr>
          <w:rFonts w:ascii="宋体" w:hAnsi="宋体" w:cs="宋体"/>
          <w:sz w:val="24"/>
        </w:rPr>
      </w:pPr>
      <w:r>
        <w:rPr>
          <w:rFonts w:hint="eastAsia" w:ascii="宋体" w:hAnsi="宋体" w:cs="宋体"/>
          <w:sz w:val="24"/>
        </w:rPr>
        <w:t>2.哑银不干胶，防水防油，抗撕裂，油性笔可书写</w:t>
      </w:r>
    </w:p>
    <w:p w14:paraId="43876DBD">
      <w:pPr>
        <w:spacing w:line="360" w:lineRule="auto"/>
        <w:ind w:firstLine="480" w:firstLineChars="200"/>
        <w:rPr>
          <w:rFonts w:ascii="宋体" w:hAnsi="宋体" w:cs="宋体"/>
          <w:sz w:val="24"/>
        </w:rPr>
      </w:pPr>
      <w:r>
        <w:rPr>
          <w:rFonts w:hint="eastAsia" w:ascii="宋体" w:hAnsi="宋体" w:cs="宋体"/>
          <w:sz w:val="24"/>
        </w:rPr>
        <w:t>3.规格：每张40mm*30mm</w:t>
      </w:r>
    </w:p>
    <w:p w14:paraId="4AE589AB">
      <w:pPr>
        <w:spacing w:line="360" w:lineRule="auto"/>
        <w:ind w:firstLine="482" w:firstLineChars="200"/>
        <w:rPr>
          <w:rFonts w:ascii="宋体" w:hAnsi="宋体" w:cs="宋体"/>
          <w:b/>
          <w:bCs/>
          <w:sz w:val="24"/>
        </w:rPr>
      </w:pPr>
      <w:r>
        <w:rPr>
          <w:rFonts w:hint="eastAsia" w:ascii="宋体" w:hAnsi="宋体" w:cs="宋体"/>
          <w:b/>
          <w:bCs/>
          <w:sz w:val="24"/>
        </w:rPr>
        <w:t>标的名称124：PET标签2</w:t>
      </w:r>
    </w:p>
    <w:p w14:paraId="3DA69E2E">
      <w:pPr>
        <w:spacing w:line="360" w:lineRule="auto"/>
        <w:ind w:firstLine="480" w:firstLineChars="200"/>
        <w:rPr>
          <w:rFonts w:ascii="宋体" w:hAnsi="宋体" w:cs="宋体"/>
          <w:sz w:val="24"/>
        </w:rPr>
      </w:pPr>
      <w:r>
        <w:rPr>
          <w:rFonts w:hint="eastAsia" w:ascii="宋体" w:hAnsi="宋体" w:cs="宋体"/>
          <w:sz w:val="24"/>
        </w:rPr>
        <w:t>1.用途：样品采集标签，记录采样信息</w:t>
      </w:r>
    </w:p>
    <w:p w14:paraId="054D8603">
      <w:pPr>
        <w:spacing w:line="360" w:lineRule="auto"/>
        <w:ind w:firstLine="480" w:firstLineChars="200"/>
        <w:rPr>
          <w:rFonts w:ascii="宋体" w:hAnsi="宋体" w:cs="宋体"/>
          <w:sz w:val="24"/>
        </w:rPr>
      </w:pPr>
      <w:r>
        <w:rPr>
          <w:rFonts w:hint="eastAsia" w:ascii="宋体" w:hAnsi="宋体" w:cs="宋体"/>
          <w:sz w:val="24"/>
        </w:rPr>
        <w:t>2.哑银不干胶，防水防油，抗撕裂，油性笔可书写</w:t>
      </w:r>
    </w:p>
    <w:p w14:paraId="55D6B304">
      <w:pPr>
        <w:spacing w:line="360" w:lineRule="auto"/>
        <w:ind w:firstLine="480" w:firstLineChars="200"/>
        <w:rPr>
          <w:rFonts w:ascii="宋体" w:hAnsi="宋体" w:cs="宋体"/>
          <w:sz w:val="24"/>
        </w:rPr>
      </w:pPr>
      <w:r>
        <w:rPr>
          <w:rFonts w:hint="eastAsia" w:ascii="宋体" w:hAnsi="宋体" w:cs="宋体"/>
          <w:sz w:val="24"/>
        </w:rPr>
        <w:t>3.规格：每张30mm*20mm</w:t>
      </w:r>
    </w:p>
    <w:p w14:paraId="62146765">
      <w:pPr>
        <w:spacing w:line="360" w:lineRule="auto"/>
        <w:ind w:firstLine="482" w:firstLineChars="200"/>
        <w:rPr>
          <w:rFonts w:ascii="宋体" w:hAnsi="宋体" w:cs="宋体"/>
          <w:b/>
          <w:bCs/>
          <w:sz w:val="24"/>
        </w:rPr>
      </w:pPr>
      <w:r>
        <w:rPr>
          <w:rFonts w:hint="eastAsia" w:ascii="宋体" w:hAnsi="宋体" w:cs="宋体"/>
          <w:b/>
          <w:bCs/>
          <w:sz w:val="24"/>
        </w:rPr>
        <w:t>标的名称125：PET标签3</w:t>
      </w:r>
    </w:p>
    <w:p w14:paraId="6B8FE6B6">
      <w:pPr>
        <w:spacing w:line="360" w:lineRule="auto"/>
        <w:ind w:firstLine="480" w:firstLineChars="200"/>
        <w:rPr>
          <w:rFonts w:ascii="宋体" w:hAnsi="宋体" w:cs="宋体"/>
          <w:sz w:val="24"/>
        </w:rPr>
      </w:pPr>
      <w:r>
        <w:rPr>
          <w:rFonts w:hint="eastAsia" w:ascii="宋体" w:hAnsi="宋体" w:cs="宋体"/>
          <w:sz w:val="24"/>
        </w:rPr>
        <w:t>1.用途：样品采集标签，记录采样信息</w:t>
      </w:r>
    </w:p>
    <w:p w14:paraId="290C71C8">
      <w:pPr>
        <w:spacing w:line="360" w:lineRule="auto"/>
        <w:ind w:firstLine="480" w:firstLineChars="200"/>
        <w:rPr>
          <w:rFonts w:ascii="宋体" w:hAnsi="宋体" w:cs="宋体"/>
          <w:sz w:val="24"/>
        </w:rPr>
      </w:pPr>
      <w:r>
        <w:rPr>
          <w:rFonts w:hint="eastAsia" w:ascii="宋体" w:hAnsi="宋体" w:cs="宋体"/>
          <w:sz w:val="24"/>
        </w:rPr>
        <w:t>2.哑银不干胶，防水防油，抗撕裂，油性笔可书写</w:t>
      </w:r>
    </w:p>
    <w:p w14:paraId="2D9D817D">
      <w:pPr>
        <w:spacing w:line="360" w:lineRule="auto"/>
        <w:ind w:firstLine="480" w:firstLineChars="200"/>
        <w:rPr>
          <w:rFonts w:ascii="宋体" w:hAnsi="宋体" w:cs="宋体"/>
          <w:sz w:val="24"/>
        </w:rPr>
      </w:pPr>
      <w:r>
        <w:rPr>
          <w:rFonts w:hint="eastAsia" w:ascii="宋体" w:hAnsi="宋体" w:cs="宋体"/>
          <w:sz w:val="24"/>
        </w:rPr>
        <w:t>3.规格：每张50mm*30mm</w:t>
      </w:r>
    </w:p>
    <w:p w14:paraId="4D324A6D">
      <w:pPr>
        <w:spacing w:line="360" w:lineRule="auto"/>
        <w:ind w:firstLine="482" w:firstLineChars="200"/>
        <w:rPr>
          <w:rFonts w:ascii="宋体" w:hAnsi="宋体" w:cs="宋体"/>
          <w:b/>
          <w:bCs/>
          <w:sz w:val="24"/>
        </w:rPr>
      </w:pPr>
      <w:r>
        <w:rPr>
          <w:rFonts w:hint="eastAsia" w:ascii="宋体" w:hAnsi="宋体" w:cs="宋体"/>
          <w:b/>
          <w:bCs/>
          <w:sz w:val="24"/>
        </w:rPr>
        <w:t>标的名称126：PET标签4</w:t>
      </w:r>
    </w:p>
    <w:p w14:paraId="16B82DAA">
      <w:pPr>
        <w:spacing w:line="360" w:lineRule="auto"/>
        <w:ind w:firstLine="480" w:firstLineChars="200"/>
        <w:rPr>
          <w:rFonts w:ascii="宋体" w:hAnsi="宋体" w:cs="宋体"/>
          <w:sz w:val="24"/>
        </w:rPr>
      </w:pPr>
      <w:r>
        <w:rPr>
          <w:rFonts w:hint="eastAsia" w:ascii="宋体" w:hAnsi="宋体" w:cs="宋体"/>
          <w:sz w:val="24"/>
        </w:rPr>
        <w:t>1.用途：样品采集标签，记录采样信息</w:t>
      </w:r>
    </w:p>
    <w:p w14:paraId="2E6BF2DF">
      <w:pPr>
        <w:spacing w:line="360" w:lineRule="auto"/>
        <w:ind w:firstLine="480" w:firstLineChars="200"/>
        <w:rPr>
          <w:rFonts w:ascii="宋体" w:hAnsi="宋体" w:cs="宋体"/>
          <w:sz w:val="24"/>
        </w:rPr>
      </w:pPr>
      <w:r>
        <w:rPr>
          <w:rFonts w:hint="eastAsia" w:ascii="宋体" w:hAnsi="宋体" w:cs="宋体"/>
          <w:sz w:val="24"/>
        </w:rPr>
        <w:t>2.哑银不干胶，防水防油，抗撕裂，油性笔可书写</w:t>
      </w:r>
    </w:p>
    <w:p w14:paraId="5371167D">
      <w:pPr>
        <w:spacing w:line="360" w:lineRule="auto"/>
        <w:ind w:firstLine="480" w:firstLineChars="200"/>
        <w:rPr>
          <w:rFonts w:ascii="宋体" w:hAnsi="宋体" w:cs="宋体"/>
          <w:sz w:val="24"/>
        </w:rPr>
      </w:pPr>
      <w:r>
        <w:rPr>
          <w:rFonts w:hint="eastAsia" w:ascii="宋体" w:hAnsi="宋体" w:cs="宋体"/>
          <w:sz w:val="24"/>
        </w:rPr>
        <w:t>3.规格：每张70mm*40mm</w:t>
      </w:r>
    </w:p>
    <w:p w14:paraId="42AFEB07">
      <w:pPr>
        <w:spacing w:line="360" w:lineRule="auto"/>
        <w:ind w:firstLine="482" w:firstLineChars="200"/>
        <w:rPr>
          <w:rFonts w:ascii="宋体" w:hAnsi="宋体" w:cs="宋体"/>
          <w:b/>
          <w:bCs/>
          <w:sz w:val="24"/>
        </w:rPr>
      </w:pPr>
      <w:r>
        <w:rPr>
          <w:rFonts w:hint="eastAsia" w:ascii="宋体" w:hAnsi="宋体" w:cs="宋体"/>
          <w:b/>
          <w:bCs/>
          <w:sz w:val="24"/>
        </w:rPr>
        <w:t>标的名称127：PET标签5</w:t>
      </w:r>
    </w:p>
    <w:p w14:paraId="7900C27C">
      <w:pPr>
        <w:spacing w:line="360" w:lineRule="auto"/>
        <w:ind w:firstLine="480" w:firstLineChars="200"/>
        <w:rPr>
          <w:rFonts w:ascii="宋体" w:hAnsi="宋体" w:cs="宋体"/>
          <w:sz w:val="24"/>
        </w:rPr>
      </w:pPr>
      <w:r>
        <w:rPr>
          <w:rFonts w:hint="eastAsia" w:ascii="宋体" w:hAnsi="宋体" w:cs="宋体"/>
          <w:sz w:val="24"/>
        </w:rPr>
        <w:t>1.用途：样品采集标签，记录采样信息</w:t>
      </w:r>
    </w:p>
    <w:p w14:paraId="7A11F732">
      <w:pPr>
        <w:spacing w:line="360" w:lineRule="auto"/>
        <w:ind w:firstLine="480" w:firstLineChars="200"/>
        <w:rPr>
          <w:rFonts w:ascii="宋体" w:hAnsi="宋体" w:cs="宋体"/>
          <w:sz w:val="24"/>
        </w:rPr>
      </w:pPr>
      <w:r>
        <w:rPr>
          <w:rFonts w:hint="eastAsia" w:ascii="宋体" w:hAnsi="宋体" w:cs="宋体"/>
          <w:sz w:val="24"/>
        </w:rPr>
        <w:t>2.哑银不干胶，防水防油，抗撕裂，油性笔可书写</w:t>
      </w:r>
    </w:p>
    <w:p w14:paraId="592C97D0">
      <w:pPr>
        <w:spacing w:line="360" w:lineRule="auto"/>
        <w:ind w:firstLine="480" w:firstLineChars="200"/>
        <w:rPr>
          <w:rFonts w:ascii="宋体" w:hAnsi="宋体" w:cs="宋体"/>
          <w:sz w:val="24"/>
        </w:rPr>
      </w:pPr>
      <w:r>
        <w:rPr>
          <w:rFonts w:hint="eastAsia" w:ascii="宋体" w:hAnsi="宋体" w:cs="宋体"/>
          <w:sz w:val="24"/>
        </w:rPr>
        <w:t>3.规格：每张100mm*80mm</w:t>
      </w:r>
    </w:p>
    <w:p w14:paraId="7C953DC1">
      <w:pPr>
        <w:spacing w:line="360" w:lineRule="auto"/>
        <w:ind w:firstLine="482" w:firstLineChars="200"/>
        <w:rPr>
          <w:rFonts w:ascii="宋体" w:hAnsi="宋体" w:cs="宋体"/>
          <w:b/>
          <w:bCs/>
          <w:sz w:val="24"/>
        </w:rPr>
      </w:pPr>
      <w:r>
        <w:rPr>
          <w:rFonts w:hint="eastAsia" w:ascii="宋体" w:hAnsi="宋体" w:cs="宋体"/>
          <w:b/>
          <w:bCs/>
          <w:sz w:val="24"/>
        </w:rPr>
        <w:t>标的名称128：PET标签6</w:t>
      </w:r>
    </w:p>
    <w:p w14:paraId="25E672A0">
      <w:pPr>
        <w:spacing w:line="360" w:lineRule="auto"/>
        <w:ind w:firstLine="480" w:firstLineChars="200"/>
        <w:rPr>
          <w:rFonts w:ascii="宋体" w:hAnsi="宋体" w:cs="宋体"/>
          <w:sz w:val="24"/>
        </w:rPr>
      </w:pPr>
      <w:r>
        <w:rPr>
          <w:rFonts w:hint="eastAsia" w:ascii="宋体" w:hAnsi="宋体" w:cs="宋体"/>
          <w:sz w:val="24"/>
        </w:rPr>
        <w:t>1.用途：样品采集标签，记录采样信息</w:t>
      </w:r>
    </w:p>
    <w:p w14:paraId="6434FF3E">
      <w:pPr>
        <w:spacing w:line="360" w:lineRule="auto"/>
        <w:ind w:firstLine="480" w:firstLineChars="200"/>
        <w:rPr>
          <w:rFonts w:ascii="宋体" w:hAnsi="宋体" w:cs="宋体"/>
          <w:sz w:val="24"/>
        </w:rPr>
      </w:pPr>
      <w:r>
        <w:rPr>
          <w:rFonts w:hint="eastAsia" w:ascii="宋体" w:hAnsi="宋体" w:cs="宋体"/>
          <w:sz w:val="24"/>
        </w:rPr>
        <w:t>2.哑银不干胶，防水防油，抗撕裂，油性笔可书写</w:t>
      </w:r>
    </w:p>
    <w:p w14:paraId="56AB96E6">
      <w:pPr>
        <w:spacing w:line="360" w:lineRule="auto"/>
        <w:ind w:firstLine="480" w:firstLineChars="200"/>
        <w:rPr>
          <w:rFonts w:ascii="宋体" w:hAnsi="宋体" w:cs="宋体"/>
          <w:sz w:val="24"/>
        </w:rPr>
      </w:pPr>
      <w:r>
        <w:rPr>
          <w:rFonts w:hint="eastAsia" w:ascii="宋体" w:hAnsi="宋体" w:cs="宋体"/>
          <w:sz w:val="24"/>
        </w:rPr>
        <w:t>3.规格：每张20mm*10mm</w:t>
      </w:r>
    </w:p>
    <w:p w14:paraId="797E0007">
      <w:pPr>
        <w:spacing w:line="360" w:lineRule="auto"/>
        <w:ind w:firstLine="482" w:firstLineChars="200"/>
        <w:rPr>
          <w:rFonts w:ascii="宋体" w:hAnsi="宋体" w:cs="宋体"/>
          <w:b/>
          <w:bCs/>
          <w:sz w:val="24"/>
        </w:rPr>
      </w:pPr>
      <w:r>
        <w:rPr>
          <w:rFonts w:hint="eastAsia" w:ascii="宋体" w:hAnsi="宋体" w:cs="宋体"/>
          <w:b/>
          <w:bCs/>
          <w:sz w:val="24"/>
        </w:rPr>
        <w:t>标的名称129：样品标签1</w:t>
      </w:r>
    </w:p>
    <w:p w14:paraId="67E48242">
      <w:pPr>
        <w:spacing w:line="360" w:lineRule="auto"/>
        <w:ind w:firstLine="480" w:firstLineChars="200"/>
        <w:rPr>
          <w:rFonts w:ascii="宋体" w:hAnsi="宋体" w:cs="宋体"/>
          <w:sz w:val="24"/>
        </w:rPr>
      </w:pPr>
      <w:r>
        <w:rPr>
          <w:rFonts w:hint="eastAsia" w:ascii="宋体" w:hAnsi="宋体" w:cs="宋体"/>
          <w:sz w:val="24"/>
        </w:rPr>
        <w:t>1.用途：样品采集标签，记录采样信息</w:t>
      </w:r>
    </w:p>
    <w:p w14:paraId="4CD05CD8">
      <w:pPr>
        <w:spacing w:line="360" w:lineRule="auto"/>
        <w:ind w:firstLine="480" w:firstLineChars="200"/>
        <w:rPr>
          <w:rFonts w:ascii="宋体" w:hAnsi="宋体" w:cs="宋体"/>
          <w:sz w:val="24"/>
        </w:rPr>
      </w:pPr>
      <w:r>
        <w:rPr>
          <w:rFonts w:hint="eastAsia" w:ascii="宋体" w:hAnsi="宋体" w:cs="宋体"/>
          <w:sz w:val="24"/>
        </w:rPr>
        <w:t>2.白色不干胶，油性笔可书写</w:t>
      </w:r>
    </w:p>
    <w:p w14:paraId="04A1FD3A">
      <w:pPr>
        <w:spacing w:line="360" w:lineRule="auto"/>
        <w:ind w:firstLine="480" w:firstLineChars="200"/>
        <w:rPr>
          <w:rFonts w:ascii="宋体" w:hAnsi="宋体" w:cs="宋体"/>
          <w:sz w:val="24"/>
        </w:rPr>
      </w:pPr>
      <w:r>
        <w:rPr>
          <w:rFonts w:hint="eastAsia" w:ascii="宋体" w:hAnsi="宋体" w:cs="宋体"/>
          <w:sz w:val="24"/>
        </w:rPr>
        <w:t>3.有“样品名称”、“样品编号”、“采样日期”字样</w:t>
      </w:r>
    </w:p>
    <w:p w14:paraId="332971C6">
      <w:pPr>
        <w:spacing w:line="360" w:lineRule="auto"/>
        <w:ind w:firstLine="480" w:firstLineChars="200"/>
        <w:rPr>
          <w:rFonts w:ascii="宋体" w:hAnsi="宋体" w:cs="宋体"/>
          <w:sz w:val="24"/>
        </w:rPr>
      </w:pPr>
      <w:r>
        <w:rPr>
          <w:rFonts w:hint="eastAsia" w:ascii="宋体" w:hAnsi="宋体" w:cs="宋体"/>
          <w:sz w:val="24"/>
        </w:rPr>
        <w:t>4.规格：每张60mm*40mm</w:t>
      </w:r>
    </w:p>
    <w:p w14:paraId="2C1BB9A9">
      <w:pPr>
        <w:spacing w:line="360" w:lineRule="auto"/>
        <w:ind w:firstLine="482" w:firstLineChars="200"/>
        <w:rPr>
          <w:rFonts w:ascii="宋体" w:hAnsi="宋体" w:cs="宋体"/>
          <w:b/>
          <w:bCs/>
          <w:sz w:val="24"/>
        </w:rPr>
      </w:pPr>
      <w:r>
        <w:rPr>
          <w:rFonts w:hint="eastAsia" w:ascii="宋体" w:hAnsi="宋体" w:cs="宋体"/>
          <w:b/>
          <w:bCs/>
          <w:sz w:val="24"/>
        </w:rPr>
        <w:t>标的名称130：样品标签2</w:t>
      </w:r>
    </w:p>
    <w:p w14:paraId="5530C84F">
      <w:pPr>
        <w:spacing w:line="360" w:lineRule="auto"/>
        <w:ind w:firstLine="480" w:firstLineChars="200"/>
        <w:rPr>
          <w:rFonts w:ascii="宋体" w:hAnsi="宋体" w:cs="宋体"/>
          <w:sz w:val="24"/>
        </w:rPr>
      </w:pPr>
      <w:r>
        <w:rPr>
          <w:rFonts w:hint="eastAsia" w:ascii="宋体" w:hAnsi="宋体" w:cs="宋体"/>
          <w:sz w:val="24"/>
        </w:rPr>
        <w:t>1.用途：样品采集标签，记录采样信息</w:t>
      </w:r>
    </w:p>
    <w:p w14:paraId="52F799AA">
      <w:pPr>
        <w:spacing w:line="360" w:lineRule="auto"/>
        <w:ind w:firstLine="480" w:firstLineChars="200"/>
        <w:rPr>
          <w:rFonts w:ascii="宋体" w:hAnsi="宋体" w:cs="宋体"/>
          <w:sz w:val="24"/>
        </w:rPr>
      </w:pPr>
      <w:r>
        <w:rPr>
          <w:rFonts w:hint="eastAsia" w:ascii="宋体" w:hAnsi="宋体" w:cs="宋体"/>
          <w:sz w:val="24"/>
        </w:rPr>
        <w:t>2.白色不干胶，油性笔可书写</w:t>
      </w:r>
    </w:p>
    <w:p w14:paraId="42F267D9">
      <w:pPr>
        <w:spacing w:line="360" w:lineRule="auto"/>
        <w:ind w:firstLine="480" w:firstLineChars="200"/>
        <w:rPr>
          <w:rFonts w:ascii="宋体" w:hAnsi="宋体" w:cs="宋体"/>
          <w:sz w:val="24"/>
        </w:rPr>
      </w:pPr>
      <w:r>
        <w:rPr>
          <w:rFonts w:hint="eastAsia" w:ascii="宋体" w:hAnsi="宋体" w:cs="宋体"/>
          <w:sz w:val="24"/>
        </w:rPr>
        <w:t>3.有“样品名称”、“样品编号”、“采样日期”字样</w:t>
      </w:r>
    </w:p>
    <w:p w14:paraId="7B24DC99">
      <w:pPr>
        <w:spacing w:line="360" w:lineRule="auto"/>
        <w:ind w:firstLine="480" w:firstLineChars="200"/>
        <w:rPr>
          <w:rFonts w:ascii="宋体" w:hAnsi="宋体" w:cs="宋体"/>
          <w:sz w:val="24"/>
        </w:rPr>
      </w:pPr>
      <w:r>
        <w:rPr>
          <w:rFonts w:hint="eastAsia" w:ascii="宋体" w:hAnsi="宋体" w:cs="宋体"/>
          <w:sz w:val="24"/>
        </w:rPr>
        <w:t>4.规格：每张70mm*50mm</w:t>
      </w:r>
    </w:p>
    <w:p w14:paraId="271A6802">
      <w:pPr>
        <w:spacing w:line="360" w:lineRule="auto"/>
        <w:ind w:firstLine="482" w:firstLineChars="200"/>
        <w:rPr>
          <w:rFonts w:ascii="宋体" w:hAnsi="宋体" w:cs="宋体"/>
          <w:b/>
          <w:bCs/>
          <w:sz w:val="24"/>
        </w:rPr>
      </w:pPr>
      <w:r>
        <w:rPr>
          <w:rFonts w:hint="eastAsia" w:ascii="宋体" w:hAnsi="宋体" w:cs="宋体"/>
          <w:b/>
          <w:bCs/>
          <w:sz w:val="24"/>
        </w:rPr>
        <w:t>标的名称131：不锈钢提篮1</w:t>
      </w:r>
    </w:p>
    <w:p w14:paraId="36E37AA5">
      <w:pPr>
        <w:spacing w:line="360" w:lineRule="auto"/>
        <w:ind w:firstLine="480" w:firstLineChars="200"/>
        <w:rPr>
          <w:rFonts w:ascii="宋体" w:hAnsi="宋体" w:cs="宋体"/>
          <w:sz w:val="24"/>
        </w:rPr>
      </w:pPr>
      <w:r>
        <w:rPr>
          <w:rFonts w:hint="eastAsia" w:ascii="宋体" w:hAnsi="宋体" w:cs="宋体"/>
          <w:sz w:val="24"/>
        </w:rPr>
        <w:t>1.用途：样品采集、运输</w:t>
      </w:r>
    </w:p>
    <w:p w14:paraId="09FD3278">
      <w:pPr>
        <w:spacing w:line="360" w:lineRule="auto"/>
        <w:ind w:firstLine="480" w:firstLineChars="200"/>
        <w:rPr>
          <w:rFonts w:ascii="宋体" w:hAnsi="宋体" w:cs="宋体"/>
          <w:sz w:val="24"/>
        </w:rPr>
      </w:pPr>
      <w:r>
        <w:rPr>
          <w:rFonts w:hint="eastAsia" w:ascii="宋体" w:hAnsi="宋体" w:cs="宋体"/>
          <w:sz w:val="24"/>
        </w:rPr>
        <w:t>2.圆形不锈钢、耐腐蚀，网孔均匀，光滑不扎手，直径处有一弧形提手</w:t>
      </w:r>
    </w:p>
    <w:p w14:paraId="474403E2">
      <w:pPr>
        <w:spacing w:line="360" w:lineRule="auto"/>
        <w:ind w:firstLine="480" w:firstLineChars="200"/>
        <w:rPr>
          <w:rFonts w:ascii="宋体" w:hAnsi="宋体" w:cs="宋体"/>
          <w:sz w:val="24"/>
        </w:rPr>
      </w:pPr>
      <w:r>
        <w:rPr>
          <w:rFonts w:hint="eastAsia" w:ascii="宋体" w:hAnsi="宋体" w:cs="宋体"/>
          <w:sz w:val="24"/>
        </w:rPr>
        <w:t>3.规格：直径20cm*高度20cm</w:t>
      </w:r>
    </w:p>
    <w:p w14:paraId="525B7F00">
      <w:pPr>
        <w:spacing w:line="360" w:lineRule="auto"/>
        <w:ind w:firstLine="482" w:firstLineChars="200"/>
        <w:rPr>
          <w:rFonts w:ascii="宋体" w:hAnsi="宋体" w:cs="宋体"/>
          <w:b/>
          <w:bCs/>
          <w:sz w:val="24"/>
        </w:rPr>
      </w:pPr>
      <w:r>
        <w:rPr>
          <w:rFonts w:hint="eastAsia" w:ascii="宋体" w:hAnsi="宋体" w:cs="宋体"/>
          <w:b/>
          <w:bCs/>
          <w:sz w:val="24"/>
        </w:rPr>
        <w:t>标的名称132：不锈钢提篮2</w:t>
      </w:r>
    </w:p>
    <w:p w14:paraId="3F2D975A">
      <w:pPr>
        <w:spacing w:line="360" w:lineRule="auto"/>
        <w:ind w:firstLine="480" w:firstLineChars="200"/>
        <w:rPr>
          <w:rFonts w:ascii="宋体" w:hAnsi="宋体" w:cs="宋体"/>
          <w:sz w:val="24"/>
        </w:rPr>
      </w:pPr>
      <w:r>
        <w:rPr>
          <w:rFonts w:hint="eastAsia" w:ascii="宋体" w:hAnsi="宋体" w:cs="宋体"/>
          <w:sz w:val="24"/>
        </w:rPr>
        <w:t>1.用途：样品采集、运输</w:t>
      </w:r>
    </w:p>
    <w:p w14:paraId="2E468F53">
      <w:pPr>
        <w:spacing w:line="360" w:lineRule="auto"/>
        <w:ind w:firstLine="480" w:firstLineChars="200"/>
        <w:rPr>
          <w:rFonts w:ascii="宋体" w:hAnsi="宋体" w:cs="宋体"/>
          <w:sz w:val="24"/>
        </w:rPr>
      </w:pPr>
      <w:r>
        <w:rPr>
          <w:rFonts w:hint="eastAsia" w:ascii="宋体" w:hAnsi="宋体" w:cs="宋体"/>
          <w:sz w:val="24"/>
        </w:rPr>
        <w:t>2.方形不锈钢、耐腐蚀，网孔均匀，光滑不扎手，两侧有提手</w:t>
      </w:r>
    </w:p>
    <w:p w14:paraId="167F572F">
      <w:pPr>
        <w:spacing w:line="360" w:lineRule="auto"/>
        <w:ind w:firstLine="480" w:firstLineChars="200"/>
        <w:rPr>
          <w:rFonts w:ascii="宋体" w:hAnsi="宋体" w:cs="宋体"/>
          <w:sz w:val="24"/>
        </w:rPr>
      </w:pPr>
      <w:r>
        <w:rPr>
          <w:rFonts w:hint="eastAsia" w:ascii="宋体" w:hAnsi="宋体" w:cs="宋体"/>
          <w:sz w:val="24"/>
        </w:rPr>
        <w:t>3.规格：长40cm*宽30cm*高20cm</w:t>
      </w:r>
    </w:p>
    <w:p w14:paraId="2E70D75A">
      <w:pPr>
        <w:spacing w:line="360" w:lineRule="auto"/>
        <w:ind w:firstLine="482" w:firstLineChars="200"/>
        <w:rPr>
          <w:rFonts w:ascii="宋体" w:hAnsi="宋体" w:cs="宋体"/>
          <w:b/>
          <w:bCs/>
          <w:sz w:val="24"/>
        </w:rPr>
      </w:pPr>
      <w:r>
        <w:rPr>
          <w:rFonts w:hint="eastAsia" w:ascii="宋体" w:hAnsi="宋体" w:cs="宋体"/>
          <w:b/>
          <w:bCs/>
          <w:sz w:val="24"/>
        </w:rPr>
        <w:t>标的名称133：提篮把手</w:t>
      </w:r>
    </w:p>
    <w:p w14:paraId="5E8D7C59">
      <w:pPr>
        <w:spacing w:line="360" w:lineRule="auto"/>
        <w:ind w:firstLine="480" w:firstLineChars="200"/>
        <w:rPr>
          <w:rFonts w:ascii="宋体" w:hAnsi="宋体" w:cs="宋体"/>
          <w:sz w:val="24"/>
        </w:rPr>
      </w:pPr>
      <w:r>
        <w:rPr>
          <w:rFonts w:hint="eastAsia" w:ascii="宋体" w:hAnsi="宋体" w:cs="宋体"/>
          <w:sz w:val="24"/>
        </w:rPr>
        <w:t>1.用途：样品采集、运输</w:t>
      </w:r>
    </w:p>
    <w:p w14:paraId="490E762C">
      <w:pPr>
        <w:spacing w:line="360" w:lineRule="auto"/>
        <w:ind w:firstLine="480" w:firstLineChars="200"/>
        <w:rPr>
          <w:rFonts w:ascii="宋体" w:hAnsi="宋体" w:cs="宋体"/>
          <w:sz w:val="24"/>
        </w:rPr>
      </w:pPr>
      <w:r>
        <w:rPr>
          <w:rFonts w:hint="eastAsia" w:ascii="宋体" w:hAnsi="宋体" w:cs="宋体"/>
          <w:sz w:val="24"/>
        </w:rPr>
        <w:t>2.硅胶提菜器，防止勒手</w:t>
      </w:r>
    </w:p>
    <w:p w14:paraId="15864F49">
      <w:pPr>
        <w:spacing w:line="360" w:lineRule="auto"/>
        <w:ind w:firstLine="482" w:firstLineChars="200"/>
        <w:rPr>
          <w:rFonts w:ascii="宋体" w:hAnsi="宋体" w:cs="宋体"/>
          <w:b/>
          <w:bCs/>
          <w:sz w:val="24"/>
        </w:rPr>
      </w:pPr>
      <w:r>
        <w:rPr>
          <w:rFonts w:hint="eastAsia" w:ascii="宋体" w:hAnsi="宋体" w:cs="宋体"/>
          <w:b/>
          <w:bCs/>
          <w:sz w:val="24"/>
        </w:rPr>
        <w:t>标的名称134：冰排</w:t>
      </w:r>
    </w:p>
    <w:p w14:paraId="6FFF12E9">
      <w:pPr>
        <w:spacing w:line="360" w:lineRule="auto"/>
        <w:ind w:firstLine="480" w:firstLineChars="200"/>
        <w:rPr>
          <w:rFonts w:ascii="宋体" w:hAnsi="宋体" w:cs="宋体"/>
          <w:sz w:val="24"/>
        </w:rPr>
      </w:pPr>
      <w:r>
        <w:rPr>
          <w:rFonts w:hint="eastAsia" w:ascii="宋体" w:hAnsi="宋体" w:cs="宋体"/>
          <w:sz w:val="24"/>
        </w:rPr>
        <w:t>1.用途：样品0-4℃冷藏运输</w:t>
      </w:r>
    </w:p>
    <w:p w14:paraId="6A37872E">
      <w:pPr>
        <w:spacing w:line="360" w:lineRule="auto"/>
        <w:ind w:firstLine="480" w:firstLineChars="200"/>
        <w:rPr>
          <w:rFonts w:ascii="宋体" w:hAnsi="宋体" w:cs="宋体"/>
          <w:sz w:val="24"/>
        </w:rPr>
      </w:pPr>
      <w:r>
        <w:rPr>
          <w:rFonts w:hint="eastAsia" w:ascii="宋体" w:hAnsi="宋体" w:cs="宋体"/>
          <w:sz w:val="24"/>
        </w:rPr>
        <w:t>2.安全无毒，无需注水，循环使用</w:t>
      </w:r>
    </w:p>
    <w:p w14:paraId="3AC5CE66">
      <w:pPr>
        <w:spacing w:line="360" w:lineRule="auto"/>
        <w:ind w:firstLine="480" w:firstLineChars="200"/>
        <w:rPr>
          <w:rFonts w:ascii="宋体" w:hAnsi="宋体" w:cs="宋体"/>
          <w:sz w:val="24"/>
        </w:rPr>
      </w:pPr>
      <w:r>
        <w:rPr>
          <w:rFonts w:hint="eastAsia" w:ascii="宋体" w:hAnsi="宋体" w:cs="宋体"/>
          <w:sz w:val="24"/>
        </w:rPr>
        <w:t>3.规格：200mL</w:t>
      </w:r>
    </w:p>
    <w:p w14:paraId="0316270D">
      <w:pPr>
        <w:spacing w:line="360" w:lineRule="auto"/>
        <w:ind w:firstLine="482" w:firstLineChars="200"/>
        <w:rPr>
          <w:rFonts w:ascii="宋体" w:hAnsi="宋体" w:cs="宋体"/>
          <w:b/>
          <w:bCs/>
          <w:sz w:val="24"/>
        </w:rPr>
      </w:pPr>
      <w:r>
        <w:rPr>
          <w:rFonts w:hint="eastAsia" w:ascii="宋体" w:hAnsi="宋体" w:cs="宋体"/>
          <w:b/>
          <w:bCs/>
          <w:sz w:val="24"/>
        </w:rPr>
        <w:t>标的名称135：防水胶鞋1</w:t>
      </w:r>
    </w:p>
    <w:p w14:paraId="546144E9">
      <w:pPr>
        <w:spacing w:line="360" w:lineRule="auto"/>
        <w:ind w:firstLine="480" w:firstLineChars="200"/>
        <w:rPr>
          <w:rFonts w:ascii="宋体" w:hAnsi="宋体" w:cs="宋体"/>
          <w:sz w:val="24"/>
        </w:rPr>
      </w:pPr>
      <w:r>
        <w:rPr>
          <w:rFonts w:hint="eastAsia" w:ascii="宋体" w:hAnsi="宋体" w:cs="宋体"/>
          <w:sz w:val="24"/>
        </w:rPr>
        <w:t>1.用途：淋浴间、冷却塔、户外等场景采样装备</w:t>
      </w:r>
    </w:p>
    <w:p w14:paraId="5CE859DE">
      <w:pPr>
        <w:spacing w:line="360" w:lineRule="auto"/>
        <w:ind w:firstLine="480" w:firstLineChars="200"/>
        <w:rPr>
          <w:rFonts w:ascii="宋体" w:hAnsi="宋体" w:cs="宋体"/>
          <w:sz w:val="24"/>
        </w:rPr>
      </w:pPr>
      <w:r>
        <w:rPr>
          <w:rFonts w:hint="eastAsia" w:ascii="宋体" w:hAnsi="宋体" w:cs="宋体"/>
          <w:sz w:val="24"/>
        </w:rPr>
        <w:t>2.安全无毒，耐腐蚀，可重复使用</w:t>
      </w:r>
    </w:p>
    <w:p w14:paraId="1C42C1F1">
      <w:pPr>
        <w:spacing w:line="360" w:lineRule="auto"/>
        <w:ind w:firstLine="480" w:firstLineChars="200"/>
        <w:rPr>
          <w:rFonts w:ascii="宋体" w:hAnsi="宋体" w:cs="宋体"/>
          <w:sz w:val="24"/>
        </w:rPr>
      </w:pPr>
      <w:r>
        <w:rPr>
          <w:rFonts w:hint="eastAsia" w:ascii="宋体" w:hAnsi="宋体" w:cs="宋体"/>
          <w:sz w:val="24"/>
        </w:rPr>
        <w:t>3.规格：高筒，39码</w:t>
      </w:r>
    </w:p>
    <w:p w14:paraId="4042CFD9">
      <w:pPr>
        <w:spacing w:line="360" w:lineRule="auto"/>
        <w:ind w:firstLine="482" w:firstLineChars="200"/>
        <w:rPr>
          <w:rFonts w:ascii="宋体" w:hAnsi="宋体" w:cs="宋体"/>
          <w:b/>
          <w:bCs/>
          <w:sz w:val="24"/>
        </w:rPr>
      </w:pPr>
      <w:r>
        <w:rPr>
          <w:rFonts w:hint="eastAsia" w:ascii="宋体" w:hAnsi="宋体" w:cs="宋体"/>
          <w:b/>
          <w:bCs/>
          <w:sz w:val="24"/>
        </w:rPr>
        <w:t>标的名称136：防水胶鞋2</w:t>
      </w:r>
    </w:p>
    <w:p w14:paraId="35A3D5BA">
      <w:pPr>
        <w:spacing w:line="360" w:lineRule="auto"/>
        <w:ind w:firstLine="480" w:firstLineChars="200"/>
        <w:rPr>
          <w:rFonts w:ascii="宋体" w:hAnsi="宋体" w:cs="宋体"/>
          <w:sz w:val="24"/>
        </w:rPr>
      </w:pPr>
      <w:r>
        <w:rPr>
          <w:rFonts w:hint="eastAsia" w:ascii="宋体" w:hAnsi="宋体" w:cs="宋体"/>
          <w:sz w:val="24"/>
        </w:rPr>
        <w:t>1.用途：淋浴间、冷却塔、户外等场景采样装备</w:t>
      </w:r>
    </w:p>
    <w:p w14:paraId="06E5D591">
      <w:pPr>
        <w:spacing w:line="360" w:lineRule="auto"/>
        <w:ind w:firstLine="480" w:firstLineChars="200"/>
        <w:rPr>
          <w:rFonts w:ascii="宋体" w:hAnsi="宋体" w:cs="宋体"/>
          <w:sz w:val="24"/>
        </w:rPr>
      </w:pPr>
      <w:r>
        <w:rPr>
          <w:rFonts w:hint="eastAsia" w:ascii="宋体" w:hAnsi="宋体" w:cs="宋体"/>
          <w:sz w:val="24"/>
        </w:rPr>
        <w:t>2.安全无毒，耐腐蚀，可重复使用</w:t>
      </w:r>
    </w:p>
    <w:p w14:paraId="36FB498A">
      <w:pPr>
        <w:spacing w:line="360" w:lineRule="auto"/>
        <w:ind w:firstLine="480" w:firstLineChars="200"/>
        <w:rPr>
          <w:rFonts w:ascii="宋体" w:hAnsi="宋体" w:cs="宋体"/>
          <w:sz w:val="24"/>
        </w:rPr>
      </w:pPr>
      <w:r>
        <w:rPr>
          <w:rFonts w:hint="eastAsia" w:ascii="宋体" w:hAnsi="宋体" w:cs="宋体"/>
          <w:sz w:val="24"/>
        </w:rPr>
        <w:t>3.规格：高筒，43码</w:t>
      </w:r>
    </w:p>
    <w:p w14:paraId="3E3846DE">
      <w:pPr>
        <w:spacing w:line="360" w:lineRule="auto"/>
        <w:ind w:firstLine="482" w:firstLineChars="200"/>
        <w:rPr>
          <w:rFonts w:ascii="宋体" w:hAnsi="宋体" w:cs="宋体"/>
          <w:b/>
          <w:bCs/>
          <w:sz w:val="24"/>
        </w:rPr>
      </w:pPr>
      <w:r>
        <w:rPr>
          <w:rFonts w:hint="eastAsia" w:ascii="宋体" w:hAnsi="宋体" w:cs="宋体"/>
          <w:b/>
          <w:bCs/>
          <w:sz w:val="24"/>
        </w:rPr>
        <w:t>标的名称137：雨披</w:t>
      </w:r>
    </w:p>
    <w:p w14:paraId="5657AB5D">
      <w:pPr>
        <w:spacing w:line="360" w:lineRule="auto"/>
        <w:ind w:firstLine="480" w:firstLineChars="200"/>
        <w:rPr>
          <w:rFonts w:ascii="宋体" w:hAnsi="宋体" w:cs="宋体"/>
          <w:sz w:val="24"/>
        </w:rPr>
      </w:pPr>
      <w:r>
        <w:rPr>
          <w:rFonts w:hint="eastAsia" w:ascii="宋体" w:hAnsi="宋体" w:cs="宋体"/>
          <w:sz w:val="24"/>
        </w:rPr>
        <w:t>1.用途：淋浴间、冷却塔、户外等场景采样装备</w:t>
      </w:r>
    </w:p>
    <w:p w14:paraId="49A725B1">
      <w:pPr>
        <w:spacing w:line="360" w:lineRule="auto"/>
        <w:ind w:firstLine="480" w:firstLineChars="200"/>
        <w:rPr>
          <w:rFonts w:ascii="宋体" w:hAnsi="宋体" w:cs="宋体"/>
          <w:sz w:val="24"/>
        </w:rPr>
      </w:pPr>
      <w:r>
        <w:rPr>
          <w:rFonts w:hint="eastAsia" w:ascii="宋体" w:hAnsi="宋体" w:cs="宋体"/>
          <w:sz w:val="24"/>
        </w:rPr>
        <w:t>2.安全无毒，一次性使用</w:t>
      </w:r>
    </w:p>
    <w:p w14:paraId="6A45B5ED">
      <w:pPr>
        <w:spacing w:line="360" w:lineRule="auto"/>
        <w:ind w:firstLine="480" w:firstLineChars="200"/>
        <w:rPr>
          <w:rFonts w:ascii="宋体" w:hAnsi="宋体" w:cs="宋体"/>
          <w:sz w:val="24"/>
        </w:rPr>
      </w:pPr>
      <w:r>
        <w:rPr>
          <w:rFonts w:hint="eastAsia" w:ascii="宋体" w:hAnsi="宋体" w:cs="宋体"/>
          <w:sz w:val="24"/>
        </w:rPr>
        <w:t>3.规格：XL码，带帽沿</w:t>
      </w:r>
    </w:p>
    <w:p w14:paraId="13A3AD59">
      <w:pPr>
        <w:spacing w:line="360" w:lineRule="auto"/>
        <w:ind w:firstLine="482" w:firstLineChars="200"/>
        <w:rPr>
          <w:rFonts w:ascii="宋体" w:hAnsi="宋体" w:cs="宋体"/>
          <w:b/>
          <w:bCs/>
          <w:sz w:val="24"/>
        </w:rPr>
      </w:pPr>
      <w:r>
        <w:rPr>
          <w:rFonts w:hint="eastAsia" w:ascii="宋体" w:hAnsi="宋体" w:cs="宋体"/>
          <w:b/>
          <w:bCs/>
          <w:sz w:val="24"/>
        </w:rPr>
        <w:t>标的名称138：带轮冷藏箱</w:t>
      </w:r>
    </w:p>
    <w:p w14:paraId="5AD662A8">
      <w:pPr>
        <w:spacing w:line="360" w:lineRule="auto"/>
        <w:ind w:firstLine="480" w:firstLineChars="200"/>
        <w:rPr>
          <w:rFonts w:ascii="宋体" w:hAnsi="宋体" w:cs="宋体"/>
          <w:sz w:val="24"/>
        </w:rPr>
      </w:pPr>
      <w:r>
        <w:rPr>
          <w:rFonts w:hint="eastAsia" w:ascii="宋体" w:hAnsi="宋体" w:cs="宋体"/>
          <w:sz w:val="24"/>
        </w:rPr>
        <w:t>1.用途：样品冷藏运输</w:t>
      </w:r>
    </w:p>
    <w:p w14:paraId="74354E6A">
      <w:pPr>
        <w:spacing w:line="360" w:lineRule="auto"/>
        <w:ind w:firstLine="480" w:firstLineChars="200"/>
        <w:rPr>
          <w:rFonts w:ascii="宋体" w:hAnsi="宋体" w:cs="宋体"/>
          <w:sz w:val="24"/>
        </w:rPr>
      </w:pPr>
      <w:r>
        <w:rPr>
          <w:rFonts w:hint="eastAsia" w:ascii="宋体" w:hAnsi="宋体" w:cs="宋体"/>
          <w:sz w:val="24"/>
        </w:rPr>
        <w:t>2.双滚轮、金属伸缩拉杆</w:t>
      </w:r>
    </w:p>
    <w:p w14:paraId="0F80880C">
      <w:pPr>
        <w:spacing w:line="360" w:lineRule="auto"/>
        <w:ind w:firstLine="480" w:firstLineChars="200"/>
        <w:rPr>
          <w:rFonts w:ascii="宋体" w:hAnsi="宋体" w:cs="宋体"/>
          <w:sz w:val="24"/>
        </w:rPr>
      </w:pPr>
      <w:r>
        <w:rPr>
          <w:rFonts w:hint="eastAsia" w:ascii="宋体" w:hAnsi="宋体" w:cs="宋体"/>
          <w:sz w:val="24"/>
        </w:rPr>
        <w:t>3.规格：52L</w:t>
      </w:r>
    </w:p>
    <w:p w14:paraId="21891022">
      <w:pPr>
        <w:spacing w:line="360" w:lineRule="auto"/>
        <w:ind w:firstLine="482" w:firstLineChars="200"/>
        <w:rPr>
          <w:rFonts w:ascii="宋体" w:hAnsi="宋体" w:cs="宋体"/>
          <w:b/>
          <w:bCs/>
          <w:sz w:val="24"/>
        </w:rPr>
      </w:pPr>
      <w:r>
        <w:rPr>
          <w:rFonts w:hint="eastAsia" w:ascii="宋体" w:hAnsi="宋体" w:cs="宋体"/>
          <w:b/>
          <w:bCs/>
          <w:sz w:val="24"/>
        </w:rPr>
        <w:t>标的名称139：不锈钢酒精灯</w:t>
      </w:r>
    </w:p>
    <w:p w14:paraId="413C4208">
      <w:pPr>
        <w:spacing w:line="360" w:lineRule="auto"/>
        <w:ind w:firstLine="480" w:firstLineChars="200"/>
        <w:rPr>
          <w:rFonts w:ascii="宋体" w:hAnsi="宋体" w:cs="宋体"/>
          <w:sz w:val="24"/>
        </w:rPr>
      </w:pPr>
      <w:r>
        <w:rPr>
          <w:rFonts w:hint="eastAsia" w:ascii="宋体" w:hAnsi="宋体" w:cs="宋体"/>
          <w:sz w:val="24"/>
        </w:rPr>
        <w:t>1.用途：创造采样无菌环境</w:t>
      </w:r>
    </w:p>
    <w:p w14:paraId="0FFD9206">
      <w:pPr>
        <w:spacing w:line="360" w:lineRule="auto"/>
        <w:ind w:firstLine="480" w:firstLineChars="200"/>
        <w:rPr>
          <w:rFonts w:ascii="宋体" w:hAnsi="宋体" w:cs="宋体"/>
          <w:sz w:val="24"/>
        </w:rPr>
      </w:pPr>
      <w:r>
        <w:rPr>
          <w:rFonts w:hint="eastAsia" w:ascii="宋体" w:hAnsi="宋体" w:cs="宋体"/>
          <w:sz w:val="24"/>
        </w:rPr>
        <w:t>2.不锈钢、耐高温、耐腐蚀，加厚螺口</w:t>
      </w:r>
    </w:p>
    <w:p w14:paraId="5120EC92">
      <w:pPr>
        <w:spacing w:line="360" w:lineRule="auto"/>
        <w:ind w:firstLine="480" w:firstLineChars="200"/>
        <w:rPr>
          <w:rFonts w:ascii="宋体" w:hAnsi="宋体" w:cs="宋体"/>
          <w:sz w:val="24"/>
        </w:rPr>
      </w:pPr>
      <w:r>
        <w:rPr>
          <w:rFonts w:hint="eastAsia" w:ascii="宋体" w:hAnsi="宋体" w:cs="宋体"/>
          <w:sz w:val="24"/>
        </w:rPr>
        <w:t>3.规格：400mL</w:t>
      </w:r>
    </w:p>
    <w:p w14:paraId="7999E24D">
      <w:pPr>
        <w:spacing w:line="360" w:lineRule="auto"/>
        <w:ind w:firstLine="482" w:firstLineChars="200"/>
        <w:rPr>
          <w:rFonts w:ascii="宋体" w:hAnsi="宋体" w:cs="宋体"/>
          <w:b/>
          <w:bCs/>
          <w:sz w:val="24"/>
        </w:rPr>
      </w:pPr>
      <w:r>
        <w:rPr>
          <w:rFonts w:hint="eastAsia" w:ascii="宋体" w:hAnsi="宋体" w:cs="宋体"/>
          <w:b/>
          <w:bCs/>
          <w:sz w:val="24"/>
        </w:rPr>
        <w:t>标的名称140：一次性滴管1</w:t>
      </w:r>
    </w:p>
    <w:p w14:paraId="6CA27B48">
      <w:pPr>
        <w:spacing w:line="360" w:lineRule="auto"/>
        <w:ind w:firstLine="480" w:firstLineChars="200"/>
        <w:rPr>
          <w:rFonts w:ascii="宋体" w:hAnsi="宋体" w:cs="宋体"/>
          <w:sz w:val="24"/>
        </w:rPr>
      </w:pPr>
      <w:r>
        <w:rPr>
          <w:rFonts w:hint="eastAsia" w:ascii="宋体" w:hAnsi="宋体" w:cs="宋体"/>
          <w:sz w:val="24"/>
        </w:rPr>
        <w:t>1.用途：准确吸取溶液</w:t>
      </w:r>
    </w:p>
    <w:p w14:paraId="7552AEA9">
      <w:pPr>
        <w:spacing w:line="360" w:lineRule="auto"/>
        <w:ind w:firstLine="480" w:firstLineChars="200"/>
        <w:rPr>
          <w:rFonts w:ascii="宋体" w:hAnsi="宋体" w:cs="宋体"/>
          <w:sz w:val="24"/>
        </w:rPr>
      </w:pPr>
      <w:r>
        <w:rPr>
          <w:rFonts w:hint="eastAsia" w:ascii="宋体" w:hAnsi="宋体" w:cs="宋体"/>
          <w:sz w:val="24"/>
        </w:rPr>
        <w:t>2.灭菌、单只独立包装、有刻度</w:t>
      </w:r>
    </w:p>
    <w:p w14:paraId="64DF0BF5">
      <w:pPr>
        <w:spacing w:line="360" w:lineRule="auto"/>
        <w:ind w:firstLine="480" w:firstLineChars="200"/>
        <w:rPr>
          <w:rFonts w:ascii="宋体" w:hAnsi="宋体" w:cs="宋体"/>
          <w:sz w:val="24"/>
        </w:rPr>
      </w:pPr>
      <w:r>
        <w:rPr>
          <w:rFonts w:hint="eastAsia" w:ascii="宋体" w:hAnsi="宋体" w:cs="宋体"/>
          <w:sz w:val="24"/>
        </w:rPr>
        <w:t>3.规格：1mL</w:t>
      </w:r>
    </w:p>
    <w:p w14:paraId="7BE176C0">
      <w:pPr>
        <w:spacing w:line="360" w:lineRule="auto"/>
        <w:ind w:firstLine="482" w:firstLineChars="200"/>
        <w:rPr>
          <w:rFonts w:ascii="宋体" w:hAnsi="宋体" w:cs="宋体"/>
          <w:b/>
          <w:bCs/>
          <w:sz w:val="24"/>
        </w:rPr>
      </w:pPr>
      <w:r>
        <w:rPr>
          <w:rFonts w:hint="eastAsia" w:ascii="宋体" w:hAnsi="宋体" w:cs="宋体"/>
          <w:b/>
          <w:bCs/>
          <w:sz w:val="24"/>
        </w:rPr>
        <w:t>标的名称141：一次性滴管2</w:t>
      </w:r>
    </w:p>
    <w:p w14:paraId="6CF46064">
      <w:pPr>
        <w:spacing w:line="360" w:lineRule="auto"/>
        <w:ind w:firstLine="480" w:firstLineChars="200"/>
        <w:rPr>
          <w:rFonts w:ascii="宋体" w:hAnsi="宋体" w:cs="宋体"/>
          <w:sz w:val="24"/>
        </w:rPr>
      </w:pPr>
      <w:r>
        <w:rPr>
          <w:rFonts w:hint="eastAsia" w:ascii="宋体" w:hAnsi="宋体" w:cs="宋体"/>
          <w:sz w:val="24"/>
        </w:rPr>
        <w:t>1.用途：准确吸取溶液</w:t>
      </w:r>
    </w:p>
    <w:p w14:paraId="06579722">
      <w:pPr>
        <w:spacing w:line="360" w:lineRule="auto"/>
        <w:ind w:firstLine="480" w:firstLineChars="200"/>
        <w:rPr>
          <w:rFonts w:ascii="宋体" w:hAnsi="宋体" w:cs="宋体"/>
          <w:sz w:val="24"/>
        </w:rPr>
      </w:pPr>
      <w:r>
        <w:rPr>
          <w:rFonts w:hint="eastAsia" w:ascii="宋体" w:hAnsi="宋体" w:cs="宋体"/>
          <w:sz w:val="24"/>
        </w:rPr>
        <w:t>2.灭菌、单只独立包装、有刻度</w:t>
      </w:r>
    </w:p>
    <w:p w14:paraId="0CB9AE56">
      <w:pPr>
        <w:spacing w:line="360" w:lineRule="auto"/>
        <w:ind w:firstLine="480" w:firstLineChars="200"/>
        <w:rPr>
          <w:rFonts w:ascii="宋体" w:hAnsi="宋体" w:cs="宋体"/>
          <w:sz w:val="24"/>
        </w:rPr>
      </w:pPr>
      <w:r>
        <w:rPr>
          <w:rFonts w:hint="eastAsia" w:ascii="宋体" w:hAnsi="宋体" w:cs="宋体"/>
          <w:sz w:val="24"/>
        </w:rPr>
        <w:t>3.规格：5mL</w:t>
      </w:r>
    </w:p>
    <w:p w14:paraId="4DCDDD82">
      <w:pPr>
        <w:spacing w:line="360" w:lineRule="auto"/>
        <w:ind w:firstLine="482" w:firstLineChars="200"/>
        <w:rPr>
          <w:rFonts w:ascii="宋体" w:hAnsi="宋体" w:cs="宋体"/>
          <w:b/>
          <w:bCs/>
          <w:sz w:val="24"/>
        </w:rPr>
      </w:pPr>
      <w:r>
        <w:rPr>
          <w:rFonts w:hint="eastAsia" w:ascii="宋体" w:hAnsi="宋体" w:cs="宋体"/>
          <w:b/>
          <w:bCs/>
          <w:sz w:val="24"/>
        </w:rPr>
        <w:t>标的名称142：一次性滴管3</w:t>
      </w:r>
    </w:p>
    <w:p w14:paraId="6088E030">
      <w:pPr>
        <w:spacing w:line="360" w:lineRule="auto"/>
        <w:ind w:firstLine="480" w:firstLineChars="200"/>
        <w:rPr>
          <w:rFonts w:ascii="宋体" w:hAnsi="宋体" w:cs="宋体"/>
          <w:sz w:val="24"/>
        </w:rPr>
      </w:pPr>
      <w:r>
        <w:rPr>
          <w:rFonts w:hint="eastAsia" w:ascii="宋体" w:hAnsi="宋体" w:cs="宋体"/>
          <w:sz w:val="24"/>
        </w:rPr>
        <w:t>1.用途：准确吸取溶液</w:t>
      </w:r>
    </w:p>
    <w:p w14:paraId="1BE5E710">
      <w:pPr>
        <w:spacing w:line="360" w:lineRule="auto"/>
        <w:ind w:firstLine="480" w:firstLineChars="200"/>
        <w:rPr>
          <w:rFonts w:ascii="宋体" w:hAnsi="宋体" w:cs="宋体"/>
          <w:sz w:val="24"/>
        </w:rPr>
      </w:pPr>
      <w:r>
        <w:rPr>
          <w:rFonts w:hint="eastAsia" w:ascii="宋体" w:hAnsi="宋体" w:cs="宋体"/>
          <w:sz w:val="24"/>
        </w:rPr>
        <w:t>2.灭菌、单只独立包装、有刻度</w:t>
      </w:r>
    </w:p>
    <w:p w14:paraId="453B27A6">
      <w:pPr>
        <w:spacing w:line="360" w:lineRule="auto"/>
        <w:ind w:firstLine="480" w:firstLineChars="200"/>
        <w:rPr>
          <w:rFonts w:ascii="宋体" w:hAnsi="宋体" w:cs="宋体"/>
          <w:sz w:val="24"/>
        </w:rPr>
      </w:pPr>
      <w:r>
        <w:rPr>
          <w:rFonts w:hint="eastAsia" w:ascii="宋体" w:hAnsi="宋体" w:cs="宋体"/>
          <w:sz w:val="24"/>
        </w:rPr>
        <w:t>3.规格：10mL</w:t>
      </w:r>
    </w:p>
    <w:p w14:paraId="535ACD22">
      <w:pPr>
        <w:spacing w:line="360" w:lineRule="auto"/>
        <w:ind w:firstLine="482" w:firstLineChars="200"/>
        <w:rPr>
          <w:rFonts w:ascii="宋体" w:hAnsi="宋体" w:cs="宋体"/>
          <w:b/>
          <w:bCs/>
          <w:sz w:val="24"/>
        </w:rPr>
      </w:pPr>
      <w:r>
        <w:rPr>
          <w:rFonts w:hint="eastAsia" w:ascii="宋体" w:hAnsi="宋体" w:cs="宋体"/>
          <w:b/>
          <w:bCs/>
          <w:sz w:val="24"/>
        </w:rPr>
        <w:t>标的名称143：不锈钢烧杯1</w:t>
      </w:r>
    </w:p>
    <w:p w14:paraId="63973E41">
      <w:pPr>
        <w:spacing w:line="360" w:lineRule="auto"/>
        <w:ind w:firstLine="480" w:firstLineChars="200"/>
        <w:rPr>
          <w:rFonts w:ascii="宋体" w:hAnsi="宋体" w:cs="宋体"/>
          <w:sz w:val="24"/>
        </w:rPr>
      </w:pPr>
      <w:r>
        <w:rPr>
          <w:rFonts w:hint="eastAsia" w:ascii="宋体" w:hAnsi="宋体" w:cs="宋体"/>
          <w:sz w:val="24"/>
        </w:rPr>
        <w:t>1.用途：存放、转移试剂、样品</w:t>
      </w:r>
    </w:p>
    <w:p w14:paraId="454CEE82">
      <w:pPr>
        <w:spacing w:line="360" w:lineRule="auto"/>
        <w:ind w:firstLine="480" w:firstLineChars="200"/>
        <w:rPr>
          <w:rFonts w:ascii="宋体" w:hAnsi="宋体" w:cs="宋体"/>
          <w:sz w:val="24"/>
        </w:rPr>
      </w:pPr>
      <w:r>
        <w:rPr>
          <w:rFonts w:hint="eastAsia" w:ascii="宋体" w:hAnsi="宋体" w:cs="宋体"/>
          <w:sz w:val="24"/>
        </w:rPr>
        <w:t>2.不锈钢、耐腐蚀、耐摔，有刻度，杯口圆润</w:t>
      </w:r>
    </w:p>
    <w:p w14:paraId="2D703BED">
      <w:pPr>
        <w:spacing w:line="360" w:lineRule="auto"/>
        <w:ind w:firstLine="480" w:firstLineChars="200"/>
        <w:rPr>
          <w:rFonts w:ascii="宋体" w:hAnsi="宋体" w:cs="宋体"/>
          <w:sz w:val="24"/>
        </w:rPr>
      </w:pPr>
      <w:r>
        <w:rPr>
          <w:rFonts w:hint="eastAsia" w:ascii="宋体" w:hAnsi="宋体" w:cs="宋体"/>
          <w:sz w:val="24"/>
        </w:rPr>
        <w:t>3.规格：50mL</w:t>
      </w:r>
    </w:p>
    <w:p w14:paraId="1773CF18">
      <w:pPr>
        <w:spacing w:line="360" w:lineRule="auto"/>
        <w:ind w:firstLine="482" w:firstLineChars="200"/>
        <w:rPr>
          <w:rFonts w:ascii="宋体" w:hAnsi="宋体" w:cs="宋体"/>
          <w:b/>
          <w:bCs/>
          <w:sz w:val="24"/>
        </w:rPr>
      </w:pPr>
      <w:r>
        <w:rPr>
          <w:rFonts w:hint="eastAsia" w:ascii="宋体" w:hAnsi="宋体" w:cs="宋体"/>
          <w:b/>
          <w:bCs/>
          <w:sz w:val="24"/>
        </w:rPr>
        <w:t>标的名称144：不锈钢烧杯2</w:t>
      </w:r>
    </w:p>
    <w:p w14:paraId="5FC9839A">
      <w:pPr>
        <w:spacing w:line="360" w:lineRule="auto"/>
        <w:ind w:firstLine="480" w:firstLineChars="200"/>
        <w:rPr>
          <w:rFonts w:ascii="宋体" w:hAnsi="宋体" w:cs="宋体"/>
          <w:sz w:val="24"/>
        </w:rPr>
      </w:pPr>
      <w:r>
        <w:rPr>
          <w:rFonts w:hint="eastAsia" w:ascii="宋体" w:hAnsi="宋体" w:cs="宋体"/>
          <w:sz w:val="24"/>
        </w:rPr>
        <w:t>1.用途：存放、转移试剂、样品</w:t>
      </w:r>
    </w:p>
    <w:p w14:paraId="2239F156">
      <w:pPr>
        <w:spacing w:line="360" w:lineRule="auto"/>
        <w:ind w:firstLine="480" w:firstLineChars="200"/>
        <w:rPr>
          <w:rFonts w:ascii="宋体" w:hAnsi="宋体" w:cs="宋体"/>
          <w:sz w:val="24"/>
        </w:rPr>
      </w:pPr>
      <w:r>
        <w:rPr>
          <w:rFonts w:hint="eastAsia" w:ascii="宋体" w:hAnsi="宋体" w:cs="宋体"/>
          <w:sz w:val="24"/>
        </w:rPr>
        <w:t>2.不锈钢、耐腐蚀、耐摔，有刻度，杯口圆润</w:t>
      </w:r>
    </w:p>
    <w:p w14:paraId="2BFF4E32">
      <w:pPr>
        <w:spacing w:line="360" w:lineRule="auto"/>
        <w:ind w:firstLine="480" w:firstLineChars="200"/>
        <w:rPr>
          <w:rFonts w:ascii="宋体" w:hAnsi="宋体" w:cs="宋体"/>
          <w:sz w:val="24"/>
        </w:rPr>
      </w:pPr>
      <w:r>
        <w:rPr>
          <w:rFonts w:hint="eastAsia" w:ascii="宋体" w:hAnsi="宋体" w:cs="宋体"/>
          <w:sz w:val="24"/>
        </w:rPr>
        <w:t>3.规格：250mL</w:t>
      </w:r>
    </w:p>
    <w:p w14:paraId="02C12C67">
      <w:pPr>
        <w:spacing w:line="360" w:lineRule="auto"/>
        <w:ind w:firstLine="482" w:firstLineChars="200"/>
        <w:rPr>
          <w:rFonts w:ascii="宋体" w:hAnsi="宋体" w:cs="宋体"/>
          <w:b/>
          <w:bCs/>
          <w:sz w:val="24"/>
        </w:rPr>
      </w:pPr>
      <w:r>
        <w:rPr>
          <w:rFonts w:hint="eastAsia" w:ascii="宋体" w:hAnsi="宋体" w:cs="宋体"/>
          <w:b/>
          <w:bCs/>
          <w:sz w:val="24"/>
        </w:rPr>
        <w:t>标的名称145：激光护目镜</w:t>
      </w:r>
    </w:p>
    <w:p w14:paraId="672771D0">
      <w:pPr>
        <w:spacing w:line="360" w:lineRule="auto"/>
        <w:ind w:firstLine="480" w:firstLineChars="200"/>
        <w:rPr>
          <w:rFonts w:ascii="宋体" w:hAnsi="宋体" w:cs="宋体"/>
          <w:sz w:val="24"/>
        </w:rPr>
      </w:pPr>
      <w:r>
        <w:rPr>
          <w:rFonts w:hint="eastAsia" w:ascii="宋体" w:hAnsi="宋体" w:cs="宋体"/>
          <w:sz w:val="24"/>
        </w:rPr>
        <w:t>1.用途：紫外线强度测定工作中的防护装备</w:t>
      </w:r>
    </w:p>
    <w:p w14:paraId="1707F699">
      <w:pPr>
        <w:spacing w:line="360" w:lineRule="auto"/>
        <w:ind w:firstLine="480" w:firstLineChars="200"/>
        <w:rPr>
          <w:rFonts w:ascii="宋体" w:hAnsi="宋体" w:cs="宋体"/>
          <w:sz w:val="24"/>
        </w:rPr>
      </w:pPr>
      <w:r>
        <w:rPr>
          <w:rFonts w:hint="eastAsia" w:ascii="宋体" w:hAnsi="宋体" w:cs="宋体"/>
          <w:sz w:val="24"/>
        </w:rPr>
        <w:t>2.可防护波长254nm的紫外线，可套入近视眼镜</w:t>
      </w:r>
    </w:p>
    <w:p w14:paraId="158B660B">
      <w:pPr>
        <w:spacing w:line="360" w:lineRule="auto"/>
        <w:ind w:firstLine="482" w:firstLineChars="200"/>
        <w:rPr>
          <w:rFonts w:ascii="宋体" w:hAnsi="宋体" w:cs="宋体"/>
          <w:b/>
          <w:bCs/>
          <w:sz w:val="24"/>
        </w:rPr>
      </w:pPr>
      <w:r>
        <w:rPr>
          <w:rFonts w:hint="eastAsia" w:ascii="宋体" w:hAnsi="宋体" w:cs="宋体"/>
          <w:b/>
          <w:bCs/>
          <w:sz w:val="24"/>
        </w:rPr>
        <w:t>标的名称146：紫外线防护服：上衣</w:t>
      </w:r>
    </w:p>
    <w:p w14:paraId="4D12926F">
      <w:pPr>
        <w:spacing w:line="360" w:lineRule="auto"/>
        <w:ind w:firstLine="480" w:firstLineChars="200"/>
        <w:rPr>
          <w:rFonts w:ascii="宋体" w:hAnsi="宋体" w:cs="宋体"/>
          <w:sz w:val="24"/>
        </w:rPr>
      </w:pPr>
      <w:r>
        <w:rPr>
          <w:rFonts w:hint="eastAsia" w:ascii="宋体" w:hAnsi="宋体" w:cs="宋体"/>
          <w:sz w:val="24"/>
        </w:rPr>
        <w:t>1.用途：紫外线强度测定工作中的防护装备</w:t>
      </w:r>
    </w:p>
    <w:p w14:paraId="70766277">
      <w:pPr>
        <w:spacing w:line="360" w:lineRule="auto"/>
        <w:ind w:firstLine="480" w:firstLineChars="200"/>
        <w:rPr>
          <w:rFonts w:ascii="宋体" w:hAnsi="宋体" w:cs="宋体"/>
          <w:sz w:val="24"/>
        </w:rPr>
      </w:pPr>
      <w:r>
        <w:rPr>
          <w:rFonts w:hint="eastAsia" w:ascii="宋体" w:hAnsi="宋体" w:cs="宋体"/>
          <w:sz w:val="24"/>
        </w:rPr>
        <w:t>2.可防护波长254nm的紫外线，可重复使用</w:t>
      </w:r>
    </w:p>
    <w:p w14:paraId="24EB15C2">
      <w:pPr>
        <w:spacing w:line="360" w:lineRule="auto"/>
        <w:ind w:firstLine="482" w:firstLineChars="200"/>
        <w:rPr>
          <w:rFonts w:ascii="宋体" w:hAnsi="宋体" w:cs="宋体"/>
          <w:b/>
          <w:bCs/>
          <w:sz w:val="24"/>
        </w:rPr>
      </w:pPr>
      <w:r>
        <w:rPr>
          <w:rFonts w:hint="eastAsia" w:ascii="宋体" w:hAnsi="宋体" w:cs="宋体"/>
          <w:b/>
          <w:bCs/>
          <w:sz w:val="24"/>
        </w:rPr>
        <w:t>标的名称147：紫外线防护服：面罩</w:t>
      </w:r>
    </w:p>
    <w:p w14:paraId="28740CE4">
      <w:pPr>
        <w:spacing w:line="360" w:lineRule="auto"/>
        <w:ind w:firstLine="480" w:firstLineChars="200"/>
        <w:rPr>
          <w:rFonts w:ascii="宋体" w:hAnsi="宋体" w:cs="宋体"/>
          <w:sz w:val="24"/>
        </w:rPr>
      </w:pPr>
      <w:r>
        <w:rPr>
          <w:rFonts w:hint="eastAsia" w:ascii="宋体" w:hAnsi="宋体" w:cs="宋体"/>
          <w:sz w:val="24"/>
        </w:rPr>
        <w:t>1.用途：紫外线强度测定工作中的防护装备</w:t>
      </w:r>
    </w:p>
    <w:p w14:paraId="641D3CD3">
      <w:pPr>
        <w:spacing w:line="360" w:lineRule="auto"/>
        <w:ind w:firstLine="480" w:firstLineChars="200"/>
        <w:rPr>
          <w:rFonts w:ascii="宋体" w:hAnsi="宋体" w:cs="宋体"/>
          <w:sz w:val="24"/>
        </w:rPr>
      </w:pPr>
      <w:r>
        <w:rPr>
          <w:rFonts w:hint="eastAsia" w:ascii="宋体" w:hAnsi="宋体" w:cs="宋体"/>
          <w:sz w:val="24"/>
        </w:rPr>
        <w:t>2.可防护波长254nm的紫外线，可重复使用</w:t>
      </w:r>
    </w:p>
    <w:p w14:paraId="60F84D03">
      <w:pPr>
        <w:spacing w:line="360" w:lineRule="auto"/>
        <w:ind w:firstLine="482" w:firstLineChars="200"/>
        <w:rPr>
          <w:rFonts w:ascii="宋体" w:hAnsi="宋体" w:cs="宋体"/>
          <w:b/>
          <w:bCs/>
          <w:sz w:val="24"/>
        </w:rPr>
      </w:pPr>
      <w:r>
        <w:rPr>
          <w:rFonts w:hint="eastAsia" w:ascii="宋体" w:hAnsi="宋体" w:cs="宋体"/>
          <w:b/>
          <w:bCs/>
          <w:sz w:val="24"/>
        </w:rPr>
        <w:t>标的名称148：紫外线消毒灯管架</w:t>
      </w:r>
    </w:p>
    <w:p w14:paraId="2E85F531">
      <w:pPr>
        <w:spacing w:line="360" w:lineRule="auto"/>
        <w:ind w:firstLine="480" w:firstLineChars="200"/>
        <w:rPr>
          <w:rFonts w:ascii="宋体" w:hAnsi="宋体" w:cs="宋体"/>
          <w:sz w:val="24"/>
        </w:rPr>
      </w:pPr>
      <w:r>
        <w:rPr>
          <w:rFonts w:hint="eastAsia" w:ascii="宋体" w:hAnsi="宋体" w:cs="宋体"/>
          <w:sz w:val="24"/>
        </w:rPr>
        <w:t>1.用途：紫外线强度测定</w:t>
      </w:r>
    </w:p>
    <w:p w14:paraId="6DA1B67F">
      <w:pPr>
        <w:spacing w:line="360" w:lineRule="auto"/>
        <w:ind w:firstLine="480" w:firstLineChars="200"/>
        <w:rPr>
          <w:rFonts w:ascii="宋体" w:hAnsi="宋体" w:cs="宋体"/>
          <w:sz w:val="24"/>
        </w:rPr>
      </w:pPr>
      <w:r>
        <w:rPr>
          <w:rFonts w:hint="eastAsia" w:ascii="宋体" w:hAnsi="宋体" w:cs="宋体"/>
          <w:sz w:val="24"/>
        </w:rPr>
        <w:t>2.灯管架可折叠，使用时将灯管水平放置，可通电、激发紫外线灯管</w:t>
      </w:r>
    </w:p>
    <w:p w14:paraId="5558D0E9">
      <w:pPr>
        <w:spacing w:line="360" w:lineRule="auto"/>
        <w:ind w:firstLine="480" w:firstLineChars="200"/>
        <w:rPr>
          <w:rFonts w:ascii="宋体" w:hAnsi="宋体" w:cs="宋体"/>
          <w:sz w:val="24"/>
        </w:rPr>
      </w:pPr>
      <w:r>
        <w:rPr>
          <w:rFonts w:hint="eastAsia" w:ascii="宋体" w:hAnsi="宋体" w:cs="宋体"/>
          <w:sz w:val="24"/>
        </w:rPr>
        <w:t>3.规格：31cm*30cm*58cm，高度100cm</w:t>
      </w:r>
    </w:p>
    <w:p w14:paraId="4B151683">
      <w:pPr>
        <w:spacing w:line="360" w:lineRule="auto"/>
        <w:ind w:firstLine="482" w:firstLineChars="200"/>
        <w:rPr>
          <w:rFonts w:ascii="宋体" w:hAnsi="宋体" w:cs="宋体"/>
          <w:b/>
          <w:bCs/>
          <w:sz w:val="24"/>
        </w:rPr>
      </w:pPr>
      <w:r>
        <w:rPr>
          <w:rFonts w:hint="eastAsia" w:ascii="宋体" w:hAnsi="宋体" w:cs="宋体"/>
          <w:b/>
          <w:bCs/>
          <w:sz w:val="24"/>
        </w:rPr>
        <w:t>标的名称149：自粘灭菌袋1</w:t>
      </w:r>
    </w:p>
    <w:p w14:paraId="2806D201">
      <w:pPr>
        <w:spacing w:line="360" w:lineRule="auto"/>
        <w:ind w:firstLine="480" w:firstLineChars="200"/>
        <w:rPr>
          <w:rFonts w:ascii="宋体" w:hAnsi="宋体" w:cs="宋体"/>
          <w:sz w:val="24"/>
        </w:rPr>
      </w:pPr>
      <w:r>
        <w:rPr>
          <w:rFonts w:hint="eastAsia" w:ascii="宋体" w:hAnsi="宋体" w:cs="宋体"/>
          <w:sz w:val="24"/>
        </w:rPr>
        <w:t>1.用途：样品采集</w:t>
      </w:r>
    </w:p>
    <w:p w14:paraId="67594F60">
      <w:pPr>
        <w:spacing w:line="360" w:lineRule="auto"/>
        <w:ind w:firstLine="480" w:firstLineChars="200"/>
        <w:rPr>
          <w:rFonts w:ascii="宋体" w:hAnsi="宋体" w:cs="宋体"/>
          <w:sz w:val="24"/>
        </w:rPr>
      </w:pPr>
      <w:r>
        <w:rPr>
          <w:rFonts w:hint="eastAsia" w:ascii="宋体" w:hAnsi="宋体" w:cs="宋体"/>
          <w:sz w:val="24"/>
        </w:rPr>
        <w:t>2.灭菌，撕开双面胶带即可封口</w:t>
      </w:r>
    </w:p>
    <w:p w14:paraId="5706A5EA">
      <w:pPr>
        <w:spacing w:line="360" w:lineRule="auto"/>
        <w:ind w:firstLine="480" w:firstLineChars="200"/>
        <w:rPr>
          <w:rFonts w:ascii="宋体" w:hAnsi="宋体" w:cs="宋体"/>
          <w:sz w:val="24"/>
        </w:rPr>
      </w:pPr>
      <w:r>
        <w:rPr>
          <w:rFonts w:hint="eastAsia" w:ascii="宋体" w:hAnsi="宋体" w:cs="宋体"/>
          <w:sz w:val="24"/>
        </w:rPr>
        <w:t>3.规格：190mm*360mm</w:t>
      </w:r>
    </w:p>
    <w:p w14:paraId="10B2AA75">
      <w:pPr>
        <w:spacing w:line="360" w:lineRule="auto"/>
        <w:ind w:firstLine="482" w:firstLineChars="200"/>
        <w:rPr>
          <w:rFonts w:ascii="宋体" w:hAnsi="宋体" w:cs="宋体"/>
          <w:b/>
          <w:bCs/>
          <w:sz w:val="24"/>
        </w:rPr>
      </w:pPr>
      <w:r>
        <w:rPr>
          <w:rFonts w:hint="eastAsia" w:ascii="宋体" w:hAnsi="宋体" w:cs="宋体"/>
          <w:b/>
          <w:bCs/>
          <w:sz w:val="24"/>
        </w:rPr>
        <w:t>标的名称150：自粘灭菌袋2</w:t>
      </w:r>
    </w:p>
    <w:p w14:paraId="64459E1E">
      <w:pPr>
        <w:spacing w:line="360" w:lineRule="auto"/>
        <w:ind w:firstLine="480" w:firstLineChars="200"/>
        <w:rPr>
          <w:rFonts w:ascii="宋体" w:hAnsi="宋体" w:cs="宋体"/>
          <w:sz w:val="24"/>
        </w:rPr>
      </w:pPr>
      <w:r>
        <w:rPr>
          <w:rFonts w:hint="eastAsia" w:ascii="宋体" w:hAnsi="宋体" w:cs="宋体"/>
          <w:sz w:val="24"/>
        </w:rPr>
        <w:t>1.用途：样品采集</w:t>
      </w:r>
    </w:p>
    <w:p w14:paraId="651DD962">
      <w:pPr>
        <w:spacing w:line="360" w:lineRule="auto"/>
        <w:ind w:firstLine="480" w:firstLineChars="200"/>
        <w:rPr>
          <w:rFonts w:ascii="宋体" w:hAnsi="宋体" w:cs="宋体"/>
          <w:sz w:val="24"/>
        </w:rPr>
      </w:pPr>
      <w:r>
        <w:rPr>
          <w:rFonts w:hint="eastAsia" w:ascii="宋体" w:hAnsi="宋体" w:cs="宋体"/>
          <w:sz w:val="24"/>
        </w:rPr>
        <w:t>2.灭菌，撕开双面胶带即可封口</w:t>
      </w:r>
    </w:p>
    <w:p w14:paraId="5092CA0F">
      <w:pPr>
        <w:spacing w:line="360" w:lineRule="auto"/>
        <w:ind w:firstLine="480" w:firstLineChars="200"/>
        <w:rPr>
          <w:rFonts w:ascii="宋体" w:hAnsi="宋体" w:cs="宋体"/>
          <w:sz w:val="24"/>
        </w:rPr>
      </w:pPr>
      <w:r>
        <w:rPr>
          <w:rFonts w:hint="eastAsia" w:ascii="宋体" w:hAnsi="宋体" w:cs="宋体"/>
          <w:sz w:val="24"/>
        </w:rPr>
        <w:t>3.规格：135mm*280mm</w:t>
      </w:r>
    </w:p>
    <w:p w14:paraId="6002F607">
      <w:pPr>
        <w:spacing w:line="360" w:lineRule="auto"/>
        <w:ind w:firstLine="482" w:firstLineChars="200"/>
        <w:rPr>
          <w:rFonts w:ascii="宋体" w:hAnsi="宋体" w:cs="宋体"/>
          <w:b/>
          <w:bCs/>
          <w:sz w:val="24"/>
        </w:rPr>
      </w:pPr>
      <w:r>
        <w:rPr>
          <w:rFonts w:hint="eastAsia" w:ascii="宋体" w:hAnsi="宋体" w:cs="宋体"/>
          <w:b/>
          <w:bCs/>
          <w:sz w:val="24"/>
        </w:rPr>
        <w:t>标的名称151：生物样品袋1</w:t>
      </w:r>
    </w:p>
    <w:p w14:paraId="5579C79E">
      <w:pPr>
        <w:spacing w:line="360" w:lineRule="auto"/>
        <w:ind w:firstLine="480" w:firstLineChars="200"/>
        <w:rPr>
          <w:rFonts w:ascii="宋体" w:hAnsi="宋体" w:cs="宋体"/>
          <w:sz w:val="24"/>
        </w:rPr>
      </w:pPr>
      <w:r>
        <w:rPr>
          <w:rFonts w:hint="eastAsia" w:ascii="宋体" w:hAnsi="宋体" w:cs="宋体"/>
          <w:sz w:val="24"/>
        </w:rPr>
        <w:t>1.用途：样品采集</w:t>
      </w:r>
    </w:p>
    <w:p w14:paraId="1C97BA3A">
      <w:pPr>
        <w:spacing w:line="360" w:lineRule="auto"/>
        <w:ind w:firstLine="480" w:firstLineChars="200"/>
        <w:rPr>
          <w:rFonts w:ascii="宋体" w:hAnsi="宋体" w:cs="宋体"/>
          <w:sz w:val="24"/>
        </w:rPr>
      </w:pPr>
      <w:r>
        <w:rPr>
          <w:rFonts w:hint="eastAsia" w:ascii="宋体" w:hAnsi="宋体" w:cs="宋体"/>
          <w:sz w:val="24"/>
        </w:rPr>
        <w:t>2.可标记、密封性好、柔韧性好</w:t>
      </w:r>
    </w:p>
    <w:p w14:paraId="264343F1">
      <w:pPr>
        <w:spacing w:line="360" w:lineRule="auto"/>
        <w:ind w:firstLine="480" w:firstLineChars="200"/>
        <w:rPr>
          <w:rFonts w:ascii="宋体" w:hAnsi="宋体" w:cs="宋体"/>
          <w:sz w:val="24"/>
        </w:rPr>
      </w:pPr>
      <w:r>
        <w:rPr>
          <w:rFonts w:hint="eastAsia" w:ascii="宋体" w:hAnsi="宋体" w:cs="宋体"/>
          <w:sz w:val="24"/>
        </w:rPr>
        <w:t>3.规格：三层350mm*450mm，100个</w:t>
      </w:r>
    </w:p>
    <w:p w14:paraId="4611340E">
      <w:pPr>
        <w:spacing w:line="360" w:lineRule="auto"/>
        <w:ind w:firstLine="482" w:firstLineChars="200"/>
        <w:rPr>
          <w:rFonts w:ascii="宋体" w:hAnsi="宋体" w:cs="宋体"/>
          <w:b/>
          <w:bCs/>
          <w:sz w:val="24"/>
        </w:rPr>
      </w:pPr>
      <w:r>
        <w:rPr>
          <w:rFonts w:hint="eastAsia" w:ascii="宋体" w:hAnsi="宋体" w:cs="宋体"/>
          <w:b/>
          <w:bCs/>
          <w:sz w:val="24"/>
        </w:rPr>
        <w:t>标的名称152：生物样品袋2</w:t>
      </w:r>
    </w:p>
    <w:p w14:paraId="78E761DF">
      <w:pPr>
        <w:spacing w:line="360" w:lineRule="auto"/>
        <w:ind w:firstLine="480" w:firstLineChars="200"/>
        <w:rPr>
          <w:rFonts w:ascii="宋体" w:hAnsi="宋体" w:cs="宋体"/>
          <w:sz w:val="24"/>
        </w:rPr>
      </w:pPr>
      <w:r>
        <w:rPr>
          <w:rFonts w:hint="eastAsia" w:ascii="宋体" w:hAnsi="宋体" w:cs="宋体"/>
          <w:sz w:val="24"/>
        </w:rPr>
        <w:t>1.用途：样品采集</w:t>
      </w:r>
    </w:p>
    <w:p w14:paraId="4E8B1CC5">
      <w:pPr>
        <w:spacing w:line="360" w:lineRule="auto"/>
        <w:ind w:firstLine="480" w:firstLineChars="200"/>
        <w:rPr>
          <w:rFonts w:ascii="宋体" w:hAnsi="宋体" w:cs="宋体"/>
          <w:sz w:val="24"/>
        </w:rPr>
      </w:pPr>
      <w:r>
        <w:rPr>
          <w:rFonts w:hint="eastAsia" w:ascii="宋体" w:hAnsi="宋体" w:cs="宋体"/>
          <w:sz w:val="24"/>
        </w:rPr>
        <w:t>2.可标记、密封性好、柔韧性好</w:t>
      </w:r>
    </w:p>
    <w:p w14:paraId="7AD2EF4D">
      <w:pPr>
        <w:spacing w:line="360" w:lineRule="auto"/>
        <w:ind w:firstLine="480" w:firstLineChars="200"/>
        <w:rPr>
          <w:rFonts w:ascii="宋体" w:hAnsi="宋体" w:cs="宋体"/>
          <w:sz w:val="24"/>
        </w:rPr>
      </w:pPr>
      <w:r>
        <w:rPr>
          <w:rFonts w:hint="eastAsia" w:ascii="宋体" w:hAnsi="宋体" w:cs="宋体"/>
          <w:sz w:val="24"/>
        </w:rPr>
        <w:t>3.规格：三层250mm*300mm，100个</w:t>
      </w:r>
    </w:p>
    <w:p w14:paraId="045DEBCE">
      <w:pPr>
        <w:spacing w:line="360" w:lineRule="auto"/>
        <w:ind w:firstLine="482" w:firstLineChars="200"/>
        <w:rPr>
          <w:rFonts w:ascii="宋体" w:hAnsi="宋体" w:cs="宋体"/>
          <w:b/>
          <w:bCs/>
          <w:sz w:val="24"/>
        </w:rPr>
      </w:pPr>
      <w:r>
        <w:rPr>
          <w:rFonts w:hint="eastAsia" w:ascii="宋体" w:hAnsi="宋体" w:cs="宋体"/>
          <w:b/>
          <w:bCs/>
          <w:sz w:val="24"/>
        </w:rPr>
        <w:t>标的名称153：耐高温灭菌袋1</w:t>
      </w:r>
    </w:p>
    <w:p w14:paraId="5E939A11">
      <w:pPr>
        <w:spacing w:line="360" w:lineRule="auto"/>
        <w:ind w:firstLine="480" w:firstLineChars="200"/>
        <w:rPr>
          <w:rFonts w:ascii="宋体" w:hAnsi="宋体" w:cs="宋体"/>
          <w:sz w:val="24"/>
        </w:rPr>
      </w:pPr>
      <w:r>
        <w:rPr>
          <w:rFonts w:hint="eastAsia" w:ascii="宋体" w:hAnsi="宋体" w:cs="宋体"/>
          <w:sz w:val="24"/>
        </w:rPr>
        <w:t>1.用途：样品采集</w:t>
      </w:r>
    </w:p>
    <w:p w14:paraId="4C76C6EF">
      <w:pPr>
        <w:spacing w:line="360" w:lineRule="auto"/>
        <w:ind w:firstLine="480" w:firstLineChars="200"/>
        <w:rPr>
          <w:rFonts w:ascii="宋体" w:hAnsi="宋体" w:cs="宋体"/>
          <w:sz w:val="24"/>
        </w:rPr>
      </w:pPr>
      <w:r>
        <w:rPr>
          <w:rFonts w:hint="eastAsia" w:ascii="宋体" w:hAnsi="宋体" w:cs="宋体"/>
          <w:sz w:val="24"/>
        </w:rPr>
        <w:t>2.耐高温灭菌、密封性好</w:t>
      </w:r>
    </w:p>
    <w:p w14:paraId="7E95E288">
      <w:pPr>
        <w:spacing w:line="360" w:lineRule="auto"/>
        <w:ind w:firstLine="480" w:firstLineChars="200"/>
        <w:rPr>
          <w:rFonts w:ascii="宋体" w:hAnsi="宋体" w:cs="宋体"/>
          <w:sz w:val="24"/>
        </w:rPr>
      </w:pPr>
      <w:r>
        <w:rPr>
          <w:rFonts w:hint="eastAsia" w:ascii="宋体" w:hAnsi="宋体" w:cs="宋体"/>
          <w:sz w:val="24"/>
        </w:rPr>
        <w:t>3.规格：30cm*40cm50个/包</w:t>
      </w:r>
    </w:p>
    <w:p w14:paraId="2AA3A4DB">
      <w:pPr>
        <w:spacing w:line="360" w:lineRule="auto"/>
        <w:ind w:firstLine="482" w:firstLineChars="200"/>
        <w:rPr>
          <w:rFonts w:ascii="宋体" w:hAnsi="宋体" w:cs="宋体"/>
          <w:b/>
          <w:bCs/>
          <w:sz w:val="24"/>
        </w:rPr>
      </w:pPr>
      <w:r>
        <w:rPr>
          <w:rFonts w:hint="eastAsia" w:ascii="宋体" w:hAnsi="宋体" w:cs="宋体"/>
          <w:b/>
          <w:bCs/>
          <w:sz w:val="24"/>
        </w:rPr>
        <w:t>标的名称154：耐高温灭菌袋2</w:t>
      </w:r>
    </w:p>
    <w:p w14:paraId="3B2E82EE">
      <w:pPr>
        <w:spacing w:line="360" w:lineRule="auto"/>
        <w:ind w:firstLine="480" w:firstLineChars="200"/>
        <w:rPr>
          <w:rFonts w:ascii="宋体" w:hAnsi="宋体" w:cs="宋体"/>
          <w:sz w:val="24"/>
        </w:rPr>
      </w:pPr>
      <w:r>
        <w:rPr>
          <w:rFonts w:hint="eastAsia" w:ascii="宋体" w:hAnsi="宋体" w:cs="宋体"/>
          <w:sz w:val="24"/>
        </w:rPr>
        <w:t>1.用途：样品采集</w:t>
      </w:r>
    </w:p>
    <w:p w14:paraId="7B05790C">
      <w:pPr>
        <w:spacing w:line="360" w:lineRule="auto"/>
        <w:ind w:firstLine="480" w:firstLineChars="200"/>
        <w:rPr>
          <w:rFonts w:ascii="宋体" w:hAnsi="宋体" w:cs="宋体"/>
          <w:sz w:val="24"/>
        </w:rPr>
      </w:pPr>
      <w:r>
        <w:rPr>
          <w:rFonts w:hint="eastAsia" w:ascii="宋体" w:hAnsi="宋体" w:cs="宋体"/>
          <w:sz w:val="24"/>
        </w:rPr>
        <w:t>2.耐高温灭菌、密封性好</w:t>
      </w:r>
    </w:p>
    <w:p w14:paraId="4A2C0796">
      <w:pPr>
        <w:spacing w:line="360" w:lineRule="auto"/>
        <w:ind w:firstLine="480" w:firstLineChars="200"/>
        <w:rPr>
          <w:rFonts w:ascii="宋体" w:hAnsi="宋体" w:cs="宋体"/>
          <w:sz w:val="24"/>
        </w:rPr>
      </w:pPr>
      <w:r>
        <w:rPr>
          <w:rFonts w:hint="eastAsia" w:ascii="宋体" w:hAnsi="宋体" w:cs="宋体"/>
          <w:sz w:val="24"/>
        </w:rPr>
        <w:t>3.规格：45cm*55cm50个/包</w:t>
      </w:r>
    </w:p>
    <w:p w14:paraId="6DB7F27C">
      <w:pPr>
        <w:spacing w:line="360" w:lineRule="auto"/>
        <w:ind w:firstLine="482" w:firstLineChars="200"/>
        <w:rPr>
          <w:rFonts w:ascii="宋体" w:hAnsi="宋体" w:cs="宋体"/>
          <w:b/>
          <w:bCs/>
          <w:sz w:val="24"/>
        </w:rPr>
      </w:pPr>
      <w:r>
        <w:rPr>
          <w:rFonts w:hint="eastAsia" w:ascii="宋体" w:hAnsi="宋体" w:cs="宋体"/>
          <w:b/>
          <w:bCs/>
          <w:sz w:val="24"/>
        </w:rPr>
        <w:t>标的名称155：无菌采样袋1</w:t>
      </w:r>
    </w:p>
    <w:p w14:paraId="545A56E2">
      <w:pPr>
        <w:spacing w:line="360" w:lineRule="auto"/>
        <w:ind w:firstLine="480" w:firstLineChars="200"/>
        <w:rPr>
          <w:rFonts w:ascii="宋体" w:hAnsi="宋体" w:cs="宋体"/>
          <w:sz w:val="24"/>
        </w:rPr>
      </w:pPr>
      <w:r>
        <w:rPr>
          <w:rFonts w:hint="eastAsia" w:ascii="宋体" w:hAnsi="宋体" w:cs="宋体"/>
          <w:sz w:val="24"/>
        </w:rPr>
        <w:t>1.用途：样品采集</w:t>
      </w:r>
    </w:p>
    <w:p w14:paraId="532E2283">
      <w:pPr>
        <w:spacing w:line="360" w:lineRule="auto"/>
        <w:ind w:firstLine="480" w:firstLineChars="200"/>
        <w:rPr>
          <w:rFonts w:ascii="宋体" w:hAnsi="宋体" w:cs="宋体"/>
          <w:sz w:val="24"/>
        </w:rPr>
      </w:pPr>
      <w:r>
        <w:rPr>
          <w:rFonts w:hint="eastAsia" w:ascii="宋体" w:hAnsi="宋体" w:cs="宋体"/>
          <w:sz w:val="24"/>
        </w:rPr>
        <w:t>2.灭菌，圆底可立，双压条密封</w:t>
      </w:r>
    </w:p>
    <w:p w14:paraId="7BCBE9F5">
      <w:pPr>
        <w:spacing w:line="360" w:lineRule="auto"/>
        <w:ind w:firstLine="480" w:firstLineChars="200"/>
        <w:rPr>
          <w:rFonts w:ascii="宋体" w:hAnsi="宋体" w:cs="宋体"/>
          <w:sz w:val="24"/>
        </w:rPr>
      </w:pPr>
      <w:r>
        <w:rPr>
          <w:rFonts w:hint="eastAsia" w:ascii="宋体" w:hAnsi="宋体" w:cs="宋体"/>
          <w:sz w:val="24"/>
        </w:rPr>
        <w:t>3.规格：20cm*22cm100个/包</w:t>
      </w:r>
    </w:p>
    <w:p w14:paraId="52C100A1">
      <w:pPr>
        <w:spacing w:line="360" w:lineRule="auto"/>
        <w:ind w:firstLine="482" w:firstLineChars="200"/>
        <w:rPr>
          <w:rFonts w:ascii="宋体" w:hAnsi="宋体" w:cs="宋体"/>
          <w:b/>
          <w:bCs/>
          <w:sz w:val="24"/>
        </w:rPr>
      </w:pPr>
      <w:r>
        <w:rPr>
          <w:rFonts w:hint="eastAsia" w:ascii="宋体" w:hAnsi="宋体" w:cs="宋体"/>
          <w:b/>
          <w:bCs/>
          <w:sz w:val="24"/>
        </w:rPr>
        <w:t>标的名称156：无菌采样袋2</w:t>
      </w:r>
    </w:p>
    <w:p w14:paraId="67589365">
      <w:pPr>
        <w:spacing w:line="360" w:lineRule="auto"/>
        <w:ind w:firstLine="480" w:firstLineChars="200"/>
        <w:rPr>
          <w:rFonts w:ascii="宋体" w:hAnsi="宋体" w:cs="宋体"/>
          <w:sz w:val="24"/>
        </w:rPr>
      </w:pPr>
      <w:r>
        <w:rPr>
          <w:rFonts w:hint="eastAsia" w:ascii="宋体" w:hAnsi="宋体" w:cs="宋体"/>
          <w:sz w:val="24"/>
        </w:rPr>
        <w:t>1.用途：样品采集</w:t>
      </w:r>
    </w:p>
    <w:p w14:paraId="7F3B0997">
      <w:pPr>
        <w:spacing w:line="360" w:lineRule="auto"/>
        <w:ind w:firstLine="480" w:firstLineChars="200"/>
        <w:rPr>
          <w:rFonts w:ascii="宋体" w:hAnsi="宋体" w:cs="宋体"/>
          <w:sz w:val="24"/>
        </w:rPr>
      </w:pPr>
      <w:r>
        <w:rPr>
          <w:rFonts w:hint="eastAsia" w:ascii="宋体" w:hAnsi="宋体" w:cs="宋体"/>
          <w:sz w:val="24"/>
        </w:rPr>
        <w:t>2.灭菌，圆底可立，双压条密封</w:t>
      </w:r>
    </w:p>
    <w:p w14:paraId="1625A4F7">
      <w:pPr>
        <w:spacing w:line="360" w:lineRule="auto"/>
        <w:ind w:firstLine="480" w:firstLineChars="200"/>
        <w:rPr>
          <w:rFonts w:ascii="宋体" w:hAnsi="宋体" w:cs="宋体"/>
          <w:sz w:val="24"/>
        </w:rPr>
      </w:pPr>
      <w:r>
        <w:rPr>
          <w:rFonts w:hint="eastAsia" w:ascii="宋体" w:hAnsi="宋体" w:cs="宋体"/>
          <w:sz w:val="24"/>
        </w:rPr>
        <w:t>3.规格：12cm*18cm100个/包</w:t>
      </w:r>
    </w:p>
    <w:p w14:paraId="51157AC7">
      <w:pPr>
        <w:spacing w:line="360" w:lineRule="auto"/>
        <w:ind w:firstLine="482" w:firstLineChars="200"/>
        <w:rPr>
          <w:rFonts w:ascii="宋体" w:hAnsi="宋体" w:cs="宋体"/>
          <w:b/>
          <w:bCs/>
          <w:sz w:val="24"/>
        </w:rPr>
      </w:pPr>
      <w:r>
        <w:rPr>
          <w:rFonts w:hint="eastAsia" w:ascii="宋体" w:hAnsi="宋体" w:cs="宋体"/>
          <w:b/>
          <w:bCs/>
          <w:sz w:val="24"/>
        </w:rPr>
        <w:t>标的名称157：无菌采样袋3</w:t>
      </w:r>
    </w:p>
    <w:p w14:paraId="27A6A9C8">
      <w:pPr>
        <w:spacing w:line="360" w:lineRule="auto"/>
        <w:ind w:firstLine="480" w:firstLineChars="200"/>
        <w:rPr>
          <w:rFonts w:ascii="宋体" w:hAnsi="宋体" w:cs="宋体"/>
          <w:sz w:val="24"/>
        </w:rPr>
      </w:pPr>
      <w:r>
        <w:rPr>
          <w:rFonts w:hint="eastAsia" w:ascii="宋体" w:hAnsi="宋体" w:cs="宋体"/>
          <w:sz w:val="24"/>
        </w:rPr>
        <w:t>1.用途：样品采集</w:t>
      </w:r>
    </w:p>
    <w:p w14:paraId="305260E6">
      <w:pPr>
        <w:spacing w:line="360" w:lineRule="auto"/>
        <w:ind w:firstLine="480" w:firstLineChars="200"/>
        <w:rPr>
          <w:rFonts w:ascii="宋体" w:hAnsi="宋体" w:cs="宋体"/>
          <w:sz w:val="24"/>
        </w:rPr>
      </w:pPr>
      <w:r>
        <w:rPr>
          <w:rFonts w:hint="eastAsia" w:ascii="宋体" w:hAnsi="宋体" w:cs="宋体"/>
          <w:sz w:val="24"/>
        </w:rPr>
        <w:t>2.灭菌，圆底可立，双压条密封</w:t>
      </w:r>
    </w:p>
    <w:p w14:paraId="16FD6D15">
      <w:pPr>
        <w:spacing w:line="360" w:lineRule="auto"/>
        <w:ind w:firstLine="480" w:firstLineChars="200"/>
        <w:rPr>
          <w:rFonts w:ascii="宋体" w:hAnsi="宋体" w:cs="宋体"/>
          <w:sz w:val="24"/>
        </w:rPr>
      </w:pPr>
      <w:r>
        <w:rPr>
          <w:rFonts w:hint="eastAsia" w:ascii="宋体" w:hAnsi="宋体" w:cs="宋体"/>
          <w:sz w:val="24"/>
        </w:rPr>
        <w:t>3.规格：30cm*40cm50个/包</w:t>
      </w:r>
    </w:p>
    <w:p w14:paraId="4F3241BB">
      <w:pPr>
        <w:spacing w:line="360" w:lineRule="auto"/>
        <w:ind w:firstLine="482" w:firstLineChars="200"/>
        <w:rPr>
          <w:rFonts w:ascii="宋体" w:hAnsi="宋体" w:cs="宋体"/>
          <w:b/>
          <w:bCs/>
          <w:sz w:val="24"/>
        </w:rPr>
      </w:pPr>
      <w:r>
        <w:rPr>
          <w:rFonts w:hint="eastAsia" w:ascii="宋体" w:hAnsi="宋体" w:cs="宋体"/>
          <w:b/>
          <w:bCs/>
          <w:sz w:val="24"/>
        </w:rPr>
        <w:t>标的名称158：一次性镊子</w:t>
      </w:r>
    </w:p>
    <w:p w14:paraId="203D947F">
      <w:pPr>
        <w:spacing w:line="360" w:lineRule="auto"/>
        <w:ind w:firstLine="480" w:firstLineChars="200"/>
        <w:rPr>
          <w:rFonts w:ascii="宋体" w:hAnsi="宋体" w:cs="宋体"/>
          <w:sz w:val="24"/>
        </w:rPr>
      </w:pPr>
      <w:r>
        <w:rPr>
          <w:rFonts w:hint="eastAsia" w:ascii="宋体" w:hAnsi="宋体" w:cs="宋体"/>
          <w:sz w:val="24"/>
        </w:rPr>
        <w:t>1.用途：处理样品，夹取酒精棉球</w:t>
      </w:r>
    </w:p>
    <w:p w14:paraId="2856E4BB">
      <w:pPr>
        <w:spacing w:line="360" w:lineRule="auto"/>
        <w:ind w:firstLine="480" w:firstLineChars="200"/>
        <w:rPr>
          <w:rFonts w:ascii="宋体" w:hAnsi="宋体" w:cs="宋体"/>
          <w:sz w:val="24"/>
        </w:rPr>
      </w:pPr>
      <w:r>
        <w:rPr>
          <w:rFonts w:hint="eastAsia" w:ascii="宋体" w:hAnsi="宋体" w:cs="宋体"/>
          <w:sz w:val="24"/>
        </w:rPr>
        <w:t>2.灭菌，单个独立包装</w:t>
      </w:r>
    </w:p>
    <w:p w14:paraId="6F1760F2">
      <w:pPr>
        <w:spacing w:line="360" w:lineRule="auto"/>
        <w:ind w:firstLine="480" w:firstLineChars="200"/>
        <w:rPr>
          <w:rFonts w:ascii="宋体" w:hAnsi="宋体" w:cs="宋体"/>
          <w:sz w:val="24"/>
        </w:rPr>
      </w:pPr>
      <w:r>
        <w:rPr>
          <w:rFonts w:hint="eastAsia" w:ascii="宋体" w:hAnsi="宋体" w:cs="宋体"/>
          <w:sz w:val="24"/>
        </w:rPr>
        <w:t>3.规格：蓝色</w:t>
      </w:r>
    </w:p>
    <w:p w14:paraId="540DBA26">
      <w:pPr>
        <w:spacing w:line="360" w:lineRule="auto"/>
        <w:ind w:firstLine="482" w:firstLineChars="200"/>
        <w:rPr>
          <w:rFonts w:ascii="宋体" w:hAnsi="宋体" w:cs="宋体"/>
          <w:b/>
          <w:bCs/>
          <w:sz w:val="24"/>
        </w:rPr>
      </w:pPr>
      <w:r>
        <w:rPr>
          <w:rFonts w:hint="eastAsia" w:ascii="宋体" w:hAnsi="宋体" w:cs="宋体"/>
          <w:b/>
          <w:bCs/>
          <w:sz w:val="24"/>
        </w:rPr>
        <w:t>标的名称159：不锈钢镊子1</w:t>
      </w:r>
    </w:p>
    <w:p w14:paraId="68A740D6">
      <w:pPr>
        <w:spacing w:line="360" w:lineRule="auto"/>
        <w:ind w:firstLine="480" w:firstLineChars="200"/>
        <w:rPr>
          <w:rFonts w:ascii="宋体" w:hAnsi="宋体" w:cs="宋体"/>
          <w:sz w:val="24"/>
        </w:rPr>
      </w:pPr>
      <w:r>
        <w:rPr>
          <w:rFonts w:hint="eastAsia" w:ascii="宋体" w:hAnsi="宋体" w:cs="宋体"/>
          <w:sz w:val="24"/>
        </w:rPr>
        <w:t>1.用途：处理样品，夹取酒精棉球</w:t>
      </w:r>
    </w:p>
    <w:p w14:paraId="10927B93">
      <w:pPr>
        <w:spacing w:line="360" w:lineRule="auto"/>
        <w:ind w:firstLine="480" w:firstLineChars="200"/>
        <w:rPr>
          <w:rFonts w:ascii="宋体" w:hAnsi="宋体" w:cs="宋体"/>
          <w:sz w:val="24"/>
        </w:rPr>
      </w:pPr>
      <w:r>
        <w:rPr>
          <w:rFonts w:hint="eastAsia" w:ascii="宋体" w:hAnsi="宋体" w:cs="宋体"/>
          <w:sz w:val="24"/>
        </w:rPr>
        <w:t>2.不锈钢，耐腐蚀</w:t>
      </w:r>
    </w:p>
    <w:p w14:paraId="0FF9B69C">
      <w:pPr>
        <w:spacing w:line="360" w:lineRule="auto"/>
        <w:ind w:firstLine="480" w:firstLineChars="200"/>
        <w:rPr>
          <w:rFonts w:ascii="宋体" w:hAnsi="宋体" w:cs="宋体"/>
          <w:sz w:val="24"/>
        </w:rPr>
      </w:pPr>
      <w:r>
        <w:rPr>
          <w:rFonts w:hint="eastAsia" w:ascii="宋体" w:hAnsi="宋体" w:cs="宋体"/>
          <w:sz w:val="24"/>
        </w:rPr>
        <w:t>3.规格：圆直头12.5cm</w:t>
      </w:r>
    </w:p>
    <w:p w14:paraId="4F67859B">
      <w:pPr>
        <w:spacing w:line="360" w:lineRule="auto"/>
        <w:ind w:firstLine="482" w:firstLineChars="200"/>
        <w:rPr>
          <w:rFonts w:ascii="宋体" w:hAnsi="宋体" w:cs="宋体"/>
          <w:b/>
          <w:bCs/>
          <w:sz w:val="24"/>
        </w:rPr>
      </w:pPr>
      <w:r>
        <w:rPr>
          <w:rFonts w:hint="eastAsia" w:ascii="宋体" w:hAnsi="宋体" w:cs="宋体"/>
          <w:b/>
          <w:bCs/>
          <w:sz w:val="24"/>
        </w:rPr>
        <w:t>标的名称160：不锈钢镊子2</w:t>
      </w:r>
    </w:p>
    <w:p w14:paraId="278269C6">
      <w:pPr>
        <w:spacing w:line="360" w:lineRule="auto"/>
        <w:ind w:firstLine="480" w:firstLineChars="200"/>
        <w:rPr>
          <w:rFonts w:ascii="宋体" w:hAnsi="宋体" w:cs="宋体"/>
          <w:sz w:val="24"/>
        </w:rPr>
      </w:pPr>
      <w:r>
        <w:rPr>
          <w:rFonts w:hint="eastAsia" w:ascii="宋体" w:hAnsi="宋体" w:cs="宋体"/>
          <w:sz w:val="24"/>
        </w:rPr>
        <w:t>1.用途：处理样品，夹取酒精棉球</w:t>
      </w:r>
    </w:p>
    <w:p w14:paraId="488746F8">
      <w:pPr>
        <w:spacing w:line="360" w:lineRule="auto"/>
        <w:ind w:firstLine="480" w:firstLineChars="200"/>
        <w:rPr>
          <w:rFonts w:ascii="宋体" w:hAnsi="宋体" w:cs="宋体"/>
          <w:sz w:val="24"/>
        </w:rPr>
      </w:pPr>
      <w:r>
        <w:rPr>
          <w:rFonts w:hint="eastAsia" w:ascii="宋体" w:hAnsi="宋体" w:cs="宋体"/>
          <w:sz w:val="24"/>
        </w:rPr>
        <w:t>2.不锈钢，耐腐蚀</w:t>
      </w:r>
    </w:p>
    <w:p w14:paraId="6E7480B8">
      <w:pPr>
        <w:spacing w:line="360" w:lineRule="auto"/>
        <w:ind w:firstLine="480" w:firstLineChars="200"/>
        <w:rPr>
          <w:rFonts w:ascii="宋体" w:hAnsi="宋体" w:cs="宋体"/>
          <w:sz w:val="24"/>
        </w:rPr>
      </w:pPr>
      <w:r>
        <w:rPr>
          <w:rFonts w:hint="eastAsia" w:ascii="宋体" w:hAnsi="宋体" w:cs="宋体"/>
          <w:sz w:val="24"/>
        </w:rPr>
        <w:t>3.规格：圆直头20cm</w:t>
      </w:r>
    </w:p>
    <w:p w14:paraId="51448025">
      <w:pPr>
        <w:spacing w:line="360" w:lineRule="auto"/>
        <w:ind w:firstLine="482" w:firstLineChars="200"/>
        <w:rPr>
          <w:rFonts w:ascii="宋体" w:hAnsi="宋体" w:cs="宋体"/>
          <w:b/>
          <w:bCs/>
          <w:sz w:val="24"/>
        </w:rPr>
      </w:pPr>
      <w:r>
        <w:rPr>
          <w:rFonts w:hint="eastAsia" w:ascii="宋体" w:hAnsi="宋体" w:cs="宋体"/>
          <w:b/>
          <w:bCs/>
          <w:sz w:val="24"/>
        </w:rPr>
        <w:t>标的名称161：无菌采样袋1</w:t>
      </w:r>
    </w:p>
    <w:p w14:paraId="5670541C">
      <w:pPr>
        <w:spacing w:line="360" w:lineRule="auto"/>
        <w:ind w:firstLine="480" w:firstLineChars="200"/>
        <w:rPr>
          <w:rFonts w:ascii="宋体" w:hAnsi="宋体" w:cs="宋体"/>
          <w:sz w:val="24"/>
        </w:rPr>
      </w:pPr>
      <w:r>
        <w:rPr>
          <w:rFonts w:hint="eastAsia" w:ascii="宋体" w:hAnsi="宋体" w:cs="宋体"/>
          <w:sz w:val="24"/>
        </w:rPr>
        <w:t>1.用途：样品采集</w:t>
      </w:r>
    </w:p>
    <w:p w14:paraId="3C1896D7">
      <w:pPr>
        <w:spacing w:line="360" w:lineRule="auto"/>
        <w:ind w:firstLine="480" w:firstLineChars="200"/>
        <w:rPr>
          <w:rFonts w:ascii="宋体" w:hAnsi="宋体" w:cs="宋体"/>
          <w:sz w:val="24"/>
        </w:rPr>
      </w:pPr>
      <w:r>
        <w:rPr>
          <w:rFonts w:hint="eastAsia" w:ascii="宋体" w:hAnsi="宋体" w:cs="宋体"/>
          <w:sz w:val="24"/>
        </w:rPr>
        <w:t>2.灭菌，有吸嘴，不含硫</w:t>
      </w:r>
    </w:p>
    <w:p w14:paraId="25A471D5">
      <w:pPr>
        <w:spacing w:line="360" w:lineRule="auto"/>
        <w:ind w:firstLine="480" w:firstLineChars="200"/>
        <w:rPr>
          <w:rFonts w:ascii="宋体" w:hAnsi="宋体" w:cs="宋体"/>
          <w:sz w:val="24"/>
        </w:rPr>
      </w:pPr>
      <w:r>
        <w:rPr>
          <w:rFonts w:hint="eastAsia" w:ascii="宋体" w:hAnsi="宋体" w:cs="宋体"/>
          <w:sz w:val="24"/>
        </w:rPr>
        <w:t>3.规格：1000mL，10个/包</w:t>
      </w:r>
    </w:p>
    <w:p w14:paraId="2A4F1138">
      <w:pPr>
        <w:spacing w:line="360" w:lineRule="auto"/>
        <w:ind w:firstLine="482" w:firstLineChars="200"/>
        <w:rPr>
          <w:rFonts w:ascii="宋体" w:hAnsi="宋体" w:cs="宋体"/>
          <w:b/>
          <w:bCs/>
          <w:sz w:val="24"/>
        </w:rPr>
      </w:pPr>
      <w:r>
        <w:rPr>
          <w:rFonts w:hint="eastAsia" w:ascii="宋体" w:hAnsi="宋体" w:cs="宋体"/>
          <w:b/>
          <w:bCs/>
          <w:sz w:val="24"/>
        </w:rPr>
        <w:t>标的名称162：无菌采样袋2</w:t>
      </w:r>
    </w:p>
    <w:p w14:paraId="6D9D82CF">
      <w:pPr>
        <w:spacing w:line="360" w:lineRule="auto"/>
        <w:ind w:firstLine="480" w:firstLineChars="200"/>
        <w:rPr>
          <w:rFonts w:ascii="宋体" w:hAnsi="宋体" w:cs="宋体"/>
          <w:sz w:val="24"/>
        </w:rPr>
      </w:pPr>
      <w:r>
        <w:rPr>
          <w:rFonts w:hint="eastAsia" w:ascii="宋体" w:hAnsi="宋体" w:cs="宋体"/>
          <w:sz w:val="24"/>
        </w:rPr>
        <w:t>1.用途：样品采集</w:t>
      </w:r>
    </w:p>
    <w:p w14:paraId="57946C45">
      <w:pPr>
        <w:spacing w:line="360" w:lineRule="auto"/>
        <w:ind w:firstLine="480" w:firstLineChars="200"/>
        <w:rPr>
          <w:rFonts w:ascii="宋体" w:hAnsi="宋体" w:cs="宋体"/>
          <w:sz w:val="24"/>
        </w:rPr>
      </w:pPr>
      <w:r>
        <w:rPr>
          <w:rFonts w:hint="eastAsia" w:ascii="宋体" w:hAnsi="宋体" w:cs="宋体"/>
          <w:sz w:val="24"/>
        </w:rPr>
        <w:t>2.灭菌，有吸嘴，不含硫</w:t>
      </w:r>
    </w:p>
    <w:p w14:paraId="2286DEA4">
      <w:pPr>
        <w:spacing w:line="360" w:lineRule="auto"/>
        <w:ind w:firstLine="480" w:firstLineChars="200"/>
        <w:rPr>
          <w:rFonts w:ascii="宋体" w:hAnsi="宋体" w:cs="宋体"/>
          <w:sz w:val="24"/>
        </w:rPr>
      </w:pPr>
      <w:r>
        <w:rPr>
          <w:rFonts w:hint="eastAsia" w:ascii="宋体" w:hAnsi="宋体" w:cs="宋体"/>
          <w:sz w:val="24"/>
        </w:rPr>
        <w:t>3.规格：500mL，10个/包</w:t>
      </w:r>
    </w:p>
    <w:p w14:paraId="4C52B913">
      <w:pPr>
        <w:spacing w:line="360" w:lineRule="auto"/>
        <w:ind w:firstLine="482" w:firstLineChars="200"/>
        <w:rPr>
          <w:rFonts w:ascii="宋体" w:hAnsi="宋体" w:cs="宋体"/>
          <w:b/>
          <w:bCs/>
          <w:sz w:val="24"/>
        </w:rPr>
      </w:pPr>
      <w:r>
        <w:rPr>
          <w:rFonts w:hint="eastAsia" w:ascii="宋体" w:hAnsi="宋体" w:cs="宋体"/>
          <w:b/>
          <w:bCs/>
          <w:sz w:val="24"/>
        </w:rPr>
        <w:t>标的名称163：实验用封口膜1</w:t>
      </w:r>
    </w:p>
    <w:p w14:paraId="6B720BC8">
      <w:pPr>
        <w:spacing w:line="360" w:lineRule="auto"/>
        <w:ind w:firstLine="480" w:firstLineChars="200"/>
        <w:rPr>
          <w:rFonts w:ascii="宋体" w:hAnsi="宋体" w:cs="宋体"/>
          <w:sz w:val="24"/>
        </w:rPr>
      </w:pPr>
      <w:r>
        <w:rPr>
          <w:rFonts w:hint="eastAsia" w:ascii="宋体" w:hAnsi="宋体" w:cs="宋体"/>
          <w:sz w:val="24"/>
        </w:rPr>
        <w:t>1.用途：密封标准溶液、试剂盒</w:t>
      </w:r>
    </w:p>
    <w:p w14:paraId="4B525318">
      <w:pPr>
        <w:spacing w:line="360" w:lineRule="auto"/>
        <w:ind w:firstLine="480" w:firstLineChars="200"/>
        <w:rPr>
          <w:rFonts w:ascii="宋体" w:hAnsi="宋体" w:cs="宋体"/>
          <w:sz w:val="24"/>
        </w:rPr>
      </w:pPr>
      <w:r>
        <w:rPr>
          <w:rFonts w:hint="eastAsia" w:ascii="宋体" w:hAnsi="宋体" w:cs="宋体"/>
          <w:sz w:val="24"/>
        </w:rPr>
        <w:t>2.伸缩性强、防水防湿</w:t>
      </w:r>
    </w:p>
    <w:p w14:paraId="35459173">
      <w:pPr>
        <w:spacing w:line="360" w:lineRule="auto"/>
        <w:ind w:firstLine="480" w:firstLineChars="200"/>
        <w:rPr>
          <w:rFonts w:ascii="宋体" w:hAnsi="宋体" w:cs="宋体"/>
          <w:sz w:val="24"/>
        </w:rPr>
      </w:pPr>
      <w:r>
        <w:rPr>
          <w:rFonts w:hint="eastAsia" w:ascii="宋体" w:hAnsi="宋体" w:cs="宋体"/>
          <w:sz w:val="24"/>
        </w:rPr>
        <w:t>3.规格：5cm宽*38M</w:t>
      </w:r>
    </w:p>
    <w:p w14:paraId="5BD4E51A">
      <w:pPr>
        <w:spacing w:line="360" w:lineRule="auto"/>
        <w:ind w:firstLine="482" w:firstLineChars="200"/>
        <w:rPr>
          <w:rFonts w:ascii="宋体" w:hAnsi="宋体" w:cs="宋体"/>
          <w:b/>
          <w:bCs/>
          <w:sz w:val="24"/>
        </w:rPr>
      </w:pPr>
      <w:r>
        <w:rPr>
          <w:rFonts w:hint="eastAsia" w:ascii="宋体" w:hAnsi="宋体" w:cs="宋体"/>
          <w:b/>
          <w:bCs/>
          <w:sz w:val="24"/>
        </w:rPr>
        <w:t>标的名称164：实验用封口膜2</w:t>
      </w:r>
    </w:p>
    <w:p w14:paraId="0607DC24">
      <w:pPr>
        <w:spacing w:line="360" w:lineRule="auto"/>
        <w:ind w:firstLine="480" w:firstLineChars="200"/>
        <w:rPr>
          <w:rFonts w:ascii="宋体" w:hAnsi="宋体" w:cs="宋体"/>
          <w:sz w:val="24"/>
        </w:rPr>
      </w:pPr>
      <w:r>
        <w:rPr>
          <w:rFonts w:hint="eastAsia" w:ascii="宋体" w:hAnsi="宋体" w:cs="宋体"/>
          <w:sz w:val="24"/>
        </w:rPr>
        <w:t>1.用途：密封标准溶液、试剂盒</w:t>
      </w:r>
    </w:p>
    <w:p w14:paraId="48B38139">
      <w:pPr>
        <w:spacing w:line="360" w:lineRule="auto"/>
        <w:ind w:firstLine="480" w:firstLineChars="200"/>
        <w:rPr>
          <w:rFonts w:ascii="宋体" w:hAnsi="宋体" w:cs="宋体"/>
          <w:sz w:val="24"/>
        </w:rPr>
      </w:pPr>
      <w:r>
        <w:rPr>
          <w:rFonts w:hint="eastAsia" w:ascii="宋体" w:hAnsi="宋体" w:cs="宋体"/>
          <w:sz w:val="24"/>
        </w:rPr>
        <w:t>2.伸缩性强、防水防湿</w:t>
      </w:r>
    </w:p>
    <w:p w14:paraId="5994FEE7">
      <w:pPr>
        <w:spacing w:line="360" w:lineRule="auto"/>
        <w:ind w:firstLine="480" w:firstLineChars="200"/>
        <w:rPr>
          <w:rFonts w:ascii="宋体" w:hAnsi="宋体" w:cs="宋体"/>
          <w:sz w:val="24"/>
        </w:rPr>
      </w:pPr>
      <w:r>
        <w:rPr>
          <w:rFonts w:hint="eastAsia" w:ascii="宋体" w:hAnsi="宋体" w:cs="宋体"/>
          <w:sz w:val="24"/>
        </w:rPr>
        <w:t>3.规格：10cm宽*38M</w:t>
      </w:r>
    </w:p>
    <w:p w14:paraId="7276479F">
      <w:pPr>
        <w:spacing w:line="360" w:lineRule="auto"/>
        <w:ind w:firstLine="482" w:firstLineChars="200"/>
        <w:rPr>
          <w:rFonts w:ascii="宋体" w:hAnsi="宋体" w:cs="宋体"/>
          <w:b/>
          <w:bCs/>
          <w:sz w:val="24"/>
        </w:rPr>
      </w:pPr>
      <w:r>
        <w:rPr>
          <w:rFonts w:hint="eastAsia" w:ascii="宋体" w:hAnsi="宋体" w:cs="宋体"/>
          <w:b/>
          <w:bCs/>
          <w:sz w:val="24"/>
        </w:rPr>
        <w:t>标的名称165：无尘吸水纸</w:t>
      </w:r>
    </w:p>
    <w:p w14:paraId="7DCEC743">
      <w:pPr>
        <w:spacing w:line="360" w:lineRule="auto"/>
        <w:ind w:firstLine="480" w:firstLineChars="200"/>
        <w:rPr>
          <w:rFonts w:ascii="宋体" w:hAnsi="宋体" w:cs="宋体"/>
          <w:sz w:val="24"/>
        </w:rPr>
      </w:pPr>
      <w:r>
        <w:rPr>
          <w:rFonts w:hint="eastAsia" w:ascii="宋体" w:hAnsi="宋体" w:cs="宋体"/>
          <w:sz w:val="24"/>
        </w:rPr>
        <w:t>1.用途：精密仪器擦拭清洁</w:t>
      </w:r>
    </w:p>
    <w:p w14:paraId="7910D34E">
      <w:pPr>
        <w:spacing w:line="360" w:lineRule="auto"/>
        <w:ind w:firstLine="480" w:firstLineChars="200"/>
        <w:rPr>
          <w:rFonts w:ascii="宋体" w:hAnsi="宋体" w:cs="宋体"/>
          <w:sz w:val="24"/>
        </w:rPr>
      </w:pPr>
      <w:r>
        <w:rPr>
          <w:rFonts w:hint="eastAsia" w:ascii="宋体" w:hAnsi="宋体" w:cs="宋体"/>
          <w:sz w:val="24"/>
        </w:rPr>
        <w:t>2.低掉尘、防静电、强吸收、不易破</w:t>
      </w:r>
    </w:p>
    <w:p w14:paraId="3B8D2E91">
      <w:pPr>
        <w:spacing w:line="360" w:lineRule="auto"/>
        <w:ind w:firstLine="480" w:firstLineChars="200"/>
        <w:rPr>
          <w:rFonts w:ascii="宋体" w:hAnsi="宋体" w:cs="宋体"/>
          <w:sz w:val="24"/>
        </w:rPr>
      </w:pPr>
      <w:r>
        <w:rPr>
          <w:rFonts w:hint="eastAsia" w:ascii="宋体" w:hAnsi="宋体" w:cs="宋体"/>
          <w:sz w:val="24"/>
        </w:rPr>
        <w:t>3.规格：12cm*19cm</w:t>
      </w:r>
    </w:p>
    <w:p w14:paraId="51C74EDF">
      <w:pPr>
        <w:spacing w:line="360" w:lineRule="auto"/>
        <w:ind w:firstLine="482" w:firstLineChars="200"/>
        <w:rPr>
          <w:rFonts w:ascii="宋体" w:hAnsi="宋体" w:cs="宋体"/>
          <w:b/>
          <w:bCs/>
          <w:sz w:val="24"/>
        </w:rPr>
      </w:pPr>
      <w:r>
        <w:rPr>
          <w:rFonts w:hint="eastAsia" w:ascii="宋体" w:hAnsi="宋体" w:cs="宋体"/>
          <w:b/>
          <w:bCs/>
          <w:sz w:val="24"/>
        </w:rPr>
        <w:t>标的名称166：二氧化氯标准溶液(以有效氯计)</w:t>
      </w:r>
    </w:p>
    <w:p w14:paraId="3D30AC71">
      <w:pPr>
        <w:spacing w:line="360" w:lineRule="auto"/>
        <w:ind w:firstLine="480" w:firstLineChars="200"/>
        <w:rPr>
          <w:rFonts w:ascii="宋体" w:hAnsi="宋体" w:cs="宋体"/>
          <w:sz w:val="24"/>
        </w:rPr>
      </w:pPr>
      <w:r>
        <w:rPr>
          <w:rFonts w:hint="eastAsia" w:ascii="宋体" w:hAnsi="宋体" w:cs="宋体"/>
          <w:sz w:val="24"/>
        </w:rPr>
        <w:t>1.用途：可作为工作标准用于日常分析和检测，也可用于检测方法评价和仪器校准等实验室质量控制。适用于《GB/T5750.11-2023生活饮用水标准检验方法第11部分：消毒剂指标》的分析和检测。</w:t>
      </w:r>
    </w:p>
    <w:p w14:paraId="469B321D">
      <w:pPr>
        <w:spacing w:line="360" w:lineRule="auto"/>
        <w:ind w:firstLine="480" w:firstLineChars="200"/>
        <w:rPr>
          <w:rFonts w:ascii="宋体" w:hAnsi="宋体" w:cs="宋体"/>
          <w:sz w:val="24"/>
        </w:rPr>
      </w:pPr>
      <w:r>
        <w:rPr>
          <w:rFonts w:hint="eastAsia" w:ascii="宋体" w:hAnsi="宋体" w:cs="宋体"/>
          <w:sz w:val="24"/>
        </w:rPr>
        <w:t>2.制备：以纯度经准确定值的二氧化氯和符合国家⼀级⽔标准的纯⽔为原料,在(20±3)℃的条件下采用重量-容量法准确配制而成。</w:t>
      </w:r>
    </w:p>
    <w:p w14:paraId="7B68E96B">
      <w:pPr>
        <w:spacing w:line="360" w:lineRule="auto"/>
        <w:ind w:firstLine="480" w:firstLineChars="200"/>
        <w:rPr>
          <w:rFonts w:ascii="宋体" w:hAnsi="宋体" w:cs="宋体"/>
          <w:sz w:val="24"/>
        </w:rPr>
      </w:pPr>
      <w:r>
        <w:rPr>
          <w:rFonts w:hint="eastAsia" w:ascii="宋体" w:hAnsi="宋体" w:cs="宋体"/>
          <w:sz w:val="24"/>
        </w:rPr>
        <w:t>3.有证标准溶液：二氧化氯标准值1000mg/L（以有效氯计），相对扩展不确定度5(%)(k=2)，附标物证书。</w:t>
      </w:r>
    </w:p>
    <w:p w14:paraId="2B2FD1A9">
      <w:pPr>
        <w:spacing w:line="360" w:lineRule="auto"/>
        <w:ind w:firstLine="480" w:firstLineChars="200"/>
        <w:rPr>
          <w:rFonts w:ascii="宋体" w:hAnsi="宋体" w:cs="宋体"/>
          <w:sz w:val="24"/>
        </w:rPr>
      </w:pPr>
      <w:r>
        <w:rPr>
          <w:rFonts w:hint="eastAsia" w:ascii="宋体" w:hAnsi="宋体" w:cs="宋体"/>
          <w:sz w:val="24"/>
        </w:rPr>
        <w:t>4.规格：BW20074-1000-100，棕色玻璃瓶包装，100mL/瓶。</w:t>
      </w:r>
    </w:p>
    <w:p w14:paraId="68E73818">
      <w:pPr>
        <w:spacing w:line="360" w:lineRule="auto"/>
        <w:ind w:firstLine="482" w:firstLineChars="200"/>
        <w:rPr>
          <w:rFonts w:ascii="宋体" w:hAnsi="宋体" w:cs="宋体"/>
          <w:b/>
          <w:bCs/>
          <w:sz w:val="24"/>
        </w:rPr>
      </w:pPr>
      <w:r>
        <w:rPr>
          <w:rFonts w:hint="eastAsia" w:ascii="宋体" w:hAnsi="宋体" w:cs="宋体"/>
          <w:b/>
          <w:bCs/>
          <w:sz w:val="24"/>
        </w:rPr>
        <w:t>标的名称167：臭氧标准溶液</w:t>
      </w:r>
    </w:p>
    <w:p w14:paraId="0BD8A267">
      <w:pPr>
        <w:spacing w:line="360" w:lineRule="auto"/>
        <w:ind w:firstLine="480" w:firstLineChars="200"/>
        <w:rPr>
          <w:rFonts w:ascii="宋体" w:hAnsi="宋体" w:cs="宋体"/>
          <w:sz w:val="24"/>
        </w:rPr>
      </w:pPr>
      <w:r>
        <w:rPr>
          <w:rFonts w:hint="eastAsia" w:ascii="宋体" w:hAnsi="宋体" w:cs="宋体"/>
          <w:sz w:val="24"/>
        </w:rPr>
        <w:t>1.用途：可作为工作标准用于日常分析和检测，也可用于检测方法评价和仪器校准等实验室质量控制。</w:t>
      </w:r>
    </w:p>
    <w:p w14:paraId="65DE1D92">
      <w:pPr>
        <w:spacing w:line="360" w:lineRule="auto"/>
        <w:ind w:firstLine="480" w:firstLineChars="200"/>
        <w:rPr>
          <w:rFonts w:ascii="宋体" w:hAnsi="宋体" w:cs="宋体"/>
          <w:sz w:val="24"/>
        </w:rPr>
      </w:pPr>
      <w:r>
        <w:rPr>
          <w:rFonts w:hint="eastAsia" w:ascii="宋体" w:hAnsi="宋体" w:cs="宋体"/>
          <w:sz w:val="24"/>
        </w:rPr>
        <w:t>2.制备：以纯度经准确定值的碘化钾、碘酸钾、硫酸和符合国家一级水标准的纯水为原料,在(20±3)℃的条件下采用重量-容量法准确配制而成。</w:t>
      </w:r>
    </w:p>
    <w:p w14:paraId="0C55FCDA">
      <w:pPr>
        <w:spacing w:line="360" w:lineRule="auto"/>
        <w:ind w:firstLine="480" w:firstLineChars="200"/>
        <w:rPr>
          <w:rFonts w:ascii="宋体" w:hAnsi="宋体" w:cs="宋体"/>
          <w:sz w:val="24"/>
        </w:rPr>
      </w:pPr>
      <w:r>
        <w:rPr>
          <w:rFonts w:hint="eastAsia" w:ascii="宋体" w:hAnsi="宋体" w:cs="宋体"/>
          <w:sz w:val="24"/>
        </w:rPr>
        <w:t>3.有证标准溶液：臭氧标准值240mg/L（以臭氧计），相对扩展不确定度5(%)(k=2)，附标物证书。</w:t>
      </w:r>
    </w:p>
    <w:p w14:paraId="5E9EF437">
      <w:pPr>
        <w:spacing w:line="360" w:lineRule="auto"/>
        <w:ind w:firstLine="480" w:firstLineChars="200"/>
        <w:rPr>
          <w:rFonts w:ascii="宋体" w:hAnsi="宋体" w:cs="宋体"/>
          <w:sz w:val="24"/>
        </w:rPr>
      </w:pPr>
      <w:r>
        <w:rPr>
          <w:rFonts w:hint="eastAsia" w:ascii="宋体" w:hAnsi="宋体" w:cs="宋体"/>
          <w:sz w:val="24"/>
        </w:rPr>
        <w:t>4.规格：BW20075-240-100，棕色玻璃瓶包装，100mL/瓶。</w:t>
      </w:r>
    </w:p>
    <w:p w14:paraId="27CFDEEB">
      <w:pPr>
        <w:spacing w:line="360" w:lineRule="auto"/>
        <w:ind w:firstLine="482" w:firstLineChars="200"/>
        <w:rPr>
          <w:rFonts w:ascii="宋体" w:hAnsi="宋体" w:cs="宋体"/>
          <w:b/>
          <w:bCs/>
          <w:sz w:val="24"/>
        </w:rPr>
      </w:pPr>
      <w:r>
        <w:rPr>
          <w:rFonts w:hint="eastAsia" w:ascii="宋体" w:hAnsi="宋体" w:cs="宋体"/>
          <w:b/>
          <w:bCs/>
          <w:sz w:val="24"/>
        </w:rPr>
        <w:t>标的名称168：模拟游离余氯标准溶液</w:t>
      </w:r>
    </w:p>
    <w:p w14:paraId="718763A5">
      <w:pPr>
        <w:spacing w:line="360" w:lineRule="auto"/>
        <w:ind w:firstLine="480" w:firstLineChars="200"/>
        <w:rPr>
          <w:rFonts w:ascii="宋体" w:hAnsi="宋体" w:cs="宋体"/>
          <w:sz w:val="24"/>
        </w:rPr>
      </w:pPr>
      <w:r>
        <w:rPr>
          <w:rFonts w:hint="eastAsia" w:ascii="宋体" w:hAnsi="宋体" w:cs="宋体"/>
          <w:sz w:val="24"/>
        </w:rPr>
        <w:t>1.用途：可用于下一级标准物质的量值溯源或作为模拟游离余氯标准储备溶液，通过逐级稀释配制成工作用标准溶液，用于余氯测定仪的校准、分析方法确认与评价、测量过程质量控制等。</w:t>
      </w:r>
    </w:p>
    <w:p w14:paraId="2E4BA134">
      <w:pPr>
        <w:spacing w:line="360" w:lineRule="auto"/>
        <w:ind w:firstLine="480" w:firstLineChars="200"/>
        <w:rPr>
          <w:rFonts w:ascii="宋体" w:hAnsi="宋体" w:cs="宋体"/>
          <w:sz w:val="24"/>
        </w:rPr>
      </w:pPr>
      <w:r>
        <w:rPr>
          <w:rFonts w:hint="eastAsia" w:ascii="宋体" w:hAnsi="宋体" w:cs="宋体"/>
          <w:sz w:val="24"/>
        </w:rPr>
        <w:t>2.制备：以高纯碘和碘化钾固体试剂为原料，以三次纯化水（反渗透-离子交换-石英蒸馏器蒸馏）溶解、稀释，在室温为(20±2)℃的洁净室中以重量法准确配制而成，分装后进行高温高压灭菌处理。</w:t>
      </w:r>
    </w:p>
    <w:p w14:paraId="63B10ECB">
      <w:pPr>
        <w:spacing w:line="360" w:lineRule="auto"/>
        <w:ind w:firstLine="480" w:firstLineChars="200"/>
        <w:rPr>
          <w:rFonts w:ascii="宋体" w:hAnsi="宋体" w:cs="宋体"/>
          <w:sz w:val="24"/>
        </w:rPr>
      </w:pPr>
      <w:r>
        <w:rPr>
          <w:rFonts w:hint="eastAsia" w:ascii="宋体" w:hAnsi="宋体" w:cs="宋体"/>
          <w:sz w:val="24"/>
        </w:rPr>
        <w:t>3.国家级有证标准溶液：游离余氯标准值48.8mg/L（各批次标准值略有不同，以证书为准），相对扩展不确定度1.1(%)(k=2)，附标物证书。</w:t>
      </w:r>
    </w:p>
    <w:p w14:paraId="52B48962">
      <w:pPr>
        <w:spacing w:line="360" w:lineRule="auto"/>
        <w:ind w:firstLine="480" w:firstLineChars="200"/>
        <w:rPr>
          <w:rFonts w:ascii="宋体" w:hAnsi="宋体" w:cs="宋体"/>
          <w:sz w:val="24"/>
        </w:rPr>
      </w:pPr>
      <w:r>
        <w:rPr>
          <w:rFonts w:hint="eastAsia" w:ascii="宋体" w:hAnsi="宋体" w:cs="宋体"/>
          <w:sz w:val="24"/>
        </w:rPr>
        <w:t>4.规格：GBW(E)085500，以安瓿瓶分装，外套黑色塑料袋，每瓶20mL。</w:t>
      </w:r>
    </w:p>
    <w:p w14:paraId="0F51936E">
      <w:pPr>
        <w:spacing w:line="360" w:lineRule="auto"/>
        <w:ind w:firstLine="482" w:firstLineChars="200"/>
        <w:rPr>
          <w:rFonts w:ascii="宋体" w:hAnsi="宋体" w:cs="宋体"/>
          <w:b/>
          <w:bCs/>
          <w:sz w:val="24"/>
        </w:rPr>
      </w:pPr>
      <w:r>
        <w:rPr>
          <w:rFonts w:hint="eastAsia" w:ascii="宋体" w:hAnsi="宋体" w:cs="宋体"/>
          <w:b/>
          <w:bCs/>
          <w:sz w:val="24"/>
        </w:rPr>
        <w:t>标的名称169：水中总余氯标准溶液</w:t>
      </w:r>
    </w:p>
    <w:p w14:paraId="623602A5">
      <w:pPr>
        <w:spacing w:line="360" w:lineRule="auto"/>
        <w:ind w:firstLine="480" w:firstLineChars="200"/>
        <w:rPr>
          <w:rFonts w:ascii="宋体" w:hAnsi="宋体" w:cs="宋体"/>
          <w:sz w:val="24"/>
        </w:rPr>
      </w:pPr>
      <w:r>
        <w:rPr>
          <w:rFonts w:hint="eastAsia" w:ascii="宋体" w:hAnsi="宋体" w:cs="宋体"/>
          <w:sz w:val="24"/>
        </w:rPr>
        <w:t>1.用途：可用于下一级标准物质的量值溯源或作为余氯标准储备溶液，通过逐级稀释配制成工作用标准溶液，用于余氯测定仪的校准、分析方法确认与评价、测量过程质量控制等。</w:t>
      </w:r>
    </w:p>
    <w:p w14:paraId="59426DFB">
      <w:pPr>
        <w:spacing w:line="360" w:lineRule="auto"/>
        <w:ind w:firstLine="480" w:firstLineChars="200"/>
        <w:rPr>
          <w:rFonts w:ascii="宋体" w:hAnsi="宋体" w:cs="宋体"/>
          <w:sz w:val="24"/>
        </w:rPr>
      </w:pPr>
      <w:r>
        <w:rPr>
          <w:rFonts w:hint="eastAsia" w:ascii="宋体" w:hAnsi="宋体" w:cs="宋体"/>
          <w:sz w:val="24"/>
        </w:rPr>
        <w:t>2.制备：以氯胺为原料，以三次纯化水（反渗透-离子交换-石英蒸馏器蒸馏）溶解、稀释，在室温为(20±2)℃的洁净室中以重量法准确配制而成。</w:t>
      </w:r>
    </w:p>
    <w:p w14:paraId="3928F001">
      <w:pPr>
        <w:spacing w:line="360" w:lineRule="auto"/>
        <w:ind w:firstLine="480" w:firstLineChars="200"/>
        <w:rPr>
          <w:rFonts w:ascii="宋体" w:hAnsi="宋体" w:cs="宋体"/>
          <w:sz w:val="24"/>
        </w:rPr>
      </w:pPr>
      <w:r>
        <w:rPr>
          <w:rFonts w:hint="eastAsia" w:ascii="宋体" w:hAnsi="宋体" w:cs="宋体"/>
          <w:sz w:val="24"/>
        </w:rPr>
        <w:t>3.国家级有证标准溶液：总余氯标准值500mg/L，相对扩展不确定度0.4(%)(k=2)，附标物证书</w:t>
      </w:r>
    </w:p>
    <w:p w14:paraId="15D3120B">
      <w:pPr>
        <w:spacing w:line="360" w:lineRule="auto"/>
        <w:ind w:firstLine="480" w:firstLineChars="200"/>
        <w:rPr>
          <w:rFonts w:ascii="宋体" w:hAnsi="宋体" w:cs="宋体"/>
          <w:sz w:val="24"/>
        </w:rPr>
      </w:pPr>
      <w:r>
        <w:rPr>
          <w:rFonts w:hint="eastAsia" w:ascii="宋体" w:hAnsi="宋体" w:cs="宋体"/>
          <w:sz w:val="24"/>
        </w:rPr>
        <w:t>4.规格：GBW(E)085501，以安瓿瓶分装，外套黑色塑料袋，每瓶20mL。</w:t>
      </w:r>
    </w:p>
    <w:p w14:paraId="4B3FB4D1">
      <w:pPr>
        <w:spacing w:line="360" w:lineRule="auto"/>
        <w:ind w:firstLine="482" w:firstLineChars="200"/>
        <w:rPr>
          <w:rFonts w:ascii="宋体" w:hAnsi="宋体" w:cs="宋体"/>
          <w:b/>
          <w:bCs/>
          <w:sz w:val="24"/>
        </w:rPr>
      </w:pPr>
      <w:r>
        <w:rPr>
          <w:rFonts w:hint="eastAsia" w:ascii="宋体" w:hAnsi="宋体" w:cs="宋体"/>
          <w:b/>
          <w:bCs/>
          <w:sz w:val="24"/>
        </w:rPr>
        <w:t>标的名称170：农药残留速测卡</w:t>
      </w:r>
    </w:p>
    <w:p w14:paraId="4CC5EC25">
      <w:pPr>
        <w:spacing w:line="360" w:lineRule="auto"/>
        <w:ind w:firstLine="480" w:firstLineChars="200"/>
        <w:rPr>
          <w:rFonts w:ascii="宋体" w:hAnsi="宋体" w:cs="宋体"/>
          <w:sz w:val="24"/>
        </w:rPr>
      </w:pPr>
      <w:r>
        <w:rPr>
          <w:rFonts w:hint="eastAsia" w:ascii="宋体" w:hAnsi="宋体" w:cs="宋体"/>
          <w:sz w:val="24"/>
        </w:rPr>
        <w:t>1.标准及技术依据：符合GB/T5009.199-2003《蔬菜中有机磷和氨基甲酸酯类农药残留量的快速检测》的快速筛查原理和适用范围。</w:t>
      </w:r>
    </w:p>
    <w:p w14:paraId="411E16F9">
      <w:pPr>
        <w:spacing w:line="360" w:lineRule="auto"/>
        <w:ind w:firstLine="480" w:firstLineChars="200"/>
        <w:rPr>
          <w:rFonts w:ascii="宋体" w:hAnsi="宋体" w:cs="宋体"/>
          <w:sz w:val="24"/>
        </w:rPr>
      </w:pPr>
      <w:r>
        <w:rPr>
          <w:rFonts w:hint="eastAsia" w:ascii="宋体" w:hAnsi="宋体" w:cs="宋体"/>
          <w:sz w:val="24"/>
        </w:rPr>
        <w:t>2.规格：20片/包；配套浸提液可按产品配置另行配备。</w:t>
      </w:r>
    </w:p>
    <w:p w14:paraId="4DB421BB">
      <w:pPr>
        <w:spacing w:line="360" w:lineRule="auto"/>
        <w:ind w:firstLine="480" w:firstLineChars="200"/>
        <w:rPr>
          <w:rFonts w:ascii="宋体" w:hAnsi="宋体" w:cs="宋体"/>
          <w:sz w:val="24"/>
        </w:rPr>
      </w:pPr>
      <w:r>
        <w:rPr>
          <w:rFonts w:hint="eastAsia" w:ascii="宋体" w:hAnsi="宋体" w:cs="宋体"/>
          <w:sz w:val="24"/>
        </w:rPr>
        <w:t>3.用途：用于蔬菜、水果等样品中有机磷和氨基甲酸酯类农药残留的现场快速筛查，也可用于可疑投毒物和中毒残留物的初步筛查。</w:t>
      </w:r>
    </w:p>
    <w:p w14:paraId="1CC21639">
      <w:pPr>
        <w:spacing w:line="360" w:lineRule="auto"/>
        <w:ind w:firstLine="482" w:firstLineChars="200"/>
        <w:rPr>
          <w:rFonts w:ascii="宋体" w:hAnsi="宋体" w:cs="宋体"/>
          <w:b/>
          <w:bCs/>
          <w:sz w:val="24"/>
        </w:rPr>
      </w:pPr>
      <w:r>
        <w:rPr>
          <w:rFonts w:hint="eastAsia" w:ascii="宋体" w:hAnsi="宋体" w:cs="宋体"/>
          <w:b/>
          <w:bCs/>
          <w:sz w:val="24"/>
        </w:rPr>
        <w:t>标的名称171：水中氨氮速测管</w:t>
      </w:r>
    </w:p>
    <w:p w14:paraId="3045C4E0">
      <w:pPr>
        <w:spacing w:line="360" w:lineRule="auto"/>
        <w:ind w:firstLine="480" w:firstLineChars="200"/>
        <w:rPr>
          <w:rFonts w:ascii="宋体" w:hAnsi="宋体" w:cs="宋体"/>
          <w:sz w:val="24"/>
        </w:rPr>
      </w:pPr>
      <w:r>
        <w:rPr>
          <w:rFonts w:hint="eastAsia" w:ascii="宋体" w:hAnsi="宋体" w:cs="宋体"/>
          <w:sz w:val="24"/>
        </w:rPr>
        <w:t>1.标准及技术依据：相关依据为GB5749-2022《生活饮用水卫生标准》。</w:t>
      </w:r>
    </w:p>
    <w:p w14:paraId="62CF4459">
      <w:pPr>
        <w:spacing w:line="360" w:lineRule="auto"/>
        <w:ind w:firstLine="480" w:firstLineChars="200"/>
        <w:rPr>
          <w:rFonts w:ascii="宋体" w:hAnsi="宋体" w:cs="宋体"/>
          <w:sz w:val="24"/>
        </w:rPr>
      </w:pPr>
      <w:r>
        <w:rPr>
          <w:rFonts w:hint="eastAsia" w:ascii="宋体" w:hAnsi="宋体" w:cs="宋体"/>
          <w:sz w:val="24"/>
        </w:rPr>
        <w:t>2.规格：20次检测用量/包。</w:t>
      </w:r>
    </w:p>
    <w:p w14:paraId="4C07A2C0">
      <w:pPr>
        <w:spacing w:line="360" w:lineRule="auto"/>
        <w:ind w:firstLine="480" w:firstLineChars="200"/>
        <w:rPr>
          <w:rFonts w:ascii="宋体" w:hAnsi="宋体" w:cs="宋体"/>
          <w:sz w:val="24"/>
        </w:rPr>
      </w:pPr>
      <w:r>
        <w:rPr>
          <w:rFonts w:hint="eastAsia" w:ascii="宋体" w:hAnsi="宋体" w:cs="宋体"/>
          <w:sz w:val="24"/>
        </w:rPr>
        <w:t>3.用途：用于生活饮用水、水源水等水样中氨氮（以N计）的现场快速半定量检测。</w:t>
      </w:r>
    </w:p>
    <w:p w14:paraId="0C462D28">
      <w:pPr>
        <w:spacing w:line="360" w:lineRule="auto"/>
        <w:ind w:firstLine="482" w:firstLineChars="200"/>
        <w:rPr>
          <w:rFonts w:ascii="宋体" w:hAnsi="宋体" w:cs="宋体"/>
          <w:b/>
          <w:bCs/>
          <w:sz w:val="24"/>
        </w:rPr>
      </w:pPr>
      <w:r>
        <w:rPr>
          <w:rFonts w:hint="eastAsia" w:ascii="宋体" w:hAnsi="宋体" w:cs="宋体"/>
          <w:b/>
          <w:bCs/>
          <w:sz w:val="24"/>
        </w:rPr>
        <w:t>标的名称172：水中甲醛速测盒</w:t>
      </w:r>
    </w:p>
    <w:p w14:paraId="3353DF5F">
      <w:pPr>
        <w:spacing w:line="360" w:lineRule="auto"/>
        <w:ind w:firstLine="480" w:firstLineChars="200"/>
        <w:rPr>
          <w:rFonts w:ascii="宋体" w:hAnsi="宋体" w:cs="宋体"/>
          <w:sz w:val="24"/>
        </w:rPr>
      </w:pPr>
      <w:r>
        <w:rPr>
          <w:rFonts w:hint="eastAsia" w:ascii="宋体" w:hAnsi="宋体" w:cs="宋体"/>
          <w:sz w:val="24"/>
        </w:rPr>
        <w:t>1.标准及技术依据：相关依据为GB5749-2022《生活饮用水卫生标准》。</w:t>
      </w:r>
    </w:p>
    <w:p w14:paraId="24F3A8D7">
      <w:pPr>
        <w:spacing w:line="360" w:lineRule="auto"/>
        <w:ind w:firstLine="480" w:firstLineChars="200"/>
        <w:rPr>
          <w:rFonts w:ascii="宋体" w:hAnsi="宋体" w:cs="宋体"/>
          <w:sz w:val="24"/>
        </w:rPr>
      </w:pPr>
      <w:r>
        <w:rPr>
          <w:rFonts w:hint="eastAsia" w:ascii="宋体" w:hAnsi="宋体" w:cs="宋体"/>
          <w:sz w:val="24"/>
        </w:rPr>
        <w:t>2.规格：约50次试剂用量/盒。</w:t>
      </w:r>
    </w:p>
    <w:p w14:paraId="385220FF">
      <w:pPr>
        <w:spacing w:line="360" w:lineRule="auto"/>
        <w:ind w:firstLine="480" w:firstLineChars="200"/>
        <w:rPr>
          <w:rFonts w:ascii="宋体" w:hAnsi="宋体" w:cs="宋体"/>
          <w:sz w:val="24"/>
        </w:rPr>
      </w:pPr>
      <w:r>
        <w:rPr>
          <w:rFonts w:hint="eastAsia" w:ascii="宋体" w:hAnsi="宋体" w:cs="宋体"/>
          <w:sz w:val="24"/>
        </w:rPr>
        <w:t>3.用途：用于生活饮用水及其他清洁水样中甲醛的现场快速半定量检测。</w:t>
      </w:r>
    </w:p>
    <w:p w14:paraId="0B460537">
      <w:pPr>
        <w:spacing w:line="360" w:lineRule="auto"/>
        <w:ind w:firstLine="482" w:firstLineChars="200"/>
        <w:rPr>
          <w:rFonts w:ascii="宋体" w:hAnsi="宋体" w:cs="宋体"/>
          <w:b/>
          <w:bCs/>
          <w:sz w:val="24"/>
        </w:rPr>
      </w:pPr>
      <w:r>
        <w:rPr>
          <w:rFonts w:hint="eastAsia" w:ascii="宋体" w:hAnsi="宋体" w:cs="宋体"/>
          <w:b/>
          <w:bCs/>
          <w:sz w:val="24"/>
        </w:rPr>
        <w:t>标的名称173：水质总硬度速测盒</w:t>
      </w:r>
    </w:p>
    <w:p w14:paraId="7205D778">
      <w:pPr>
        <w:spacing w:line="360" w:lineRule="auto"/>
        <w:ind w:firstLine="480" w:firstLineChars="200"/>
        <w:rPr>
          <w:rFonts w:ascii="宋体" w:hAnsi="宋体" w:cs="宋体"/>
          <w:sz w:val="24"/>
        </w:rPr>
      </w:pPr>
      <w:r>
        <w:rPr>
          <w:rFonts w:hint="eastAsia" w:ascii="宋体" w:hAnsi="宋体" w:cs="宋体"/>
          <w:sz w:val="24"/>
        </w:rPr>
        <w:t>1.标准及技术依据：相关依据为GB5749-2022；天然矿泉水检测可参考GB8538-2022。</w:t>
      </w:r>
    </w:p>
    <w:p w14:paraId="06F74D78">
      <w:pPr>
        <w:spacing w:line="360" w:lineRule="auto"/>
        <w:ind w:firstLine="480" w:firstLineChars="200"/>
        <w:rPr>
          <w:rFonts w:ascii="宋体" w:hAnsi="宋体" w:cs="宋体"/>
          <w:sz w:val="24"/>
        </w:rPr>
      </w:pPr>
      <w:r>
        <w:rPr>
          <w:rFonts w:hint="eastAsia" w:ascii="宋体" w:hAnsi="宋体" w:cs="宋体"/>
          <w:sz w:val="24"/>
        </w:rPr>
        <w:t>2.规格：约50次试剂用量/盒。</w:t>
      </w:r>
    </w:p>
    <w:p w14:paraId="210C5D74">
      <w:pPr>
        <w:spacing w:line="360" w:lineRule="auto"/>
        <w:ind w:firstLine="480" w:firstLineChars="200"/>
        <w:rPr>
          <w:rFonts w:ascii="宋体" w:hAnsi="宋体" w:cs="宋体"/>
          <w:sz w:val="24"/>
        </w:rPr>
      </w:pPr>
      <w:r>
        <w:rPr>
          <w:rFonts w:hint="eastAsia" w:ascii="宋体" w:hAnsi="宋体" w:cs="宋体"/>
          <w:sz w:val="24"/>
        </w:rPr>
        <w:t>3.用途：用于饮用水、水源水及天然矿泉水中总硬度的现场快速半定量检测，结果以CaCO3计。</w:t>
      </w:r>
    </w:p>
    <w:p w14:paraId="2896131C">
      <w:pPr>
        <w:spacing w:line="360" w:lineRule="auto"/>
        <w:ind w:firstLine="482" w:firstLineChars="200"/>
        <w:rPr>
          <w:rFonts w:ascii="宋体" w:hAnsi="宋体" w:cs="宋体"/>
          <w:b/>
          <w:bCs/>
          <w:sz w:val="24"/>
        </w:rPr>
      </w:pPr>
      <w:r>
        <w:rPr>
          <w:rFonts w:hint="eastAsia" w:ascii="宋体" w:hAnsi="宋体" w:cs="宋体"/>
          <w:b/>
          <w:bCs/>
          <w:sz w:val="24"/>
        </w:rPr>
        <w:t>标的名称174：水中毒鼠强速测管</w:t>
      </w:r>
    </w:p>
    <w:p w14:paraId="6B582424">
      <w:pPr>
        <w:spacing w:line="360" w:lineRule="auto"/>
        <w:ind w:firstLine="480" w:firstLineChars="200"/>
        <w:rPr>
          <w:rFonts w:ascii="宋体" w:hAnsi="宋体" w:cs="宋体"/>
          <w:sz w:val="24"/>
        </w:rPr>
      </w:pPr>
      <w:r>
        <w:rPr>
          <w:rFonts w:hint="eastAsia" w:ascii="宋体" w:hAnsi="宋体" w:cs="宋体"/>
          <w:sz w:val="24"/>
        </w:rPr>
        <w:t>1.标准及技术依据：技术依据为产品方法CDC-1022。现行生活饮用水标准未规定该速测管方法，产品仅用于应急初筛；阳性或可疑结果应采用气相色谱质谱等方法确证。</w:t>
      </w:r>
    </w:p>
    <w:p w14:paraId="4DF6F45B">
      <w:pPr>
        <w:spacing w:line="360" w:lineRule="auto"/>
        <w:ind w:firstLine="480" w:firstLineChars="200"/>
        <w:rPr>
          <w:rFonts w:ascii="宋体" w:hAnsi="宋体" w:cs="宋体"/>
          <w:sz w:val="24"/>
        </w:rPr>
      </w:pPr>
      <w:r>
        <w:rPr>
          <w:rFonts w:hint="eastAsia" w:ascii="宋体" w:hAnsi="宋体" w:cs="宋体"/>
          <w:sz w:val="24"/>
        </w:rPr>
        <w:t>2.规格：30份样品用量/包。</w:t>
      </w:r>
    </w:p>
    <w:p w14:paraId="3E1F9774">
      <w:pPr>
        <w:spacing w:line="360" w:lineRule="auto"/>
        <w:ind w:firstLine="480" w:firstLineChars="200"/>
        <w:rPr>
          <w:rFonts w:ascii="宋体" w:hAnsi="宋体" w:cs="宋体"/>
          <w:sz w:val="24"/>
        </w:rPr>
      </w:pPr>
      <w:r>
        <w:rPr>
          <w:rFonts w:hint="eastAsia" w:ascii="宋体" w:hAnsi="宋体" w:cs="宋体"/>
          <w:sz w:val="24"/>
        </w:rPr>
        <w:t>3.用途：用于专业人员对饮用水、无色液体、食品及中毒残留物中毒鼠强的现场快速筛查。</w:t>
      </w:r>
    </w:p>
    <w:p w14:paraId="3C74E884">
      <w:pPr>
        <w:spacing w:line="360" w:lineRule="auto"/>
        <w:ind w:firstLine="482" w:firstLineChars="200"/>
        <w:rPr>
          <w:rFonts w:ascii="宋体" w:hAnsi="宋体" w:cs="宋体"/>
          <w:b/>
          <w:bCs/>
          <w:sz w:val="24"/>
        </w:rPr>
      </w:pPr>
      <w:r>
        <w:rPr>
          <w:rFonts w:hint="eastAsia" w:ascii="宋体" w:hAnsi="宋体" w:cs="宋体"/>
          <w:b/>
          <w:bCs/>
          <w:sz w:val="24"/>
        </w:rPr>
        <w:t>标的名称175：水中硝酸盐速测管</w:t>
      </w:r>
    </w:p>
    <w:p w14:paraId="510EAF42">
      <w:pPr>
        <w:spacing w:line="360" w:lineRule="auto"/>
        <w:ind w:firstLine="480" w:firstLineChars="200"/>
        <w:rPr>
          <w:rFonts w:ascii="宋体" w:hAnsi="宋体" w:cs="宋体"/>
          <w:sz w:val="24"/>
        </w:rPr>
      </w:pPr>
      <w:r>
        <w:rPr>
          <w:rFonts w:hint="eastAsia" w:ascii="宋体" w:hAnsi="宋体" w:cs="宋体"/>
          <w:sz w:val="24"/>
        </w:rPr>
        <w:t>1.标准及技术依据：相关依据为GB5749-2022、GB/T5750.5-2023；饮用天然矿泉水检测可参考GB8538-2022。</w:t>
      </w:r>
    </w:p>
    <w:p w14:paraId="17A0F6D7">
      <w:pPr>
        <w:spacing w:line="360" w:lineRule="auto"/>
        <w:ind w:firstLine="480" w:firstLineChars="200"/>
        <w:rPr>
          <w:rFonts w:ascii="宋体" w:hAnsi="宋体" w:cs="宋体"/>
          <w:sz w:val="24"/>
        </w:rPr>
      </w:pPr>
      <w:r>
        <w:rPr>
          <w:rFonts w:hint="eastAsia" w:ascii="宋体" w:hAnsi="宋体" w:cs="宋体"/>
          <w:sz w:val="24"/>
        </w:rPr>
        <w:t>2.规格：20次检测用量/包。</w:t>
      </w:r>
    </w:p>
    <w:p w14:paraId="462DEA9B">
      <w:pPr>
        <w:spacing w:line="360" w:lineRule="auto"/>
        <w:ind w:firstLine="480" w:firstLineChars="200"/>
        <w:rPr>
          <w:rFonts w:ascii="宋体" w:hAnsi="宋体" w:cs="宋体"/>
          <w:sz w:val="24"/>
        </w:rPr>
      </w:pPr>
      <w:r>
        <w:rPr>
          <w:rFonts w:hint="eastAsia" w:ascii="宋体" w:hAnsi="宋体" w:cs="宋体"/>
          <w:sz w:val="24"/>
        </w:rPr>
        <w:t>3.用途：用于饮用水、乳品、蔬菜、肉制品等样品中硝酸盐的现场快速半定量检测。</w:t>
      </w:r>
    </w:p>
    <w:p w14:paraId="6C3C4495">
      <w:pPr>
        <w:spacing w:line="360" w:lineRule="auto"/>
        <w:ind w:firstLine="482" w:firstLineChars="200"/>
        <w:rPr>
          <w:rFonts w:ascii="宋体" w:hAnsi="宋体" w:cs="宋体"/>
          <w:b/>
          <w:bCs/>
          <w:sz w:val="24"/>
        </w:rPr>
      </w:pPr>
      <w:r>
        <w:rPr>
          <w:rFonts w:hint="eastAsia" w:ascii="宋体" w:hAnsi="宋体" w:cs="宋体"/>
          <w:b/>
          <w:bCs/>
          <w:sz w:val="24"/>
        </w:rPr>
        <w:t>标的名称176：水中亚硝酸盐速测管</w:t>
      </w:r>
    </w:p>
    <w:p w14:paraId="690BF459">
      <w:pPr>
        <w:spacing w:line="360" w:lineRule="auto"/>
        <w:ind w:firstLine="480" w:firstLineChars="200"/>
        <w:rPr>
          <w:rFonts w:ascii="宋体" w:hAnsi="宋体" w:cs="宋体"/>
          <w:sz w:val="24"/>
        </w:rPr>
      </w:pPr>
      <w:r>
        <w:rPr>
          <w:rFonts w:hint="eastAsia" w:ascii="宋体" w:hAnsi="宋体" w:cs="宋体"/>
          <w:sz w:val="24"/>
        </w:rPr>
        <w:t>1.标准及技术依据：相关依据为GB5749-2022、GB/T5750.5-2023；饮用天然矿泉水检测可参考GB8538-2022。</w:t>
      </w:r>
    </w:p>
    <w:p w14:paraId="3B6982DC">
      <w:pPr>
        <w:spacing w:line="360" w:lineRule="auto"/>
        <w:ind w:firstLine="480" w:firstLineChars="200"/>
        <w:rPr>
          <w:rFonts w:ascii="宋体" w:hAnsi="宋体" w:cs="宋体"/>
          <w:sz w:val="24"/>
        </w:rPr>
      </w:pPr>
      <w:r>
        <w:rPr>
          <w:rFonts w:hint="eastAsia" w:ascii="宋体" w:hAnsi="宋体" w:cs="宋体"/>
          <w:sz w:val="24"/>
        </w:rPr>
        <w:t>2.规格：20次检测用量/包。</w:t>
      </w:r>
    </w:p>
    <w:p w14:paraId="0D26C76E">
      <w:pPr>
        <w:spacing w:line="360" w:lineRule="auto"/>
        <w:ind w:firstLine="480" w:firstLineChars="200"/>
        <w:rPr>
          <w:rFonts w:ascii="宋体" w:hAnsi="宋体" w:cs="宋体"/>
          <w:sz w:val="24"/>
        </w:rPr>
      </w:pPr>
      <w:r>
        <w:rPr>
          <w:rFonts w:hint="eastAsia" w:ascii="宋体" w:hAnsi="宋体" w:cs="宋体"/>
          <w:sz w:val="24"/>
        </w:rPr>
        <w:t>3.用途：用于饮用水、矿泉水以及食盐、乳品、蔬菜、肉制品等样品中亚硝酸盐的现场快速半定量检测。</w:t>
      </w:r>
    </w:p>
    <w:p w14:paraId="6AA7D6C9">
      <w:pPr>
        <w:spacing w:line="360" w:lineRule="auto"/>
        <w:ind w:firstLine="482" w:firstLineChars="200"/>
        <w:rPr>
          <w:rFonts w:ascii="宋体" w:hAnsi="宋体" w:cs="宋体"/>
          <w:b/>
          <w:bCs/>
          <w:sz w:val="24"/>
        </w:rPr>
      </w:pPr>
      <w:r>
        <w:rPr>
          <w:rFonts w:hint="eastAsia" w:ascii="宋体" w:hAnsi="宋体" w:cs="宋体"/>
          <w:b/>
          <w:bCs/>
          <w:sz w:val="24"/>
        </w:rPr>
        <w:t>标的名称177：水质耗氧量COD速测盒</w:t>
      </w:r>
    </w:p>
    <w:p w14:paraId="1E2AD6DA">
      <w:pPr>
        <w:spacing w:line="360" w:lineRule="auto"/>
        <w:ind w:firstLine="480" w:firstLineChars="200"/>
        <w:rPr>
          <w:rFonts w:ascii="宋体" w:hAnsi="宋体" w:cs="宋体"/>
          <w:sz w:val="24"/>
        </w:rPr>
      </w:pPr>
      <w:r>
        <w:rPr>
          <w:rFonts w:hint="eastAsia" w:ascii="宋体" w:hAnsi="宋体" w:cs="宋体"/>
          <w:sz w:val="24"/>
        </w:rPr>
        <w:t>1.标准及技术依据：相关依据为GB5749-2022、GB/T5750.7-2023《生活饮用水标准检验方法第7部分有机物综合指标》；天然矿泉水检测可参考GB8538-2022。</w:t>
      </w:r>
    </w:p>
    <w:p w14:paraId="435D6D17">
      <w:pPr>
        <w:spacing w:line="360" w:lineRule="auto"/>
        <w:ind w:firstLine="480" w:firstLineChars="200"/>
        <w:rPr>
          <w:rFonts w:ascii="宋体" w:hAnsi="宋体" w:cs="宋体"/>
          <w:sz w:val="24"/>
        </w:rPr>
      </w:pPr>
      <w:r>
        <w:rPr>
          <w:rFonts w:hint="eastAsia" w:ascii="宋体" w:hAnsi="宋体" w:cs="宋体"/>
          <w:sz w:val="24"/>
        </w:rPr>
        <w:t>2.规格：约20次检测用量/盒。</w:t>
      </w:r>
    </w:p>
    <w:p w14:paraId="7FB2DA94">
      <w:pPr>
        <w:spacing w:line="360" w:lineRule="auto"/>
        <w:ind w:firstLine="480" w:firstLineChars="200"/>
        <w:rPr>
          <w:rFonts w:ascii="宋体" w:hAnsi="宋体" w:cs="宋体"/>
          <w:sz w:val="24"/>
        </w:rPr>
      </w:pPr>
      <w:r>
        <w:rPr>
          <w:rFonts w:hint="eastAsia" w:ascii="宋体" w:hAnsi="宋体" w:cs="宋体"/>
          <w:sz w:val="24"/>
        </w:rPr>
        <w:t>3.用途：用于饮用水、水源水等水样中高锰酸盐指数（耗氧量，常称CODMn）的现场快速半定量或限量检测。</w:t>
      </w:r>
    </w:p>
    <w:p w14:paraId="5B48A63B">
      <w:pPr>
        <w:spacing w:line="360" w:lineRule="auto"/>
        <w:ind w:firstLine="482" w:firstLineChars="200"/>
        <w:rPr>
          <w:rFonts w:ascii="宋体" w:hAnsi="宋体" w:cs="宋体"/>
          <w:b/>
          <w:bCs/>
          <w:sz w:val="24"/>
        </w:rPr>
      </w:pPr>
      <w:r>
        <w:rPr>
          <w:rFonts w:hint="eastAsia" w:ascii="宋体" w:hAnsi="宋体" w:cs="宋体"/>
          <w:b/>
          <w:bCs/>
          <w:sz w:val="24"/>
        </w:rPr>
        <w:t>标的名称178：水质浊度速测盒</w:t>
      </w:r>
    </w:p>
    <w:p w14:paraId="27CB1FB3">
      <w:pPr>
        <w:spacing w:line="360" w:lineRule="auto"/>
        <w:ind w:firstLine="480" w:firstLineChars="200"/>
        <w:rPr>
          <w:rFonts w:ascii="宋体" w:hAnsi="宋体" w:cs="宋体"/>
          <w:sz w:val="24"/>
        </w:rPr>
      </w:pPr>
      <w:r>
        <w:rPr>
          <w:rFonts w:hint="eastAsia" w:ascii="宋体" w:hAnsi="宋体" w:cs="宋体"/>
          <w:sz w:val="24"/>
        </w:rPr>
        <w:t>1.标准及技术依据：相关依据为GB5749-2022、GB/T5750.4-2023；饮用天然矿泉水检测可参考GB8538-2022。</w:t>
      </w:r>
    </w:p>
    <w:p w14:paraId="7F91EEC5">
      <w:pPr>
        <w:spacing w:line="360" w:lineRule="auto"/>
        <w:ind w:firstLine="480" w:firstLineChars="200"/>
        <w:rPr>
          <w:rFonts w:ascii="宋体" w:hAnsi="宋体" w:cs="宋体"/>
          <w:sz w:val="24"/>
        </w:rPr>
      </w:pPr>
      <w:r>
        <w:rPr>
          <w:rFonts w:hint="eastAsia" w:ascii="宋体" w:hAnsi="宋体" w:cs="宋体"/>
          <w:sz w:val="24"/>
        </w:rPr>
        <w:t>2.规格：约50次检测用量/盒。</w:t>
      </w:r>
    </w:p>
    <w:p w14:paraId="0FFB9F50">
      <w:pPr>
        <w:spacing w:line="360" w:lineRule="auto"/>
        <w:ind w:firstLine="480" w:firstLineChars="200"/>
        <w:rPr>
          <w:rFonts w:ascii="宋体" w:hAnsi="宋体" w:cs="宋体"/>
          <w:sz w:val="24"/>
        </w:rPr>
      </w:pPr>
      <w:r>
        <w:rPr>
          <w:rFonts w:hint="eastAsia" w:ascii="宋体" w:hAnsi="宋体" w:cs="宋体"/>
          <w:sz w:val="24"/>
        </w:rPr>
        <w:t>3.用途：用于生活饮用水、水源水及天然矿泉水浊度的现场快速比浊和限量判定。</w:t>
      </w:r>
    </w:p>
    <w:p w14:paraId="7577A7A3">
      <w:pPr>
        <w:spacing w:line="360" w:lineRule="auto"/>
        <w:ind w:firstLine="482" w:firstLineChars="200"/>
        <w:rPr>
          <w:rFonts w:ascii="宋体" w:hAnsi="宋体" w:cs="宋体"/>
          <w:b/>
          <w:bCs/>
          <w:sz w:val="24"/>
        </w:rPr>
      </w:pPr>
      <w:r>
        <w:rPr>
          <w:rFonts w:hint="eastAsia" w:ascii="宋体" w:hAnsi="宋体" w:cs="宋体"/>
          <w:b/>
          <w:bCs/>
          <w:sz w:val="24"/>
        </w:rPr>
        <w:t>标的名称179：水中六价铬速测管</w:t>
      </w:r>
    </w:p>
    <w:p w14:paraId="7DB4CAA6">
      <w:pPr>
        <w:spacing w:line="360" w:lineRule="auto"/>
        <w:ind w:firstLine="480" w:firstLineChars="200"/>
        <w:rPr>
          <w:rFonts w:ascii="宋体" w:hAnsi="宋体" w:cs="宋体"/>
          <w:sz w:val="24"/>
        </w:rPr>
      </w:pPr>
      <w:r>
        <w:rPr>
          <w:rFonts w:hint="eastAsia" w:ascii="宋体" w:hAnsi="宋体" w:cs="宋体"/>
          <w:sz w:val="24"/>
        </w:rPr>
        <w:t>1.标准及技术依据：相关依据为GB5749-2022和GB/T5750.6-2023《生活饮用水标准检验方法第6部分金属和类金属指标》。</w:t>
      </w:r>
    </w:p>
    <w:p w14:paraId="7639DF5D">
      <w:pPr>
        <w:spacing w:line="360" w:lineRule="auto"/>
        <w:ind w:firstLine="480" w:firstLineChars="200"/>
        <w:rPr>
          <w:rFonts w:ascii="宋体" w:hAnsi="宋体" w:cs="宋体"/>
          <w:sz w:val="24"/>
        </w:rPr>
      </w:pPr>
      <w:r>
        <w:rPr>
          <w:rFonts w:hint="eastAsia" w:ascii="宋体" w:hAnsi="宋体" w:cs="宋体"/>
          <w:sz w:val="24"/>
        </w:rPr>
        <w:t>2.规格：约20次检测用量/盒。</w:t>
      </w:r>
    </w:p>
    <w:p w14:paraId="4D22A979">
      <w:pPr>
        <w:spacing w:line="360" w:lineRule="auto"/>
        <w:ind w:firstLine="480" w:firstLineChars="200"/>
        <w:rPr>
          <w:rFonts w:ascii="宋体" w:hAnsi="宋体" w:cs="宋体"/>
          <w:sz w:val="24"/>
        </w:rPr>
      </w:pPr>
      <w:r>
        <w:rPr>
          <w:rFonts w:hint="eastAsia" w:ascii="宋体" w:hAnsi="宋体" w:cs="宋体"/>
          <w:sz w:val="24"/>
        </w:rPr>
        <w:t>3.用途：用于生活饮用水和水源水中六价铬的现场快速半定量检测；可目视比色，必要时可在540nm处进行分光光度测定。</w:t>
      </w:r>
    </w:p>
    <w:p w14:paraId="4AA9AEFA">
      <w:pPr>
        <w:spacing w:line="360" w:lineRule="auto"/>
        <w:ind w:firstLine="482" w:firstLineChars="200"/>
        <w:rPr>
          <w:rFonts w:ascii="宋体" w:hAnsi="宋体" w:cs="宋体"/>
          <w:b/>
          <w:bCs/>
          <w:sz w:val="24"/>
        </w:rPr>
      </w:pPr>
      <w:r>
        <w:rPr>
          <w:rFonts w:hint="eastAsia" w:ascii="宋体" w:hAnsi="宋体" w:cs="宋体"/>
          <w:b/>
          <w:bCs/>
          <w:sz w:val="24"/>
        </w:rPr>
        <w:t>标的名称180：水中砷速测盒</w:t>
      </w:r>
    </w:p>
    <w:p w14:paraId="58D3B9AE">
      <w:pPr>
        <w:spacing w:line="360" w:lineRule="auto"/>
        <w:ind w:firstLine="480" w:firstLineChars="200"/>
        <w:rPr>
          <w:rFonts w:ascii="宋体" w:hAnsi="宋体" w:cs="宋体"/>
          <w:sz w:val="24"/>
        </w:rPr>
      </w:pPr>
      <w:r>
        <w:rPr>
          <w:rFonts w:hint="eastAsia" w:ascii="宋体" w:hAnsi="宋体" w:cs="宋体"/>
          <w:sz w:val="24"/>
        </w:rPr>
        <w:t>1.标准及技术依据：相关依据为GB5749-2022、GB/T5750.6-2023；饮用天然矿泉水检测可参考GB8538-2022。</w:t>
      </w:r>
    </w:p>
    <w:p w14:paraId="24E71524">
      <w:pPr>
        <w:spacing w:line="360" w:lineRule="auto"/>
        <w:ind w:firstLine="480" w:firstLineChars="200"/>
        <w:rPr>
          <w:rFonts w:ascii="宋体" w:hAnsi="宋体" w:cs="宋体"/>
          <w:sz w:val="24"/>
        </w:rPr>
      </w:pPr>
      <w:r>
        <w:rPr>
          <w:rFonts w:hint="eastAsia" w:ascii="宋体" w:hAnsi="宋体" w:cs="宋体"/>
          <w:sz w:val="24"/>
        </w:rPr>
        <w:t>2.规格：30次检测用量/盒。</w:t>
      </w:r>
    </w:p>
    <w:p w14:paraId="46B2298A">
      <w:pPr>
        <w:spacing w:line="360" w:lineRule="auto"/>
        <w:ind w:firstLine="480" w:firstLineChars="200"/>
        <w:rPr>
          <w:rFonts w:ascii="宋体" w:hAnsi="宋体" w:cs="宋体"/>
          <w:sz w:val="24"/>
        </w:rPr>
      </w:pPr>
      <w:r>
        <w:rPr>
          <w:rFonts w:hint="eastAsia" w:ascii="宋体" w:hAnsi="宋体" w:cs="宋体"/>
          <w:sz w:val="24"/>
        </w:rPr>
        <w:t>3.用途：用于生活饮用水、水源水及天然矿泉水中砷的现场快速半定量检测。</w:t>
      </w:r>
    </w:p>
    <w:p w14:paraId="16242935">
      <w:pPr>
        <w:spacing w:line="360" w:lineRule="auto"/>
        <w:ind w:firstLine="482" w:firstLineChars="200"/>
        <w:rPr>
          <w:rFonts w:ascii="宋体" w:hAnsi="宋体" w:cs="宋体"/>
          <w:b/>
          <w:bCs/>
          <w:sz w:val="24"/>
        </w:rPr>
      </w:pPr>
      <w:r>
        <w:rPr>
          <w:rFonts w:hint="eastAsia" w:ascii="宋体" w:hAnsi="宋体" w:cs="宋体"/>
          <w:b/>
          <w:bCs/>
          <w:sz w:val="24"/>
        </w:rPr>
        <w:t>标的名称181：水中汞速测盒</w:t>
      </w:r>
    </w:p>
    <w:p w14:paraId="1C5DBC73">
      <w:pPr>
        <w:spacing w:line="360" w:lineRule="auto"/>
        <w:ind w:firstLine="480" w:firstLineChars="200"/>
        <w:rPr>
          <w:rFonts w:ascii="宋体" w:hAnsi="宋体" w:cs="宋体"/>
          <w:sz w:val="24"/>
        </w:rPr>
      </w:pPr>
      <w:r>
        <w:rPr>
          <w:rFonts w:hint="eastAsia" w:ascii="宋体" w:hAnsi="宋体" w:cs="宋体"/>
          <w:sz w:val="24"/>
        </w:rPr>
        <w:t>1.标准及技术依据：相关依据为GB5749-2022、GB/T5750.6-2023；饮用天然矿泉水检测可参考GB8538-2022。</w:t>
      </w:r>
    </w:p>
    <w:p w14:paraId="1593A2CD">
      <w:pPr>
        <w:spacing w:line="360" w:lineRule="auto"/>
        <w:ind w:firstLine="480" w:firstLineChars="200"/>
        <w:rPr>
          <w:rFonts w:ascii="宋体" w:hAnsi="宋体" w:cs="宋体"/>
          <w:sz w:val="24"/>
        </w:rPr>
      </w:pPr>
      <w:r>
        <w:rPr>
          <w:rFonts w:hint="eastAsia" w:ascii="宋体" w:hAnsi="宋体" w:cs="宋体"/>
          <w:sz w:val="24"/>
        </w:rPr>
        <w:t>2.规格：30次检测用量/盒。</w:t>
      </w:r>
    </w:p>
    <w:p w14:paraId="4B96D4DE">
      <w:pPr>
        <w:spacing w:line="360" w:lineRule="auto"/>
        <w:ind w:firstLine="480" w:firstLineChars="200"/>
        <w:rPr>
          <w:rFonts w:ascii="宋体" w:hAnsi="宋体" w:cs="宋体"/>
          <w:sz w:val="24"/>
        </w:rPr>
      </w:pPr>
      <w:r>
        <w:rPr>
          <w:rFonts w:hint="eastAsia" w:ascii="宋体" w:hAnsi="宋体" w:cs="宋体"/>
          <w:sz w:val="24"/>
        </w:rPr>
        <w:t>3.用途：用于水中汞离子的现场快速半定量检测，检出浓度为0.002mg/L，线性范围为0.002至0.1mg/L。</w:t>
      </w:r>
    </w:p>
    <w:p w14:paraId="6B1D3EFD">
      <w:pPr>
        <w:spacing w:line="360" w:lineRule="auto"/>
        <w:ind w:firstLine="482" w:firstLineChars="200"/>
        <w:rPr>
          <w:rFonts w:ascii="宋体" w:hAnsi="宋体" w:cs="宋体"/>
          <w:b/>
          <w:bCs/>
          <w:sz w:val="24"/>
        </w:rPr>
      </w:pPr>
      <w:r>
        <w:rPr>
          <w:rFonts w:hint="eastAsia" w:ascii="宋体" w:hAnsi="宋体" w:cs="宋体"/>
          <w:b/>
          <w:bCs/>
          <w:sz w:val="24"/>
        </w:rPr>
        <w:t>标的名称182：水中挥发酚速测盒</w:t>
      </w:r>
    </w:p>
    <w:p w14:paraId="00B3FBF0">
      <w:pPr>
        <w:spacing w:line="360" w:lineRule="auto"/>
        <w:ind w:firstLine="480" w:firstLineChars="200"/>
        <w:rPr>
          <w:rFonts w:ascii="宋体" w:hAnsi="宋体" w:cs="宋体"/>
          <w:sz w:val="24"/>
        </w:rPr>
      </w:pPr>
      <w:r>
        <w:rPr>
          <w:rFonts w:hint="eastAsia" w:ascii="宋体" w:hAnsi="宋体" w:cs="宋体"/>
          <w:sz w:val="24"/>
        </w:rPr>
        <w:t>1.标准及技术依据：相关依据为GB5749-2022、GB/T5750.4-2023；饮用天然矿泉水检测可参考GB8538-2022。</w:t>
      </w:r>
    </w:p>
    <w:p w14:paraId="37F8EB75">
      <w:pPr>
        <w:spacing w:line="360" w:lineRule="auto"/>
        <w:ind w:firstLine="480" w:firstLineChars="200"/>
        <w:rPr>
          <w:rFonts w:ascii="宋体" w:hAnsi="宋体" w:cs="宋体"/>
          <w:sz w:val="24"/>
        </w:rPr>
      </w:pPr>
      <w:r>
        <w:rPr>
          <w:rFonts w:hint="eastAsia" w:ascii="宋体" w:hAnsi="宋体" w:cs="宋体"/>
          <w:sz w:val="24"/>
        </w:rPr>
        <w:t>2.规格：20次检测用量/盒。</w:t>
      </w:r>
    </w:p>
    <w:p w14:paraId="49928B6D">
      <w:pPr>
        <w:spacing w:line="360" w:lineRule="auto"/>
        <w:ind w:firstLine="480" w:firstLineChars="200"/>
        <w:rPr>
          <w:rFonts w:ascii="宋体" w:hAnsi="宋体" w:cs="宋体"/>
          <w:sz w:val="24"/>
        </w:rPr>
      </w:pPr>
      <w:r>
        <w:rPr>
          <w:rFonts w:hint="eastAsia" w:ascii="宋体" w:hAnsi="宋体" w:cs="宋体"/>
          <w:sz w:val="24"/>
        </w:rPr>
        <w:t>3.用途：用于生活饮用水、水源水及天然矿泉水中挥发性酚类化合物的现场快速半定量检测。</w:t>
      </w:r>
    </w:p>
    <w:p w14:paraId="2F3214C7">
      <w:pPr>
        <w:spacing w:line="360" w:lineRule="auto"/>
        <w:ind w:firstLine="482" w:firstLineChars="200"/>
        <w:rPr>
          <w:rFonts w:ascii="宋体" w:hAnsi="宋体" w:cs="宋体"/>
          <w:b/>
          <w:bCs/>
          <w:sz w:val="24"/>
        </w:rPr>
      </w:pPr>
      <w:r>
        <w:rPr>
          <w:rFonts w:hint="eastAsia" w:ascii="宋体" w:hAnsi="宋体" w:cs="宋体"/>
          <w:b/>
          <w:bCs/>
          <w:sz w:val="24"/>
        </w:rPr>
        <w:t>标的名称183：水质色度速测盒</w:t>
      </w:r>
    </w:p>
    <w:p w14:paraId="2D3A6973">
      <w:pPr>
        <w:spacing w:line="360" w:lineRule="auto"/>
        <w:ind w:firstLine="480" w:firstLineChars="200"/>
        <w:rPr>
          <w:rFonts w:ascii="宋体" w:hAnsi="宋体" w:cs="宋体"/>
          <w:sz w:val="24"/>
        </w:rPr>
      </w:pPr>
      <w:r>
        <w:rPr>
          <w:rFonts w:hint="eastAsia" w:ascii="宋体" w:hAnsi="宋体" w:cs="宋体"/>
          <w:sz w:val="24"/>
        </w:rPr>
        <w:t>1.标准及技术依据：相关依据为GB5749-2022、GB/T5750.4-2023；饮用天然矿泉水检测可参考GB8538-2022。</w:t>
      </w:r>
    </w:p>
    <w:p w14:paraId="64959F92">
      <w:pPr>
        <w:spacing w:line="360" w:lineRule="auto"/>
        <w:ind w:firstLine="480" w:firstLineChars="200"/>
        <w:rPr>
          <w:rFonts w:ascii="宋体" w:hAnsi="宋体" w:cs="宋体"/>
          <w:sz w:val="24"/>
        </w:rPr>
      </w:pPr>
      <w:r>
        <w:rPr>
          <w:rFonts w:hint="eastAsia" w:ascii="宋体" w:hAnsi="宋体" w:cs="宋体"/>
          <w:sz w:val="24"/>
        </w:rPr>
        <w:t>2.规格：约10次检测用量/盒。</w:t>
      </w:r>
    </w:p>
    <w:p w14:paraId="15AD0226">
      <w:pPr>
        <w:spacing w:line="360" w:lineRule="auto"/>
        <w:ind w:firstLine="480" w:firstLineChars="200"/>
        <w:rPr>
          <w:rFonts w:ascii="宋体" w:hAnsi="宋体" w:cs="宋体"/>
          <w:sz w:val="24"/>
        </w:rPr>
      </w:pPr>
      <w:r>
        <w:rPr>
          <w:rFonts w:hint="eastAsia" w:ascii="宋体" w:hAnsi="宋体" w:cs="宋体"/>
          <w:sz w:val="24"/>
        </w:rPr>
        <w:t>3.用途：用于生活饮用水、水源水及天然矿泉水色度的现场快速比色和限量筛查，可配制15度或20度铂钴色度对照液。</w:t>
      </w:r>
    </w:p>
    <w:p w14:paraId="3732E4F2">
      <w:pPr>
        <w:spacing w:line="360" w:lineRule="auto"/>
        <w:ind w:firstLine="482" w:firstLineChars="200"/>
        <w:rPr>
          <w:rFonts w:ascii="宋体" w:hAnsi="宋体" w:cs="宋体"/>
          <w:b/>
          <w:bCs/>
          <w:sz w:val="24"/>
        </w:rPr>
      </w:pPr>
      <w:r>
        <w:rPr>
          <w:rFonts w:hint="eastAsia" w:ascii="宋体" w:hAnsi="宋体" w:cs="宋体"/>
          <w:b/>
          <w:bCs/>
          <w:sz w:val="24"/>
        </w:rPr>
        <w:t>标的名称184：棕色液相色谱流动相试剂瓶1</w:t>
      </w:r>
    </w:p>
    <w:p w14:paraId="0C9C0C3C">
      <w:pPr>
        <w:spacing w:line="360" w:lineRule="auto"/>
        <w:ind w:firstLine="480" w:firstLineChars="200"/>
        <w:rPr>
          <w:rFonts w:ascii="宋体" w:hAnsi="宋体" w:cs="宋体"/>
          <w:sz w:val="24"/>
        </w:rPr>
      </w:pPr>
      <w:r>
        <w:rPr>
          <w:rFonts w:hint="eastAsia" w:ascii="宋体" w:hAnsi="宋体" w:cs="宋体"/>
          <w:sz w:val="24"/>
        </w:rPr>
        <w:t>1.可适配AB液相色谱串联质谱仪、岛津液相色谱仪、Waters超高压液相色谱仪，用于仪器运行过程中承装有机和无机流动相</w:t>
      </w:r>
    </w:p>
    <w:p w14:paraId="52857566">
      <w:pPr>
        <w:spacing w:line="360" w:lineRule="auto"/>
        <w:ind w:firstLine="482" w:firstLineChars="200"/>
        <w:rPr>
          <w:rFonts w:ascii="宋体" w:hAnsi="宋体" w:cs="宋体"/>
          <w:b/>
          <w:bCs/>
          <w:sz w:val="24"/>
        </w:rPr>
      </w:pPr>
      <w:r>
        <w:rPr>
          <w:rFonts w:hint="eastAsia" w:ascii="宋体" w:hAnsi="宋体" w:cs="宋体"/>
          <w:b/>
          <w:bCs/>
          <w:sz w:val="24"/>
        </w:rPr>
        <w:t>标的名称185：透明液相色谱流动相试剂瓶2</w:t>
      </w:r>
    </w:p>
    <w:p w14:paraId="52B8CEFB">
      <w:pPr>
        <w:spacing w:line="360" w:lineRule="auto"/>
        <w:ind w:firstLine="480" w:firstLineChars="200"/>
        <w:rPr>
          <w:rFonts w:ascii="宋体" w:hAnsi="宋体" w:cs="宋体"/>
          <w:sz w:val="24"/>
        </w:rPr>
      </w:pPr>
      <w:r>
        <w:rPr>
          <w:rFonts w:hint="eastAsia" w:ascii="宋体" w:hAnsi="宋体" w:cs="宋体"/>
          <w:sz w:val="24"/>
        </w:rPr>
        <w:t>1.可适配AB液相色谱串联质谱仪、岛津液相色谱仪、Waters超高压液相色谱仪，用于仪器运行过程中承装有机和无机流动相</w:t>
      </w:r>
    </w:p>
    <w:p w14:paraId="33604783">
      <w:pPr>
        <w:spacing w:line="360" w:lineRule="auto"/>
        <w:ind w:firstLine="482" w:firstLineChars="200"/>
        <w:rPr>
          <w:rFonts w:ascii="宋体" w:hAnsi="宋体" w:cs="宋体"/>
          <w:b/>
          <w:bCs/>
          <w:sz w:val="24"/>
        </w:rPr>
      </w:pPr>
      <w:r>
        <w:rPr>
          <w:rFonts w:hint="eastAsia" w:ascii="宋体" w:hAnsi="宋体" w:cs="宋体"/>
          <w:b/>
          <w:bCs/>
          <w:sz w:val="24"/>
        </w:rPr>
        <w:t>标的名称186：棕色液相色谱流动相试剂瓶3</w:t>
      </w:r>
    </w:p>
    <w:p w14:paraId="10F218BF">
      <w:pPr>
        <w:spacing w:line="360" w:lineRule="auto"/>
        <w:ind w:firstLine="480" w:firstLineChars="200"/>
        <w:rPr>
          <w:rFonts w:ascii="宋体" w:hAnsi="宋体" w:cs="宋体"/>
          <w:sz w:val="24"/>
        </w:rPr>
      </w:pPr>
      <w:r>
        <w:rPr>
          <w:rFonts w:hint="eastAsia" w:ascii="宋体" w:hAnsi="宋体" w:cs="宋体"/>
          <w:sz w:val="24"/>
        </w:rPr>
        <w:t>1.可适配AB液相色谱串联质谱仪、岛津液相色谱仪、Waters超高压液相色谱仪，用于仪器运行过程中承装有机和无机流动相</w:t>
      </w:r>
    </w:p>
    <w:p w14:paraId="7C07CA8D">
      <w:pPr>
        <w:spacing w:line="360" w:lineRule="auto"/>
        <w:ind w:firstLine="482" w:firstLineChars="200"/>
        <w:rPr>
          <w:rFonts w:ascii="宋体" w:hAnsi="宋体" w:cs="宋体"/>
          <w:b/>
          <w:bCs/>
          <w:sz w:val="24"/>
        </w:rPr>
      </w:pPr>
      <w:r>
        <w:rPr>
          <w:rFonts w:hint="eastAsia" w:ascii="宋体" w:hAnsi="宋体" w:cs="宋体"/>
          <w:b/>
          <w:bCs/>
          <w:sz w:val="24"/>
        </w:rPr>
        <w:t>标的名称187：透明液相色谱流动相试剂瓶4</w:t>
      </w:r>
    </w:p>
    <w:p w14:paraId="3C0E7221">
      <w:pPr>
        <w:spacing w:line="360" w:lineRule="auto"/>
        <w:ind w:firstLine="480" w:firstLineChars="200"/>
        <w:rPr>
          <w:rFonts w:ascii="宋体" w:hAnsi="宋体" w:cs="宋体"/>
          <w:sz w:val="24"/>
        </w:rPr>
      </w:pPr>
      <w:r>
        <w:rPr>
          <w:rFonts w:hint="eastAsia" w:ascii="宋体" w:hAnsi="宋体" w:cs="宋体"/>
          <w:sz w:val="24"/>
        </w:rPr>
        <w:t>1.可适配AB液相色谱串联质谱仪、岛津液相色谱仪、Waters超高压液相色谱仪，用于仪器运行过程中承装有机和无机流动相</w:t>
      </w:r>
    </w:p>
    <w:p w14:paraId="4FAAD3E9">
      <w:pPr>
        <w:spacing w:line="360" w:lineRule="auto"/>
        <w:ind w:firstLine="482" w:firstLineChars="200"/>
        <w:rPr>
          <w:rFonts w:ascii="宋体" w:hAnsi="宋体" w:cs="宋体"/>
          <w:b/>
          <w:bCs/>
          <w:sz w:val="24"/>
        </w:rPr>
      </w:pPr>
      <w:r>
        <w:rPr>
          <w:rFonts w:hint="eastAsia" w:ascii="宋体" w:hAnsi="宋体" w:cs="宋体"/>
          <w:b/>
          <w:bCs/>
          <w:sz w:val="24"/>
        </w:rPr>
        <w:t>标的名称188：石蜡封口膜1</w:t>
      </w:r>
    </w:p>
    <w:p w14:paraId="3525171D">
      <w:pPr>
        <w:spacing w:line="360" w:lineRule="auto"/>
        <w:ind w:firstLine="480" w:firstLineChars="200"/>
        <w:rPr>
          <w:rFonts w:ascii="宋体" w:hAnsi="宋体" w:cs="宋体"/>
          <w:sz w:val="24"/>
        </w:rPr>
      </w:pPr>
      <w:r>
        <w:rPr>
          <w:rFonts w:hint="eastAsia" w:ascii="宋体" w:hAnsi="宋体" w:cs="宋体"/>
          <w:sz w:val="24"/>
        </w:rPr>
        <w:t>1.厚度可达到120μm以上，使用拉伸达到大于等于200%（即可拉伸至原长度3倍，且不影响密封效果）</w:t>
      </w:r>
    </w:p>
    <w:p w14:paraId="455B0738">
      <w:pPr>
        <w:spacing w:line="360" w:lineRule="auto"/>
        <w:ind w:firstLine="482" w:firstLineChars="200"/>
        <w:rPr>
          <w:rFonts w:ascii="宋体" w:hAnsi="宋体" w:cs="宋体"/>
          <w:b/>
          <w:bCs/>
          <w:sz w:val="24"/>
        </w:rPr>
      </w:pPr>
      <w:r>
        <w:rPr>
          <w:rFonts w:hint="eastAsia" w:ascii="宋体" w:hAnsi="宋体" w:cs="宋体"/>
          <w:b/>
          <w:bCs/>
          <w:sz w:val="24"/>
        </w:rPr>
        <w:t>标的名称189：石蜡封口膜2</w:t>
      </w:r>
    </w:p>
    <w:p w14:paraId="1D6F4695">
      <w:pPr>
        <w:spacing w:line="360" w:lineRule="auto"/>
        <w:ind w:firstLine="480" w:firstLineChars="200"/>
        <w:rPr>
          <w:rFonts w:ascii="宋体" w:hAnsi="宋体" w:cs="宋体"/>
          <w:sz w:val="24"/>
        </w:rPr>
      </w:pPr>
      <w:r>
        <w:rPr>
          <w:rFonts w:hint="eastAsia" w:ascii="宋体" w:hAnsi="宋体" w:cs="宋体"/>
          <w:sz w:val="24"/>
        </w:rPr>
        <w:t>1.厚度可达到120μm以上，使用拉伸达到大于等于200%（即可拉伸至原长度3倍，且不影响密封效果）</w:t>
      </w:r>
    </w:p>
    <w:p w14:paraId="2061C2EB">
      <w:pPr>
        <w:spacing w:line="360" w:lineRule="auto"/>
        <w:ind w:firstLine="482" w:firstLineChars="200"/>
        <w:rPr>
          <w:rFonts w:ascii="宋体" w:hAnsi="宋体" w:cs="宋体"/>
          <w:b/>
          <w:bCs/>
          <w:sz w:val="24"/>
        </w:rPr>
      </w:pPr>
      <w:r>
        <w:rPr>
          <w:rFonts w:hint="eastAsia" w:ascii="宋体" w:hAnsi="宋体" w:cs="宋体"/>
          <w:b/>
          <w:bCs/>
          <w:sz w:val="24"/>
        </w:rPr>
        <w:t>标的名称190：10uL气相色谱进样针</w:t>
      </w:r>
    </w:p>
    <w:p w14:paraId="67E5885D">
      <w:pPr>
        <w:spacing w:line="360" w:lineRule="auto"/>
        <w:ind w:firstLine="480" w:firstLineChars="200"/>
        <w:rPr>
          <w:rFonts w:ascii="宋体" w:hAnsi="宋体" w:cs="宋体"/>
          <w:sz w:val="24"/>
        </w:rPr>
      </w:pPr>
      <w:r>
        <w:rPr>
          <w:rFonts w:hint="eastAsia" w:ascii="宋体" w:hAnsi="宋体" w:cs="宋体"/>
          <w:sz w:val="24"/>
        </w:rPr>
        <w:t>1.可以安装在岛津2010气相色谱仪，AOC-20i自动进样器上使用</w:t>
      </w:r>
    </w:p>
    <w:p w14:paraId="125368BF">
      <w:pPr>
        <w:spacing w:line="360" w:lineRule="auto"/>
        <w:ind w:firstLine="482" w:firstLineChars="200"/>
        <w:rPr>
          <w:rFonts w:ascii="宋体" w:hAnsi="宋体" w:cs="宋体"/>
          <w:b/>
          <w:bCs/>
          <w:sz w:val="24"/>
        </w:rPr>
      </w:pPr>
      <w:r>
        <w:rPr>
          <w:rFonts w:hint="eastAsia" w:ascii="宋体" w:hAnsi="宋体" w:cs="宋体"/>
          <w:b/>
          <w:bCs/>
          <w:sz w:val="24"/>
        </w:rPr>
        <w:t>标的名称191：10uL微量注射器</w:t>
      </w:r>
    </w:p>
    <w:p w14:paraId="6D84E0C9">
      <w:pPr>
        <w:spacing w:line="360" w:lineRule="auto"/>
        <w:ind w:firstLine="480" w:firstLineChars="200"/>
        <w:rPr>
          <w:rFonts w:ascii="宋体" w:hAnsi="宋体" w:cs="宋体"/>
          <w:sz w:val="24"/>
        </w:rPr>
      </w:pPr>
      <w:r>
        <w:rPr>
          <w:rFonts w:hint="eastAsia" w:ascii="宋体" w:hAnsi="宋体" w:cs="宋体"/>
          <w:sz w:val="24"/>
        </w:rPr>
        <w:t>1.可用于职业卫生苯系物测定前挥发性有机物如苯、甲苯、二甲苯、正己烷等液体标准物质的吸取</w:t>
      </w:r>
    </w:p>
    <w:p w14:paraId="1696E00E">
      <w:pPr>
        <w:spacing w:line="360" w:lineRule="auto"/>
        <w:ind w:firstLine="482" w:firstLineChars="200"/>
        <w:rPr>
          <w:rFonts w:ascii="宋体" w:hAnsi="宋体" w:cs="宋体"/>
          <w:b/>
          <w:bCs/>
          <w:sz w:val="24"/>
        </w:rPr>
      </w:pPr>
      <w:r>
        <w:rPr>
          <w:rFonts w:hint="eastAsia" w:ascii="宋体" w:hAnsi="宋体" w:cs="宋体"/>
          <w:b/>
          <w:bCs/>
          <w:sz w:val="24"/>
        </w:rPr>
        <w:t>标的名称192：100uL微量注射器</w:t>
      </w:r>
    </w:p>
    <w:p w14:paraId="356E628F">
      <w:pPr>
        <w:spacing w:line="360" w:lineRule="auto"/>
        <w:ind w:firstLine="480" w:firstLineChars="200"/>
        <w:rPr>
          <w:rFonts w:ascii="宋体" w:hAnsi="宋体" w:cs="宋体"/>
          <w:sz w:val="24"/>
        </w:rPr>
      </w:pPr>
      <w:r>
        <w:rPr>
          <w:rFonts w:hint="eastAsia" w:ascii="宋体" w:hAnsi="宋体" w:cs="宋体"/>
          <w:sz w:val="24"/>
        </w:rPr>
        <w:t>1.可用于职业卫生苯系物测定前挥发性有机物如苯、甲苯、二甲苯、正己烷等液体标准物质的吸取</w:t>
      </w:r>
    </w:p>
    <w:p w14:paraId="196F5AFC">
      <w:pPr>
        <w:spacing w:line="360" w:lineRule="auto"/>
        <w:ind w:firstLine="482" w:firstLineChars="200"/>
        <w:rPr>
          <w:rFonts w:ascii="宋体" w:hAnsi="宋体" w:cs="宋体"/>
          <w:b/>
          <w:bCs/>
          <w:sz w:val="24"/>
        </w:rPr>
      </w:pPr>
      <w:r>
        <w:rPr>
          <w:rFonts w:hint="eastAsia" w:ascii="宋体" w:hAnsi="宋体" w:cs="宋体"/>
          <w:b/>
          <w:bCs/>
          <w:sz w:val="24"/>
        </w:rPr>
        <w:t>标的名称193：50mL棕色蓝盖玻璃试剂瓶</w:t>
      </w:r>
    </w:p>
    <w:p w14:paraId="79FC569E">
      <w:pPr>
        <w:spacing w:line="360" w:lineRule="auto"/>
        <w:ind w:firstLine="480" w:firstLineChars="200"/>
        <w:rPr>
          <w:rFonts w:ascii="宋体" w:hAnsi="宋体" w:cs="宋体"/>
          <w:sz w:val="24"/>
        </w:rPr>
      </w:pPr>
      <w:r>
        <w:rPr>
          <w:rFonts w:hint="eastAsia" w:ascii="宋体" w:hAnsi="宋体" w:cs="宋体"/>
          <w:sz w:val="24"/>
        </w:rPr>
        <w:t>1.可用于盛放、储存强酸、强碱、有机试剂，耐酸性达1级，耐碱性达2级；瓶盖为PP材质；遮光性能可达到290-450nm透光率≤10%</w:t>
      </w:r>
    </w:p>
    <w:p w14:paraId="2C074B41">
      <w:pPr>
        <w:spacing w:line="360" w:lineRule="auto"/>
        <w:ind w:firstLine="482" w:firstLineChars="200"/>
        <w:rPr>
          <w:rFonts w:ascii="宋体" w:hAnsi="宋体" w:cs="宋体"/>
          <w:b/>
          <w:bCs/>
          <w:sz w:val="24"/>
        </w:rPr>
      </w:pPr>
      <w:r>
        <w:rPr>
          <w:rFonts w:hint="eastAsia" w:ascii="宋体" w:hAnsi="宋体" w:cs="宋体"/>
          <w:b/>
          <w:bCs/>
          <w:sz w:val="24"/>
        </w:rPr>
        <w:t>标的名称194：100mL棕色蓝盖玻璃试剂瓶</w:t>
      </w:r>
    </w:p>
    <w:p w14:paraId="5C127B34">
      <w:pPr>
        <w:spacing w:line="360" w:lineRule="auto"/>
        <w:ind w:firstLine="480" w:firstLineChars="200"/>
        <w:rPr>
          <w:rFonts w:ascii="宋体" w:hAnsi="宋体" w:cs="宋体"/>
          <w:sz w:val="24"/>
        </w:rPr>
      </w:pPr>
      <w:r>
        <w:rPr>
          <w:rFonts w:hint="eastAsia" w:ascii="宋体" w:hAnsi="宋体" w:cs="宋体"/>
          <w:sz w:val="24"/>
        </w:rPr>
        <w:t>1.可用于盛放、储存强酸、强碱、有机试剂，耐酸性达1级，耐碱性达2级；瓶盖为PP材质；遮光性能可达到290-450nm透光率≤10%</w:t>
      </w:r>
    </w:p>
    <w:p w14:paraId="66C9E3CD">
      <w:pPr>
        <w:spacing w:line="360" w:lineRule="auto"/>
        <w:ind w:firstLine="482" w:firstLineChars="200"/>
        <w:rPr>
          <w:rFonts w:ascii="宋体" w:hAnsi="宋体" w:cs="宋体"/>
          <w:b/>
          <w:bCs/>
          <w:sz w:val="24"/>
        </w:rPr>
      </w:pPr>
      <w:r>
        <w:rPr>
          <w:rFonts w:hint="eastAsia" w:ascii="宋体" w:hAnsi="宋体" w:cs="宋体"/>
          <w:b/>
          <w:bCs/>
          <w:sz w:val="24"/>
        </w:rPr>
        <w:t>标的名称195：250mL棕色蓝盖玻璃试剂瓶</w:t>
      </w:r>
    </w:p>
    <w:p w14:paraId="705AEE3E">
      <w:pPr>
        <w:spacing w:line="360" w:lineRule="auto"/>
        <w:ind w:firstLine="480" w:firstLineChars="200"/>
        <w:rPr>
          <w:rFonts w:ascii="宋体" w:hAnsi="宋体" w:cs="宋体"/>
          <w:sz w:val="24"/>
        </w:rPr>
      </w:pPr>
      <w:r>
        <w:rPr>
          <w:rFonts w:hint="eastAsia" w:ascii="宋体" w:hAnsi="宋体" w:cs="宋体"/>
          <w:sz w:val="24"/>
        </w:rPr>
        <w:t>1.可用于盛放、储存强酸、强碱、有机试剂，耐酸性达1级，耐碱性达2级；瓶盖为PP材质；遮光性能可达到290-450nm透光率≤10%</w:t>
      </w:r>
    </w:p>
    <w:p w14:paraId="27615E11">
      <w:pPr>
        <w:spacing w:line="360" w:lineRule="auto"/>
        <w:ind w:firstLine="482" w:firstLineChars="200"/>
        <w:rPr>
          <w:rFonts w:ascii="宋体" w:hAnsi="宋体" w:cs="宋体"/>
          <w:b/>
          <w:bCs/>
          <w:sz w:val="24"/>
        </w:rPr>
      </w:pPr>
      <w:r>
        <w:rPr>
          <w:rFonts w:hint="eastAsia" w:ascii="宋体" w:hAnsi="宋体" w:cs="宋体"/>
          <w:b/>
          <w:bCs/>
          <w:sz w:val="24"/>
        </w:rPr>
        <w:t>标的名称196：500mL棕色蓝盖玻璃试剂瓶</w:t>
      </w:r>
    </w:p>
    <w:p w14:paraId="75C52B94">
      <w:pPr>
        <w:spacing w:line="360" w:lineRule="auto"/>
        <w:ind w:firstLine="480" w:firstLineChars="200"/>
        <w:rPr>
          <w:rFonts w:ascii="宋体" w:hAnsi="宋体" w:cs="宋体"/>
          <w:sz w:val="24"/>
        </w:rPr>
      </w:pPr>
      <w:r>
        <w:rPr>
          <w:rFonts w:hint="eastAsia" w:ascii="宋体" w:hAnsi="宋体" w:cs="宋体"/>
          <w:sz w:val="24"/>
        </w:rPr>
        <w:t>1.可用于盛放、储存强酸、强碱、有机试剂，耐酸性达1级，耐碱性达2级；瓶盖为PP材质；遮光性能可达到290-450nm透光率≤10%</w:t>
      </w:r>
    </w:p>
    <w:p w14:paraId="481A525D">
      <w:pPr>
        <w:spacing w:line="360" w:lineRule="auto"/>
        <w:ind w:firstLine="482" w:firstLineChars="200"/>
        <w:rPr>
          <w:rFonts w:ascii="宋体" w:hAnsi="宋体" w:cs="宋体"/>
          <w:b/>
          <w:bCs/>
          <w:sz w:val="24"/>
        </w:rPr>
      </w:pPr>
      <w:r>
        <w:rPr>
          <w:rFonts w:hint="eastAsia" w:ascii="宋体" w:hAnsi="宋体" w:cs="宋体"/>
          <w:b/>
          <w:bCs/>
          <w:sz w:val="24"/>
        </w:rPr>
        <w:t>标的名称197：Ba/Ag/H离子高钡负载量复合SPE小柱</w:t>
      </w:r>
    </w:p>
    <w:p w14:paraId="6BF77B36">
      <w:pPr>
        <w:spacing w:line="360" w:lineRule="auto"/>
        <w:ind w:firstLine="480" w:firstLineChars="200"/>
        <w:rPr>
          <w:rFonts w:ascii="宋体" w:hAnsi="宋体" w:cs="宋体"/>
          <w:sz w:val="24"/>
        </w:rPr>
      </w:pPr>
      <w:r>
        <w:rPr>
          <w:rFonts w:hint="eastAsia" w:ascii="宋体" w:hAnsi="宋体" w:cs="宋体"/>
          <w:sz w:val="24"/>
        </w:rPr>
        <w:t>1.满足硫酸根和氯离子含量较高水质净化，交换容量≥8mmol/g，电导率≤2μS/cm，装填量：Ba1000mg,Ag1000mg,H500mg，平均粒径：75-150μm；适用于赛默飞离子色谱仪测定生活饮用水中阴离子，作为样品净化小柱。</w:t>
      </w:r>
    </w:p>
    <w:p w14:paraId="53B8FD9E">
      <w:pPr>
        <w:spacing w:line="360" w:lineRule="auto"/>
        <w:ind w:firstLine="482" w:firstLineChars="200"/>
        <w:rPr>
          <w:rFonts w:ascii="宋体" w:hAnsi="宋体" w:cs="宋体"/>
          <w:b/>
          <w:bCs/>
          <w:sz w:val="24"/>
        </w:rPr>
      </w:pPr>
      <w:r>
        <w:rPr>
          <w:rFonts w:hint="eastAsia" w:ascii="宋体" w:hAnsi="宋体" w:cs="宋体"/>
          <w:b/>
          <w:bCs/>
          <w:sz w:val="24"/>
        </w:rPr>
        <w:t>标的名称198：超高压溶剂效应消除柱</w:t>
      </w:r>
    </w:p>
    <w:p w14:paraId="3BB9E5FD">
      <w:pPr>
        <w:spacing w:line="360" w:lineRule="auto"/>
        <w:ind w:firstLine="480" w:firstLineChars="200"/>
        <w:rPr>
          <w:rFonts w:ascii="宋体" w:hAnsi="宋体" w:cs="宋体"/>
          <w:sz w:val="24"/>
        </w:rPr>
      </w:pPr>
      <w:r>
        <w:rPr>
          <w:rFonts w:hint="eastAsia" w:ascii="宋体" w:hAnsi="宋体" w:cs="宋体"/>
          <w:sz w:val="24"/>
        </w:rPr>
        <w:t>1.耐压100MPa以上，外壳不锈钢，内腔PEEK材质，121多农残、食品和包材、大气全氟检测等克服溶剂效应。适用于AB Qtrap5500液相色谱质谱仪检测生活饮用水中农药残留、大气全氟化合物等实验。</w:t>
      </w:r>
    </w:p>
    <w:p w14:paraId="74D8DAF1">
      <w:pPr>
        <w:spacing w:line="360" w:lineRule="auto"/>
        <w:ind w:firstLine="482" w:firstLineChars="200"/>
        <w:rPr>
          <w:rFonts w:ascii="宋体" w:hAnsi="宋体" w:cs="宋体"/>
          <w:b/>
          <w:bCs/>
          <w:sz w:val="24"/>
        </w:rPr>
      </w:pPr>
      <w:r>
        <w:rPr>
          <w:rFonts w:hint="eastAsia" w:ascii="宋体" w:hAnsi="宋体" w:cs="宋体"/>
          <w:b/>
          <w:bCs/>
          <w:sz w:val="24"/>
        </w:rPr>
        <w:t>标的名称199：AC SPE 小柱—椰壳活性炭</w:t>
      </w:r>
    </w:p>
    <w:p w14:paraId="7D9DB67D">
      <w:pPr>
        <w:spacing w:line="360" w:lineRule="auto"/>
        <w:ind w:firstLine="480" w:firstLineChars="200"/>
        <w:rPr>
          <w:rFonts w:ascii="宋体" w:hAnsi="宋体" w:cs="宋体"/>
          <w:sz w:val="24"/>
        </w:rPr>
      </w:pPr>
      <w:r>
        <w:rPr>
          <w:rFonts w:hint="eastAsia" w:ascii="宋体" w:hAnsi="宋体" w:cs="宋体"/>
          <w:sz w:val="24"/>
        </w:rPr>
        <w:t>1.椰壳活性炭填料，粒径为250～420μm，适合5750饮用水中丙烯酰胺高效率通过，回收率高于96%。</w:t>
      </w:r>
    </w:p>
    <w:p w14:paraId="737F4CC3">
      <w:pPr>
        <w:spacing w:line="360" w:lineRule="auto"/>
        <w:ind w:firstLine="482" w:firstLineChars="200"/>
        <w:rPr>
          <w:rFonts w:ascii="宋体" w:hAnsi="宋体" w:cs="宋体"/>
          <w:b/>
          <w:bCs/>
          <w:sz w:val="24"/>
        </w:rPr>
      </w:pPr>
      <w:r>
        <w:rPr>
          <w:rFonts w:hint="eastAsia" w:ascii="宋体" w:hAnsi="宋体" w:cs="宋体"/>
          <w:b/>
          <w:bCs/>
          <w:sz w:val="24"/>
        </w:rPr>
        <w:t>标的名称200：预柱一体式亲水C18色谱柱</w:t>
      </w:r>
    </w:p>
    <w:p w14:paraId="10866183">
      <w:pPr>
        <w:spacing w:line="360" w:lineRule="auto"/>
        <w:ind w:firstLine="480" w:firstLineChars="200"/>
        <w:rPr>
          <w:rFonts w:ascii="宋体" w:hAnsi="宋体" w:cs="宋体"/>
          <w:sz w:val="24"/>
        </w:rPr>
      </w:pPr>
      <w:r>
        <w:rPr>
          <w:rFonts w:hint="eastAsia" w:ascii="宋体" w:hAnsi="宋体" w:cs="宋体"/>
          <w:sz w:val="24"/>
        </w:rPr>
        <w:t>1.带嵌入一体式预柱，亲水改性C18填料，耐受极性样品和纯水流动相，粒径5μm。</w:t>
      </w:r>
    </w:p>
    <w:p w14:paraId="371A40FE">
      <w:pPr>
        <w:spacing w:line="360" w:lineRule="auto"/>
        <w:ind w:firstLine="482" w:firstLineChars="200"/>
        <w:rPr>
          <w:rFonts w:ascii="宋体" w:hAnsi="宋体" w:cs="宋体"/>
          <w:b/>
          <w:bCs/>
          <w:sz w:val="24"/>
        </w:rPr>
      </w:pPr>
      <w:r>
        <w:rPr>
          <w:rFonts w:hint="eastAsia" w:ascii="宋体" w:hAnsi="宋体" w:cs="宋体"/>
          <w:b/>
          <w:bCs/>
          <w:sz w:val="24"/>
        </w:rPr>
        <w:t>标的名称201：超高压液相色谱核壳C18色谱柱</w:t>
      </w:r>
    </w:p>
    <w:p w14:paraId="347C309E">
      <w:pPr>
        <w:spacing w:line="360" w:lineRule="auto"/>
        <w:ind w:firstLine="480" w:firstLineChars="200"/>
        <w:rPr>
          <w:rFonts w:ascii="宋体" w:hAnsi="宋体" w:cs="宋体"/>
          <w:sz w:val="24"/>
        </w:rPr>
      </w:pPr>
      <w:r>
        <w:rPr>
          <w:rFonts w:hint="eastAsia" w:ascii="宋体" w:hAnsi="宋体" w:cs="宋体"/>
          <w:sz w:val="24"/>
        </w:rPr>
        <w:t>1.核壳C18填料，2.5μm,表面积150㎡/g，微孔径90Å,含碳量‌：8%</w:t>
      </w:r>
    </w:p>
    <w:p w14:paraId="0A9196EA">
      <w:pPr>
        <w:spacing w:line="360" w:lineRule="auto"/>
        <w:ind w:firstLine="482" w:firstLineChars="200"/>
        <w:rPr>
          <w:rFonts w:ascii="宋体" w:hAnsi="宋体" w:cs="宋体"/>
          <w:b/>
          <w:bCs/>
          <w:sz w:val="24"/>
        </w:rPr>
      </w:pPr>
      <w:r>
        <w:rPr>
          <w:rFonts w:hint="eastAsia" w:ascii="宋体" w:hAnsi="宋体" w:cs="宋体"/>
          <w:b/>
          <w:bCs/>
          <w:sz w:val="24"/>
        </w:rPr>
        <w:t>标的名称202：混合型弱阴离子交换反固相萃取柱</w:t>
      </w:r>
    </w:p>
    <w:p w14:paraId="38D193EB">
      <w:pPr>
        <w:spacing w:line="360" w:lineRule="auto"/>
        <w:ind w:firstLine="480" w:firstLineChars="200"/>
        <w:rPr>
          <w:rFonts w:ascii="宋体" w:hAnsi="宋体" w:cs="宋体"/>
          <w:sz w:val="24"/>
        </w:rPr>
      </w:pPr>
      <w:r>
        <w:rPr>
          <w:rFonts w:hint="eastAsia" w:ascii="宋体" w:hAnsi="宋体" w:cs="宋体"/>
          <w:sz w:val="24"/>
        </w:rPr>
        <w:t>1.改性弱阴离子聚合物填料，对着色剂没有不可逆吸附，粒径60um。可用于液相色谱法测定食品样品中多种合成着色剂前样品前处理。</w:t>
      </w:r>
    </w:p>
    <w:p w14:paraId="3CD92A4F">
      <w:pPr>
        <w:spacing w:line="360" w:lineRule="auto"/>
        <w:ind w:firstLine="482" w:firstLineChars="200"/>
        <w:rPr>
          <w:rFonts w:ascii="宋体" w:hAnsi="宋体" w:cs="宋体"/>
          <w:b/>
          <w:bCs/>
          <w:sz w:val="24"/>
        </w:rPr>
      </w:pPr>
      <w:r>
        <w:rPr>
          <w:rFonts w:hint="eastAsia" w:ascii="宋体" w:hAnsi="宋体" w:cs="宋体"/>
          <w:b/>
          <w:bCs/>
          <w:sz w:val="24"/>
        </w:rPr>
        <w:t>标的名称203：亲水PTFE针头式过滤器</w:t>
      </w:r>
    </w:p>
    <w:p w14:paraId="7A0A2C02">
      <w:pPr>
        <w:spacing w:line="360" w:lineRule="auto"/>
        <w:ind w:firstLine="480" w:firstLineChars="200"/>
        <w:rPr>
          <w:rFonts w:ascii="宋体" w:hAnsi="宋体" w:cs="宋体"/>
          <w:sz w:val="24"/>
        </w:rPr>
      </w:pPr>
      <w:r>
        <w:rPr>
          <w:rFonts w:hint="eastAsia" w:ascii="宋体" w:hAnsi="宋体" w:cs="宋体"/>
          <w:sz w:val="24"/>
        </w:rPr>
        <w:t>1.0.22μm膜厚,13mm直径，亲水PTFE惰性膜材质，高纯PP材质外壳。</w:t>
      </w:r>
    </w:p>
    <w:p w14:paraId="6688BAD7">
      <w:pPr>
        <w:spacing w:line="360" w:lineRule="auto"/>
        <w:ind w:firstLine="482" w:firstLineChars="200"/>
        <w:rPr>
          <w:rFonts w:ascii="宋体" w:hAnsi="宋体" w:cs="宋体"/>
          <w:b/>
          <w:bCs/>
          <w:sz w:val="24"/>
        </w:rPr>
      </w:pPr>
      <w:r>
        <w:rPr>
          <w:rFonts w:hint="eastAsia" w:ascii="宋体" w:hAnsi="宋体" w:cs="宋体"/>
          <w:b/>
          <w:bCs/>
          <w:sz w:val="24"/>
        </w:rPr>
        <w:t>标的名称204：疏水PTFE针头式过滤器</w:t>
      </w:r>
    </w:p>
    <w:p w14:paraId="02F54353">
      <w:pPr>
        <w:spacing w:line="360" w:lineRule="auto"/>
        <w:ind w:firstLine="480" w:firstLineChars="200"/>
        <w:rPr>
          <w:rFonts w:ascii="宋体" w:hAnsi="宋体" w:cs="宋体"/>
          <w:sz w:val="24"/>
        </w:rPr>
      </w:pPr>
      <w:r>
        <w:rPr>
          <w:rFonts w:hint="eastAsia" w:ascii="宋体" w:hAnsi="宋体" w:cs="宋体"/>
          <w:sz w:val="24"/>
        </w:rPr>
        <w:t>1.0.22μm膜厚,13mm直径，疏水PTFE惰性膜材质，高纯PP材质外壳。</w:t>
      </w:r>
    </w:p>
    <w:p w14:paraId="63B0CCFF">
      <w:pPr>
        <w:spacing w:line="360" w:lineRule="auto"/>
        <w:ind w:firstLine="482" w:firstLineChars="200"/>
        <w:rPr>
          <w:rFonts w:ascii="宋体" w:hAnsi="宋体" w:cs="宋体"/>
          <w:b/>
          <w:bCs/>
          <w:sz w:val="24"/>
        </w:rPr>
      </w:pPr>
      <w:r>
        <w:rPr>
          <w:rFonts w:hint="eastAsia" w:ascii="宋体" w:hAnsi="宋体" w:cs="宋体"/>
          <w:b/>
          <w:bCs/>
          <w:sz w:val="24"/>
        </w:rPr>
        <w:t>标的名称205：FFAP气相色谱柱</w:t>
      </w:r>
    </w:p>
    <w:p w14:paraId="3F2F5D47">
      <w:pPr>
        <w:spacing w:line="360" w:lineRule="auto"/>
        <w:ind w:firstLine="480" w:firstLineChars="200"/>
        <w:rPr>
          <w:rFonts w:ascii="宋体" w:hAnsi="宋体" w:cs="宋体"/>
          <w:sz w:val="24"/>
        </w:rPr>
      </w:pPr>
      <w:r>
        <w:rPr>
          <w:rFonts w:hint="eastAsia" w:ascii="宋体" w:hAnsi="宋体" w:cs="宋体"/>
          <w:sz w:val="24"/>
        </w:rPr>
        <w:t>1.固定相为硝基对苯二甲酸改性聚乙二醇，内径0.25mm，固定相膜厚度0.25um，色谱柱长度30m。可用于依据职业卫生GB/T300和GB/T160系列检验标准，应使用岛津2010-plus气相色谱仪测定工作场所中苯、甲苯、二甲苯、正己烷、三氯甲烷、乙苯、三氯乙烯、二氯乙烯等挥发性有机物。</w:t>
      </w:r>
    </w:p>
    <w:p w14:paraId="25E6EBF1">
      <w:pPr>
        <w:spacing w:line="360" w:lineRule="auto"/>
        <w:ind w:firstLine="482" w:firstLineChars="200"/>
        <w:rPr>
          <w:rFonts w:ascii="宋体" w:hAnsi="宋体" w:cs="宋体"/>
          <w:b/>
          <w:bCs/>
          <w:sz w:val="24"/>
        </w:rPr>
      </w:pPr>
      <w:r>
        <w:rPr>
          <w:rFonts w:hint="eastAsia" w:ascii="宋体" w:hAnsi="宋体" w:cs="宋体"/>
          <w:b/>
          <w:bCs/>
          <w:sz w:val="24"/>
        </w:rPr>
        <w:t>标的名称206：KP95活性炭口罩</w:t>
      </w:r>
    </w:p>
    <w:p w14:paraId="7DF515CE">
      <w:pPr>
        <w:spacing w:line="360" w:lineRule="auto"/>
        <w:ind w:firstLine="480" w:firstLineChars="200"/>
        <w:rPr>
          <w:rFonts w:ascii="宋体" w:hAnsi="宋体" w:cs="宋体"/>
          <w:sz w:val="24"/>
        </w:rPr>
      </w:pPr>
      <w:r>
        <w:rPr>
          <w:rFonts w:hint="eastAsia" w:ascii="宋体" w:hAnsi="宋体" w:cs="宋体"/>
          <w:sz w:val="24"/>
        </w:rPr>
        <w:t>1.适用于实验室进行职业卫生空气样品中挥发性有机物测定时，如苯、甲苯、二甲苯、正己烷、三氯甲烷、乙苯、三氯乙烯、二氯乙烯等，对实验人员的防护。</w:t>
      </w:r>
    </w:p>
    <w:p w14:paraId="621C9CC4">
      <w:pPr>
        <w:spacing w:line="360" w:lineRule="auto"/>
        <w:ind w:firstLine="482" w:firstLineChars="200"/>
        <w:rPr>
          <w:rFonts w:ascii="宋体" w:hAnsi="宋体" w:cs="宋体"/>
          <w:b/>
          <w:bCs/>
          <w:sz w:val="24"/>
        </w:rPr>
      </w:pPr>
      <w:r>
        <w:rPr>
          <w:rFonts w:hint="eastAsia" w:ascii="宋体" w:hAnsi="宋体" w:cs="宋体"/>
          <w:b/>
          <w:bCs/>
          <w:sz w:val="24"/>
        </w:rPr>
        <w:t>标的名称207：正己烷纯度标准物质</w:t>
      </w:r>
    </w:p>
    <w:p w14:paraId="3C45FC16">
      <w:pPr>
        <w:spacing w:line="360" w:lineRule="auto"/>
        <w:ind w:firstLine="480" w:firstLineChars="200"/>
        <w:rPr>
          <w:rFonts w:ascii="宋体" w:hAnsi="宋体" w:cs="宋体"/>
          <w:sz w:val="24"/>
        </w:rPr>
      </w:pPr>
      <w:r>
        <w:rPr>
          <w:rFonts w:hint="eastAsia" w:ascii="宋体" w:hAnsi="宋体" w:cs="宋体"/>
          <w:sz w:val="24"/>
        </w:rPr>
        <w:t>1.纯度大于98%</w:t>
      </w:r>
    </w:p>
    <w:p w14:paraId="4C72D0A6">
      <w:pPr>
        <w:spacing w:line="360" w:lineRule="auto"/>
        <w:ind w:firstLine="482" w:firstLineChars="200"/>
        <w:rPr>
          <w:rFonts w:ascii="宋体" w:hAnsi="宋体" w:cs="宋体"/>
          <w:b/>
          <w:bCs/>
          <w:sz w:val="24"/>
        </w:rPr>
      </w:pPr>
      <w:r>
        <w:rPr>
          <w:rFonts w:hint="eastAsia" w:ascii="宋体" w:hAnsi="宋体" w:cs="宋体"/>
          <w:b/>
          <w:bCs/>
          <w:sz w:val="24"/>
        </w:rPr>
        <w:t>标的名称208：二硫化碳中萘溶液标准物质</w:t>
      </w:r>
    </w:p>
    <w:p w14:paraId="3D7533C6">
      <w:pPr>
        <w:spacing w:line="360" w:lineRule="auto"/>
        <w:ind w:firstLine="480" w:firstLineChars="200"/>
        <w:rPr>
          <w:rFonts w:ascii="宋体" w:hAnsi="宋体" w:cs="宋体"/>
          <w:sz w:val="24"/>
        </w:rPr>
      </w:pPr>
      <w:r>
        <w:rPr>
          <w:rFonts w:hint="eastAsia" w:ascii="宋体" w:hAnsi="宋体" w:cs="宋体"/>
          <w:sz w:val="24"/>
        </w:rPr>
        <w:t>1.基体为二硫化碳；可依据GBZ/T160.44气相色谱法测定工作场所空气中萘，过程中用于标准系列溶液配制</w:t>
      </w:r>
    </w:p>
    <w:p w14:paraId="2FBE3AEC">
      <w:pPr>
        <w:spacing w:line="360" w:lineRule="auto"/>
        <w:ind w:firstLine="482" w:firstLineChars="200"/>
        <w:rPr>
          <w:rFonts w:ascii="宋体" w:hAnsi="宋体" w:cs="宋体"/>
          <w:b/>
          <w:bCs/>
          <w:sz w:val="24"/>
        </w:rPr>
      </w:pPr>
      <w:r>
        <w:rPr>
          <w:rFonts w:hint="eastAsia" w:ascii="宋体" w:hAnsi="宋体" w:cs="宋体"/>
          <w:b/>
          <w:bCs/>
          <w:sz w:val="24"/>
        </w:rPr>
        <w:t>标的名称209：二硫化碳中四氯化碳溶液标准物质</w:t>
      </w:r>
    </w:p>
    <w:p w14:paraId="427CABFB">
      <w:pPr>
        <w:spacing w:line="360" w:lineRule="auto"/>
        <w:ind w:firstLine="480" w:firstLineChars="200"/>
        <w:rPr>
          <w:rFonts w:ascii="宋体" w:hAnsi="宋体" w:cs="宋体"/>
          <w:sz w:val="24"/>
        </w:rPr>
      </w:pPr>
      <w:r>
        <w:rPr>
          <w:rFonts w:hint="eastAsia" w:ascii="宋体" w:hAnsi="宋体" w:cs="宋体"/>
          <w:sz w:val="24"/>
        </w:rPr>
        <w:t>1.基体为二硫化碳；可依据GBZ/T300.73气相色谱法测定工作场所空气中四氯化碳，过程中用于标准系列溶液配制</w:t>
      </w:r>
    </w:p>
    <w:p w14:paraId="4FC98379">
      <w:pPr>
        <w:spacing w:line="360" w:lineRule="auto"/>
        <w:ind w:firstLine="482" w:firstLineChars="200"/>
        <w:rPr>
          <w:rFonts w:ascii="宋体" w:hAnsi="宋体" w:cs="宋体"/>
          <w:b/>
          <w:bCs/>
          <w:sz w:val="24"/>
        </w:rPr>
      </w:pPr>
      <w:r>
        <w:rPr>
          <w:rFonts w:hint="eastAsia" w:ascii="宋体" w:hAnsi="宋体" w:cs="宋体"/>
          <w:b/>
          <w:bCs/>
          <w:sz w:val="24"/>
        </w:rPr>
        <w:t>标的名称210：二硫化碳中1,2-二氯乙烷溶液标准物质</w:t>
      </w:r>
    </w:p>
    <w:p w14:paraId="07D1F9FD">
      <w:pPr>
        <w:spacing w:line="360" w:lineRule="auto"/>
        <w:ind w:firstLine="480" w:firstLineChars="200"/>
        <w:rPr>
          <w:rFonts w:ascii="宋体" w:hAnsi="宋体" w:cs="宋体"/>
          <w:sz w:val="24"/>
        </w:rPr>
      </w:pPr>
      <w:r>
        <w:rPr>
          <w:rFonts w:hint="eastAsia" w:ascii="宋体" w:hAnsi="宋体" w:cs="宋体"/>
          <w:sz w:val="24"/>
        </w:rPr>
        <w:t>1.基体为二硫化碳；可依据GBZ/T160.45气相色谱法测定工作场所空气中二氯乙烷，过程中用于标准系列溶液配制</w:t>
      </w:r>
    </w:p>
    <w:p w14:paraId="773C1834">
      <w:pPr>
        <w:spacing w:line="360" w:lineRule="auto"/>
        <w:ind w:firstLine="482" w:firstLineChars="200"/>
        <w:rPr>
          <w:rFonts w:ascii="宋体" w:hAnsi="宋体" w:cs="宋体"/>
          <w:b/>
          <w:bCs/>
          <w:sz w:val="24"/>
        </w:rPr>
      </w:pPr>
      <w:r>
        <w:rPr>
          <w:rFonts w:hint="eastAsia" w:ascii="宋体" w:hAnsi="宋体" w:cs="宋体"/>
          <w:b/>
          <w:bCs/>
          <w:sz w:val="24"/>
        </w:rPr>
        <w:t>标的名称211：二硫化碳中六氯乙烷溶液标准物质</w:t>
      </w:r>
    </w:p>
    <w:p w14:paraId="74C4168E">
      <w:pPr>
        <w:spacing w:line="360" w:lineRule="auto"/>
        <w:ind w:firstLine="480" w:firstLineChars="200"/>
        <w:rPr>
          <w:rFonts w:ascii="宋体" w:hAnsi="宋体" w:cs="宋体"/>
          <w:sz w:val="24"/>
        </w:rPr>
      </w:pPr>
      <w:r>
        <w:rPr>
          <w:rFonts w:hint="eastAsia" w:ascii="宋体" w:hAnsi="宋体" w:cs="宋体"/>
          <w:sz w:val="24"/>
        </w:rPr>
        <w:t>1.基体为二硫化碳；可依据GBZ/T160.45气相色谱法测定工作场所空气中六氯乙烷，过程中用于标准系列溶液配制</w:t>
      </w:r>
    </w:p>
    <w:p w14:paraId="4EECBAE5">
      <w:pPr>
        <w:spacing w:line="360" w:lineRule="auto"/>
        <w:ind w:firstLine="482" w:firstLineChars="200"/>
        <w:rPr>
          <w:rFonts w:ascii="宋体" w:hAnsi="宋体" w:cs="宋体"/>
          <w:b/>
          <w:bCs/>
          <w:sz w:val="24"/>
        </w:rPr>
      </w:pPr>
      <w:r>
        <w:rPr>
          <w:rFonts w:hint="eastAsia" w:ascii="宋体" w:hAnsi="宋体" w:cs="宋体"/>
          <w:b/>
          <w:bCs/>
          <w:sz w:val="24"/>
        </w:rPr>
        <w:t>标的名称212：二硫化碳中三氯丙烷溶液标准物质</w:t>
      </w:r>
    </w:p>
    <w:p w14:paraId="6A4F1CC8">
      <w:pPr>
        <w:spacing w:line="360" w:lineRule="auto"/>
        <w:ind w:firstLine="480" w:firstLineChars="200"/>
        <w:rPr>
          <w:rFonts w:ascii="宋体" w:hAnsi="宋体" w:cs="宋体"/>
          <w:sz w:val="24"/>
        </w:rPr>
      </w:pPr>
      <w:r>
        <w:rPr>
          <w:rFonts w:hint="eastAsia" w:ascii="宋体" w:hAnsi="宋体" w:cs="宋体"/>
          <w:sz w:val="24"/>
        </w:rPr>
        <w:t>1.基体为二硫化碳；可依据GBZ/T160.45气相色谱法测定工作场所空气中三氯丙烷，过程中用于标准系列溶液配制</w:t>
      </w:r>
    </w:p>
    <w:p w14:paraId="4A8B2E1C">
      <w:pPr>
        <w:spacing w:line="360" w:lineRule="auto"/>
        <w:ind w:firstLine="482" w:firstLineChars="200"/>
        <w:rPr>
          <w:rFonts w:ascii="宋体" w:hAnsi="宋体" w:cs="宋体"/>
          <w:b/>
          <w:bCs/>
          <w:sz w:val="24"/>
        </w:rPr>
      </w:pPr>
      <w:r>
        <w:rPr>
          <w:rFonts w:hint="eastAsia" w:ascii="宋体" w:hAnsi="宋体" w:cs="宋体"/>
          <w:b/>
          <w:bCs/>
          <w:sz w:val="24"/>
        </w:rPr>
        <w:t>标的名称213：二硫化碳中三种二氯苯溶液标准物质</w:t>
      </w:r>
    </w:p>
    <w:p w14:paraId="6EBB20E4">
      <w:pPr>
        <w:spacing w:line="360" w:lineRule="auto"/>
        <w:ind w:firstLine="480" w:firstLineChars="200"/>
        <w:rPr>
          <w:rFonts w:ascii="宋体" w:hAnsi="宋体" w:cs="宋体"/>
          <w:sz w:val="24"/>
        </w:rPr>
      </w:pPr>
      <w:r>
        <w:rPr>
          <w:rFonts w:hint="eastAsia" w:ascii="宋体" w:hAnsi="宋体" w:cs="宋体"/>
          <w:sz w:val="24"/>
        </w:rPr>
        <w:t>1.包括邻二氯苯、对二氯苯、间二氯苯三种组分</w:t>
      </w:r>
    </w:p>
    <w:p w14:paraId="10530AC5">
      <w:pPr>
        <w:spacing w:line="360" w:lineRule="auto"/>
        <w:ind w:firstLine="482" w:firstLineChars="200"/>
        <w:rPr>
          <w:rFonts w:ascii="宋体" w:hAnsi="宋体" w:cs="宋体"/>
          <w:b/>
          <w:bCs/>
          <w:sz w:val="24"/>
        </w:rPr>
      </w:pPr>
      <w:r>
        <w:rPr>
          <w:rFonts w:hint="eastAsia" w:ascii="宋体" w:hAnsi="宋体" w:cs="宋体"/>
          <w:b/>
          <w:bCs/>
          <w:sz w:val="24"/>
        </w:rPr>
        <w:t>标的名称214：二硫化碳中苄基氯溶液标准物质</w:t>
      </w:r>
    </w:p>
    <w:p w14:paraId="35ECF582">
      <w:pPr>
        <w:spacing w:line="360" w:lineRule="auto"/>
        <w:ind w:firstLine="480" w:firstLineChars="200"/>
        <w:rPr>
          <w:rFonts w:ascii="宋体" w:hAnsi="宋体" w:cs="宋体"/>
          <w:sz w:val="24"/>
        </w:rPr>
      </w:pPr>
      <w:r>
        <w:rPr>
          <w:rFonts w:hint="eastAsia" w:ascii="宋体" w:hAnsi="宋体" w:cs="宋体"/>
          <w:sz w:val="24"/>
        </w:rPr>
        <w:t>1.基体为二硫化碳；可依据GBZ/T300.82气相色谱法测定工作场所空气中苄基氯，过程中用于标准系列溶液配制</w:t>
      </w:r>
    </w:p>
    <w:p w14:paraId="0123C82D">
      <w:pPr>
        <w:spacing w:line="360" w:lineRule="auto"/>
        <w:ind w:firstLine="482" w:firstLineChars="200"/>
        <w:rPr>
          <w:rFonts w:ascii="宋体" w:hAnsi="宋体" w:cs="宋体"/>
          <w:b/>
          <w:bCs/>
          <w:sz w:val="24"/>
        </w:rPr>
      </w:pPr>
      <w:r>
        <w:rPr>
          <w:rFonts w:hint="eastAsia" w:ascii="宋体" w:hAnsi="宋体" w:cs="宋体"/>
          <w:b/>
          <w:bCs/>
          <w:sz w:val="24"/>
        </w:rPr>
        <w:t>标的名称215：异丙醇/二硫化碳中正丁醇‌溶液标准物质</w:t>
      </w:r>
    </w:p>
    <w:p w14:paraId="350AE1DC">
      <w:pPr>
        <w:spacing w:line="360" w:lineRule="auto"/>
        <w:ind w:firstLine="480" w:firstLineChars="200"/>
        <w:rPr>
          <w:rFonts w:ascii="宋体" w:hAnsi="宋体" w:cs="宋体"/>
          <w:sz w:val="24"/>
        </w:rPr>
      </w:pPr>
      <w:r>
        <w:rPr>
          <w:rFonts w:hint="eastAsia" w:ascii="宋体" w:hAnsi="宋体" w:cs="宋体"/>
          <w:sz w:val="24"/>
        </w:rPr>
        <w:t>1.基体为异丙醇/二硫化碳；可依据GBZ/T300.85气相色谱法测定工作场所空气中丁醇，过程中用于标准系列溶液配制</w:t>
      </w:r>
    </w:p>
    <w:p w14:paraId="1AF41A68">
      <w:pPr>
        <w:spacing w:line="360" w:lineRule="auto"/>
        <w:ind w:firstLine="482" w:firstLineChars="200"/>
        <w:rPr>
          <w:rFonts w:ascii="宋体" w:hAnsi="宋体" w:cs="宋体"/>
          <w:b/>
          <w:bCs/>
          <w:sz w:val="24"/>
        </w:rPr>
      </w:pPr>
      <w:r>
        <w:rPr>
          <w:rFonts w:hint="eastAsia" w:ascii="宋体" w:hAnsi="宋体" w:cs="宋体"/>
          <w:b/>
          <w:bCs/>
          <w:sz w:val="24"/>
        </w:rPr>
        <w:t>标的名称216：二硫化碳中丙烯醇溶液标准物质</w:t>
      </w:r>
    </w:p>
    <w:p w14:paraId="4A809A6C">
      <w:pPr>
        <w:spacing w:line="360" w:lineRule="auto"/>
        <w:ind w:firstLine="480" w:firstLineChars="200"/>
        <w:rPr>
          <w:rFonts w:ascii="宋体" w:hAnsi="宋体" w:cs="宋体"/>
          <w:sz w:val="24"/>
        </w:rPr>
      </w:pPr>
      <w:r>
        <w:rPr>
          <w:rFonts w:hint="eastAsia" w:ascii="宋体" w:hAnsi="宋体" w:cs="宋体"/>
          <w:sz w:val="24"/>
        </w:rPr>
        <w:t>1.基体为二硫化碳；可依据GBZ/T300.82气相色谱法测定工作场所空气中苄基氯，过程中用于标准系列溶液配制</w:t>
      </w:r>
    </w:p>
    <w:p w14:paraId="6284EBA2">
      <w:pPr>
        <w:spacing w:line="360" w:lineRule="auto"/>
        <w:ind w:firstLine="482" w:firstLineChars="200"/>
        <w:rPr>
          <w:rFonts w:ascii="宋体" w:hAnsi="宋体" w:cs="宋体"/>
          <w:b/>
          <w:bCs/>
          <w:sz w:val="24"/>
        </w:rPr>
      </w:pPr>
      <w:r>
        <w:rPr>
          <w:rFonts w:hint="eastAsia" w:ascii="宋体" w:hAnsi="宋体" w:cs="宋体"/>
          <w:b/>
          <w:bCs/>
          <w:sz w:val="24"/>
        </w:rPr>
        <w:t>标的名称217：甲醇中乙二醇溶液标准物质</w:t>
      </w:r>
    </w:p>
    <w:p w14:paraId="5636EB20">
      <w:pPr>
        <w:spacing w:line="360" w:lineRule="auto"/>
        <w:ind w:firstLine="480" w:firstLineChars="200"/>
        <w:rPr>
          <w:rFonts w:ascii="宋体" w:hAnsi="宋体" w:cs="宋体"/>
          <w:sz w:val="24"/>
        </w:rPr>
      </w:pPr>
      <w:r>
        <w:rPr>
          <w:rFonts w:hint="eastAsia" w:ascii="宋体" w:hAnsi="宋体" w:cs="宋体"/>
          <w:sz w:val="24"/>
        </w:rPr>
        <w:t>1.基体为异丙醇/二硫化碳；可依据GBZ/T300.85气相色谱法测定工作场所空气中丙烯醇，过程中用于标准系列溶液配制</w:t>
      </w:r>
    </w:p>
    <w:p w14:paraId="04E64542">
      <w:pPr>
        <w:spacing w:line="360" w:lineRule="auto"/>
        <w:ind w:firstLine="482" w:firstLineChars="200"/>
        <w:rPr>
          <w:rFonts w:ascii="宋体" w:hAnsi="宋体" w:cs="宋体"/>
          <w:b/>
          <w:bCs/>
          <w:sz w:val="24"/>
        </w:rPr>
      </w:pPr>
      <w:r>
        <w:rPr>
          <w:rFonts w:hint="eastAsia" w:ascii="宋体" w:hAnsi="宋体" w:cs="宋体"/>
          <w:b/>
          <w:bCs/>
          <w:sz w:val="24"/>
        </w:rPr>
        <w:t>标的名称218：异丙醇纯度标准物质</w:t>
      </w:r>
    </w:p>
    <w:p w14:paraId="312CA335">
      <w:pPr>
        <w:spacing w:line="360" w:lineRule="auto"/>
        <w:ind w:firstLine="480" w:firstLineChars="200"/>
        <w:rPr>
          <w:rFonts w:ascii="宋体" w:hAnsi="宋体" w:cs="宋体"/>
          <w:sz w:val="24"/>
        </w:rPr>
      </w:pPr>
      <w:r>
        <w:rPr>
          <w:rFonts w:hint="eastAsia" w:ascii="宋体" w:hAnsi="宋体" w:cs="宋体"/>
          <w:sz w:val="24"/>
        </w:rPr>
        <w:t>1.纯度≥99.5%</w:t>
      </w:r>
    </w:p>
    <w:p w14:paraId="252C34CE">
      <w:pPr>
        <w:spacing w:line="360" w:lineRule="auto"/>
        <w:ind w:firstLine="482" w:firstLineChars="200"/>
        <w:rPr>
          <w:rFonts w:ascii="宋体" w:hAnsi="宋体" w:cs="宋体"/>
          <w:b/>
          <w:bCs/>
          <w:sz w:val="24"/>
        </w:rPr>
      </w:pPr>
      <w:r>
        <w:rPr>
          <w:rFonts w:hint="eastAsia" w:ascii="宋体" w:hAnsi="宋体" w:cs="宋体"/>
          <w:b/>
          <w:bCs/>
          <w:sz w:val="24"/>
        </w:rPr>
        <w:t>标的名称219：甲醇纯度标准物质</w:t>
      </w:r>
    </w:p>
    <w:p w14:paraId="5A2FB855">
      <w:pPr>
        <w:spacing w:line="360" w:lineRule="auto"/>
        <w:ind w:firstLine="480" w:firstLineChars="200"/>
        <w:rPr>
          <w:rFonts w:ascii="宋体" w:hAnsi="宋体" w:cs="宋体"/>
          <w:sz w:val="24"/>
        </w:rPr>
      </w:pPr>
      <w:r>
        <w:rPr>
          <w:rFonts w:hint="eastAsia" w:ascii="宋体" w:hAnsi="宋体" w:cs="宋体"/>
          <w:sz w:val="24"/>
        </w:rPr>
        <w:t>1.纯度≥99.5%</w:t>
      </w:r>
    </w:p>
    <w:p w14:paraId="6B08E92B">
      <w:pPr>
        <w:spacing w:line="360" w:lineRule="auto"/>
        <w:ind w:firstLine="482" w:firstLineChars="200"/>
        <w:rPr>
          <w:rFonts w:ascii="宋体" w:hAnsi="宋体" w:cs="宋体"/>
          <w:b/>
          <w:bCs/>
          <w:sz w:val="24"/>
        </w:rPr>
      </w:pPr>
      <w:r>
        <w:rPr>
          <w:rFonts w:hint="eastAsia" w:ascii="宋体" w:hAnsi="宋体" w:cs="宋体"/>
          <w:b/>
          <w:bCs/>
          <w:sz w:val="24"/>
        </w:rPr>
        <w:t>标的名称220：正丙醇纯度标准物质</w:t>
      </w:r>
    </w:p>
    <w:p w14:paraId="4F7E123C">
      <w:pPr>
        <w:spacing w:line="360" w:lineRule="auto"/>
        <w:ind w:firstLine="480" w:firstLineChars="200"/>
        <w:rPr>
          <w:rFonts w:ascii="宋体" w:hAnsi="宋体" w:cs="宋体"/>
          <w:sz w:val="24"/>
        </w:rPr>
      </w:pPr>
      <w:r>
        <w:rPr>
          <w:rFonts w:hint="eastAsia" w:ascii="宋体" w:hAnsi="宋体" w:cs="宋体"/>
          <w:sz w:val="24"/>
        </w:rPr>
        <w:t>1.纯度≥99.5%</w:t>
      </w:r>
    </w:p>
    <w:p w14:paraId="2088F814">
      <w:pPr>
        <w:spacing w:line="360" w:lineRule="auto"/>
        <w:ind w:firstLine="482" w:firstLineChars="200"/>
        <w:rPr>
          <w:rFonts w:ascii="宋体" w:hAnsi="宋体" w:cs="宋体"/>
          <w:b/>
          <w:bCs/>
          <w:sz w:val="24"/>
        </w:rPr>
      </w:pPr>
      <w:r>
        <w:rPr>
          <w:rFonts w:hint="eastAsia" w:ascii="宋体" w:hAnsi="宋体" w:cs="宋体"/>
          <w:b/>
          <w:bCs/>
          <w:sz w:val="24"/>
        </w:rPr>
        <w:t>标的名称221：进样杯</w:t>
      </w:r>
    </w:p>
    <w:p w14:paraId="626A9435">
      <w:pPr>
        <w:spacing w:line="360" w:lineRule="auto"/>
        <w:ind w:firstLine="480" w:firstLineChars="200"/>
        <w:rPr>
          <w:rFonts w:ascii="宋体" w:hAnsi="宋体" w:cs="宋体"/>
          <w:sz w:val="24"/>
        </w:rPr>
      </w:pPr>
      <w:r>
        <w:rPr>
          <w:rFonts w:hint="eastAsia" w:ascii="宋体" w:hAnsi="宋体" w:cs="宋体"/>
          <w:sz w:val="24"/>
        </w:rPr>
        <w:t>1.塑料材质，适配石墨炉原子吸收光度计进样使用。低重金属，环境监测专用款。</w:t>
      </w:r>
    </w:p>
    <w:p w14:paraId="24425EA0">
      <w:pPr>
        <w:spacing w:line="360" w:lineRule="auto"/>
        <w:ind w:firstLine="482" w:firstLineChars="200"/>
        <w:rPr>
          <w:rFonts w:ascii="宋体" w:hAnsi="宋体" w:cs="宋体"/>
          <w:b/>
          <w:bCs/>
          <w:sz w:val="24"/>
        </w:rPr>
      </w:pPr>
      <w:r>
        <w:rPr>
          <w:rFonts w:hint="eastAsia" w:ascii="宋体" w:hAnsi="宋体" w:cs="宋体"/>
          <w:b/>
          <w:bCs/>
          <w:sz w:val="24"/>
        </w:rPr>
        <w:t>标的名称222：泵油</w:t>
      </w:r>
    </w:p>
    <w:p w14:paraId="43E56B4A">
      <w:pPr>
        <w:spacing w:line="360" w:lineRule="auto"/>
        <w:ind w:firstLine="480" w:firstLineChars="200"/>
        <w:rPr>
          <w:rFonts w:ascii="宋体" w:hAnsi="宋体" w:cs="宋体"/>
          <w:sz w:val="24"/>
        </w:rPr>
      </w:pPr>
      <w:r>
        <w:rPr>
          <w:rFonts w:hint="eastAsia" w:ascii="宋体" w:hAnsi="宋体" w:cs="宋体"/>
          <w:sz w:val="24"/>
        </w:rPr>
        <w:t>1.适配PE电感耦合等离子体质谱仪的真空泵使用的泵油。</w:t>
      </w:r>
    </w:p>
    <w:p w14:paraId="729CB78F">
      <w:pPr>
        <w:spacing w:line="360" w:lineRule="auto"/>
        <w:ind w:firstLine="482" w:firstLineChars="200"/>
        <w:rPr>
          <w:rFonts w:ascii="宋体" w:hAnsi="宋体" w:cs="宋体"/>
          <w:b/>
          <w:bCs/>
          <w:sz w:val="24"/>
        </w:rPr>
      </w:pPr>
      <w:r>
        <w:rPr>
          <w:rFonts w:hint="eastAsia" w:ascii="宋体" w:hAnsi="宋体" w:cs="宋体"/>
          <w:b/>
          <w:bCs/>
          <w:sz w:val="24"/>
        </w:rPr>
        <w:t>标的名称223：进样泵管</w:t>
      </w:r>
    </w:p>
    <w:p w14:paraId="145DE3E1">
      <w:pPr>
        <w:spacing w:line="360" w:lineRule="auto"/>
        <w:ind w:firstLine="480" w:firstLineChars="200"/>
        <w:rPr>
          <w:rFonts w:ascii="宋体" w:hAnsi="宋体" w:cs="宋体"/>
          <w:sz w:val="24"/>
        </w:rPr>
      </w:pPr>
      <w:r>
        <w:rPr>
          <w:rFonts w:hint="eastAsia" w:ascii="宋体" w:hAnsi="宋体" w:cs="宋体"/>
          <w:sz w:val="24"/>
        </w:rPr>
        <w:t>1.适配PE8000电感耦合等离子体发射光谱仪进样使用。</w:t>
      </w:r>
    </w:p>
    <w:p w14:paraId="1FC2E521">
      <w:pPr>
        <w:spacing w:line="360" w:lineRule="auto"/>
        <w:ind w:firstLine="482" w:firstLineChars="200"/>
        <w:rPr>
          <w:rFonts w:ascii="宋体" w:hAnsi="宋体" w:cs="宋体"/>
          <w:b/>
          <w:bCs/>
          <w:sz w:val="24"/>
        </w:rPr>
      </w:pPr>
      <w:r>
        <w:rPr>
          <w:rFonts w:hint="eastAsia" w:ascii="宋体" w:hAnsi="宋体" w:cs="宋体"/>
          <w:b/>
          <w:bCs/>
          <w:sz w:val="24"/>
        </w:rPr>
        <w:t>标的名称224：排液泵管</w:t>
      </w:r>
    </w:p>
    <w:p w14:paraId="48A9B052">
      <w:pPr>
        <w:spacing w:line="360" w:lineRule="auto"/>
        <w:ind w:firstLine="480" w:firstLineChars="200"/>
        <w:rPr>
          <w:rFonts w:ascii="宋体" w:hAnsi="宋体" w:cs="宋体"/>
          <w:sz w:val="24"/>
        </w:rPr>
      </w:pPr>
      <w:r>
        <w:rPr>
          <w:rFonts w:hint="eastAsia" w:ascii="宋体" w:hAnsi="宋体" w:cs="宋体"/>
          <w:sz w:val="24"/>
        </w:rPr>
        <w:t>1.适配PE8000电感耦合等离子体发射光谱仪排废液使用。</w:t>
      </w:r>
    </w:p>
    <w:p w14:paraId="35839978">
      <w:pPr>
        <w:spacing w:line="360" w:lineRule="auto"/>
        <w:ind w:firstLine="482" w:firstLineChars="200"/>
        <w:rPr>
          <w:rFonts w:ascii="宋体" w:hAnsi="宋体" w:cs="宋体"/>
          <w:b/>
          <w:bCs/>
          <w:sz w:val="24"/>
        </w:rPr>
      </w:pPr>
      <w:r>
        <w:rPr>
          <w:rFonts w:hint="eastAsia" w:ascii="宋体" w:hAnsi="宋体" w:cs="宋体"/>
          <w:b/>
          <w:bCs/>
          <w:sz w:val="24"/>
        </w:rPr>
        <w:t>标的名称225：一次性医用外科口罩</w:t>
      </w:r>
    </w:p>
    <w:p w14:paraId="05CE5C04">
      <w:pPr>
        <w:spacing w:line="360" w:lineRule="auto"/>
        <w:ind w:firstLine="480" w:firstLineChars="200"/>
        <w:rPr>
          <w:rFonts w:ascii="宋体" w:hAnsi="宋体" w:cs="宋体"/>
          <w:sz w:val="24"/>
        </w:rPr>
      </w:pPr>
      <w:r>
        <w:rPr>
          <w:rFonts w:hint="eastAsia" w:ascii="宋体" w:hAnsi="宋体" w:cs="宋体"/>
          <w:sz w:val="24"/>
        </w:rPr>
        <w:t>1.符合YY/T 0969-2023《一次性使用医用口罩》标准；非无菌或医用外科级，三层结构，无纺布材质，耳挂式，过滤效率满足医用外科口罩技术要求。</w:t>
      </w:r>
    </w:p>
    <w:p w14:paraId="075A4299">
      <w:pPr>
        <w:spacing w:line="360" w:lineRule="auto"/>
        <w:ind w:firstLine="482" w:firstLineChars="200"/>
        <w:rPr>
          <w:rFonts w:ascii="宋体" w:hAnsi="宋体" w:cs="宋体"/>
          <w:b/>
          <w:bCs/>
          <w:sz w:val="24"/>
        </w:rPr>
      </w:pPr>
      <w:r>
        <w:rPr>
          <w:rFonts w:hint="eastAsia" w:ascii="宋体" w:hAnsi="宋体" w:cs="宋体"/>
          <w:b/>
          <w:bCs/>
          <w:sz w:val="24"/>
        </w:rPr>
        <w:t>标的名称226：N95口罩（头戴式）</w:t>
      </w:r>
    </w:p>
    <w:p w14:paraId="62597546">
      <w:pPr>
        <w:spacing w:line="360" w:lineRule="auto"/>
        <w:ind w:firstLine="480" w:firstLineChars="200"/>
        <w:rPr>
          <w:rFonts w:ascii="宋体" w:hAnsi="宋体" w:cs="宋体"/>
          <w:sz w:val="24"/>
        </w:rPr>
      </w:pPr>
      <w:r>
        <w:rPr>
          <w:rFonts w:hint="eastAsia" w:ascii="宋体" w:hAnsi="宋体" w:cs="宋体"/>
          <w:sz w:val="24"/>
        </w:rPr>
        <w:t>1.符合GB19083</w:t>
      </w:r>
      <w:r>
        <w:rPr>
          <w:rFonts w:hint="eastAsia" w:ascii="宋体" w:hAnsi="宋体" w:cs="宋体"/>
          <w:sz w:val="24"/>
        </w:rPr>
        <w:noBreakHyphen/>
      </w:r>
      <w:r>
        <w:rPr>
          <w:rFonts w:hint="eastAsia" w:ascii="宋体" w:hAnsi="宋体" w:cs="宋体"/>
          <w:sz w:val="24"/>
        </w:rPr>
        <w:t>2010医用防护口罩技术要求；头戴式，颗粒物过滤效率≥95%，密合性良好，医用防护级别。</w:t>
      </w:r>
    </w:p>
    <w:p w14:paraId="2544A7ED">
      <w:pPr>
        <w:spacing w:line="360" w:lineRule="auto"/>
        <w:ind w:firstLine="482" w:firstLineChars="200"/>
        <w:rPr>
          <w:rFonts w:ascii="宋体" w:hAnsi="宋体" w:cs="宋体"/>
          <w:b/>
          <w:bCs/>
          <w:sz w:val="24"/>
        </w:rPr>
      </w:pPr>
      <w:r>
        <w:rPr>
          <w:rFonts w:hint="eastAsia" w:ascii="宋体" w:hAnsi="宋体" w:cs="宋体"/>
          <w:b/>
          <w:bCs/>
          <w:sz w:val="24"/>
        </w:rPr>
        <w:t>标的名称227：一次性外科手术衣（独立包装）</w:t>
      </w:r>
    </w:p>
    <w:p w14:paraId="5481A511">
      <w:pPr>
        <w:spacing w:line="360" w:lineRule="auto"/>
        <w:ind w:firstLine="480" w:firstLineChars="200"/>
        <w:rPr>
          <w:rFonts w:ascii="宋体" w:hAnsi="宋体" w:cs="宋体"/>
          <w:sz w:val="24"/>
        </w:rPr>
      </w:pPr>
      <w:r>
        <w:rPr>
          <w:rFonts w:hint="eastAsia" w:ascii="宋体" w:hAnsi="宋体" w:cs="宋体"/>
          <w:sz w:val="24"/>
        </w:rPr>
        <w:t>1.符合GB/T19082</w:t>
      </w:r>
      <w:r>
        <w:rPr>
          <w:rFonts w:hint="eastAsia" w:ascii="宋体" w:hAnsi="宋体" w:cs="宋体"/>
          <w:sz w:val="24"/>
        </w:rPr>
        <w:noBreakHyphen/>
      </w:r>
      <w:r>
        <w:rPr>
          <w:rFonts w:hint="eastAsia" w:ascii="宋体" w:hAnsi="宋体" w:cs="宋体"/>
          <w:sz w:val="24"/>
        </w:rPr>
        <w:t>2009医用一次性防护服技术要求；独立灭菌包装，抗渗水性，抗静水压，适合手术室及防护操作使用。</w:t>
      </w:r>
    </w:p>
    <w:p w14:paraId="4A3B8714">
      <w:pPr>
        <w:spacing w:line="360" w:lineRule="auto"/>
        <w:ind w:firstLine="482" w:firstLineChars="200"/>
        <w:rPr>
          <w:rFonts w:ascii="宋体" w:hAnsi="宋体" w:cs="宋体"/>
          <w:b/>
          <w:bCs/>
          <w:sz w:val="24"/>
        </w:rPr>
      </w:pPr>
      <w:r>
        <w:rPr>
          <w:rFonts w:hint="eastAsia" w:ascii="宋体" w:hAnsi="宋体" w:cs="宋体"/>
          <w:b/>
          <w:bCs/>
          <w:sz w:val="24"/>
        </w:rPr>
        <w:t>标的名称228：高邦医用灭菌橡胶外科手术手套（麻面，有粉7.5号）</w:t>
      </w:r>
    </w:p>
    <w:p w14:paraId="52A1A2A5">
      <w:pPr>
        <w:spacing w:line="360" w:lineRule="auto"/>
        <w:ind w:firstLine="480" w:firstLineChars="200"/>
        <w:rPr>
          <w:rFonts w:ascii="宋体" w:hAnsi="宋体" w:cs="宋体"/>
          <w:sz w:val="24"/>
        </w:rPr>
      </w:pPr>
      <w:r>
        <w:rPr>
          <w:rFonts w:hint="eastAsia" w:ascii="宋体" w:hAnsi="宋体" w:cs="宋体"/>
          <w:sz w:val="24"/>
        </w:rPr>
        <w:t>1.医用灭菌橡胶外科手套，麻面、有粉，7.5号；符合GB7543</w:t>
      </w:r>
      <w:r>
        <w:rPr>
          <w:rFonts w:hint="eastAsia" w:ascii="宋体" w:hAnsi="宋体" w:cs="宋体"/>
          <w:sz w:val="24"/>
        </w:rPr>
        <w:noBreakHyphen/>
      </w:r>
      <w:r>
        <w:rPr>
          <w:rFonts w:hint="eastAsia" w:ascii="宋体" w:hAnsi="宋体" w:cs="宋体"/>
          <w:sz w:val="24"/>
        </w:rPr>
        <w:t>2020《一次性使用灭菌橡胶外科手套》，无菌。</w:t>
      </w:r>
    </w:p>
    <w:p w14:paraId="2CCFDD18">
      <w:pPr>
        <w:spacing w:line="360" w:lineRule="auto"/>
        <w:ind w:firstLine="482" w:firstLineChars="200"/>
        <w:rPr>
          <w:rFonts w:ascii="宋体" w:hAnsi="宋体" w:cs="宋体"/>
          <w:b/>
          <w:bCs/>
          <w:sz w:val="24"/>
        </w:rPr>
      </w:pPr>
      <w:r>
        <w:rPr>
          <w:rFonts w:hint="eastAsia" w:ascii="宋体" w:hAnsi="宋体" w:cs="宋体"/>
          <w:b/>
          <w:bCs/>
          <w:sz w:val="24"/>
        </w:rPr>
        <w:t>标的名称229：高邦医用灭菌橡胶外科手术手套（麻面，有粉8号）</w:t>
      </w:r>
    </w:p>
    <w:p w14:paraId="798165C8">
      <w:pPr>
        <w:spacing w:line="360" w:lineRule="auto"/>
        <w:ind w:firstLine="480" w:firstLineChars="200"/>
        <w:rPr>
          <w:rFonts w:ascii="宋体" w:hAnsi="宋体" w:cs="宋体"/>
          <w:sz w:val="24"/>
        </w:rPr>
      </w:pPr>
      <w:r>
        <w:rPr>
          <w:rFonts w:hint="eastAsia" w:ascii="宋体" w:hAnsi="宋体" w:cs="宋体"/>
          <w:sz w:val="24"/>
        </w:rPr>
        <w:t>1.医用灭菌橡胶外科手套，麻面、有粉，8号；符合GB7543</w:t>
      </w:r>
      <w:r>
        <w:rPr>
          <w:rFonts w:hint="eastAsia" w:ascii="宋体" w:hAnsi="宋体" w:cs="宋体"/>
          <w:sz w:val="24"/>
        </w:rPr>
        <w:noBreakHyphen/>
      </w:r>
      <w:r>
        <w:rPr>
          <w:rFonts w:hint="eastAsia" w:ascii="宋体" w:hAnsi="宋体" w:cs="宋体"/>
          <w:sz w:val="24"/>
        </w:rPr>
        <w:t>2020《一次性使用灭菌橡胶外科手套》，无菌。</w:t>
      </w:r>
    </w:p>
    <w:p w14:paraId="52A12F8D">
      <w:pPr>
        <w:spacing w:line="360" w:lineRule="auto"/>
        <w:ind w:firstLine="482" w:firstLineChars="200"/>
        <w:rPr>
          <w:rFonts w:ascii="宋体" w:hAnsi="宋体" w:cs="宋体"/>
          <w:b/>
          <w:bCs/>
          <w:sz w:val="24"/>
        </w:rPr>
      </w:pPr>
      <w:r>
        <w:rPr>
          <w:rFonts w:hint="eastAsia" w:ascii="宋体" w:hAnsi="宋体" w:cs="宋体"/>
          <w:b/>
          <w:bCs/>
          <w:sz w:val="24"/>
        </w:rPr>
        <w:t>标的名称230：高邦医用灭菌橡胶外科手术手套（麻面，无粉7.5号）</w:t>
      </w:r>
    </w:p>
    <w:p w14:paraId="2973D7AD">
      <w:pPr>
        <w:spacing w:line="360" w:lineRule="auto"/>
        <w:ind w:firstLine="480" w:firstLineChars="200"/>
        <w:rPr>
          <w:rFonts w:ascii="宋体" w:hAnsi="宋体" w:cs="宋体"/>
          <w:sz w:val="24"/>
        </w:rPr>
      </w:pPr>
      <w:r>
        <w:rPr>
          <w:rFonts w:hint="eastAsia" w:ascii="宋体" w:hAnsi="宋体" w:cs="宋体"/>
          <w:sz w:val="24"/>
        </w:rPr>
        <w:t>1.医用灭菌橡胶外科手套，麻面、无粉，7.5号；符合GB7543</w:t>
      </w:r>
      <w:r>
        <w:rPr>
          <w:rFonts w:hint="eastAsia" w:ascii="宋体" w:hAnsi="宋体" w:cs="宋体"/>
          <w:sz w:val="24"/>
        </w:rPr>
        <w:noBreakHyphen/>
      </w:r>
      <w:r>
        <w:rPr>
          <w:rFonts w:hint="eastAsia" w:ascii="宋体" w:hAnsi="宋体" w:cs="宋体"/>
          <w:sz w:val="24"/>
        </w:rPr>
        <w:t>2020《一次性使用灭菌橡胶外科手套》，无菌。</w:t>
      </w:r>
    </w:p>
    <w:p w14:paraId="2CEB0D0F">
      <w:pPr>
        <w:spacing w:line="360" w:lineRule="auto"/>
        <w:ind w:firstLine="482" w:firstLineChars="200"/>
        <w:rPr>
          <w:rFonts w:ascii="宋体" w:hAnsi="宋体" w:cs="宋体"/>
          <w:b/>
          <w:bCs/>
          <w:sz w:val="24"/>
        </w:rPr>
      </w:pPr>
      <w:r>
        <w:rPr>
          <w:rFonts w:hint="eastAsia" w:ascii="宋体" w:hAnsi="宋体" w:cs="宋体"/>
          <w:b/>
          <w:bCs/>
          <w:sz w:val="24"/>
        </w:rPr>
        <w:t>标的名称231：高邦医用灭菌橡胶外科手术手套（麻面，无粉8号）</w:t>
      </w:r>
    </w:p>
    <w:p w14:paraId="10ED6C9B">
      <w:pPr>
        <w:spacing w:line="360" w:lineRule="auto"/>
        <w:ind w:firstLine="480" w:firstLineChars="200"/>
        <w:rPr>
          <w:rFonts w:ascii="宋体" w:hAnsi="宋体" w:cs="宋体"/>
          <w:sz w:val="24"/>
        </w:rPr>
      </w:pPr>
      <w:r>
        <w:rPr>
          <w:rFonts w:hint="eastAsia" w:ascii="宋体" w:hAnsi="宋体" w:cs="宋体"/>
          <w:sz w:val="24"/>
        </w:rPr>
        <w:t>1.医用灭菌橡胶外科手套，麻面、无粉，8号；符合GB7543</w:t>
      </w:r>
      <w:r>
        <w:rPr>
          <w:rFonts w:hint="eastAsia" w:ascii="宋体" w:hAnsi="宋体" w:cs="宋体"/>
          <w:sz w:val="24"/>
        </w:rPr>
        <w:noBreakHyphen/>
      </w:r>
      <w:r>
        <w:rPr>
          <w:rFonts w:hint="eastAsia" w:ascii="宋体" w:hAnsi="宋体" w:cs="宋体"/>
          <w:sz w:val="24"/>
        </w:rPr>
        <w:t>2020《一次性使用灭菌橡胶外科手套》，无菌。</w:t>
      </w:r>
    </w:p>
    <w:p w14:paraId="20C2F5F9">
      <w:pPr>
        <w:spacing w:line="360" w:lineRule="auto"/>
        <w:ind w:firstLine="482" w:firstLineChars="200"/>
        <w:rPr>
          <w:rFonts w:ascii="宋体" w:hAnsi="宋体" w:cs="宋体"/>
          <w:b/>
          <w:bCs/>
          <w:sz w:val="24"/>
        </w:rPr>
      </w:pPr>
      <w:r>
        <w:rPr>
          <w:rFonts w:hint="eastAsia" w:ascii="宋体" w:hAnsi="宋体" w:cs="宋体"/>
          <w:b/>
          <w:bCs/>
          <w:sz w:val="24"/>
        </w:rPr>
        <w:t>标的名称232：医用手术帽</w:t>
      </w:r>
    </w:p>
    <w:p w14:paraId="75E217E5">
      <w:pPr>
        <w:spacing w:line="360" w:lineRule="auto"/>
        <w:ind w:firstLine="480" w:firstLineChars="200"/>
        <w:rPr>
          <w:rFonts w:ascii="宋体" w:hAnsi="宋体" w:cs="宋体"/>
          <w:sz w:val="24"/>
        </w:rPr>
      </w:pPr>
      <w:r>
        <w:rPr>
          <w:rFonts w:hint="eastAsia" w:ascii="宋体" w:hAnsi="宋体" w:cs="宋体"/>
          <w:sz w:val="24"/>
        </w:rPr>
        <w:t>1.无纺布材质，医用级，弹力收口，防尘防毛发脱落，适用于临床防护。</w:t>
      </w:r>
    </w:p>
    <w:p w14:paraId="280CD709">
      <w:pPr>
        <w:spacing w:line="360" w:lineRule="auto"/>
        <w:ind w:firstLine="482" w:firstLineChars="200"/>
        <w:rPr>
          <w:rFonts w:ascii="宋体" w:hAnsi="宋体" w:cs="宋体"/>
          <w:b/>
          <w:bCs/>
          <w:sz w:val="24"/>
        </w:rPr>
      </w:pPr>
      <w:r>
        <w:rPr>
          <w:rFonts w:hint="eastAsia" w:ascii="宋体" w:hAnsi="宋体" w:cs="宋体"/>
          <w:b/>
          <w:bCs/>
          <w:sz w:val="24"/>
        </w:rPr>
        <w:t>标的名称233：医用一次性鞋套</w:t>
      </w:r>
    </w:p>
    <w:p w14:paraId="2A3BD080">
      <w:pPr>
        <w:spacing w:line="360" w:lineRule="auto"/>
        <w:ind w:firstLine="480" w:firstLineChars="200"/>
        <w:rPr>
          <w:rFonts w:ascii="宋体" w:hAnsi="宋体" w:cs="宋体"/>
          <w:sz w:val="24"/>
        </w:rPr>
      </w:pPr>
      <w:r>
        <w:rPr>
          <w:rFonts w:hint="eastAsia" w:ascii="宋体" w:hAnsi="宋体" w:cs="宋体"/>
          <w:sz w:val="24"/>
        </w:rPr>
        <w:t>1.无纺布材质，防滑，加厚，防尘防水，医用一次性使用。</w:t>
      </w:r>
    </w:p>
    <w:p w14:paraId="7B3F10E3">
      <w:pPr>
        <w:spacing w:line="360" w:lineRule="auto"/>
        <w:ind w:firstLine="482" w:firstLineChars="200"/>
        <w:rPr>
          <w:rFonts w:ascii="宋体" w:hAnsi="宋体" w:cs="宋体"/>
          <w:b/>
          <w:bCs/>
          <w:sz w:val="24"/>
        </w:rPr>
      </w:pPr>
      <w:r>
        <w:rPr>
          <w:rFonts w:hint="eastAsia" w:ascii="宋体" w:hAnsi="宋体" w:cs="宋体"/>
          <w:b/>
          <w:bCs/>
          <w:sz w:val="24"/>
        </w:rPr>
        <w:t>标的名称234：医用无菌铺巾</w:t>
      </w:r>
    </w:p>
    <w:p w14:paraId="37312091">
      <w:pPr>
        <w:spacing w:line="360" w:lineRule="auto"/>
        <w:ind w:firstLine="480" w:firstLineChars="200"/>
        <w:rPr>
          <w:rFonts w:ascii="宋体" w:hAnsi="宋体" w:cs="宋体"/>
          <w:sz w:val="24"/>
        </w:rPr>
      </w:pPr>
      <w:r>
        <w:rPr>
          <w:rFonts w:hint="eastAsia" w:ascii="宋体" w:hAnsi="宋体" w:cs="宋体"/>
          <w:sz w:val="24"/>
        </w:rPr>
        <w:t>1.尺寸80cm×180cm，独立无菌包装，无纺布，防渗，用于临床操作铺置。</w:t>
      </w:r>
    </w:p>
    <w:p w14:paraId="154A4C2D">
      <w:pPr>
        <w:spacing w:line="360" w:lineRule="auto"/>
        <w:ind w:firstLine="482" w:firstLineChars="200"/>
        <w:rPr>
          <w:rFonts w:ascii="宋体" w:hAnsi="宋体" w:cs="宋体"/>
          <w:b/>
          <w:bCs/>
          <w:sz w:val="24"/>
        </w:rPr>
      </w:pPr>
      <w:r>
        <w:rPr>
          <w:rFonts w:hint="eastAsia" w:ascii="宋体" w:hAnsi="宋体" w:cs="宋体"/>
          <w:b/>
          <w:bCs/>
          <w:sz w:val="24"/>
        </w:rPr>
        <w:t>标的名称235：医疗废物垃圾袋</w:t>
      </w:r>
    </w:p>
    <w:p w14:paraId="70D373A3">
      <w:pPr>
        <w:spacing w:line="360" w:lineRule="auto"/>
        <w:ind w:firstLine="480" w:firstLineChars="200"/>
        <w:rPr>
          <w:rFonts w:ascii="宋体" w:hAnsi="宋体" w:cs="宋体"/>
          <w:sz w:val="24"/>
        </w:rPr>
      </w:pPr>
      <w:r>
        <w:rPr>
          <w:rFonts w:hint="eastAsia" w:ascii="宋体" w:hAnsi="宋体" w:cs="宋体"/>
          <w:sz w:val="24"/>
        </w:rPr>
        <w:t>1.尺寸80×90cm，平口，加厚耐穿刺，符合医疗废物包装袋相关标准，黄色，用于医疗废物盛装。</w:t>
      </w:r>
    </w:p>
    <w:p w14:paraId="0224349C">
      <w:pPr>
        <w:spacing w:line="360" w:lineRule="auto"/>
        <w:ind w:firstLine="482" w:firstLineChars="200"/>
        <w:rPr>
          <w:rFonts w:ascii="宋体" w:hAnsi="宋体" w:cs="宋体"/>
          <w:b/>
          <w:bCs/>
          <w:sz w:val="24"/>
        </w:rPr>
      </w:pPr>
      <w:r>
        <w:rPr>
          <w:rFonts w:hint="eastAsia" w:ascii="宋体" w:hAnsi="宋体" w:cs="宋体"/>
          <w:b/>
          <w:bCs/>
          <w:sz w:val="24"/>
        </w:rPr>
        <w:t>标的名称236：抑菌洗手液</w:t>
      </w:r>
    </w:p>
    <w:p w14:paraId="6F604D61">
      <w:pPr>
        <w:spacing w:line="360" w:lineRule="auto"/>
        <w:ind w:firstLine="480" w:firstLineChars="200"/>
        <w:rPr>
          <w:rFonts w:ascii="宋体" w:hAnsi="宋体" w:cs="宋体"/>
          <w:sz w:val="24"/>
        </w:rPr>
      </w:pPr>
      <w:r>
        <w:rPr>
          <w:rFonts w:hint="eastAsia" w:ascii="宋体" w:hAnsi="宋体" w:cs="宋体"/>
          <w:sz w:val="24"/>
        </w:rPr>
        <w:t>1.执行标准：GB19877.1-2005卫消证字《特种洗手液》，液体，300克每瓶装，适用于手部清洁、抑制金黄色葡萄球菌、大肠杆菌。</w:t>
      </w:r>
    </w:p>
    <w:p w14:paraId="6B6452AD">
      <w:pPr>
        <w:spacing w:line="360" w:lineRule="auto"/>
        <w:ind w:firstLine="482" w:firstLineChars="200"/>
        <w:rPr>
          <w:rFonts w:ascii="宋体" w:hAnsi="宋体" w:cs="宋体"/>
          <w:b/>
          <w:bCs/>
          <w:sz w:val="24"/>
        </w:rPr>
      </w:pPr>
      <w:r>
        <w:rPr>
          <w:rFonts w:hint="eastAsia" w:ascii="宋体" w:hAnsi="宋体" w:cs="宋体"/>
          <w:b/>
          <w:bCs/>
          <w:sz w:val="24"/>
        </w:rPr>
        <w:t>标的名称237：洗手液</w:t>
      </w:r>
    </w:p>
    <w:p w14:paraId="66FA1C23">
      <w:pPr>
        <w:spacing w:line="360" w:lineRule="auto"/>
        <w:ind w:firstLine="480" w:firstLineChars="200"/>
        <w:rPr>
          <w:rFonts w:ascii="宋体" w:hAnsi="宋体" w:cs="宋体"/>
          <w:sz w:val="24"/>
        </w:rPr>
      </w:pPr>
      <w:r>
        <w:rPr>
          <w:rFonts w:hint="eastAsia" w:ascii="宋体" w:hAnsi="宋体" w:cs="宋体"/>
          <w:sz w:val="24"/>
        </w:rPr>
        <w:t>1.行标准：GB/T34855-2007《洗手液》，液体，300ml每瓶装，适用于手部清洁、不得检出金黄色葡萄球菌、铜绿假单胞菌、粪大肠菌群。</w:t>
      </w:r>
    </w:p>
    <w:p w14:paraId="3CA4D155">
      <w:pPr>
        <w:spacing w:line="360" w:lineRule="auto"/>
        <w:ind w:firstLine="482" w:firstLineChars="200"/>
        <w:rPr>
          <w:rFonts w:ascii="宋体" w:hAnsi="宋体" w:cs="宋体"/>
          <w:b/>
          <w:bCs/>
          <w:sz w:val="24"/>
        </w:rPr>
      </w:pPr>
      <w:r>
        <w:rPr>
          <w:rFonts w:hint="eastAsia" w:ascii="宋体" w:hAnsi="宋体" w:cs="宋体"/>
          <w:b/>
          <w:bCs/>
          <w:sz w:val="24"/>
        </w:rPr>
        <w:t>标的名称238：医学检验生物样品密封袋（12号）</w:t>
      </w:r>
    </w:p>
    <w:p w14:paraId="18C9C60C">
      <w:pPr>
        <w:spacing w:line="360" w:lineRule="auto"/>
        <w:ind w:firstLine="480" w:firstLineChars="200"/>
        <w:rPr>
          <w:rFonts w:ascii="宋体" w:hAnsi="宋体" w:cs="宋体"/>
          <w:sz w:val="24"/>
        </w:rPr>
      </w:pPr>
      <w:r>
        <w:rPr>
          <w:rFonts w:hint="eastAsia" w:ascii="宋体" w:hAnsi="宋体" w:cs="宋体"/>
          <w:sz w:val="24"/>
        </w:rPr>
        <w:t>1.规格35×45cm，厚度20丝，生物安全密封袋，防渗漏，可书写，用于检验样本转运。</w:t>
      </w:r>
    </w:p>
    <w:p w14:paraId="6FA924FA">
      <w:pPr>
        <w:spacing w:line="360" w:lineRule="auto"/>
        <w:ind w:firstLine="482" w:firstLineChars="200"/>
        <w:rPr>
          <w:rFonts w:ascii="宋体" w:hAnsi="宋体" w:cs="宋体"/>
          <w:b/>
          <w:bCs/>
          <w:sz w:val="24"/>
        </w:rPr>
      </w:pPr>
      <w:r>
        <w:rPr>
          <w:rFonts w:hint="eastAsia" w:ascii="宋体" w:hAnsi="宋体" w:cs="宋体"/>
          <w:b/>
          <w:bCs/>
          <w:sz w:val="24"/>
        </w:rPr>
        <w:t>标的名称239：医学检验生物样品密封袋（10号）</w:t>
      </w:r>
    </w:p>
    <w:p w14:paraId="2314915B">
      <w:pPr>
        <w:spacing w:line="360" w:lineRule="auto"/>
        <w:ind w:firstLine="480" w:firstLineChars="200"/>
        <w:rPr>
          <w:rFonts w:ascii="宋体" w:hAnsi="宋体" w:cs="宋体"/>
          <w:sz w:val="24"/>
        </w:rPr>
      </w:pPr>
      <w:r>
        <w:rPr>
          <w:rFonts w:hint="eastAsia" w:ascii="宋体" w:hAnsi="宋体" w:cs="宋体"/>
          <w:sz w:val="24"/>
        </w:rPr>
        <w:t>1.规格25×35cm，厚度16丝，生物安全密封袋，防渗漏，可书写，用于检验样本转运。</w:t>
      </w:r>
    </w:p>
    <w:p w14:paraId="7FF9537E">
      <w:pPr>
        <w:spacing w:line="360" w:lineRule="auto"/>
        <w:ind w:firstLine="482" w:firstLineChars="200"/>
        <w:rPr>
          <w:rFonts w:ascii="宋体" w:hAnsi="宋体" w:cs="宋体"/>
          <w:b/>
          <w:bCs/>
          <w:sz w:val="24"/>
        </w:rPr>
      </w:pPr>
      <w:r>
        <w:rPr>
          <w:rFonts w:hint="eastAsia" w:ascii="宋体" w:hAnsi="宋体" w:cs="宋体"/>
          <w:b/>
          <w:bCs/>
          <w:sz w:val="24"/>
        </w:rPr>
        <w:t>标的名称240：医学检验生物样品密封袋（8号）</w:t>
      </w:r>
    </w:p>
    <w:p w14:paraId="6901DDCD">
      <w:pPr>
        <w:spacing w:line="360" w:lineRule="auto"/>
        <w:ind w:firstLine="480" w:firstLineChars="200"/>
        <w:rPr>
          <w:rFonts w:ascii="宋体" w:hAnsi="宋体" w:cs="宋体"/>
          <w:sz w:val="24"/>
        </w:rPr>
      </w:pPr>
      <w:r>
        <w:rPr>
          <w:rFonts w:hint="eastAsia" w:ascii="宋体" w:hAnsi="宋体" w:cs="宋体"/>
          <w:sz w:val="24"/>
        </w:rPr>
        <w:t>1.规格17×25cm，厚度12丝，生物安全密封袋，防渗漏，可书写，用于检验样本转运。</w:t>
      </w:r>
    </w:p>
    <w:p w14:paraId="3823AF53">
      <w:pPr>
        <w:spacing w:line="360" w:lineRule="auto"/>
        <w:ind w:firstLine="482" w:firstLineChars="200"/>
        <w:rPr>
          <w:rFonts w:ascii="宋体" w:hAnsi="宋体" w:cs="宋体"/>
          <w:b/>
          <w:bCs/>
          <w:sz w:val="24"/>
        </w:rPr>
      </w:pPr>
      <w:r>
        <w:rPr>
          <w:rFonts w:hint="eastAsia" w:ascii="宋体" w:hAnsi="宋体" w:cs="宋体"/>
          <w:b/>
          <w:bCs/>
          <w:sz w:val="24"/>
        </w:rPr>
        <w:t>标的名称241：一次性医用灭菌棉签（独立小包装）</w:t>
      </w:r>
    </w:p>
    <w:p w14:paraId="2273D93F">
      <w:pPr>
        <w:spacing w:line="360" w:lineRule="auto"/>
        <w:ind w:firstLine="480" w:firstLineChars="200"/>
        <w:rPr>
          <w:rFonts w:ascii="宋体" w:hAnsi="宋体" w:cs="宋体"/>
          <w:sz w:val="24"/>
        </w:rPr>
      </w:pPr>
      <w:r>
        <w:rPr>
          <w:rFonts w:hint="eastAsia" w:ascii="宋体" w:hAnsi="宋体" w:cs="宋体"/>
          <w:sz w:val="24"/>
        </w:rPr>
        <w:t>1.医用灭菌棉签，独立小支包装，棉头致密，杆身强度好，用于皮肤、创面采样消毒。</w:t>
      </w:r>
    </w:p>
    <w:p w14:paraId="36D38531">
      <w:pPr>
        <w:spacing w:line="360" w:lineRule="auto"/>
        <w:ind w:firstLine="482" w:firstLineChars="200"/>
        <w:rPr>
          <w:rFonts w:ascii="宋体" w:hAnsi="宋体" w:cs="宋体"/>
          <w:b/>
          <w:bCs/>
          <w:sz w:val="24"/>
        </w:rPr>
      </w:pPr>
      <w:r>
        <w:rPr>
          <w:rFonts w:hint="eastAsia" w:ascii="宋体" w:hAnsi="宋体" w:cs="宋体"/>
          <w:b/>
          <w:bCs/>
          <w:sz w:val="24"/>
        </w:rPr>
        <w:t>标的名称242：消毒纸卷</w:t>
      </w:r>
    </w:p>
    <w:p w14:paraId="4F5BF9EA">
      <w:pPr>
        <w:spacing w:line="360" w:lineRule="auto"/>
        <w:ind w:firstLine="480" w:firstLineChars="200"/>
        <w:rPr>
          <w:rFonts w:ascii="宋体" w:hAnsi="宋体" w:cs="宋体"/>
          <w:sz w:val="24"/>
        </w:rPr>
      </w:pPr>
      <w:r>
        <w:rPr>
          <w:rFonts w:hint="eastAsia" w:ascii="宋体" w:hAnsi="宋体" w:cs="宋体"/>
          <w:sz w:val="24"/>
        </w:rPr>
        <w:t>1.尺寸55mm×200m，芽孢菌片包装专用纸</w:t>
      </w:r>
    </w:p>
    <w:p w14:paraId="5AE0EFDE">
      <w:pPr>
        <w:spacing w:line="360" w:lineRule="auto"/>
        <w:ind w:firstLine="482" w:firstLineChars="200"/>
        <w:rPr>
          <w:rFonts w:ascii="宋体" w:hAnsi="宋体" w:cs="宋体"/>
          <w:b/>
          <w:bCs/>
          <w:sz w:val="24"/>
        </w:rPr>
      </w:pPr>
      <w:r>
        <w:rPr>
          <w:rFonts w:hint="eastAsia" w:ascii="宋体" w:hAnsi="宋体" w:cs="宋体"/>
          <w:b/>
          <w:bCs/>
          <w:sz w:val="24"/>
        </w:rPr>
        <w:t>标的名称243：卫生湿巾</w:t>
      </w:r>
      <w:r>
        <w:rPr>
          <w:rFonts w:ascii="宋体" w:hAnsi="宋体" w:cs="宋体"/>
          <w:b/>
          <w:bCs/>
          <w:sz w:val="24"/>
        </w:rPr>
        <w:t>1</w:t>
      </w:r>
    </w:p>
    <w:p w14:paraId="0FD5583F">
      <w:pPr>
        <w:spacing w:line="360" w:lineRule="auto"/>
        <w:ind w:firstLine="480" w:firstLineChars="200"/>
        <w:rPr>
          <w:rFonts w:ascii="宋体" w:hAnsi="宋体" w:cs="宋体"/>
          <w:sz w:val="24"/>
        </w:rPr>
      </w:pPr>
      <w:r>
        <w:rPr>
          <w:rFonts w:hint="eastAsia" w:ascii="宋体" w:hAnsi="宋体" w:cs="宋体"/>
          <w:sz w:val="24"/>
        </w:rPr>
        <w:t>1.γ射线灭菌卫生湿巾，100片/包，无醇或复合消毒成分，物体表面消毒，灭菌级。</w:t>
      </w:r>
    </w:p>
    <w:p w14:paraId="792AFB6B">
      <w:pPr>
        <w:spacing w:line="360" w:lineRule="auto"/>
        <w:ind w:firstLine="482" w:firstLineChars="200"/>
        <w:rPr>
          <w:rFonts w:ascii="宋体" w:hAnsi="宋体" w:cs="宋体"/>
          <w:b/>
          <w:bCs/>
          <w:sz w:val="24"/>
        </w:rPr>
      </w:pPr>
      <w:r>
        <w:rPr>
          <w:rFonts w:hint="eastAsia" w:ascii="宋体" w:hAnsi="宋体" w:cs="宋体"/>
          <w:b/>
          <w:bCs/>
          <w:sz w:val="24"/>
        </w:rPr>
        <w:t>标的名称244：卫生湿巾</w:t>
      </w:r>
      <w:r>
        <w:rPr>
          <w:rFonts w:ascii="宋体" w:hAnsi="宋体" w:cs="宋体"/>
          <w:b/>
          <w:bCs/>
          <w:sz w:val="24"/>
        </w:rPr>
        <w:t>2</w:t>
      </w:r>
    </w:p>
    <w:p w14:paraId="652FA056">
      <w:pPr>
        <w:spacing w:line="360" w:lineRule="auto"/>
        <w:ind w:firstLine="480" w:firstLineChars="200"/>
        <w:rPr>
          <w:rFonts w:ascii="宋体" w:hAnsi="宋体" w:cs="宋体"/>
          <w:sz w:val="24"/>
        </w:rPr>
      </w:pPr>
      <w:r>
        <w:rPr>
          <w:rFonts w:hint="eastAsia" w:ascii="宋体" w:hAnsi="宋体" w:cs="宋体"/>
          <w:sz w:val="24"/>
        </w:rPr>
        <w:t>1.单片尺寸16×18cm，γ射线灭菌，100片/盒，用于物表擦拭消毒。</w:t>
      </w:r>
    </w:p>
    <w:p w14:paraId="0C2FDB9E">
      <w:pPr>
        <w:spacing w:line="360" w:lineRule="auto"/>
        <w:ind w:firstLine="482" w:firstLineChars="200"/>
        <w:rPr>
          <w:rFonts w:ascii="宋体" w:hAnsi="宋体" w:cs="宋体"/>
          <w:b/>
          <w:bCs/>
          <w:sz w:val="24"/>
        </w:rPr>
      </w:pPr>
      <w:r>
        <w:rPr>
          <w:rFonts w:hint="eastAsia" w:ascii="宋体" w:hAnsi="宋体" w:cs="宋体"/>
          <w:b/>
          <w:bCs/>
          <w:sz w:val="24"/>
        </w:rPr>
        <w:t>标的名称245：免洗洗手液</w:t>
      </w:r>
    </w:p>
    <w:p w14:paraId="4367EFBF">
      <w:pPr>
        <w:spacing w:line="360" w:lineRule="auto"/>
        <w:ind w:firstLine="480" w:firstLineChars="200"/>
        <w:rPr>
          <w:rFonts w:ascii="宋体" w:hAnsi="宋体" w:cs="宋体"/>
          <w:sz w:val="24"/>
        </w:rPr>
      </w:pPr>
      <w:r>
        <w:rPr>
          <w:rFonts w:hint="eastAsia" w:ascii="宋体" w:hAnsi="宋体" w:cs="宋体"/>
          <w:sz w:val="24"/>
        </w:rPr>
        <w:t>1.医用免洗手消毒凝胶，有效杀菌，速干，符合手消毒剂卫生要求。</w:t>
      </w:r>
    </w:p>
    <w:p w14:paraId="39932BDC">
      <w:pPr>
        <w:spacing w:line="360" w:lineRule="auto"/>
        <w:ind w:firstLine="482" w:firstLineChars="200"/>
        <w:rPr>
          <w:rFonts w:ascii="宋体" w:hAnsi="宋体" w:cs="宋体"/>
          <w:b/>
          <w:bCs/>
          <w:sz w:val="24"/>
        </w:rPr>
      </w:pPr>
      <w:r>
        <w:rPr>
          <w:rFonts w:hint="eastAsia" w:ascii="宋体" w:hAnsi="宋体" w:cs="宋体"/>
          <w:b/>
          <w:bCs/>
          <w:sz w:val="24"/>
        </w:rPr>
        <w:t>标的名称246：无菌规格板</w:t>
      </w:r>
    </w:p>
    <w:p w14:paraId="635CDF7A">
      <w:pPr>
        <w:numPr>
          <w:ilvl w:val="0"/>
          <w:numId w:val="9"/>
        </w:numPr>
        <w:spacing w:line="360" w:lineRule="auto"/>
        <w:ind w:firstLine="480" w:firstLineChars="200"/>
        <w:rPr>
          <w:rFonts w:ascii="宋体" w:hAnsi="宋体" w:cs="宋体"/>
          <w:sz w:val="24"/>
        </w:rPr>
      </w:pPr>
      <w:r>
        <w:rPr>
          <w:rFonts w:hint="eastAsia" w:ascii="宋体" w:hAnsi="宋体" w:cs="宋体"/>
          <w:sz w:val="24"/>
        </w:rPr>
        <w:t>5cm×5cm无菌规格板，用于物体表面微生物采样，无菌，硬质，方便涂抹采样。</w:t>
      </w:r>
    </w:p>
    <w:p w14:paraId="6505EF88">
      <w:pPr>
        <w:spacing w:line="360" w:lineRule="auto"/>
        <w:ind w:firstLine="482" w:firstLineChars="200"/>
        <w:rPr>
          <w:rFonts w:ascii="宋体" w:hAnsi="宋体" w:cs="宋体"/>
          <w:b/>
          <w:bCs/>
          <w:sz w:val="24"/>
        </w:rPr>
      </w:pPr>
      <w:r>
        <w:rPr>
          <w:rFonts w:hint="eastAsia" w:ascii="宋体" w:hAnsi="宋体" w:cs="宋体"/>
          <w:b/>
          <w:bCs/>
          <w:sz w:val="24"/>
        </w:rPr>
        <w:t>标的名称247：复合双链季铵盐消毒液</w:t>
      </w:r>
    </w:p>
    <w:p w14:paraId="144A8269">
      <w:pPr>
        <w:spacing w:line="360" w:lineRule="auto"/>
        <w:ind w:firstLine="480" w:firstLineChars="200"/>
        <w:rPr>
          <w:rFonts w:ascii="宋体" w:hAnsi="宋体" w:cs="宋体"/>
          <w:sz w:val="24"/>
        </w:rPr>
      </w:pPr>
      <w:r>
        <w:rPr>
          <w:rFonts w:hint="eastAsia" w:ascii="宋体" w:hAnsi="宋体" w:cs="宋体"/>
          <w:sz w:val="24"/>
        </w:rPr>
        <w:t>1.复合双链季铵盐成分，450ml，物体表面消毒，对细菌真菌有效，符合消毒产品卫生要求。</w:t>
      </w:r>
    </w:p>
    <w:p w14:paraId="77163BD5">
      <w:pPr>
        <w:spacing w:line="360" w:lineRule="auto"/>
        <w:ind w:firstLine="482" w:firstLineChars="200"/>
        <w:rPr>
          <w:rFonts w:ascii="宋体" w:hAnsi="宋体" w:cs="宋体"/>
          <w:b/>
          <w:bCs/>
          <w:sz w:val="24"/>
        </w:rPr>
      </w:pPr>
      <w:r>
        <w:rPr>
          <w:rFonts w:hint="eastAsia" w:ascii="宋体" w:hAnsi="宋体" w:cs="宋体"/>
          <w:b/>
          <w:bCs/>
          <w:sz w:val="24"/>
        </w:rPr>
        <w:t>标的名称248：电子温湿度计效准证书原件探头款</w:t>
      </w:r>
    </w:p>
    <w:p w14:paraId="6529E6CB">
      <w:pPr>
        <w:spacing w:line="360" w:lineRule="auto"/>
        <w:ind w:firstLine="480" w:firstLineChars="200"/>
        <w:rPr>
          <w:rFonts w:ascii="宋体" w:hAnsi="宋体" w:cs="宋体"/>
          <w:sz w:val="24"/>
        </w:rPr>
      </w:pPr>
      <w:r>
        <w:rPr>
          <w:rFonts w:hint="eastAsia" w:ascii="宋体" w:hAnsi="宋体" w:cs="宋体"/>
          <w:sz w:val="24"/>
        </w:rPr>
        <w:t>1.带探头电子温湿度计，可用于实验室/消毒环境监测，附带有效计量校准证书原件。</w:t>
      </w:r>
    </w:p>
    <w:p w14:paraId="7496F620">
      <w:pPr>
        <w:spacing w:line="360" w:lineRule="auto"/>
        <w:ind w:firstLine="482" w:firstLineChars="200"/>
        <w:rPr>
          <w:rFonts w:ascii="宋体" w:hAnsi="宋体" w:cs="宋体"/>
          <w:b/>
          <w:bCs/>
          <w:sz w:val="24"/>
        </w:rPr>
      </w:pPr>
      <w:r>
        <w:rPr>
          <w:rFonts w:hint="eastAsia" w:ascii="宋体" w:hAnsi="宋体" w:cs="宋体"/>
          <w:b/>
          <w:bCs/>
          <w:sz w:val="24"/>
        </w:rPr>
        <w:t>标的名称249：中和剂一次性采样管</w:t>
      </w:r>
    </w:p>
    <w:p w14:paraId="06EC39A3">
      <w:pPr>
        <w:spacing w:line="360" w:lineRule="auto"/>
        <w:ind w:firstLine="480" w:firstLineChars="200"/>
        <w:rPr>
          <w:rFonts w:ascii="宋体" w:hAnsi="宋体" w:cs="宋体"/>
          <w:sz w:val="24"/>
        </w:rPr>
      </w:pPr>
      <w:r>
        <w:rPr>
          <w:rFonts w:hint="eastAsia" w:ascii="宋体" w:hAnsi="宋体" w:cs="宋体"/>
          <w:sz w:val="24"/>
        </w:rPr>
        <w:t>1.内含中和剂，一次性采样管，用于消毒效果采样中和残留消毒剂，50支/盒。</w:t>
      </w:r>
    </w:p>
    <w:p w14:paraId="6F0A91C7">
      <w:pPr>
        <w:spacing w:line="360" w:lineRule="auto"/>
        <w:ind w:firstLine="482" w:firstLineChars="200"/>
        <w:rPr>
          <w:rFonts w:ascii="宋体" w:hAnsi="宋体" w:cs="宋体"/>
          <w:b/>
          <w:bCs/>
          <w:sz w:val="24"/>
        </w:rPr>
      </w:pPr>
      <w:r>
        <w:rPr>
          <w:rFonts w:hint="eastAsia" w:ascii="宋体" w:hAnsi="宋体" w:cs="宋体"/>
          <w:b/>
          <w:bCs/>
          <w:sz w:val="24"/>
        </w:rPr>
        <w:t>标的名称250：嗜热脂肪杆菌芽孢菌片</w:t>
      </w:r>
    </w:p>
    <w:p w14:paraId="77B7B0D2">
      <w:pPr>
        <w:spacing w:line="360" w:lineRule="auto"/>
        <w:ind w:firstLine="480" w:firstLineChars="200"/>
        <w:rPr>
          <w:rFonts w:ascii="宋体" w:hAnsi="宋体" w:cs="宋体"/>
          <w:sz w:val="24"/>
        </w:rPr>
      </w:pPr>
      <w:r>
        <w:rPr>
          <w:rFonts w:hint="eastAsia" w:ascii="宋体" w:hAnsi="宋体" w:cs="宋体"/>
          <w:sz w:val="24"/>
        </w:rPr>
        <w:t>1.嗜热脂肪杆菌芽孢，独立包装，用于压力蒸汽灭菌效果生物监测。</w:t>
      </w:r>
    </w:p>
    <w:p w14:paraId="263CFB27">
      <w:pPr>
        <w:spacing w:line="360" w:lineRule="auto"/>
        <w:ind w:firstLine="482" w:firstLineChars="200"/>
        <w:rPr>
          <w:rFonts w:ascii="宋体" w:hAnsi="宋体" w:cs="宋体"/>
          <w:b/>
          <w:bCs/>
          <w:sz w:val="24"/>
        </w:rPr>
      </w:pPr>
      <w:r>
        <w:rPr>
          <w:rFonts w:hint="eastAsia" w:ascii="宋体" w:hAnsi="宋体" w:cs="宋体"/>
          <w:b/>
          <w:bCs/>
          <w:sz w:val="24"/>
        </w:rPr>
        <w:t>标的名称251：枯草杆菌黑色变种芽孢菌片</w:t>
      </w:r>
    </w:p>
    <w:p w14:paraId="723229B4">
      <w:pPr>
        <w:spacing w:line="360" w:lineRule="auto"/>
        <w:ind w:firstLine="480" w:firstLineChars="200"/>
        <w:rPr>
          <w:rFonts w:ascii="宋体" w:hAnsi="宋体" w:cs="宋体"/>
          <w:sz w:val="24"/>
        </w:rPr>
      </w:pPr>
      <w:r>
        <w:rPr>
          <w:rFonts w:hint="eastAsia" w:ascii="宋体" w:hAnsi="宋体" w:cs="宋体"/>
          <w:sz w:val="24"/>
        </w:rPr>
        <w:t>1.枯草杆菌黑色变种芽孢，独立包装，用于环氧乙烷等灭菌生物监测。</w:t>
      </w:r>
    </w:p>
    <w:p w14:paraId="3F8A0F5E">
      <w:pPr>
        <w:spacing w:line="360" w:lineRule="auto"/>
        <w:ind w:firstLine="482" w:firstLineChars="200"/>
        <w:rPr>
          <w:rFonts w:ascii="宋体" w:hAnsi="宋体" w:cs="宋体"/>
          <w:b/>
          <w:bCs/>
          <w:sz w:val="24"/>
        </w:rPr>
      </w:pPr>
      <w:r>
        <w:rPr>
          <w:rFonts w:hint="eastAsia" w:ascii="宋体" w:hAnsi="宋体" w:cs="宋体"/>
          <w:b/>
          <w:bCs/>
          <w:sz w:val="24"/>
        </w:rPr>
        <w:t>标的名称252：一次性呕吐腹泻物应急处置包</w:t>
      </w:r>
    </w:p>
    <w:p w14:paraId="3F3D8E96">
      <w:pPr>
        <w:spacing w:line="360" w:lineRule="auto"/>
        <w:ind w:firstLine="480" w:firstLineChars="200"/>
        <w:rPr>
          <w:rFonts w:ascii="宋体" w:hAnsi="宋体" w:cs="宋体"/>
          <w:sz w:val="24"/>
        </w:rPr>
      </w:pPr>
      <w:r>
        <w:rPr>
          <w:rFonts w:hint="eastAsia" w:ascii="宋体" w:hAnsi="宋体" w:cs="宋体"/>
          <w:sz w:val="24"/>
        </w:rPr>
        <w:t>1.独立完整套装，包含消毒粉剂、吸附巾、手套、垃圾袋等，用于呕吐腹泻污染物应急处置。</w:t>
      </w:r>
    </w:p>
    <w:p w14:paraId="45D59A24">
      <w:pPr>
        <w:spacing w:line="360" w:lineRule="auto"/>
        <w:ind w:firstLine="482" w:firstLineChars="200"/>
        <w:rPr>
          <w:rFonts w:ascii="宋体" w:hAnsi="宋体" w:cs="宋体"/>
          <w:b/>
          <w:bCs/>
          <w:sz w:val="24"/>
        </w:rPr>
      </w:pPr>
      <w:r>
        <w:rPr>
          <w:rFonts w:hint="eastAsia" w:ascii="宋体" w:hAnsi="宋体" w:cs="宋体"/>
          <w:b/>
          <w:bCs/>
          <w:sz w:val="24"/>
        </w:rPr>
        <w:t>标的名称253：消毒粉</w:t>
      </w:r>
    </w:p>
    <w:p w14:paraId="3B08DD82">
      <w:pPr>
        <w:spacing w:line="360" w:lineRule="auto"/>
        <w:ind w:firstLine="480" w:firstLineChars="200"/>
        <w:rPr>
          <w:rFonts w:ascii="宋体" w:hAnsi="宋体" w:cs="宋体"/>
          <w:sz w:val="24"/>
        </w:rPr>
      </w:pPr>
      <w:r>
        <w:rPr>
          <w:rFonts w:hint="eastAsia" w:ascii="宋体" w:hAnsi="宋体" w:cs="宋体"/>
          <w:sz w:val="24"/>
        </w:rPr>
        <w:t>1.含氯消毒粉，独立小包装，可配置消毒液，用于环境、物体表面消毒。</w:t>
      </w:r>
    </w:p>
    <w:p w14:paraId="65ADFDEB">
      <w:pPr>
        <w:spacing w:line="360" w:lineRule="auto"/>
        <w:ind w:firstLine="482" w:firstLineChars="200"/>
        <w:rPr>
          <w:rFonts w:ascii="宋体" w:hAnsi="宋体" w:cs="宋体"/>
          <w:b/>
          <w:bCs/>
          <w:sz w:val="24"/>
        </w:rPr>
      </w:pPr>
      <w:r>
        <w:rPr>
          <w:rFonts w:hint="eastAsia" w:ascii="宋体" w:hAnsi="宋体" w:cs="宋体"/>
          <w:b/>
          <w:bCs/>
          <w:sz w:val="24"/>
        </w:rPr>
        <w:t>标的名称254：记号笔（黑色）</w:t>
      </w:r>
    </w:p>
    <w:p w14:paraId="3642DFF7">
      <w:pPr>
        <w:spacing w:line="360" w:lineRule="auto"/>
        <w:ind w:firstLine="480" w:firstLineChars="200"/>
        <w:rPr>
          <w:rFonts w:ascii="宋体" w:hAnsi="宋体" w:cs="宋体"/>
          <w:sz w:val="24"/>
        </w:rPr>
      </w:pPr>
      <w:r>
        <w:rPr>
          <w:rFonts w:hint="eastAsia" w:ascii="宋体" w:hAnsi="宋体" w:cs="宋体"/>
          <w:sz w:val="24"/>
        </w:rPr>
        <w:t>1.黑色油性记号笔，书写流畅，不易擦除，用于样本、包装袋标识标记。</w:t>
      </w:r>
    </w:p>
    <w:p w14:paraId="25C9CABC">
      <w:pPr>
        <w:spacing w:line="360" w:lineRule="auto"/>
        <w:ind w:firstLine="482" w:firstLineChars="200"/>
        <w:rPr>
          <w:rFonts w:ascii="宋体" w:hAnsi="宋体" w:cs="宋体"/>
          <w:b/>
          <w:bCs/>
          <w:sz w:val="24"/>
        </w:rPr>
      </w:pPr>
      <w:r>
        <w:rPr>
          <w:rFonts w:hint="eastAsia" w:ascii="宋体" w:hAnsi="宋体" w:cs="宋体"/>
          <w:b/>
          <w:bCs/>
          <w:sz w:val="24"/>
        </w:rPr>
        <w:t>标的名称255：记号笔（红色）</w:t>
      </w:r>
    </w:p>
    <w:p w14:paraId="1575B788">
      <w:pPr>
        <w:spacing w:line="360" w:lineRule="auto"/>
        <w:ind w:firstLine="480" w:firstLineChars="200"/>
        <w:rPr>
          <w:rFonts w:ascii="宋体" w:hAnsi="宋体" w:cs="宋体"/>
          <w:sz w:val="24"/>
        </w:rPr>
      </w:pPr>
      <w:r>
        <w:rPr>
          <w:rFonts w:hint="eastAsia" w:ascii="宋体" w:hAnsi="宋体" w:cs="宋体"/>
          <w:sz w:val="24"/>
        </w:rPr>
        <w:t>1.红色油性记号笔，书写流畅，不易擦除，用于样本、包装袋标识标记。</w:t>
      </w:r>
    </w:p>
    <w:p w14:paraId="5DA2C46C">
      <w:pPr>
        <w:spacing w:line="360" w:lineRule="auto"/>
        <w:ind w:firstLine="482" w:firstLineChars="200"/>
        <w:rPr>
          <w:rFonts w:ascii="宋体" w:hAnsi="宋体" w:cs="宋体"/>
          <w:b/>
          <w:bCs/>
          <w:sz w:val="24"/>
        </w:rPr>
      </w:pPr>
      <w:r>
        <w:rPr>
          <w:rFonts w:hint="eastAsia" w:ascii="宋体" w:hAnsi="宋体" w:cs="宋体"/>
          <w:b/>
          <w:bCs/>
          <w:sz w:val="24"/>
        </w:rPr>
        <w:t>标的名称256：记号笔（蓝色）</w:t>
      </w:r>
    </w:p>
    <w:p w14:paraId="274E6A6B">
      <w:pPr>
        <w:spacing w:line="360" w:lineRule="auto"/>
        <w:ind w:firstLine="480" w:firstLineChars="200"/>
        <w:rPr>
          <w:rFonts w:ascii="宋体" w:hAnsi="宋体" w:cs="宋体"/>
          <w:sz w:val="24"/>
        </w:rPr>
      </w:pPr>
      <w:r>
        <w:rPr>
          <w:rFonts w:hint="eastAsia" w:ascii="宋体" w:hAnsi="宋体" w:cs="宋体"/>
          <w:sz w:val="24"/>
        </w:rPr>
        <w:t>1.蓝色油性记号笔，书写流畅，不易擦除，用于样本、包装袋标识标记。</w:t>
      </w:r>
    </w:p>
    <w:p w14:paraId="38ACCFBB">
      <w:pPr>
        <w:spacing w:line="360" w:lineRule="auto"/>
        <w:ind w:firstLine="482" w:firstLineChars="200"/>
        <w:rPr>
          <w:rFonts w:ascii="宋体" w:hAnsi="宋体" w:cs="宋体"/>
          <w:b/>
          <w:bCs/>
          <w:sz w:val="24"/>
        </w:rPr>
      </w:pPr>
      <w:r>
        <w:rPr>
          <w:rFonts w:hint="eastAsia" w:ascii="宋体" w:hAnsi="宋体" w:cs="宋体"/>
          <w:b/>
          <w:bCs/>
          <w:sz w:val="24"/>
        </w:rPr>
        <w:t>标的名称257：ATP试剂</w:t>
      </w:r>
    </w:p>
    <w:p w14:paraId="74CE8DC2">
      <w:pPr>
        <w:spacing w:line="360" w:lineRule="auto"/>
        <w:ind w:firstLine="480" w:firstLineChars="200"/>
        <w:rPr>
          <w:rFonts w:ascii="宋体" w:hAnsi="宋体" w:cs="宋体"/>
          <w:sz w:val="24"/>
        </w:rPr>
      </w:pPr>
      <w:r>
        <w:rPr>
          <w:rFonts w:hint="eastAsia" w:ascii="宋体" w:hAnsi="宋体" w:cs="宋体"/>
          <w:sz w:val="24"/>
        </w:rPr>
        <w:t>1.ATP荧光检测专用试剂，独立包装，用于物表洁净度快速检测，适配ATP检测仪。</w:t>
      </w:r>
    </w:p>
    <w:p w14:paraId="7A69B787">
      <w:pPr>
        <w:spacing w:line="360" w:lineRule="auto"/>
        <w:ind w:firstLine="482" w:firstLineChars="200"/>
        <w:rPr>
          <w:rFonts w:ascii="宋体" w:hAnsi="宋体" w:cs="宋体"/>
          <w:b/>
          <w:bCs/>
          <w:sz w:val="24"/>
        </w:rPr>
      </w:pPr>
      <w:r>
        <w:rPr>
          <w:rFonts w:hint="eastAsia" w:ascii="宋体" w:hAnsi="宋体" w:cs="宋体"/>
          <w:b/>
          <w:bCs/>
          <w:sz w:val="24"/>
        </w:rPr>
        <w:t>标的名称258：蚊虫总RNA提取试剂</w:t>
      </w:r>
    </w:p>
    <w:p w14:paraId="731CC4E3">
      <w:pPr>
        <w:spacing w:line="360" w:lineRule="auto"/>
        <w:ind w:firstLine="480" w:firstLineChars="200"/>
        <w:rPr>
          <w:rFonts w:ascii="宋体" w:hAnsi="宋体" w:cs="宋体"/>
          <w:sz w:val="24"/>
        </w:rPr>
      </w:pPr>
      <w:r>
        <w:rPr>
          <w:rFonts w:hint="eastAsia" w:ascii="宋体" w:hAnsi="宋体" w:cs="宋体"/>
          <w:sz w:val="24"/>
        </w:rPr>
        <w:t>1.结合能力：最多可纯化100μg总RNA；制备时间：约20分钟；洗脱体积：30–100μL；起始样本量：10–1×10⁷个细胞；0.5–30mg组织；&lt;5×10⁷酵母细胞；RNA纯度（A260/A280）：1.9–2.1；技术原理：硅胶膜选择性吸附的离心柱纯化技术；保存条件：室温（15–25℃）干燥避光保存；部分缓冲液开封后需按说明添加无水乙醇或β-巯基乙醇；适用样本：动物或人类细胞、动物或人类组织、酵母、革兰氏阳性/阴性细菌等</w:t>
      </w:r>
    </w:p>
    <w:p w14:paraId="41A01BF9">
      <w:pPr>
        <w:spacing w:line="360" w:lineRule="auto"/>
        <w:ind w:firstLine="482" w:firstLineChars="200"/>
        <w:rPr>
          <w:rFonts w:ascii="宋体" w:hAnsi="宋体" w:cs="宋体"/>
          <w:b/>
          <w:bCs/>
          <w:sz w:val="24"/>
        </w:rPr>
      </w:pPr>
      <w:r>
        <w:rPr>
          <w:rFonts w:hint="eastAsia" w:ascii="宋体" w:hAnsi="宋体" w:cs="宋体"/>
          <w:b/>
          <w:bCs/>
          <w:sz w:val="24"/>
        </w:rPr>
        <w:t>标的名称259：RNA7种虫媒类病原体多重核酸检测液体全分装试剂盒</w:t>
      </w:r>
    </w:p>
    <w:p w14:paraId="01613999">
      <w:pPr>
        <w:spacing w:line="360" w:lineRule="auto"/>
        <w:ind w:firstLine="480" w:firstLineChars="200"/>
        <w:rPr>
          <w:rFonts w:ascii="宋体" w:hAnsi="宋体" w:cs="宋体"/>
          <w:sz w:val="24"/>
        </w:rPr>
      </w:pPr>
      <w:r>
        <w:rPr>
          <w:rFonts w:hint="eastAsia" w:ascii="宋体" w:hAnsi="宋体" w:cs="宋体"/>
          <w:sz w:val="24"/>
        </w:rPr>
        <w:t>1.适用于定性检测血清、组织标本及蚊蜱等样本中提取的7种虫媒类病原体多重核酸；</w:t>
      </w:r>
    </w:p>
    <w:p w14:paraId="76217898">
      <w:pPr>
        <w:spacing w:line="360" w:lineRule="auto"/>
        <w:ind w:firstLine="480" w:firstLineChars="200"/>
        <w:rPr>
          <w:rFonts w:ascii="宋体" w:hAnsi="宋体" w:cs="宋体"/>
          <w:sz w:val="24"/>
        </w:rPr>
      </w:pPr>
      <w:r>
        <w:rPr>
          <w:rFonts w:hint="eastAsia" w:ascii="宋体" w:hAnsi="宋体" w:cs="宋体"/>
          <w:sz w:val="24"/>
        </w:rPr>
        <w:t>2.检测性能：灵敏度≤500copies/mL，与其他病原无交叉反应；</w:t>
      </w:r>
    </w:p>
    <w:p w14:paraId="42CD3931">
      <w:pPr>
        <w:spacing w:line="360" w:lineRule="auto"/>
        <w:ind w:firstLine="480" w:firstLineChars="200"/>
        <w:rPr>
          <w:rFonts w:ascii="宋体" w:hAnsi="宋体" w:cs="宋体"/>
          <w:sz w:val="24"/>
        </w:rPr>
      </w:pPr>
      <w:r>
        <w:rPr>
          <w:rFonts w:hint="eastAsia" w:ascii="宋体" w:hAnsi="宋体" w:cs="宋体"/>
          <w:sz w:val="24"/>
        </w:rPr>
        <w:t>3.检测技术方法：采用四重实时荧光PCR法，选择FAM、HEX、CY5、ROX四个通道；</w:t>
      </w:r>
    </w:p>
    <w:p w14:paraId="77B80CCD">
      <w:pPr>
        <w:numPr>
          <w:ilvl w:val="0"/>
          <w:numId w:val="10"/>
        </w:numPr>
        <w:spacing w:line="360" w:lineRule="auto"/>
        <w:ind w:firstLine="480" w:firstLineChars="200"/>
        <w:rPr>
          <w:rFonts w:ascii="宋体" w:hAnsi="宋体" w:cs="宋体"/>
          <w:sz w:val="24"/>
        </w:rPr>
      </w:pPr>
      <w:r>
        <w:rPr>
          <w:rFonts w:hint="eastAsia" w:ascii="宋体" w:hAnsi="宋体" w:cs="宋体"/>
          <w:sz w:val="24"/>
        </w:rPr>
        <w:t>3个反应以内，一次性可完成7种虫媒类病原体多重的定性检测，检测病原包括：登革病毒、基孔肯雅病毒、寨卡病毒、乙型脑炎病毒、黄热病毒、西尼罗河病毒、辛德毕斯病毒。</w:t>
      </w:r>
    </w:p>
    <w:p w14:paraId="56F54A74">
      <w:pPr>
        <w:spacing w:line="360" w:lineRule="auto"/>
        <w:ind w:firstLine="480" w:firstLineChars="200"/>
        <w:rPr>
          <w:rFonts w:ascii="宋体" w:hAnsi="宋体" w:cs="宋体"/>
          <w:sz w:val="24"/>
        </w:rPr>
      </w:pPr>
      <w:r>
        <w:rPr>
          <w:rFonts w:hint="eastAsia" w:ascii="宋体" w:hAnsi="宋体" w:cs="宋体"/>
          <w:sz w:val="24"/>
        </w:rPr>
        <w:t>5.全部反应试剂采用液体全分装技术，可任选用大单管/八连管/96孔板1-3种包装，加入核酸模板后离心可以直接上机；</w:t>
      </w:r>
    </w:p>
    <w:p w14:paraId="796AD85B">
      <w:pPr>
        <w:spacing w:line="360" w:lineRule="auto"/>
        <w:ind w:firstLine="480" w:firstLineChars="200"/>
        <w:rPr>
          <w:rFonts w:ascii="宋体" w:hAnsi="宋体" w:cs="宋体"/>
          <w:sz w:val="24"/>
        </w:rPr>
      </w:pPr>
      <w:r>
        <w:rPr>
          <w:rFonts w:hint="eastAsia" w:ascii="宋体" w:hAnsi="宋体" w:cs="宋体"/>
          <w:sz w:val="24"/>
        </w:rPr>
        <w:t>6.试剂盒组成：全分装于大单管/八连管/96孔板内的RT-PCR反应液（可任选1-3种包装，根据实验需求灵活搭配 ），阳性对照、阴性对照、说明书；</w:t>
      </w:r>
    </w:p>
    <w:p w14:paraId="5C321765">
      <w:pPr>
        <w:spacing w:line="360" w:lineRule="auto"/>
        <w:ind w:firstLine="480" w:firstLineChars="200"/>
        <w:rPr>
          <w:rFonts w:ascii="宋体" w:hAnsi="宋体" w:cs="宋体"/>
          <w:sz w:val="24"/>
        </w:rPr>
      </w:pPr>
      <w:r>
        <w:rPr>
          <w:rFonts w:hint="eastAsia" w:ascii="宋体" w:hAnsi="宋体" w:cs="宋体"/>
          <w:sz w:val="24"/>
        </w:rPr>
        <w:t>7.试剂盒反应体系≧15µL；</w:t>
      </w:r>
    </w:p>
    <w:p w14:paraId="4090C963">
      <w:pPr>
        <w:spacing w:line="360" w:lineRule="auto"/>
        <w:ind w:firstLine="480" w:firstLineChars="200"/>
        <w:rPr>
          <w:rFonts w:ascii="宋体" w:hAnsi="宋体" w:cs="宋体"/>
          <w:sz w:val="24"/>
        </w:rPr>
      </w:pPr>
      <w:r>
        <w:rPr>
          <w:rFonts w:hint="eastAsia" w:ascii="宋体" w:hAnsi="宋体" w:cs="宋体"/>
          <w:sz w:val="24"/>
        </w:rPr>
        <w:t>8.通用性：能与同类检测产品共用一套反应条件及配液体系，并可同时提供荧光单重、双重、三重及四重等多种检测方案；</w:t>
      </w:r>
    </w:p>
    <w:p w14:paraId="750D46A8">
      <w:pPr>
        <w:spacing w:line="360" w:lineRule="auto"/>
        <w:ind w:firstLine="480" w:firstLineChars="200"/>
        <w:rPr>
          <w:rFonts w:ascii="宋体" w:hAnsi="宋体" w:cs="宋体"/>
          <w:sz w:val="24"/>
        </w:rPr>
      </w:pPr>
      <w:r>
        <w:rPr>
          <w:rFonts w:hint="eastAsia" w:ascii="宋体" w:hAnsi="宋体" w:cs="宋体"/>
          <w:sz w:val="24"/>
        </w:rPr>
        <w:t>9.适用仪器：ABI7500、ABI Q5、Bio-Rad CFX96、上海宏石SLAN-96P等；</w:t>
      </w:r>
    </w:p>
    <w:p w14:paraId="7E059E4C">
      <w:pPr>
        <w:spacing w:line="360" w:lineRule="auto"/>
        <w:ind w:firstLine="480" w:firstLineChars="200"/>
        <w:rPr>
          <w:rFonts w:ascii="宋体" w:hAnsi="宋体" w:cs="宋体"/>
          <w:sz w:val="24"/>
        </w:rPr>
      </w:pPr>
      <w:r>
        <w:rPr>
          <w:rFonts w:hint="eastAsia" w:ascii="宋体" w:hAnsi="宋体" w:cs="宋体"/>
          <w:sz w:val="24"/>
        </w:rPr>
        <w:t>10.试剂规格：24T/盒；</w:t>
      </w:r>
    </w:p>
    <w:p w14:paraId="50482AAA">
      <w:pPr>
        <w:spacing w:line="360" w:lineRule="auto"/>
        <w:ind w:firstLine="480" w:firstLineChars="200"/>
        <w:rPr>
          <w:rFonts w:ascii="宋体" w:hAnsi="宋体" w:cs="宋体"/>
          <w:sz w:val="24"/>
        </w:rPr>
      </w:pPr>
      <w:r>
        <w:rPr>
          <w:rFonts w:hint="eastAsia" w:ascii="宋体" w:hAnsi="宋体" w:cs="宋体"/>
          <w:sz w:val="24"/>
        </w:rPr>
        <w:t>11有效期：≥12个月</w:t>
      </w:r>
    </w:p>
    <w:p w14:paraId="651973D0">
      <w:pPr>
        <w:spacing w:line="360" w:lineRule="auto"/>
        <w:ind w:firstLine="482" w:firstLineChars="200"/>
        <w:rPr>
          <w:rFonts w:ascii="宋体" w:hAnsi="宋体" w:cs="宋体"/>
          <w:b/>
          <w:bCs/>
          <w:sz w:val="24"/>
        </w:rPr>
      </w:pPr>
      <w:r>
        <w:rPr>
          <w:rFonts w:hint="eastAsia" w:ascii="宋体" w:hAnsi="宋体" w:cs="宋体"/>
          <w:b/>
          <w:bCs/>
          <w:sz w:val="24"/>
        </w:rPr>
        <w:t>标的名称260：200μL带滤芯盒装吸头</w:t>
      </w:r>
    </w:p>
    <w:p w14:paraId="4EC212A2">
      <w:pPr>
        <w:spacing w:line="360" w:lineRule="auto"/>
        <w:ind w:firstLine="480" w:firstLineChars="200"/>
        <w:rPr>
          <w:rFonts w:ascii="宋体" w:hAnsi="宋体" w:cs="宋体"/>
          <w:sz w:val="24"/>
        </w:rPr>
      </w:pPr>
      <w:r>
        <w:rPr>
          <w:rFonts w:hint="eastAsia" w:ascii="宋体" w:hAnsi="宋体" w:cs="宋体"/>
          <w:sz w:val="24"/>
        </w:rPr>
        <w:t>1.带滤芯防气溶胶吸头极其适合DNA扩增和微生物学应用，不含RNase/DNase，无热原，无菌，材质聚丙烯，容量200Ul。</w:t>
      </w:r>
    </w:p>
    <w:p w14:paraId="425726FD">
      <w:pPr>
        <w:spacing w:line="360" w:lineRule="auto"/>
        <w:ind w:firstLine="482" w:firstLineChars="200"/>
        <w:rPr>
          <w:rFonts w:ascii="宋体" w:hAnsi="宋体" w:cs="宋体"/>
          <w:b/>
          <w:bCs/>
          <w:sz w:val="24"/>
        </w:rPr>
      </w:pPr>
      <w:r>
        <w:rPr>
          <w:rFonts w:hint="eastAsia" w:ascii="宋体" w:hAnsi="宋体" w:cs="宋体"/>
          <w:b/>
          <w:bCs/>
          <w:sz w:val="24"/>
        </w:rPr>
        <w:t>标的名称261：20μL带滤芯盒装吸头</w:t>
      </w:r>
    </w:p>
    <w:p w14:paraId="63F535AC">
      <w:pPr>
        <w:spacing w:line="360" w:lineRule="auto"/>
        <w:ind w:firstLine="480" w:firstLineChars="200"/>
        <w:rPr>
          <w:rFonts w:ascii="宋体" w:hAnsi="宋体" w:cs="宋体"/>
          <w:sz w:val="24"/>
        </w:rPr>
      </w:pPr>
      <w:r>
        <w:rPr>
          <w:rFonts w:hint="eastAsia" w:ascii="宋体" w:hAnsi="宋体" w:cs="宋体"/>
          <w:sz w:val="24"/>
        </w:rPr>
        <w:t>1.带滤芯防气溶胶吸头极其适合DNA扩增和微生物学应用，不含RNase/DNase，无热原，无菌，材质聚丙烯，容量20Ul。</w:t>
      </w:r>
    </w:p>
    <w:p w14:paraId="2F806321">
      <w:pPr>
        <w:spacing w:line="360" w:lineRule="auto"/>
        <w:ind w:firstLine="482" w:firstLineChars="200"/>
        <w:rPr>
          <w:rFonts w:ascii="宋体" w:hAnsi="宋体" w:cs="宋体"/>
          <w:b/>
          <w:bCs/>
          <w:sz w:val="24"/>
        </w:rPr>
      </w:pPr>
      <w:r>
        <w:rPr>
          <w:rFonts w:hint="eastAsia" w:ascii="宋体" w:hAnsi="宋体" w:cs="宋体"/>
          <w:b/>
          <w:bCs/>
          <w:sz w:val="24"/>
        </w:rPr>
        <w:t>标的名称262：超高筒防水鞋套</w:t>
      </w:r>
    </w:p>
    <w:p w14:paraId="449865C6">
      <w:pPr>
        <w:spacing w:line="360" w:lineRule="auto"/>
        <w:ind w:firstLine="480" w:firstLineChars="200"/>
        <w:rPr>
          <w:rFonts w:ascii="宋体" w:hAnsi="宋体" w:cs="宋体"/>
          <w:sz w:val="24"/>
        </w:rPr>
      </w:pPr>
      <w:r>
        <w:rPr>
          <w:rFonts w:hint="eastAsia" w:ascii="宋体" w:hAnsi="宋体" w:cs="宋体"/>
          <w:sz w:val="24"/>
        </w:rPr>
        <w:t>1.75cm高/双层防水</w:t>
      </w:r>
    </w:p>
    <w:p w14:paraId="3B99264E">
      <w:pPr>
        <w:spacing w:line="360" w:lineRule="auto"/>
        <w:ind w:firstLine="482" w:firstLineChars="200"/>
        <w:rPr>
          <w:rFonts w:ascii="宋体" w:hAnsi="宋体" w:cs="宋体"/>
          <w:b/>
          <w:bCs/>
          <w:sz w:val="24"/>
        </w:rPr>
      </w:pPr>
      <w:r>
        <w:rPr>
          <w:rFonts w:hint="eastAsia" w:ascii="宋体" w:hAnsi="宋体" w:cs="宋体"/>
          <w:b/>
          <w:bCs/>
          <w:sz w:val="24"/>
        </w:rPr>
        <w:t>标的名称263：蜱虫夹铁盒装</w:t>
      </w:r>
    </w:p>
    <w:p w14:paraId="2914C3A9">
      <w:pPr>
        <w:spacing w:line="360" w:lineRule="auto"/>
        <w:ind w:firstLine="480" w:firstLineChars="200"/>
        <w:rPr>
          <w:rFonts w:ascii="宋体" w:hAnsi="宋体" w:cs="宋体"/>
          <w:sz w:val="24"/>
        </w:rPr>
      </w:pPr>
      <w:r>
        <w:rPr>
          <w:rFonts w:hint="eastAsia" w:ascii="宋体" w:hAnsi="宋体" w:cs="宋体"/>
          <w:sz w:val="24"/>
        </w:rPr>
        <w:t>1.独立包装(内含除虫叉、弯头夹、双头夹)</w:t>
      </w:r>
    </w:p>
    <w:p w14:paraId="0419386B">
      <w:pPr>
        <w:spacing w:line="360" w:lineRule="auto"/>
        <w:ind w:firstLine="482" w:firstLineChars="200"/>
        <w:rPr>
          <w:rFonts w:ascii="宋体" w:hAnsi="宋体" w:cs="宋体"/>
          <w:b/>
          <w:bCs/>
          <w:sz w:val="24"/>
        </w:rPr>
      </w:pPr>
      <w:r>
        <w:rPr>
          <w:rFonts w:hint="eastAsia" w:ascii="宋体" w:hAnsi="宋体" w:cs="宋体"/>
          <w:b/>
          <w:bCs/>
          <w:sz w:val="24"/>
        </w:rPr>
        <w:t>标的名称264：50ml灭菌管</w:t>
      </w:r>
    </w:p>
    <w:p w14:paraId="1605866B">
      <w:pPr>
        <w:spacing w:line="360" w:lineRule="auto"/>
        <w:ind w:firstLine="480" w:firstLineChars="200"/>
        <w:rPr>
          <w:rFonts w:ascii="宋体" w:hAnsi="宋体" w:cs="宋体"/>
          <w:sz w:val="24"/>
        </w:rPr>
      </w:pPr>
      <w:r>
        <w:rPr>
          <w:rFonts w:hint="eastAsia" w:ascii="宋体" w:hAnsi="宋体" w:cs="宋体"/>
          <w:sz w:val="24"/>
        </w:rPr>
        <w:t>1.50ml平底灭菌管</w:t>
      </w:r>
    </w:p>
    <w:p w14:paraId="4F8E7646">
      <w:pPr>
        <w:spacing w:line="360" w:lineRule="auto"/>
        <w:ind w:firstLine="482" w:firstLineChars="200"/>
        <w:rPr>
          <w:rFonts w:ascii="宋体" w:hAnsi="宋体" w:cs="宋体"/>
          <w:b/>
          <w:bCs/>
          <w:sz w:val="24"/>
        </w:rPr>
      </w:pPr>
      <w:r>
        <w:rPr>
          <w:rFonts w:hint="eastAsia" w:ascii="宋体" w:hAnsi="宋体" w:cs="宋体"/>
          <w:b/>
          <w:bCs/>
          <w:sz w:val="24"/>
        </w:rPr>
        <w:t>标的名称265：15ml灭菌管</w:t>
      </w:r>
    </w:p>
    <w:p w14:paraId="56166CFA">
      <w:pPr>
        <w:spacing w:line="360" w:lineRule="auto"/>
        <w:ind w:firstLine="480" w:firstLineChars="200"/>
        <w:rPr>
          <w:rFonts w:ascii="宋体" w:hAnsi="宋体" w:cs="宋体"/>
          <w:sz w:val="24"/>
        </w:rPr>
      </w:pPr>
      <w:r>
        <w:rPr>
          <w:rFonts w:hint="eastAsia" w:ascii="宋体" w:hAnsi="宋体" w:cs="宋体"/>
          <w:sz w:val="24"/>
        </w:rPr>
        <w:t>1.15ml平底灭菌管</w:t>
      </w:r>
    </w:p>
    <w:p w14:paraId="4278353F">
      <w:pPr>
        <w:spacing w:line="360" w:lineRule="auto"/>
        <w:ind w:firstLine="482" w:firstLineChars="200"/>
        <w:rPr>
          <w:rFonts w:ascii="宋体" w:hAnsi="宋体" w:cs="宋体"/>
          <w:b/>
          <w:bCs/>
          <w:sz w:val="24"/>
        </w:rPr>
      </w:pPr>
      <w:r>
        <w:rPr>
          <w:rFonts w:hint="eastAsia" w:ascii="宋体" w:hAnsi="宋体" w:cs="宋体"/>
          <w:b/>
          <w:bCs/>
          <w:sz w:val="24"/>
        </w:rPr>
        <w:t>标的名称266：蜱虫监测旗</w:t>
      </w:r>
    </w:p>
    <w:p w14:paraId="4B3CF1DE">
      <w:pPr>
        <w:spacing w:line="360" w:lineRule="auto"/>
        <w:ind w:firstLine="480" w:firstLineChars="200"/>
        <w:rPr>
          <w:rFonts w:ascii="宋体" w:hAnsi="宋体" w:cs="宋体"/>
          <w:sz w:val="24"/>
        </w:rPr>
      </w:pPr>
      <w:r>
        <w:rPr>
          <w:rFonts w:hint="eastAsia" w:ascii="宋体" w:hAnsi="宋体" w:cs="宋体"/>
          <w:sz w:val="24"/>
        </w:rPr>
        <w:t>1.(双面绒)(布旗+杆+绳)</w:t>
      </w:r>
    </w:p>
    <w:p w14:paraId="1FDEE12B">
      <w:pPr>
        <w:spacing w:line="360" w:lineRule="auto"/>
        <w:ind w:firstLine="482" w:firstLineChars="200"/>
        <w:rPr>
          <w:rFonts w:ascii="宋体" w:hAnsi="宋体" w:cs="宋体"/>
          <w:b/>
          <w:bCs/>
          <w:sz w:val="24"/>
        </w:rPr>
      </w:pPr>
      <w:r>
        <w:rPr>
          <w:rFonts w:hint="eastAsia" w:ascii="宋体" w:hAnsi="宋体" w:cs="宋体"/>
          <w:b/>
          <w:bCs/>
          <w:sz w:val="24"/>
        </w:rPr>
        <w:t>标的名称267：防风雨伞</w:t>
      </w:r>
    </w:p>
    <w:p w14:paraId="145D920E">
      <w:pPr>
        <w:spacing w:line="360" w:lineRule="auto"/>
        <w:ind w:firstLine="480" w:firstLineChars="200"/>
        <w:rPr>
          <w:rFonts w:ascii="宋体" w:hAnsi="宋体" w:cs="宋体"/>
          <w:sz w:val="24"/>
        </w:rPr>
      </w:pPr>
      <w:r>
        <w:rPr>
          <w:rFonts w:hint="eastAsia" w:ascii="宋体" w:hAnsi="宋体" w:cs="宋体"/>
          <w:sz w:val="24"/>
        </w:rPr>
        <w:t>1.黑色（24骨)、140cm伞面</w:t>
      </w:r>
    </w:p>
    <w:p w14:paraId="515EBACC">
      <w:pPr>
        <w:spacing w:line="360" w:lineRule="auto"/>
        <w:ind w:firstLine="482" w:firstLineChars="200"/>
        <w:rPr>
          <w:rFonts w:ascii="宋体" w:hAnsi="宋体" w:cs="宋体"/>
          <w:b/>
          <w:bCs/>
          <w:sz w:val="24"/>
        </w:rPr>
      </w:pPr>
      <w:r>
        <w:rPr>
          <w:rFonts w:hint="eastAsia" w:ascii="宋体" w:hAnsi="宋体" w:cs="宋体"/>
          <w:b/>
          <w:bCs/>
          <w:sz w:val="24"/>
        </w:rPr>
        <w:t>标的名称268：防刺手套</w:t>
      </w:r>
    </w:p>
    <w:p w14:paraId="5959EB9F">
      <w:pPr>
        <w:spacing w:line="360" w:lineRule="auto"/>
        <w:ind w:firstLine="480" w:firstLineChars="200"/>
        <w:rPr>
          <w:rFonts w:ascii="宋体" w:hAnsi="宋体" w:cs="宋体"/>
          <w:sz w:val="24"/>
        </w:rPr>
      </w:pPr>
      <w:r>
        <w:rPr>
          <w:rFonts w:hint="eastAsia" w:ascii="宋体" w:hAnsi="宋体" w:cs="宋体"/>
          <w:sz w:val="24"/>
        </w:rPr>
        <w:t>1.单面厚4.5mm、长35cm</w:t>
      </w:r>
    </w:p>
    <w:p w14:paraId="178EA58E">
      <w:pPr>
        <w:spacing w:line="360" w:lineRule="auto"/>
        <w:ind w:firstLine="482" w:firstLineChars="200"/>
        <w:rPr>
          <w:rFonts w:ascii="宋体" w:hAnsi="宋体" w:cs="宋体"/>
          <w:b/>
          <w:bCs/>
          <w:sz w:val="24"/>
        </w:rPr>
      </w:pPr>
      <w:r>
        <w:rPr>
          <w:rFonts w:hint="eastAsia" w:ascii="宋体" w:hAnsi="宋体" w:cs="宋体"/>
          <w:b/>
          <w:bCs/>
          <w:sz w:val="24"/>
        </w:rPr>
        <w:t>标的名称269：多功能强光手电筒</w:t>
      </w:r>
    </w:p>
    <w:p w14:paraId="0BDAEDD9">
      <w:pPr>
        <w:spacing w:line="360" w:lineRule="auto"/>
        <w:ind w:firstLine="480" w:firstLineChars="200"/>
        <w:rPr>
          <w:rFonts w:ascii="宋体" w:hAnsi="宋体" w:cs="宋体"/>
          <w:sz w:val="24"/>
        </w:rPr>
      </w:pPr>
      <w:r>
        <w:rPr>
          <w:rFonts w:hint="eastAsia" w:ascii="宋体" w:hAnsi="宋体" w:cs="宋体"/>
          <w:sz w:val="24"/>
        </w:rPr>
        <w:t>1.电池容量3200mAh、应急可以反向充电</w:t>
      </w:r>
    </w:p>
    <w:p w14:paraId="4B5B5A98">
      <w:pPr>
        <w:spacing w:line="360" w:lineRule="auto"/>
        <w:ind w:firstLine="482" w:firstLineChars="200"/>
        <w:rPr>
          <w:rFonts w:ascii="宋体" w:hAnsi="宋体" w:cs="宋体"/>
          <w:b/>
          <w:bCs/>
          <w:sz w:val="24"/>
        </w:rPr>
      </w:pPr>
      <w:r>
        <w:rPr>
          <w:rFonts w:hint="eastAsia" w:ascii="宋体" w:hAnsi="宋体" w:cs="宋体"/>
          <w:b/>
          <w:bCs/>
          <w:sz w:val="24"/>
        </w:rPr>
        <w:t>标的名称270：60倍放大镜（充电带LED灯）</w:t>
      </w:r>
    </w:p>
    <w:p w14:paraId="62989752">
      <w:pPr>
        <w:spacing w:line="360" w:lineRule="auto"/>
        <w:ind w:firstLine="480" w:firstLineChars="200"/>
        <w:rPr>
          <w:rFonts w:ascii="宋体" w:hAnsi="宋体" w:cs="宋体"/>
          <w:sz w:val="24"/>
        </w:rPr>
      </w:pPr>
      <w:r>
        <w:rPr>
          <w:rFonts w:hint="eastAsia" w:ascii="宋体" w:hAnsi="宋体" w:cs="宋体"/>
          <w:sz w:val="24"/>
        </w:rPr>
        <w:t>1.充电带LED灯、双层镜面</w:t>
      </w:r>
    </w:p>
    <w:p w14:paraId="04D90C1A">
      <w:pPr>
        <w:spacing w:line="360" w:lineRule="auto"/>
        <w:ind w:firstLine="480" w:firstLineChars="200"/>
        <w:rPr>
          <w:rFonts w:ascii="宋体" w:hAnsi="宋体" w:cs="宋体"/>
          <w:sz w:val="24"/>
        </w:rPr>
      </w:pPr>
    </w:p>
    <w:p w14:paraId="6E1AE2E7">
      <w:pPr>
        <w:pStyle w:val="6"/>
        <w:spacing w:before="0" w:after="0" w:line="360" w:lineRule="auto"/>
        <w:ind w:firstLine="241" w:firstLineChars="100"/>
        <w:rPr>
          <w:rFonts w:hAnsi="宋体" w:cs="宋体"/>
          <w:bCs/>
          <w:u w:val="none"/>
        </w:rPr>
      </w:pPr>
      <w:r>
        <w:rPr>
          <w:rFonts w:hint="eastAsia" w:hAnsi="宋体" w:cs="宋体"/>
          <w:bCs/>
          <w:u w:val="none"/>
        </w:rPr>
        <w:t>二）其他要求</w:t>
      </w:r>
    </w:p>
    <w:p w14:paraId="43571A43">
      <w:pPr>
        <w:spacing w:line="360" w:lineRule="auto"/>
        <w:ind w:firstLine="480" w:firstLineChars="200"/>
        <w:jc w:val="left"/>
        <w:rPr>
          <w:rFonts w:ascii="宋体" w:hAnsi="宋体" w:cs="宋体"/>
          <w:kern w:val="0"/>
          <w:sz w:val="24"/>
        </w:rPr>
      </w:pPr>
      <w:r>
        <w:rPr>
          <w:rFonts w:hint="eastAsia" w:ascii="宋体" w:hAnsi="宋体" w:cs="宋体"/>
          <w:kern w:val="0"/>
          <w:sz w:val="24"/>
        </w:rPr>
        <w:t>1.配送服务要求：</w:t>
      </w:r>
    </w:p>
    <w:p w14:paraId="1BAF9E50">
      <w:pPr>
        <w:spacing w:line="360" w:lineRule="auto"/>
        <w:ind w:firstLine="480" w:firstLineChars="200"/>
        <w:jc w:val="left"/>
        <w:rPr>
          <w:rFonts w:ascii="宋体" w:hAnsi="宋体" w:cs="宋体"/>
          <w:kern w:val="0"/>
          <w:sz w:val="24"/>
        </w:rPr>
      </w:pPr>
      <w:r>
        <w:rPr>
          <w:rFonts w:hint="eastAsia" w:ascii="宋体" w:hAnsi="宋体" w:cs="宋体"/>
          <w:kern w:val="0"/>
          <w:sz w:val="24"/>
        </w:rPr>
        <w:t>1.1投标人对本项目进行采购管理、仓储、物流配送。须配备诊断试剂所需的常温库、冷藏库和冷冻库，应能满足医学诊断试剂说明书和标签标示要求的运输储存条件。</w:t>
      </w:r>
    </w:p>
    <w:p w14:paraId="1CCD67D0">
      <w:pPr>
        <w:spacing w:line="360" w:lineRule="auto"/>
        <w:ind w:firstLine="480" w:firstLineChars="200"/>
        <w:jc w:val="left"/>
        <w:rPr>
          <w:rFonts w:ascii="宋体" w:hAnsi="宋体" w:cs="宋体"/>
          <w:kern w:val="0"/>
          <w:sz w:val="24"/>
        </w:rPr>
      </w:pPr>
      <w:r>
        <w:rPr>
          <w:rFonts w:hint="eastAsia" w:ascii="宋体" w:hAnsi="宋体" w:cs="宋体"/>
          <w:kern w:val="0"/>
          <w:sz w:val="24"/>
        </w:rPr>
        <w:t>1.2投标人提供的产品及服务均需符合国家法律法规、规章等规范性文件及相关行业标准。投标人的采购、物流等活动应遵守包括但不限于以下法律法规：采购、运输、仓储、配送、装卸、流通加工、物流包装、物流保险、货物通关等。</w:t>
      </w:r>
    </w:p>
    <w:p w14:paraId="1D562E33">
      <w:pPr>
        <w:spacing w:line="360" w:lineRule="auto"/>
        <w:ind w:firstLine="480" w:firstLineChars="200"/>
        <w:jc w:val="left"/>
        <w:rPr>
          <w:rFonts w:ascii="宋体" w:hAnsi="宋体" w:cs="宋体"/>
          <w:kern w:val="0"/>
          <w:sz w:val="24"/>
        </w:rPr>
      </w:pPr>
      <w:r>
        <w:rPr>
          <w:rFonts w:hint="eastAsia" w:ascii="宋体" w:hAnsi="宋体" w:cs="宋体"/>
          <w:kern w:val="0"/>
          <w:sz w:val="24"/>
        </w:rPr>
        <w:t>2.采购及管理</w:t>
      </w:r>
    </w:p>
    <w:p w14:paraId="0BE76BA5">
      <w:pPr>
        <w:spacing w:line="360" w:lineRule="auto"/>
        <w:ind w:firstLine="480" w:firstLineChars="200"/>
        <w:jc w:val="left"/>
        <w:rPr>
          <w:rFonts w:ascii="宋体" w:hAnsi="宋体" w:cs="宋体"/>
          <w:kern w:val="0"/>
          <w:sz w:val="24"/>
        </w:rPr>
      </w:pPr>
      <w:r>
        <w:rPr>
          <w:rFonts w:hint="eastAsia" w:ascii="宋体" w:hAnsi="宋体" w:cs="宋体"/>
          <w:kern w:val="0"/>
          <w:sz w:val="24"/>
        </w:rPr>
        <w:t>2.1采购合规：投标人采购管理工作须符合国家和北京诊断试剂采购的相关法律法规。投标人须保证诊断试剂货源按照采购人指定供应商进货，渠道合法正规，确保采购人临床使用医用耗材的合法性、安全性和稳定性。</w:t>
      </w:r>
    </w:p>
    <w:p w14:paraId="0242F2F4">
      <w:pPr>
        <w:spacing w:line="360" w:lineRule="auto"/>
        <w:ind w:firstLine="480" w:firstLineChars="200"/>
        <w:jc w:val="left"/>
        <w:rPr>
          <w:rFonts w:ascii="宋体" w:hAnsi="宋体" w:cs="宋体"/>
          <w:kern w:val="0"/>
          <w:sz w:val="24"/>
        </w:rPr>
      </w:pPr>
      <w:r>
        <w:rPr>
          <w:rFonts w:hint="eastAsia" w:ascii="宋体" w:hAnsi="宋体" w:cs="宋体"/>
          <w:kern w:val="0"/>
          <w:sz w:val="24"/>
        </w:rPr>
        <w:t>2.2采购目录和资质管理：投标人严格按照采购人确定的诊断试剂的目录、品规（品名、型号、规格）、诊断试剂供应商目录、相关资质进行采购管理，动态同步更新相关信息，保障有效期。要根据采购人需求，随时提供合格资质证明资料。</w:t>
      </w:r>
    </w:p>
    <w:p w14:paraId="21FB91F1">
      <w:pPr>
        <w:spacing w:line="360" w:lineRule="auto"/>
        <w:ind w:firstLine="480" w:firstLineChars="200"/>
        <w:jc w:val="left"/>
        <w:rPr>
          <w:rFonts w:ascii="宋体" w:hAnsi="宋体" w:cs="宋体"/>
          <w:kern w:val="0"/>
          <w:sz w:val="24"/>
        </w:rPr>
      </w:pPr>
      <w:r>
        <w:rPr>
          <w:rFonts w:hint="eastAsia" w:ascii="宋体" w:hAnsi="宋体" w:cs="宋体"/>
          <w:kern w:val="0"/>
          <w:sz w:val="24"/>
        </w:rPr>
        <w:t>2.3采购质量控制：</w:t>
      </w:r>
    </w:p>
    <w:p w14:paraId="2CAF2D44">
      <w:pPr>
        <w:spacing w:line="360" w:lineRule="auto"/>
        <w:ind w:firstLine="480" w:firstLineChars="200"/>
        <w:jc w:val="left"/>
        <w:rPr>
          <w:rFonts w:ascii="宋体" w:hAnsi="宋体" w:cs="宋体"/>
          <w:kern w:val="0"/>
          <w:sz w:val="24"/>
        </w:rPr>
      </w:pPr>
      <w:r>
        <w:rPr>
          <w:rFonts w:hint="eastAsia" w:ascii="宋体" w:hAnsi="宋体" w:cs="宋体"/>
          <w:kern w:val="0"/>
          <w:sz w:val="24"/>
        </w:rPr>
        <w:t>2.3.1投标人按照国家相关法律法规要求及采购人管理规定要求，按批或定期向采购人提供检测报告（含自检报告和有资质的检测机构出具的检测报告）。</w:t>
      </w:r>
    </w:p>
    <w:p w14:paraId="4B21983E">
      <w:pPr>
        <w:spacing w:line="360" w:lineRule="auto"/>
        <w:ind w:firstLine="480" w:firstLineChars="200"/>
        <w:jc w:val="left"/>
        <w:rPr>
          <w:rFonts w:ascii="宋体" w:hAnsi="宋体" w:cs="宋体"/>
          <w:kern w:val="0"/>
          <w:sz w:val="24"/>
        </w:rPr>
      </w:pPr>
      <w:r>
        <w:rPr>
          <w:rFonts w:hint="eastAsia" w:ascii="宋体" w:hAnsi="宋体" w:cs="宋体"/>
          <w:kern w:val="0"/>
          <w:sz w:val="24"/>
        </w:rPr>
        <w:t>2.3.2对于配送的货物本身出现的质量问题投标人应承诺无条件进行退换货服务。投标人不得向采购人供应未依法注册或备案、无合格证明文件及过期、失效的耗材。</w:t>
      </w:r>
    </w:p>
    <w:p w14:paraId="5D4246D4">
      <w:pPr>
        <w:spacing w:line="360" w:lineRule="auto"/>
        <w:ind w:firstLine="480" w:firstLineChars="200"/>
        <w:jc w:val="left"/>
        <w:rPr>
          <w:rFonts w:ascii="宋体" w:hAnsi="宋体" w:cs="宋体"/>
          <w:kern w:val="0"/>
          <w:sz w:val="24"/>
        </w:rPr>
      </w:pPr>
      <w:r>
        <w:rPr>
          <w:rFonts w:hint="eastAsia" w:ascii="宋体" w:hAnsi="宋体" w:cs="宋体"/>
          <w:kern w:val="0"/>
          <w:sz w:val="24"/>
        </w:rPr>
        <w:t>2.3.3一旦出现不良事件投标人需积极配合采购人进行事件的处理。</w:t>
      </w:r>
    </w:p>
    <w:p w14:paraId="13F84F1F">
      <w:pPr>
        <w:spacing w:line="360" w:lineRule="auto"/>
        <w:ind w:firstLine="480" w:firstLineChars="200"/>
        <w:jc w:val="left"/>
        <w:rPr>
          <w:rFonts w:ascii="宋体" w:hAnsi="宋体" w:cs="宋体"/>
          <w:kern w:val="0"/>
          <w:sz w:val="24"/>
        </w:rPr>
      </w:pPr>
      <w:r>
        <w:rPr>
          <w:rFonts w:hint="eastAsia" w:ascii="宋体" w:hAnsi="宋体" w:cs="宋体"/>
          <w:kern w:val="0"/>
          <w:sz w:val="24"/>
        </w:rPr>
        <w:t>2.3.4投标人定期接受采购人的质量评价。</w:t>
      </w:r>
    </w:p>
    <w:p w14:paraId="1C92085A">
      <w:pPr>
        <w:spacing w:line="360" w:lineRule="auto"/>
        <w:ind w:firstLine="480" w:firstLineChars="200"/>
        <w:jc w:val="left"/>
        <w:rPr>
          <w:rFonts w:ascii="宋体" w:hAnsi="宋体" w:cs="宋体"/>
          <w:kern w:val="0"/>
          <w:sz w:val="24"/>
        </w:rPr>
      </w:pPr>
      <w:r>
        <w:rPr>
          <w:rFonts w:hint="eastAsia" w:ascii="宋体" w:hAnsi="宋体" w:cs="宋体"/>
          <w:kern w:val="0"/>
          <w:sz w:val="24"/>
        </w:rPr>
        <w:t>3.配送需求</w:t>
      </w:r>
    </w:p>
    <w:p w14:paraId="73D4BCA2">
      <w:pPr>
        <w:spacing w:line="360" w:lineRule="auto"/>
        <w:ind w:firstLine="480" w:firstLineChars="200"/>
        <w:jc w:val="left"/>
        <w:rPr>
          <w:rFonts w:ascii="宋体" w:hAnsi="宋体" w:cs="宋体"/>
          <w:kern w:val="0"/>
          <w:sz w:val="24"/>
        </w:rPr>
      </w:pPr>
      <w:r>
        <w:rPr>
          <w:rFonts w:hint="eastAsia" w:ascii="宋体" w:hAnsi="宋体" w:cs="宋体"/>
          <w:kern w:val="0"/>
          <w:sz w:val="24"/>
        </w:rPr>
        <w:t>▲3.1投标人按照采购人下达的日常配送订单要求配送，加急订单24小时内将诊断试剂配送到采购人指定地点（包括法定节假日）</w:t>
      </w:r>
      <w:r>
        <w:rPr>
          <w:rFonts w:hint="eastAsia" w:ascii="宋体" w:hAnsi="宋体" w:cs="宋体"/>
          <w:b/>
          <w:sz w:val="24"/>
        </w:rPr>
        <w:t>（需提供承诺书）</w:t>
      </w:r>
      <w:r>
        <w:rPr>
          <w:rFonts w:hint="eastAsia" w:ascii="宋体" w:hAnsi="宋体" w:cs="宋体"/>
          <w:kern w:val="0"/>
          <w:sz w:val="24"/>
        </w:rPr>
        <w:t>。</w:t>
      </w:r>
    </w:p>
    <w:p w14:paraId="2718112D">
      <w:pPr>
        <w:spacing w:line="360" w:lineRule="auto"/>
        <w:ind w:firstLine="480" w:firstLineChars="200"/>
        <w:jc w:val="left"/>
        <w:rPr>
          <w:rFonts w:ascii="宋体" w:hAnsi="宋体" w:cs="宋体"/>
          <w:kern w:val="0"/>
          <w:sz w:val="24"/>
        </w:rPr>
      </w:pPr>
      <w:r>
        <w:rPr>
          <w:rFonts w:hint="eastAsia" w:ascii="宋体" w:hAnsi="宋体" w:cs="宋体"/>
          <w:kern w:val="0"/>
          <w:sz w:val="24"/>
        </w:rPr>
        <w:t>3.2投标人应在物流库房内按照采购人规定完成诊断试剂的各类标识码的贴码工作。</w:t>
      </w:r>
    </w:p>
    <w:p w14:paraId="0022B3B6">
      <w:pPr>
        <w:spacing w:line="360" w:lineRule="auto"/>
        <w:ind w:firstLine="480" w:firstLineChars="200"/>
        <w:jc w:val="left"/>
        <w:rPr>
          <w:rFonts w:ascii="宋体" w:hAnsi="宋体" w:cs="宋体"/>
          <w:kern w:val="0"/>
          <w:sz w:val="24"/>
        </w:rPr>
      </w:pPr>
      <w:r>
        <w:rPr>
          <w:rFonts w:hint="eastAsia" w:ascii="宋体" w:hAnsi="宋体" w:cs="宋体"/>
          <w:kern w:val="0"/>
          <w:sz w:val="24"/>
        </w:rPr>
        <w:t>3.3投标人承担配送过程中所需相关设施及装备。</w:t>
      </w:r>
    </w:p>
    <w:p w14:paraId="4EAD46AF">
      <w:pPr>
        <w:spacing w:line="360" w:lineRule="auto"/>
        <w:ind w:firstLine="480" w:firstLineChars="200"/>
        <w:jc w:val="left"/>
        <w:rPr>
          <w:rFonts w:ascii="宋体" w:hAnsi="宋体" w:cs="宋体"/>
          <w:kern w:val="0"/>
          <w:sz w:val="24"/>
        </w:rPr>
      </w:pPr>
      <w:r>
        <w:rPr>
          <w:rFonts w:hint="eastAsia" w:ascii="宋体" w:hAnsi="宋体" w:cs="宋体"/>
          <w:kern w:val="0"/>
          <w:sz w:val="24"/>
        </w:rPr>
        <w:t>3.4投标人保证配送诊断试剂在运送过程中的质量安全，采用可靠、安全的运输方式和保存条件，并承担相关费用。</w:t>
      </w:r>
    </w:p>
    <w:p w14:paraId="294C5071">
      <w:pPr>
        <w:spacing w:line="360" w:lineRule="auto"/>
        <w:ind w:firstLine="480" w:firstLineChars="200"/>
        <w:jc w:val="left"/>
        <w:rPr>
          <w:rFonts w:ascii="宋体" w:hAnsi="宋体" w:cs="宋体"/>
          <w:kern w:val="0"/>
          <w:sz w:val="24"/>
        </w:rPr>
      </w:pPr>
      <w:r>
        <w:rPr>
          <w:rFonts w:hint="eastAsia" w:ascii="宋体" w:hAnsi="宋体" w:cs="宋体"/>
          <w:kern w:val="0"/>
          <w:sz w:val="24"/>
        </w:rPr>
        <w:t>3.5投标人按采购人要求整齐摆放诊断试剂，与采购人共同进行核对清点，进行入库数量和质量的验收。验收内容严格按照国家法律法规及采购人的管理规定。包括但不限于：诊断试剂的外观、数量、型号、规格、品牌、质量等，验收合格后双方签字确认，过程留痕可追溯。</w:t>
      </w:r>
    </w:p>
    <w:p w14:paraId="04F8E50A">
      <w:pPr>
        <w:spacing w:line="360" w:lineRule="auto"/>
        <w:ind w:firstLine="480" w:firstLineChars="200"/>
        <w:jc w:val="left"/>
        <w:rPr>
          <w:rFonts w:ascii="宋体" w:hAnsi="宋体" w:cs="宋体"/>
          <w:kern w:val="0"/>
          <w:sz w:val="24"/>
        </w:rPr>
      </w:pPr>
      <w:r>
        <w:rPr>
          <w:rFonts w:hint="eastAsia" w:ascii="宋体" w:hAnsi="宋体" w:cs="宋体"/>
          <w:kern w:val="0"/>
          <w:sz w:val="24"/>
        </w:rPr>
        <w:t>3.6投标人严格遵守采购人内部制度规定，做到医用耗材包装及消毒符合《北京市医院感染管理实施细则》《消毒技术规范》及国家正式发布的最新版本文件规定。</w:t>
      </w:r>
    </w:p>
    <w:p w14:paraId="25A59FE8">
      <w:pPr>
        <w:spacing w:line="360" w:lineRule="auto"/>
        <w:ind w:firstLine="480" w:firstLineChars="200"/>
        <w:jc w:val="left"/>
        <w:rPr>
          <w:rFonts w:ascii="宋体" w:hAnsi="宋体" w:cs="宋体"/>
          <w:kern w:val="0"/>
          <w:sz w:val="24"/>
        </w:rPr>
      </w:pPr>
      <w:r>
        <w:rPr>
          <w:rFonts w:hint="eastAsia" w:ascii="宋体" w:hAnsi="宋体" w:cs="宋体"/>
          <w:kern w:val="0"/>
          <w:sz w:val="24"/>
        </w:rPr>
        <w:t>3.7试剂耗材如有破损投标人应单独打包，做好明显标识，与其他合格品分离，并完成退货处理。</w:t>
      </w:r>
    </w:p>
    <w:p w14:paraId="0EE71BA8">
      <w:pPr>
        <w:spacing w:line="360" w:lineRule="auto"/>
        <w:ind w:firstLine="480" w:firstLineChars="200"/>
        <w:jc w:val="left"/>
        <w:rPr>
          <w:rFonts w:ascii="宋体" w:hAnsi="宋体" w:cs="宋体"/>
          <w:kern w:val="0"/>
          <w:sz w:val="24"/>
        </w:rPr>
      </w:pPr>
      <w:r>
        <w:rPr>
          <w:rFonts w:hint="eastAsia" w:ascii="宋体" w:hAnsi="宋体" w:cs="宋体"/>
          <w:kern w:val="0"/>
          <w:sz w:val="24"/>
        </w:rPr>
        <w:t>3.8投标人每日对运送车辆进行清洁、消毒，做到及时检修车辆状况，并按照采购人指定的运送通道、运输时间进行运输，遵循院内有关安全管理规定，有记录备查。</w:t>
      </w:r>
    </w:p>
    <w:p w14:paraId="1B965EB2">
      <w:pPr>
        <w:spacing w:line="360" w:lineRule="auto"/>
        <w:ind w:firstLine="480" w:firstLineChars="200"/>
        <w:jc w:val="left"/>
        <w:rPr>
          <w:rFonts w:ascii="宋体" w:hAnsi="宋体" w:cs="宋体"/>
          <w:kern w:val="0"/>
          <w:sz w:val="24"/>
        </w:rPr>
      </w:pPr>
      <w:r>
        <w:rPr>
          <w:rFonts w:hint="eastAsia" w:ascii="宋体" w:hAnsi="宋体" w:cs="宋体"/>
          <w:kern w:val="0"/>
          <w:sz w:val="24"/>
        </w:rPr>
        <w:t>3.9投标人及时按采购人要求的财务结算周期和时间节点，向采购人提供试剂耗材配送结算单据，包括但不限于出库单据、正式增值税普通发票等。</w:t>
      </w:r>
    </w:p>
    <w:p w14:paraId="449AADCC">
      <w:pPr>
        <w:spacing w:line="360" w:lineRule="auto"/>
        <w:ind w:firstLine="480" w:firstLineChars="200"/>
        <w:jc w:val="left"/>
        <w:rPr>
          <w:rFonts w:ascii="宋体" w:hAnsi="宋体" w:cs="宋体"/>
          <w:kern w:val="0"/>
          <w:sz w:val="24"/>
        </w:rPr>
      </w:pPr>
      <w:r>
        <w:rPr>
          <w:rFonts w:hint="eastAsia" w:ascii="宋体" w:hAnsi="宋体" w:cs="宋体"/>
          <w:kern w:val="0"/>
          <w:sz w:val="24"/>
        </w:rPr>
        <w:t>3.10投标人对采购人认定的小于6个月或剩余有效期不足有效期50%的产品免费予以更换。</w:t>
      </w:r>
    </w:p>
    <w:p w14:paraId="5327D9A2">
      <w:pPr>
        <w:spacing w:line="360" w:lineRule="auto"/>
        <w:ind w:firstLine="480" w:firstLineChars="200"/>
        <w:jc w:val="left"/>
        <w:rPr>
          <w:rFonts w:ascii="宋体" w:hAnsi="宋体" w:cs="宋体"/>
          <w:kern w:val="0"/>
          <w:sz w:val="24"/>
        </w:rPr>
      </w:pPr>
      <w:r>
        <w:rPr>
          <w:rFonts w:hint="eastAsia" w:ascii="宋体" w:hAnsi="宋体" w:cs="宋体"/>
          <w:kern w:val="0"/>
          <w:sz w:val="24"/>
        </w:rPr>
        <w:t>4.紧急集约配送服务要求</w:t>
      </w:r>
    </w:p>
    <w:p w14:paraId="1903EE43">
      <w:pPr>
        <w:spacing w:line="360" w:lineRule="auto"/>
        <w:ind w:firstLine="480" w:firstLineChars="200"/>
        <w:jc w:val="left"/>
        <w:rPr>
          <w:rFonts w:ascii="宋体" w:hAnsi="宋体" w:cs="宋体"/>
          <w:kern w:val="0"/>
          <w:sz w:val="24"/>
        </w:rPr>
      </w:pPr>
      <w:r>
        <w:rPr>
          <w:rFonts w:hint="eastAsia" w:ascii="宋体" w:hAnsi="宋体" w:cs="宋体"/>
          <w:kern w:val="0"/>
          <w:sz w:val="24"/>
        </w:rPr>
        <w:t>4.1投标人在接到采购人下达的“紧急配送订单”指令后2小时内将诊断试剂配送到采购人指定地点（包括法定节假日）。</w:t>
      </w:r>
    </w:p>
    <w:p w14:paraId="1BD28664">
      <w:pPr>
        <w:spacing w:line="360" w:lineRule="auto"/>
        <w:ind w:firstLine="480" w:firstLineChars="200"/>
        <w:jc w:val="left"/>
        <w:rPr>
          <w:rFonts w:ascii="宋体" w:hAnsi="宋体" w:cs="宋体"/>
          <w:kern w:val="0"/>
          <w:sz w:val="24"/>
        </w:rPr>
      </w:pPr>
      <w:r>
        <w:rPr>
          <w:rFonts w:hint="eastAsia" w:ascii="宋体" w:hAnsi="宋体" w:cs="宋体"/>
          <w:kern w:val="0"/>
          <w:sz w:val="24"/>
        </w:rPr>
        <w:t>4.2如遇突发公共事件（如传染性疾病、自然灾害）等造成的产品使用量的大量增加，投标人启动紧急配送相关流程，与采购人协调收货时间，与供应商协调库存，并紧急调配运输车辆，实现精确、准时配送，确保12小时内将所需产品配送到采购人指定地点。</w:t>
      </w:r>
    </w:p>
    <w:p w14:paraId="05DDB518">
      <w:pPr>
        <w:spacing w:line="360" w:lineRule="auto"/>
        <w:ind w:firstLine="480" w:firstLineChars="200"/>
        <w:jc w:val="left"/>
        <w:rPr>
          <w:rFonts w:ascii="宋体" w:hAnsi="宋体" w:cs="宋体"/>
          <w:kern w:val="0"/>
          <w:sz w:val="24"/>
        </w:rPr>
      </w:pPr>
      <w:r>
        <w:rPr>
          <w:rFonts w:hint="eastAsia" w:ascii="宋体" w:hAnsi="宋体" w:cs="宋体"/>
          <w:kern w:val="0"/>
          <w:sz w:val="24"/>
        </w:rPr>
        <w:t>5.灾备集约配送服务保障要求</w:t>
      </w:r>
    </w:p>
    <w:p w14:paraId="3917CD0D">
      <w:pPr>
        <w:spacing w:line="360" w:lineRule="auto"/>
        <w:ind w:firstLine="480" w:firstLineChars="200"/>
        <w:jc w:val="left"/>
        <w:rPr>
          <w:rFonts w:ascii="宋体" w:hAnsi="宋体" w:cs="宋体"/>
          <w:kern w:val="0"/>
          <w:sz w:val="24"/>
        </w:rPr>
      </w:pPr>
      <w:r>
        <w:rPr>
          <w:rFonts w:hint="eastAsia" w:ascii="宋体" w:hAnsi="宋体" w:cs="宋体"/>
          <w:kern w:val="0"/>
          <w:sz w:val="24"/>
        </w:rPr>
        <w:t>5.1投标人具备一定的冗余储备和分散配送能力。</w:t>
      </w:r>
    </w:p>
    <w:p w14:paraId="73CC1BDB">
      <w:pPr>
        <w:spacing w:line="360" w:lineRule="auto"/>
        <w:ind w:firstLine="480" w:firstLineChars="200"/>
        <w:jc w:val="left"/>
        <w:rPr>
          <w:rFonts w:ascii="宋体" w:hAnsi="宋体" w:cs="宋体"/>
          <w:kern w:val="0"/>
          <w:sz w:val="24"/>
        </w:rPr>
      </w:pPr>
      <w:r>
        <w:rPr>
          <w:rFonts w:hint="eastAsia" w:ascii="宋体" w:hAnsi="宋体" w:cs="宋体"/>
          <w:kern w:val="0"/>
          <w:sz w:val="24"/>
        </w:rPr>
        <w:t>5.2投标人提供遇突发场所安全事件、道路中断、行政管控、诊断试剂安全事故、诊断试剂不良事件、信息系统故障等非常规情况的服务保障方案。</w:t>
      </w:r>
    </w:p>
    <w:p w14:paraId="687941CD">
      <w:pPr>
        <w:spacing w:line="360" w:lineRule="auto"/>
        <w:ind w:firstLine="480" w:firstLineChars="200"/>
        <w:jc w:val="left"/>
        <w:rPr>
          <w:rFonts w:ascii="宋体" w:hAnsi="宋体" w:cs="宋体"/>
          <w:kern w:val="0"/>
          <w:sz w:val="24"/>
        </w:rPr>
      </w:pPr>
      <w:r>
        <w:rPr>
          <w:rFonts w:hint="eastAsia" w:ascii="宋体" w:hAnsi="宋体" w:cs="宋体"/>
          <w:kern w:val="0"/>
          <w:sz w:val="24"/>
        </w:rPr>
        <w:t>5.3投标人须在获知不良事件发生的2小时内告知采购人，同时向采购人进行书面通报，配合采购人的不良事件的调查、追踪及后续处理，并且立即调换该产品，根据采购人要求出具书面的事件调查分析报告。因未及时告知而对采购人或第三方造成损害的，由投标人承担相应的法律及赔偿责任。由投标人配送延误或质量问题造成的严重不良事件，采购人有权要求投标人退出。</w:t>
      </w:r>
    </w:p>
    <w:p w14:paraId="1473C6DF">
      <w:pPr>
        <w:spacing w:line="360" w:lineRule="auto"/>
        <w:ind w:firstLine="480" w:firstLineChars="200"/>
        <w:jc w:val="left"/>
        <w:rPr>
          <w:rFonts w:ascii="宋体" w:hAnsi="宋体" w:cs="宋体"/>
          <w:kern w:val="0"/>
          <w:sz w:val="24"/>
        </w:rPr>
      </w:pPr>
      <w:r>
        <w:rPr>
          <w:rFonts w:hint="eastAsia" w:ascii="宋体" w:hAnsi="宋体" w:cs="宋体"/>
          <w:kern w:val="0"/>
          <w:sz w:val="24"/>
        </w:rPr>
        <w:t>6.运输车辆与装卸要求</w:t>
      </w:r>
    </w:p>
    <w:p w14:paraId="087E3EFA">
      <w:pPr>
        <w:spacing w:line="360" w:lineRule="auto"/>
        <w:ind w:firstLine="480" w:firstLineChars="200"/>
        <w:jc w:val="left"/>
        <w:rPr>
          <w:rFonts w:ascii="宋体" w:hAnsi="宋体" w:cs="宋体"/>
          <w:kern w:val="0"/>
          <w:sz w:val="24"/>
        </w:rPr>
      </w:pPr>
      <w:r>
        <w:rPr>
          <w:rFonts w:hint="eastAsia" w:ascii="宋体" w:hAnsi="宋体" w:cs="宋体"/>
          <w:kern w:val="0"/>
          <w:sz w:val="24"/>
        </w:rPr>
        <w:t>6.1投标人提供自有或租用或含委托第三方物流提供配送服务的冷链配送车≥5辆，符合招标需求配送车辆。</w:t>
      </w:r>
    </w:p>
    <w:p w14:paraId="3CB7B2D0">
      <w:pPr>
        <w:spacing w:line="360" w:lineRule="auto"/>
        <w:ind w:firstLine="480" w:firstLineChars="200"/>
        <w:jc w:val="left"/>
        <w:rPr>
          <w:rFonts w:ascii="宋体" w:hAnsi="宋体" w:cs="宋体"/>
          <w:kern w:val="0"/>
          <w:sz w:val="24"/>
        </w:rPr>
      </w:pPr>
      <w:r>
        <w:rPr>
          <w:rFonts w:hint="eastAsia" w:ascii="宋体" w:hAnsi="宋体" w:cs="宋体"/>
          <w:kern w:val="0"/>
          <w:sz w:val="24"/>
        </w:rPr>
        <w:t>6.2运输医用耗材的车辆应使用封闭的厢式货车，并针对运输货物的包装条件及道路、天气状况采取相应措施，防止对货物质量造成影响。对有温度要求货物的运输，应有冷藏或保温的措施。</w:t>
      </w:r>
    </w:p>
    <w:p w14:paraId="09E45B36">
      <w:pPr>
        <w:spacing w:line="360" w:lineRule="auto"/>
        <w:ind w:firstLine="480" w:firstLineChars="200"/>
        <w:jc w:val="left"/>
        <w:rPr>
          <w:rFonts w:ascii="宋体" w:hAnsi="宋体" w:cs="宋体"/>
          <w:kern w:val="0"/>
          <w:sz w:val="24"/>
        </w:rPr>
      </w:pPr>
      <w:r>
        <w:rPr>
          <w:rFonts w:hint="eastAsia" w:ascii="宋体" w:hAnsi="宋体" w:cs="宋体"/>
          <w:kern w:val="0"/>
          <w:sz w:val="24"/>
        </w:rPr>
        <w:t>6.3采用保温箱运输冷藏物资时，保温箱上应注明贮藏条件、启运时间、保温时限、特殊注意事项或运输警告。</w:t>
      </w:r>
    </w:p>
    <w:p w14:paraId="1B376344">
      <w:pPr>
        <w:spacing w:line="360" w:lineRule="auto"/>
        <w:ind w:firstLine="480" w:firstLineChars="200"/>
        <w:jc w:val="left"/>
        <w:rPr>
          <w:rFonts w:ascii="宋体" w:hAnsi="宋体" w:cs="宋体"/>
          <w:kern w:val="0"/>
          <w:sz w:val="24"/>
        </w:rPr>
      </w:pPr>
      <w:r>
        <w:rPr>
          <w:rFonts w:hint="eastAsia" w:ascii="宋体" w:hAnsi="宋体" w:cs="宋体"/>
          <w:kern w:val="0"/>
          <w:sz w:val="24"/>
        </w:rPr>
        <w:t>6.4采用冷藏车运输冷藏物资时，冷藏车应符合最新QC标准要求，具有自动温度监控记录功能，采用远程监控技术实施实时温度监测及数据上传。</w:t>
      </w:r>
    </w:p>
    <w:p w14:paraId="566601B6">
      <w:pPr>
        <w:spacing w:line="360" w:lineRule="auto"/>
        <w:ind w:firstLine="480" w:firstLineChars="200"/>
        <w:jc w:val="left"/>
        <w:rPr>
          <w:rFonts w:ascii="宋体" w:hAnsi="宋体" w:cs="宋体"/>
          <w:kern w:val="0"/>
          <w:sz w:val="24"/>
        </w:rPr>
      </w:pPr>
      <w:r>
        <w:rPr>
          <w:rFonts w:hint="eastAsia" w:ascii="宋体" w:hAnsi="宋体" w:cs="宋体"/>
          <w:kern w:val="0"/>
          <w:sz w:val="24"/>
        </w:rPr>
        <w:t>6.5货物启运前，应认真核对货物的品名、规格、数量与运单是否相符，包装是否良好，发现不符合规定或存在危及安全运输隐患的，不得启运。</w:t>
      </w:r>
    </w:p>
    <w:p w14:paraId="04F62096">
      <w:pPr>
        <w:spacing w:line="360" w:lineRule="auto"/>
        <w:ind w:firstLine="480" w:firstLineChars="200"/>
        <w:jc w:val="left"/>
        <w:rPr>
          <w:rFonts w:ascii="宋体" w:hAnsi="宋体" w:cs="宋体"/>
          <w:kern w:val="0"/>
          <w:sz w:val="24"/>
        </w:rPr>
      </w:pPr>
      <w:r>
        <w:rPr>
          <w:rFonts w:hint="eastAsia" w:ascii="宋体" w:hAnsi="宋体" w:cs="宋体"/>
          <w:kern w:val="0"/>
          <w:sz w:val="24"/>
        </w:rPr>
        <w:t>6.6货物应安全、准确、及时送达，货损、货差应控制在合同约定的允许范围之内。制定因突发情况导致车辆无法正常运行的应急预案，应及时、准确向客户提供运输与配送的相关信息。</w:t>
      </w:r>
    </w:p>
    <w:p w14:paraId="7D898377">
      <w:pPr>
        <w:spacing w:line="360" w:lineRule="auto"/>
        <w:ind w:firstLine="480" w:firstLineChars="200"/>
        <w:jc w:val="left"/>
        <w:rPr>
          <w:rFonts w:ascii="宋体" w:hAnsi="宋体" w:cs="宋体"/>
          <w:kern w:val="0"/>
          <w:sz w:val="24"/>
        </w:rPr>
      </w:pPr>
      <w:r>
        <w:rPr>
          <w:rFonts w:hint="eastAsia" w:ascii="宋体" w:hAnsi="宋体" w:cs="宋体"/>
          <w:kern w:val="0"/>
          <w:sz w:val="24"/>
        </w:rPr>
        <w:t>6.7应按货物包装标识要求进行作业，不得倒置货物、损坏货物外包装。</w:t>
      </w:r>
    </w:p>
    <w:p w14:paraId="274F36E9">
      <w:pPr>
        <w:spacing w:line="360" w:lineRule="auto"/>
        <w:ind w:firstLine="480" w:firstLineChars="200"/>
        <w:jc w:val="left"/>
        <w:rPr>
          <w:rFonts w:ascii="宋体" w:hAnsi="宋体" w:cs="宋体"/>
          <w:kern w:val="0"/>
          <w:sz w:val="24"/>
        </w:rPr>
      </w:pPr>
      <w:r>
        <w:rPr>
          <w:rFonts w:hint="eastAsia" w:ascii="宋体" w:hAnsi="宋体" w:cs="宋体"/>
          <w:kern w:val="0"/>
          <w:sz w:val="24"/>
        </w:rPr>
        <w:t>6.8应选择合理地装载、卸载的流程及加固措施，防止货物破碎与污染。</w:t>
      </w:r>
    </w:p>
    <w:p w14:paraId="443A0282">
      <w:pPr>
        <w:spacing w:line="360" w:lineRule="auto"/>
        <w:ind w:firstLine="480" w:firstLineChars="200"/>
        <w:jc w:val="left"/>
        <w:rPr>
          <w:rFonts w:ascii="宋体" w:hAnsi="宋体" w:cs="宋体"/>
          <w:kern w:val="0"/>
          <w:sz w:val="24"/>
        </w:rPr>
      </w:pPr>
      <w:r>
        <w:rPr>
          <w:rFonts w:hint="eastAsia" w:ascii="宋体" w:hAnsi="宋体" w:cs="宋体"/>
          <w:kern w:val="0"/>
          <w:sz w:val="24"/>
        </w:rPr>
        <w:t>6.9货物丢失或损坏时，投标人应承担损失，并及时补充相应货物。</w:t>
      </w:r>
    </w:p>
    <w:p w14:paraId="0943BA4A">
      <w:pPr>
        <w:spacing w:line="360" w:lineRule="auto"/>
        <w:ind w:firstLine="480" w:firstLineChars="200"/>
        <w:jc w:val="left"/>
        <w:rPr>
          <w:rFonts w:ascii="宋体" w:hAnsi="宋体" w:cs="宋体"/>
          <w:kern w:val="0"/>
          <w:sz w:val="24"/>
        </w:rPr>
      </w:pPr>
      <w:r>
        <w:rPr>
          <w:rFonts w:hint="eastAsia" w:ascii="宋体" w:hAnsi="宋体" w:cs="宋体"/>
          <w:kern w:val="0"/>
          <w:sz w:val="24"/>
        </w:rPr>
        <w:t>7.仓储需求</w:t>
      </w:r>
    </w:p>
    <w:p w14:paraId="3A311750">
      <w:pPr>
        <w:spacing w:line="360" w:lineRule="auto"/>
        <w:ind w:firstLine="480" w:firstLineChars="200"/>
        <w:jc w:val="left"/>
        <w:rPr>
          <w:rFonts w:ascii="宋体" w:hAnsi="宋体" w:cs="宋体"/>
          <w:kern w:val="0"/>
          <w:sz w:val="24"/>
        </w:rPr>
      </w:pPr>
      <w:r>
        <w:rPr>
          <w:rFonts w:hint="eastAsia" w:ascii="宋体" w:hAnsi="宋体" w:cs="宋体"/>
          <w:kern w:val="0"/>
          <w:sz w:val="24"/>
        </w:rPr>
        <w:t>7.1投标人物流库房（自有、租赁或含委托第三方提供库房服务的），需提供相关证明材料。</w:t>
      </w:r>
    </w:p>
    <w:p w14:paraId="1F27FC40">
      <w:pPr>
        <w:spacing w:line="360" w:lineRule="auto"/>
        <w:ind w:firstLine="480" w:firstLineChars="200"/>
        <w:jc w:val="left"/>
        <w:rPr>
          <w:rFonts w:ascii="宋体" w:hAnsi="宋体" w:cs="宋体"/>
          <w:kern w:val="0"/>
          <w:sz w:val="24"/>
        </w:rPr>
      </w:pPr>
      <w:r>
        <w:rPr>
          <w:rFonts w:hint="eastAsia" w:ascii="宋体" w:hAnsi="宋体" w:cs="宋体"/>
          <w:kern w:val="0"/>
          <w:sz w:val="24"/>
        </w:rPr>
        <w:t>7.2符合北京市药品监督管理局等监管部门的法规要求。</w:t>
      </w:r>
    </w:p>
    <w:p w14:paraId="63174439">
      <w:pPr>
        <w:spacing w:line="360" w:lineRule="auto"/>
        <w:ind w:firstLine="480" w:firstLineChars="200"/>
        <w:jc w:val="left"/>
        <w:rPr>
          <w:rFonts w:ascii="宋体" w:hAnsi="宋体" w:cs="宋体"/>
          <w:kern w:val="0"/>
          <w:sz w:val="24"/>
        </w:rPr>
      </w:pPr>
      <w:r>
        <w:rPr>
          <w:rFonts w:hint="eastAsia" w:ascii="宋体" w:hAnsi="宋体" w:cs="宋体"/>
          <w:kern w:val="0"/>
          <w:sz w:val="24"/>
        </w:rPr>
        <w:t>7.3具有独立冷藏库房，库房容积≥1000立方米，具有可全程追溯的冷链系统（提供冷链运输系统、冷链运输追溯管理系统的列表）。</w:t>
      </w:r>
    </w:p>
    <w:p w14:paraId="21145571">
      <w:pPr>
        <w:spacing w:line="360" w:lineRule="auto"/>
        <w:ind w:firstLine="480" w:firstLineChars="200"/>
        <w:jc w:val="left"/>
        <w:rPr>
          <w:rFonts w:ascii="宋体" w:hAnsi="宋体" w:cs="宋体"/>
          <w:kern w:val="0"/>
          <w:sz w:val="24"/>
        </w:rPr>
      </w:pPr>
      <w:r>
        <w:rPr>
          <w:rFonts w:hint="eastAsia" w:ascii="宋体" w:hAnsi="宋体" w:cs="宋体"/>
          <w:kern w:val="0"/>
          <w:sz w:val="24"/>
        </w:rPr>
        <w:t>7.4所有库房储存条件，均符合诊断试剂的说明书和标签标示库存要求。投标人应提供冷链试剂的全程仓储温度记录（包含仓库出入交接温度记录），避免失效。</w:t>
      </w:r>
    </w:p>
    <w:p w14:paraId="4F7FAFD3">
      <w:pPr>
        <w:spacing w:line="360" w:lineRule="auto"/>
        <w:ind w:firstLine="480" w:firstLineChars="200"/>
        <w:jc w:val="left"/>
        <w:rPr>
          <w:rFonts w:ascii="宋体" w:hAnsi="宋体" w:cs="宋体"/>
          <w:kern w:val="0"/>
          <w:sz w:val="24"/>
        </w:rPr>
      </w:pPr>
      <w:r>
        <w:rPr>
          <w:rFonts w:hint="eastAsia" w:ascii="宋体" w:hAnsi="宋体" w:cs="宋体"/>
          <w:kern w:val="0"/>
          <w:sz w:val="24"/>
        </w:rPr>
        <w:t>7.5投标人对库存诊断试剂进行高低量储备和安全量管理，并对失效及近效期进行预警管理。</w:t>
      </w:r>
    </w:p>
    <w:p w14:paraId="0562803C">
      <w:pPr>
        <w:spacing w:line="360" w:lineRule="auto"/>
        <w:ind w:firstLine="480" w:firstLineChars="200"/>
        <w:jc w:val="left"/>
        <w:rPr>
          <w:rFonts w:ascii="宋体" w:hAnsi="宋体" w:cs="宋体"/>
          <w:kern w:val="0"/>
          <w:sz w:val="24"/>
        </w:rPr>
      </w:pPr>
      <w:r>
        <w:rPr>
          <w:rFonts w:hint="eastAsia" w:ascii="宋体" w:hAnsi="宋体" w:cs="宋体"/>
          <w:kern w:val="0"/>
          <w:sz w:val="24"/>
        </w:rPr>
        <w:t>7.6库房仓储保障无水、火、盗、疫等安全风险。</w:t>
      </w:r>
    </w:p>
    <w:p w14:paraId="10F13376">
      <w:pPr>
        <w:spacing w:line="360" w:lineRule="auto"/>
        <w:ind w:firstLine="480" w:firstLineChars="200"/>
        <w:jc w:val="left"/>
        <w:rPr>
          <w:rFonts w:ascii="宋体" w:hAnsi="宋体" w:cs="宋体"/>
          <w:kern w:val="0"/>
          <w:sz w:val="24"/>
        </w:rPr>
      </w:pPr>
      <w:r>
        <w:rPr>
          <w:rFonts w:hint="eastAsia" w:ascii="宋体" w:hAnsi="宋体" w:cs="宋体"/>
          <w:kern w:val="0"/>
          <w:sz w:val="24"/>
        </w:rPr>
        <w:t>7.7投标人上述仓储情况如出现变动，应在变动情况出现的1小时内与采购人同步上述信息。</w:t>
      </w:r>
    </w:p>
    <w:p w14:paraId="244A9214">
      <w:pPr>
        <w:spacing w:line="360" w:lineRule="auto"/>
        <w:ind w:firstLine="480" w:firstLineChars="200"/>
        <w:jc w:val="left"/>
        <w:rPr>
          <w:rFonts w:ascii="宋体" w:hAnsi="宋体" w:cs="宋体"/>
          <w:kern w:val="0"/>
          <w:sz w:val="24"/>
        </w:rPr>
      </w:pPr>
      <w:r>
        <w:rPr>
          <w:rFonts w:hint="eastAsia" w:ascii="宋体" w:hAnsi="宋体" w:cs="宋体"/>
          <w:kern w:val="0"/>
          <w:sz w:val="24"/>
        </w:rPr>
        <w:t>7.8提供全套库房管理的相关制度列表及制度文件。</w:t>
      </w:r>
    </w:p>
    <w:p w14:paraId="00799F1D">
      <w:pPr>
        <w:spacing w:line="360" w:lineRule="auto"/>
        <w:ind w:firstLine="480" w:firstLineChars="200"/>
        <w:jc w:val="left"/>
        <w:rPr>
          <w:rFonts w:ascii="宋体" w:hAnsi="宋体" w:cs="宋体"/>
          <w:kern w:val="0"/>
          <w:sz w:val="24"/>
        </w:rPr>
      </w:pPr>
      <w:r>
        <w:rPr>
          <w:rFonts w:hint="eastAsia" w:ascii="宋体" w:hAnsi="宋体" w:cs="宋体"/>
          <w:kern w:val="0"/>
          <w:sz w:val="24"/>
        </w:rPr>
        <w:t>8.接口服务采购配送方面：</w:t>
      </w:r>
    </w:p>
    <w:p w14:paraId="426FEED8">
      <w:pPr>
        <w:spacing w:line="360" w:lineRule="auto"/>
        <w:ind w:firstLine="480" w:firstLineChars="200"/>
        <w:jc w:val="left"/>
        <w:rPr>
          <w:rFonts w:ascii="宋体" w:hAnsi="宋体" w:cs="宋体"/>
          <w:kern w:val="0"/>
          <w:sz w:val="24"/>
        </w:rPr>
      </w:pPr>
      <w:r>
        <w:rPr>
          <w:rFonts w:hint="eastAsia" w:ascii="宋体" w:hAnsi="宋体" w:cs="宋体"/>
          <w:kern w:val="0"/>
          <w:sz w:val="24"/>
        </w:rPr>
        <w:t>8.1投标人需要同采购人建立信息接口，使采购人可以看到投标人的发货信息等（包括发货数量、批次以及批次有效期等）。</w:t>
      </w:r>
    </w:p>
    <w:p w14:paraId="5E7518F2">
      <w:pPr>
        <w:spacing w:line="360" w:lineRule="auto"/>
        <w:ind w:firstLine="480" w:firstLineChars="200"/>
        <w:jc w:val="left"/>
        <w:rPr>
          <w:rFonts w:ascii="宋体" w:hAnsi="宋体" w:cs="宋体"/>
          <w:kern w:val="0"/>
          <w:sz w:val="24"/>
        </w:rPr>
      </w:pPr>
      <w:r>
        <w:rPr>
          <w:rFonts w:hint="eastAsia" w:ascii="宋体" w:hAnsi="宋体" w:cs="宋体"/>
          <w:kern w:val="0"/>
          <w:sz w:val="24"/>
        </w:rPr>
        <w:t>8.2投标人应在中标后在规定时间内实现“试剂耗材清单”内全部品种的正常供货，并按需求采购配送。</w:t>
      </w:r>
    </w:p>
    <w:p w14:paraId="7F531C66">
      <w:pPr>
        <w:spacing w:line="360" w:lineRule="auto"/>
        <w:ind w:firstLine="480" w:firstLineChars="200"/>
        <w:jc w:val="left"/>
        <w:rPr>
          <w:rFonts w:ascii="宋体" w:hAnsi="宋体" w:cs="宋体"/>
          <w:kern w:val="0"/>
          <w:sz w:val="24"/>
        </w:rPr>
      </w:pPr>
      <w:r>
        <w:rPr>
          <w:rFonts w:hint="eastAsia" w:ascii="宋体" w:hAnsi="宋体" w:cs="宋体"/>
          <w:kern w:val="0"/>
          <w:sz w:val="24"/>
        </w:rPr>
        <w:t>8.3根据采购人需求，配备信息化管理软硬件，协助完成信息化对接工作。</w:t>
      </w:r>
    </w:p>
    <w:p w14:paraId="65DBB27E">
      <w:pPr>
        <w:spacing w:line="360" w:lineRule="auto"/>
        <w:ind w:firstLine="480" w:firstLineChars="200"/>
        <w:jc w:val="left"/>
        <w:rPr>
          <w:rFonts w:ascii="宋体" w:hAnsi="宋体" w:cs="宋体"/>
          <w:kern w:val="0"/>
          <w:sz w:val="24"/>
        </w:rPr>
      </w:pPr>
      <w:r>
        <w:rPr>
          <w:rFonts w:hint="eastAsia" w:ascii="宋体" w:hAnsi="宋体" w:cs="宋体"/>
          <w:kern w:val="0"/>
          <w:sz w:val="24"/>
        </w:rPr>
        <w:t>8.4可通过条码管理，实现耗材全流通环节的监控、完成追溯管理。支持UDI原厂码全程追溯。</w:t>
      </w:r>
    </w:p>
    <w:p w14:paraId="10F348EF">
      <w:pPr>
        <w:spacing w:line="360" w:lineRule="auto"/>
        <w:ind w:firstLine="480" w:firstLineChars="200"/>
        <w:jc w:val="left"/>
        <w:rPr>
          <w:rFonts w:ascii="宋体" w:hAnsi="宋体" w:cs="宋体"/>
          <w:kern w:val="0"/>
          <w:sz w:val="24"/>
        </w:rPr>
      </w:pPr>
      <w:r>
        <w:rPr>
          <w:rFonts w:hint="eastAsia" w:ascii="宋体" w:hAnsi="宋体" w:cs="宋体"/>
          <w:kern w:val="0"/>
          <w:sz w:val="24"/>
        </w:rPr>
        <w:t>9.信息管理</w:t>
      </w:r>
    </w:p>
    <w:p w14:paraId="414BEA3B">
      <w:pPr>
        <w:spacing w:line="360" w:lineRule="auto"/>
        <w:ind w:firstLine="480" w:firstLineChars="200"/>
        <w:jc w:val="left"/>
        <w:rPr>
          <w:rFonts w:ascii="宋体" w:hAnsi="宋体" w:cs="宋体"/>
          <w:kern w:val="0"/>
          <w:sz w:val="24"/>
        </w:rPr>
      </w:pPr>
      <w:r>
        <w:rPr>
          <w:rFonts w:hint="eastAsia" w:ascii="宋体" w:hAnsi="宋体" w:cs="宋体"/>
          <w:kern w:val="0"/>
          <w:sz w:val="24"/>
        </w:rPr>
        <w:t>9.1提供试剂耗材的字典库维护，包括但不限于提供按采购人要求的试剂耗材字典库信息或由采购人提供端口软件用于维护。</w:t>
      </w:r>
    </w:p>
    <w:p w14:paraId="66CCE848">
      <w:pPr>
        <w:spacing w:line="360" w:lineRule="auto"/>
        <w:ind w:firstLine="480" w:firstLineChars="200"/>
        <w:jc w:val="left"/>
        <w:rPr>
          <w:rFonts w:ascii="宋体" w:hAnsi="宋体" w:cs="宋体"/>
          <w:kern w:val="0"/>
          <w:sz w:val="24"/>
        </w:rPr>
      </w:pPr>
      <w:r>
        <w:rPr>
          <w:rFonts w:hint="eastAsia" w:ascii="宋体" w:hAnsi="宋体" w:cs="宋体"/>
          <w:kern w:val="0"/>
          <w:sz w:val="24"/>
        </w:rPr>
        <w:t>9.2维护内容包括但不限于商品品名、规格、数量、单价、金额、有效期、生产批号、生产厂家、注册证号、储运条件、商品图片等信息。</w:t>
      </w:r>
    </w:p>
    <w:p w14:paraId="31799B07">
      <w:pPr>
        <w:spacing w:line="360" w:lineRule="auto"/>
        <w:ind w:firstLine="480" w:firstLineChars="200"/>
        <w:jc w:val="left"/>
        <w:rPr>
          <w:rFonts w:ascii="宋体" w:hAnsi="宋体" w:cs="宋体"/>
          <w:kern w:val="0"/>
          <w:sz w:val="24"/>
        </w:rPr>
      </w:pPr>
      <w:r>
        <w:rPr>
          <w:rFonts w:hint="eastAsia" w:ascii="宋体" w:hAnsi="宋体" w:cs="宋体"/>
          <w:kern w:val="0"/>
          <w:sz w:val="24"/>
        </w:rPr>
        <w:t>9.3提供配送订单电子数据传送，内容包括但不限于商品品名、规格、数量、单价、金额、有效期、生产批号、生产厂家、注册证号等信息。</w:t>
      </w:r>
    </w:p>
    <w:p w14:paraId="7D046336">
      <w:pPr>
        <w:spacing w:line="360" w:lineRule="auto"/>
        <w:ind w:firstLine="480" w:firstLineChars="200"/>
        <w:jc w:val="left"/>
        <w:rPr>
          <w:rFonts w:ascii="宋体" w:hAnsi="宋体" w:cs="宋体"/>
          <w:kern w:val="0"/>
          <w:sz w:val="24"/>
        </w:rPr>
      </w:pPr>
      <w:r>
        <w:rPr>
          <w:rFonts w:hint="eastAsia" w:ascii="宋体" w:hAnsi="宋体" w:cs="宋体"/>
          <w:kern w:val="0"/>
          <w:sz w:val="24"/>
        </w:rPr>
        <w:t>10.售后服务</w:t>
      </w:r>
    </w:p>
    <w:p w14:paraId="7BCB93B9">
      <w:pPr>
        <w:spacing w:line="360" w:lineRule="auto"/>
        <w:ind w:firstLine="480" w:firstLineChars="200"/>
        <w:jc w:val="left"/>
        <w:rPr>
          <w:rFonts w:ascii="宋体" w:hAnsi="宋体" w:cs="宋体"/>
          <w:kern w:val="0"/>
          <w:sz w:val="24"/>
        </w:rPr>
      </w:pPr>
      <w:r>
        <w:rPr>
          <w:rFonts w:hint="eastAsia" w:ascii="宋体" w:hAnsi="宋体" w:cs="宋体"/>
          <w:kern w:val="0"/>
          <w:sz w:val="24"/>
        </w:rPr>
        <w:t>10.1服务流程及内容要求</w:t>
      </w:r>
    </w:p>
    <w:p w14:paraId="42DA5C24">
      <w:pPr>
        <w:spacing w:line="360" w:lineRule="auto"/>
        <w:ind w:firstLine="480" w:firstLineChars="200"/>
        <w:jc w:val="left"/>
        <w:rPr>
          <w:rFonts w:ascii="宋体" w:hAnsi="宋体" w:cs="宋体"/>
          <w:kern w:val="0"/>
          <w:sz w:val="24"/>
        </w:rPr>
      </w:pPr>
      <w:r>
        <w:rPr>
          <w:rFonts w:hint="eastAsia" w:ascii="宋体" w:hAnsi="宋体" w:cs="宋体"/>
          <w:kern w:val="0"/>
          <w:sz w:val="24"/>
        </w:rPr>
        <w:t>10.1.1结合采购人现有情况，设置专业的售后服务团队，制定详细的售后服务流程，能够及时为采购人提供售后服务；</w:t>
      </w:r>
    </w:p>
    <w:p w14:paraId="4AF486BA">
      <w:pPr>
        <w:spacing w:line="360" w:lineRule="auto"/>
        <w:ind w:firstLine="480" w:firstLineChars="200"/>
        <w:jc w:val="left"/>
        <w:rPr>
          <w:rFonts w:ascii="宋体" w:hAnsi="宋体" w:cs="宋体"/>
          <w:kern w:val="0"/>
          <w:sz w:val="24"/>
        </w:rPr>
      </w:pPr>
      <w:r>
        <w:rPr>
          <w:rFonts w:hint="eastAsia" w:ascii="宋体" w:hAnsi="宋体" w:cs="宋体"/>
          <w:kern w:val="0"/>
          <w:sz w:val="24"/>
        </w:rPr>
        <w:t>10.1.2做好售后服务计划、有完整的售后服务记录；</w:t>
      </w:r>
    </w:p>
    <w:p w14:paraId="5062E1B8">
      <w:pPr>
        <w:spacing w:line="360" w:lineRule="auto"/>
        <w:ind w:firstLine="480" w:firstLineChars="200"/>
        <w:jc w:val="left"/>
        <w:rPr>
          <w:rFonts w:ascii="宋体" w:hAnsi="宋体" w:cs="宋体"/>
          <w:kern w:val="0"/>
          <w:sz w:val="24"/>
        </w:rPr>
      </w:pPr>
      <w:r>
        <w:rPr>
          <w:rFonts w:hint="eastAsia" w:ascii="宋体" w:hAnsi="宋体" w:cs="宋体"/>
          <w:kern w:val="0"/>
          <w:sz w:val="24"/>
        </w:rPr>
        <w:t>10.1.3定期进行采购人满意度调查，了解配送中存在的问题、采购人的建议和意见，提出合理化改进意见，解决配送中的存在问题；</w:t>
      </w:r>
    </w:p>
    <w:p w14:paraId="26D44E0D">
      <w:pPr>
        <w:spacing w:line="360" w:lineRule="auto"/>
        <w:ind w:firstLine="480" w:firstLineChars="200"/>
        <w:jc w:val="left"/>
        <w:rPr>
          <w:rFonts w:ascii="宋体" w:hAnsi="宋体" w:cs="宋体"/>
          <w:kern w:val="0"/>
          <w:sz w:val="24"/>
        </w:rPr>
      </w:pPr>
      <w:r>
        <w:rPr>
          <w:rFonts w:hint="eastAsia" w:ascii="宋体" w:hAnsi="宋体" w:cs="宋体"/>
          <w:kern w:val="0"/>
          <w:sz w:val="24"/>
        </w:rPr>
        <w:t>10.1.4对于有效期在小于6个月或剩余有效期不足有效期50%的产品，投标人按采购人要求给予更换。</w:t>
      </w:r>
    </w:p>
    <w:p w14:paraId="77B1D801">
      <w:pPr>
        <w:spacing w:line="360" w:lineRule="auto"/>
        <w:ind w:firstLine="480" w:firstLineChars="200"/>
        <w:jc w:val="left"/>
        <w:rPr>
          <w:rFonts w:ascii="宋体" w:hAnsi="宋体" w:cs="宋体"/>
          <w:kern w:val="0"/>
          <w:sz w:val="24"/>
        </w:rPr>
      </w:pPr>
      <w:r>
        <w:rPr>
          <w:rFonts w:hint="eastAsia" w:ascii="宋体" w:hAnsi="宋体" w:cs="宋体"/>
          <w:kern w:val="0"/>
          <w:sz w:val="24"/>
        </w:rPr>
        <w:t>10.1.5非采购人原因，由于国家政策变化或产品本身质量原因或被国家禁用不允许使用的产品及召回产品，必须给予退货。</w:t>
      </w:r>
    </w:p>
    <w:p w14:paraId="7C00DA53">
      <w:pPr>
        <w:spacing w:line="360" w:lineRule="auto"/>
        <w:ind w:firstLine="480" w:firstLineChars="200"/>
        <w:jc w:val="left"/>
        <w:rPr>
          <w:rFonts w:ascii="宋体" w:hAnsi="宋体" w:cs="宋体"/>
          <w:kern w:val="0"/>
          <w:sz w:val="24"/>
        </w:rPr>
      </w:pPr>
      <w:r>
        <w:rPr>
          <w:rFonts w:hint="eastAsia" w:ascii="宋体" w:hAnsi="宋体" w:cs="宋体"/>
          <w:kern w:val="0"/>
          <w:sz w:val="24"/>
        </w:rPr>
        <w:t>10.1.6已接收货物开封使用后发现实际质量问题，投标人须协调相关人员到场限期解决，包括并不限于免费提供标准物质进行试剂质量验证及免费退换货。</w:t>
      </w:r>
    </w:p>
    <w:p w14:paraId="3BBB9736">
      <w:pPr>
        <w:spacing w:line="360" w:lineRule="auto"/>
        <w:ind w:firstLine="480" w:firstLineChars="200"/>
        <w:jc w:val="left"/>
        <w:rPr>
          <w:rFonts w:ascii="宋体" w:hAnsi="宋体" w:cs="宋体"/>
          <w:kern w:val="0"/>
          <w:sz w:val="24"/>
        </w:rPr>
      </w:pPr>
      <w:r>
        <w:rPr>
          <w:rFonts w:hint="eastAsia" w:ascii="宋体" w:hAnsi="宋体" w:cs="宋体"/>
          <w:kern w:val="0"/>
          <w:sz w:val="24"/>
        </w:rPr>
        <w:t>10.1.7投标人须完成检测试剂相关检验设备的定期保养、故障维修、年度校准以及必要技术支持等服务。</w:t>
      </w:r>
    </w:p>
    <w:p w14:paraId="22F40AEC">
      <w:pPr>
        <w:spacing w:line="360" w:lineRule="auto"/>
        <w:ind w:firstLine="480" w:firstLineChars="200"/>
        <w:jc w:val="left"/>
        <w:rPr>
          <w:rFonts w:ascii="宋体" w:hAnsi="宋体" w:cs="宋体"/>
          <w:kern w:val="0"/>
          <w:sz w:val="24"/>
        </w:rPr>
      </w:pPr>
      <w:r>
        <w:rPr>
          <w:rFonts w:hint="eastAsia" w:ascii="宋体" w:hAnsi="宋体" w:cs="宋体"/>
          <w:kern w:val="0"/>
          <w:sz w:val="24"/>
        </w:rPr>
        <w:t>10.2服务响应</w:t>
      </w:r>
    </w:p>
    <w:p w14:paraId="215E3E4F">
      <w:pPr>
        <w:spacing w:line="360" w:lineRule="auto"/>
        <w:ind w:firstLine="480" w:firstLineChars="200"/>
        <w:jc w:val="left"/>
        <w:rPr>
          <w:rFonts w:ascii="宋体" w:hAnsi="宋体" w:cs="宋体"/>
          <w:kern w:val="0"/>
          <w:sz w:val="24"/>
        </w:rPr>
      </w:pPr>
      <w:r>
        <w:rPr>
          <w:rFonts w:hint="eastAsia" w:ascii="宋体" w:hAnsi="宋体" w:cs="宋体"/>
          <w:kern w:val="0"/>
          <w:sz w:val="24"/>
        </w:rPr>
        <w:t>10.2.1提供的产品，在包装完整情况下，提供无条件退货。</w:t>
      </w:r>
    </w:p>
    <w:p w14:paraId="080CB3C1">
      <w:pPr>
        <w:spacing w:line="360" w:lineRule="auto"/>
        <w:ind w:firstLine="480" w:firstLineChars="200"/>
        <w:jc w:val="left"/>
        <w:rPr>
          <w:rFonts w:ascii="宋体" w:hAnsi="宋体" w:cs="宋体"/>
          <w:kern w:val="0"/>
          <w:sz w:val="24"/>
        </w:rPr>
      </w:pPr>
      <w:r>
        <w:rPr>
          <w:rFonts w:hint="eastAsia" w:ascii="宋体" w:hAnsi="宋体" w:cs="宋体"/>
          <w:kern w:val="0"/>
          <w:sz w:val="24"/>
        </w:rPr>
        <w:t>10.2.2在产品出现质量问题时，必须在24小时内退货，48小时内更换合格产品。</w:t>
      </w:r>
    </w:p>
    <w:p w14:paraId="37F6D49F">
      <w:pPr>
        <w:spacing w:line="360" w:lineRule="auto"/>
        <w:ind w:firstLine="480" w:firstLineChars="200"/>
        <w:jc w:val="left"/>
        <w:rPr>
          <w:rFonts w:ascii="宋体" w:hAnsi="宋体" w:cs="宋体"/>
          <w:kern w:val="0"/>
          <w:sz w:val="24"/>
        </w:rPr>
      </w:pPr>
      <w:r>
        <w:rPr>
          <w:rFonts w:hint="eastAsia" w:ascii="宋体" w:hAnsi="宋体" w:cs="宋体"/>
          <w:kern w:val="0"/>
          <w:sz w:val="24"/>
        </w:rPr>
        <w:t>10.3货物质保期</w:t>
      </w:r>
    </w:p>
    <w:p w14:paraId="1ABEEE71">
      <w:pPr>
        <w:spacing w:line="360" w:lineRule="auto"/>
        <w:ind w:firstLine="480" w:firstLineChars="200"/>
        <w:jc w:val="left"/>
        <w:rPr>
          <w:rFonts w:ascii="宋体" w:hAnsi="宋体" w:cs="宋体"/>
          <w:kern w:val="0"/>
          <w:sz w:val="24"/>
        </w:rPr>
      </w:pPr>
      <w:r>
        <w:rPr>
          <w:rFonts w:hint="eastAsia" w:ascii="宋体" w:hAnsi="宋体" w:cs="宋体"/>
          <w:kern w:val="0"/>
          <w:sz w:val="24"/>
        </w:rPr>
        <w:t>10.3.1投标人不得配送距有效期六个月内或剩余有效期不足有效期50%的产品。</w:t>
      </w:r>
    </w:p>
    <w:p w14:paraId="7FFFD448">
      <w:pPr>
        <w:spacing w:line="360" w:lineRule="auto"/>
        <w:ind w:firstLine="480" w:firstLineChars="200"/>
        <w:jc w:val="left"/>
        <w:rPr>
          <w:rFonts w:ascii="宋体" w:hAnsi="宋体" w:cs="宋体"/>
          <w:kern w:val="0"/>
          <w:sz w:val="24"/>
        </w:rPr>
      </w:pPr>
      <w:r>
        <w:rPr>
          <w:rFonts w:hint="eastAsia" w:ascii="宋体" w:hAnsi="宋体" w:cs="宋体"/>
          <w:kern w:val="0"/>
          <w:sz w:val="24"/>
        </w:rPr>
        <w:t>10.3.2投标人需保证3至6个月批号一致，提供批批检证书；质控品效期要求：需保证8至12个月，批号一致；校准品可以最小单位订货。</w:t>
      </w:r>
    </w:p>
    <w:p w14:paraId="52F3C16E">
      <w:pPr>
        <w:spacing w:line="360" w:lineRule="auto"/>
        <w:ind w:firstLine="480" w:firstLineChars="200"/>
        <w:jc w:val="left"/>
        <w:rPr>
          <w:rFonts w:ascii="宋体" w:hAnsi="宋体" w:cs="宋体"/>
          <w:kern w:val="0"/>
          <w:sz w:val="24"/>
        </w:rPr>
      </w:pPr>
      <w:r>
        <w:rPr>
          <w:rFonts w:hint="eastAsia" w:ascii="宋体" w:hAnsi="宋体" w:cs="宋体"/>
          <w:kern w:val="0"/>
          <w:sz w:val="24"/>
        </w:rPr>
        <w:t>10.3.3因产品质量问题而引起的纠纷，由投标人承担相应的法律责任及经济赔偿责任。</w:t>
      </w:r>
    </w:p>
    <w:p w14:paraId="69BED07F">
      <w:pPr>
        <w:spacing w:line="360" w:lineRule="auto"/>
        <w:ind w:firstLine="480" w:firstLineChars="200"/>
        <w:jc w:val="left"/>
        <w:rPr>
          <w:rFonts w:ascii="宋体" w:hAnsi="宋体" w:cs="宋体"/>
          <w:kern w:val="0"/>
          <w:sz w:val="24"/>
        </w:rPr>
      </w:pPr>
      <w:r>
        <w:rPr>
          <w:rFonts w:hint="eastAsia" w:ascii="宋体" w:hAnsi="宋体" w:cs="宋体"/>
          <w:kern w:val="0"/>
          <w:sz w:val="24"/>
        </w:rPr>
        <w:t>11.服务承诺</w:t>
      </w:r>
    </w:p>
    <w:p w14:paraId="4CF9FD41">
      <w:pPr>
        <w:spacing w:line="360" w:lineRule="auto"/>
        <w:ind w:firstLine="480" w:firstLineChars="200"/>
        <w:jc w:val="left"/>
        <w:rPr>
          <w:rFonts w:ascii="宋体" w:hAnsi="宋体" w:cs="宋体"/>
          <w:kern w:val="0"/>
          <w:sz w:val="24"/>
        </w:rPr>
      </w:pPr>
      <w:r>
        <w:rPr>
          <w:rFonts w:hint="eastAsia" w:ascii="宋体" w:hAnsi="宋体" w:cs="宋体"/>
          <w:kern w:val="0"/>
          <w:sz w:val="24"/>
        </w:rPr>
        <w:t>11.1合同期内由供应商提供本项目相关诊断试剂采购及配送服务涉及的软硬件免费保修服务；</w:t>
      </w:r>
    </w:p>
    <w:p w14:paraId="00485FC2">
      <w:pPr>
        <w:spacing w:line="360" w:lineRule="auto"/>
        <w:ind w:firstLine="480" w:firstLineChars="200"/>
        <w:jc w:val="left"/>
        <w:rPr>
          <w:rFonts w:ascii="宋体" w:hAnsi="宋体" w:cs="宋体"/>
          <w:kern w:val="0"/>
          <w:sz w:val="24"/>
        </w:rPr>
      </w:pPr>
      <w:r>
        <w:rPr>
          <w:rFonts w:hint="eastAsia" w:ascii="宋体" w:hAnsi="宋体" w:cs="宋体"/>
          <w:kern w:val="0"/>
          <w:sz w:val="24"/>
        </w:rPr>
        <w:t>11.2合同期内由供应商提供所有检验仪器日常维保和应急维修保障服务，相关费用由投标人承担；</w:t>
      </w:r>
    </w:p>
    <w:p w14:paraId="2F0AF426">
      <w:pPr>
        <w:spacing w:line="360" w:lineRule="auto"/>
        <w:ind w:firstLine="480" w:firstLineChars="200"/>
        <w:jc w:val="left"/>
        <w:rPr>
          <w:rFonts w:ascii="宋体" w:hAnsi="宋体" w:cs="宋体"/>
          <w:kern w:val="0"/>
          <w:sz w:val="24"/>
        </w:rPr>
      </w:pPr>
      <w:r>
        <w:rPr>
          <w:rFonts w:hint="eastAsia" w:ascii="宋体" w:hAnsi="宋体" w:cs="宋体"/>
          <w:kern w:val="0"/>
          <w:sz w:val="24"/>
        </w:rPr>
        <w:t>11.3合同期满后，如双方未续签合同，采购人有权继续使用供应商为本项目所提供的所有软硬件，维保费用由采购人自行承担。</w:t>
      </w:r>
    </w:p>
    <w:p w14:paraId="3FB78661">
      <w:pPr>
        <w:spacing w:line="360" w:lineRule="auto"/>
        <w:ind w:firstLine="480" w:firstLineChars="200"/>
        <w:jc w:val="left"/>
        <w:rPr>
          <w:rFonts w:ascii="宋体" w:hAnsi="宋体" w:cs="宋体"/>
          <w:kern w:val="0"/>
          <w:sz w:val="24"/>
        </w:rPr>
      </w:pPr>
      <w:r>
        <w:rPr>
          <w:rFonts w:hint="eastAsia" w:ascii="宋体" w:hAnsi="宋体" w:cs="宋体"/>
          <w:kern w:val="0"/>
          <w:sz w:val="24"/>
        </w:rPr>
        <w:t>12.培训要求</w:t>
      </w:r>
    </w:p>
    <w:p w14:paraId="4E1FCFFE">
      <w:pPr>
        <w:spacing w:line="360" w:lineRule="auto"/>
        <w:ind w:firstLine="480" w:firstLineChars="200"/>
        <w:jc w:val="left"/>
        <w:rPr>
          <w:rFonts w:ascii="宋体" w:hAnsi="宋体" w:cs="宋体"/>
          <w:kern w:val="0"/>
          <w:sz w:val="24"/>
        </w:rPr>
      </w:pPr>
      <w:r>
        <w:rPr>
          <w:rFonts w:hint="eastAsia" w:ascii="宋体" w:hAnsi="宋体" w:cs="宋体"/>
          <w:kern w:val="0"/>
          <w:sz w:val="24"/>
        </w:rPr>
        <w:t>12.1投标人应对配送人员进行配送服务流程培训，确保相关人员熟练掌握配送流程。</w:t>
      </w:r>
    </w:p>
    <w:p w14:paraId="0AE65752">
      <w:pPr>
        <w:spacing w:line="360" w:lineRule="auto"/>
        <w:ind w:firstLine="480" w:firstLineChars="200"/>
        <w:jc w:val="left"/>
        <w:rPr>
          <w:rFonts w:ascii="宋体" w:hAnsi="宋体" w:cs="宋体"/>
          <w:kern w:val="0"/>
          <w:sz w:val="24"/>
        </w:rPr>
      </w:pPr>
      <w:r>
        <w:rPr>
          <w:rFonts w:hint="eastAsia" w:ascii="宋体" w:hAnsi="宋体" w:cs="宋体"/>
          <w:kern w:val="0"/>
          <w:sz w:val="24"/>
        </w:rPr>
        <w:t>12.2新增项目产品使用规范培训，包括但不限于以下内容：对新准入的产品有义务提供产品使用、操作方法、临床应用、注意事项等培训，并提供培训资料。</w:t>
      </w:r>
    </w:p>
    <w:p w14:paraId="34F96FEE">
      <w:pPr>
        <w:spacing w:line="360" w:lineRule="auto"/>
        <w:ind w:firstLine="480" w:firstLineChars="200"/>
        <w:jc w:val="left"/>
        <w:rPr>
          <w:rFonts w:ascii="宋体" w:hAnsi="宋体" w:cs="宋体"/>
          <w:kern w:val="0"/>
          <w:sz w:val="24"/>
        </w:rPr>
      </w:pPr>
      <w:r>
        <w:rPr>
          <w:rFonts w:hint="eastAsia" w:ascii="宋体" w:hAnsi="宋体" w:cs="宋体"/>
          <w:kern w:val="0"/>
          <w:sz w:val="24"/>
        </w:rPr>
        <w:t>12.3采购人在产品的使用过程中出现技术问题，投标人负责联系生产厂家或专业人员，按照采购人要求进行现场技术指导和讲解。</w:t>
      </w:r>
    </w:p>
    <w:p w14:paraId="7487D4F4">
      <w:pPr>
        <w:spacing w:line="360" w:lineRule="auto"/>
        <w:ind w:firstLine="482" w:firstLineChars="200"/>
        <w:jc w:val="left"/>
        <w:outlineLvl w:val="1"/>
        <w:rPr>
          <w:rFonts w:ascii="宋体" w:hAnsi="宋体" w:cs="宋体"/>
          <w:b/>
          <w:bCs/>
          <w:sz w:val="24"/>
        </w:rPr>
      </w:pPr>
      <w:r>
        <w:rPr>
          <w:rFonts w:hint="eastAsia" w:ascii="宋体" w:hAnsi="宋体" w:cs="宋体"/>
          <w:b/>
          <w:bCs/>
          <w:sz w:val="24"/>
        </w:rPr>
        <w:t>（三）特别说明</w:t>
      </w:r>
    </w:p>
    <w:p w14:paraId="160A6C35">
      <w:pPr>
        <w:spacing w:line="360" w:lineRule="auto"/>
        <w:ind w:firstLine="480" w:firstLineChars="200"/>
        <w:jc w:val="left"/>
        <w:rPr>
          <w:rFonts w:ascii="宋体" w:hAnsi="宋体"/>
          <w:sz w:val="24"/>
        </w:rPr>
      </w:pPr>
      <w:r>
        <w:rPr>
          <w:rFonts w:hint="eastAsia" w:ascii="宋体" w:hAnsi="宋体"/>
          <w:sz w:val="24"/>
        </w:rPr>
        <w:t>1.对于技术规格中标注“★”号（如有）的技术参数代表实质性指标，不满足该指标项将直接导致其投标无效。</w:t>
      </w:r>
    </w:p>
    <w:p w14:paraId="32CBBA89">
      <w:pPr>
        <w:spacing w:line="360" w:lineRule="auto"/>
        <w:ind w:firstLine="480" w:firstLineChars="200"/>
        <w:jc w:val="left"/>
        <w:rPr>
          <w:rFonts w:ascii="宋体" w:hAnsi="宋体"/>
          <w:sz w:val="24"/>
        </w:rPr>
      </w:pPr>
      <w:r>
        <w:rPr>
          <w:rFonts w:hint="eastAsia" w:ascii="宋体" w:hAnsi="宋体"/>
          <w:sz w:val="24"/>
        </w:rPr>
        <w:t>2.标注“</w:t>
      </w:r>
      <w:r>
        <w:rPr>
          <w:rFonts w:hint="eastAsia" w:ascii="宋体" w:hAnsi="宋体" w:cs="宋体"/>
          <w:bCs/>
          <w:kern w:val="0"/>
          <w:sz w:val="24"/>
        </w:rPr>
        <w:t>▲</w:t>
      </w:r>
      <w:r>
        <w:rPr>
          <w:rFonts w:hint="eastAsia" w:ascii="宋体" w:hAnsi="宋体"/>
          <w:sz w:val="24"/>
        </w:rPr>
        <w:t>”的指标（如有）为重要的技术指标，</w:t>
      </w:r>
      <w:r>
        <w:rPr>
          <w:rFonts w:ascii="宋体" w:hAnsi="宋体" w:cs="宋体"/>
          <w:sz w:val="24"/>
        </w:rPr>
        <w:t>投标人不满足任意▲指标，</w:t>
      </w:r>
      <w:r>
        <w:rPr>
          <w:rFonts w:hint="eastAsia" w:ascii="宋体" w:hAnsi="宋体"/>
          <w:sz w:val="24"/>
        </w:rPr>
        <w:t>将导致其在第四章评标标准中对采购需求的响应情况被扣除相应分值。</w:t>
      </w:r>
    </w:p>
    <w:p w14:paraId="18E4E176">
      <w:pPr>
        <w:widowControl/>
        <w:spacing w:line="360" w:lineRule="auto"/>
        <w:ind w:firstLine="480" w:firstLineChars="200"/>
        <w:contextualSpacing/>
        <w:jc w:val="left"/>
        <w:rPr>
          <w:rFonts w:ascii="宋体" w:hAnsi="宋体"/>
          <w:b/>
          <w:sz w:val="36"/>
          <w:szCs w:val="36"/>
        </w:rPr>
      </w:pPr>
      <w:r>
        <w:rPr>
          <w:rFonts w:hint="eastAsia" w:ascii="宋体" w:hAnsi="宋体"/>
          <w:sz w:val="24"/>
        </w:rPr>
        <w:t>3.对于采购需求三、技术要求（二）具体要求中标注“▲”号的技术指标，投标人须在投标文件中按照招标文件要求提供技术应答的证明材料。如投标人技术响应与证明材料不一致，将以证明材料为准。对于投标人提供的投标文件技术应答未按本条款要求提供证明材料的，评标委员会可不予承认，并可认为该技术应答不符合招标文件要求。由此产生的风险由投标人承担。</w:t>
      </w:r>
      <w:r>
        <w:rPr>
          <w:rFonts w:ascii="宋体" w:hAnsi="宋体"/>
          <w:b/>
          <w:sz w:val="36"/>
          <w:szCs w:val="36"/>
        </w:rPr>
        <w:br w:type="page"/>
      </w:r>
    </w:p>
    <w:p w14:paraId="30133C59">
      <w:pPr>
        <w:spacing w:line="360" w:lineRule="auto"/>
        <w:jc w:val="center"/>
        <w:outlineLvl w:val="0"/>
        <w:rPr>
          <w:rFonts w:ascii="宋体" w:hAnsi="宋体"/>
          <w:b/>
          <w:sz w:val="36"/>
          <w:szCs w:val="36"/>
          <w:lang w:val="zh-TW"/>
        </w:rPr>
      </w:pPr>
      <w:bookmarkStart w:id="796" w:name="_Toc26088"/>
      <w:r>
        <w:rPr>
          <w:rFonts w:ascii="宋体" w:hAnsi="宋体"/>
          <w:b/>
          <w:sz w:val="36"/>
          <w:szCs w:val="36"/>
        </w:rPr>
        <w:t>第六章</w:t>
      </w:r>
      <w:r>
        <w:rPr>
          <w:rFonts w:hint="eastAsia" w:ascii="宋体" w:hAnsi="宋体"/>
          <w:b/>
          <w:sz w:val="36"/>
          <w:szCs w:val="36"/>
        </w:rPr>
        <w:t xml:space="preserve">  </w:t>
      </w:r>
      <w:r>
        <w:rPr>
          <w:rFonts w:ascii="宋体" w:hAnsi="宋体"/>
          <w:b/>
          <w:sz w:val="36"/>
          <w:szCs w:val="36"/>
        </w:rPr>
        <w:t>拟签订的合同文本</w:t>
      </w:r>
      <w:bookmarkEnd w:id="796"/>
    </w:p>
    <w:p w14:paraId="3F0DF4E7">
      <w:pPr>
        <w:spacing w:line="360" w:lineRule="auto"/>
        <w:ind w:firstLine="482" w:firstLineChars="200"/>
        <w:jc w:val="center"/>
        <w:rPr>
          <w:rFonts w:ascii="宋体" w:hAnsi="宋体" w:cs="宋体"/>
          <w:b/>
          <w:bCs/>
          <w:i/>
          <w:iCs/>
          <w:sz w:val="24"/>
        </w:rPr>
      </w:pPr>
    </w:p>
    <w:p w14:paraId="5A02E384">
      <w:pPr>
        <w:spacing w:line="360" w:lineRule="auto"/>
        <w:ind w:firstLine="482" w:firstLineChars="200"/>
        <w:jc w:val="center"/>
        <w:rPr>
          <w:rFonts w:ascii="宋体" w:hAnsi="宋体" w:cs="宋体"/>
          <w:b/>
          <w:bCs/>
          <w:i/>
          <w:iCs/>
          <w:sz w:val="24"/>
        </w:rPr>
      </w:pPr>
    </w:p>
    <w:p w14:paraId="1A5A5521">
      <w:pPr>
        <w:spacing w:line="360" w:lineRule="auto"/>
        <w:ind w:firstLine="482" w:firstLineChars="200"/>
        <w:jc w:val="center"/>
        <w:rPr>
          <w:rFonts w:ascii="宋体" w:hAnsi="宋体" w:cs="宋体"/>
          <w:b/>
          <w:bCs/>
          <w:i/>
          <w:iCs/>
          <w:sz w:val="24"/>
        </w:rPr>
      </w:pPr>
      <w:r>
        <w:rPr>
          <w:rFonts w:hint="eastAsia" w:ascii="宋体" w:hAnsi="宋体" w:cs="宋体"/>
          <w:b/>
          <w:bCs/>
          <w:i/>
          <w:iCs/>
          <w:sz w:val="24"/>
        </w:rPr>
        <w:t>(本合同模板仅供参考，以最终双方协商签订合同文本为准)</w:t>
      </w:r>
    </w:p>
    <w:p w14:paraId="22FEC6A6">
      <w:pPr>
        <w:pStyle w:val="7"/>
        <w:spacing w:line="360" w:lineRule="auto"/>
        <w:ind w:left="1080" w:leftChars="257" w:hanging="540"/>
        <w:rPr>
          <w:rFonts w:hAnsi="宋体" w:cs="宋体"/>
        </w:rPr>
      </w:pPr>
    </w:p>
    <w:p w14:paraId="38C849C8">
      <w:pPr>
        <w:spacing w:line="360" w:lineRule="auto"/>
        <w:jc w:val="center"/>
        <w:rPr>
          <w:rFonts w:ascii="宋体" w:hAnsi="宋体" w:cs="宋体"/>
          <w:b/>
          <w:bCs/>
          <w:sz w:val="32"/>
          <w:szCs w:val="32"/>
        </w:rPr>
      </w:pPr>
    </w:p>
    <w:p w14:paraId="043F40F5">
      <w:pPr>
        <w:spacing w:line="360" w:lineRule="auto"/>
        <w:jc w:val="center"/>
        <w:rPr>
          <w:rFonts w:ascii="宋体" w:hAnsi="宋体" w:cs="宋体"/>
          <w:b/>
          <w:bCs/>
          <w:sz w:val="32"/>
          <w:szCs w:val="32"/>
        </w:rPr>
      </w:pPr>
      <w:r>
        <w:rPr>
          <w:rFonts w:hint="eastAsia" w:ascii="宋体" w:hAnsi="宋体" w:cs="宋体"/>
          <w:b/>
          <w:bCs/>
          <w:sz w:val="32"/>
          <w:szCs w:val="32"/>
        </w:rPr>
        <w:t>试剂/耗材采购合同</w:t>
      </w:r>
    </w:p>
    <w:p w14:paraId="626CBE02">
      <w:pPr>
        <w:spacing w:line="360" w:lineRule="auto"/>
        <w:rPr>
          <w:rFonts w:ascii="宋体" w:hAnsi="宋体" w:cs="宋体"/>
          <w:sz w:val="24"/>
        </w:rPr>
      </w:pPr>
    </w:p>
    <w:p w14:paraId="40EB6B07">
      <w:pPr>
        <w:spacing w:line="360" w:lineRule="auto"/>
        <w:rPr>
          <w:rFonts w:ascii="宋体" w:hAnsi="宋体" w:cs="宋体"/>
          <w:sz w:val="24"/>
        </w:rPr>
      </w:pPr>
    </w:p>
    <w:p w14:paraId="303474F5">
      <w:pPr>
        <w:spacing w:line="360" w:lineRule="auto"/>
        <w:ind w:firstLine="480" w:firstLineChars="200"/>
        <w:rPr>
          <w:rFonts w:ascii="宋体" w:hAnsi="宋体" w:cs="宋体"/>
          <w:sz w:val="24"/>
        </w:rPr>
      </w:pPr>
      <w:r>
        <w:rPr>
          <w:rFonts w:hint="eastAsia" w:ascii="宋体" w:hAnsi="宋体" w:cs="宋体"/>
          <w:sz w:val="24"/>
        </w:rPr>
        <w:t>合同编号：</w:t>
      </w:r>
    </w:p>
    <w:p w14:paraId="378176A2">
      <w:pPr>
        <w:pStyle w:val="2"/>
      </w:pPr>
    </w:p>
    <w:p w14:paraId="53D39AA4">
      <w:pPr>
        <w:spacing w:line="360" w:lineRule="auto"/>
        <w:ind w:firstLine="480" w:firstLineChars="200"/>
        <w:rPr>
          <w:rFonts w:ascii="宋体" w:hAnsi="宋体" w:cs="宋体"/>
          <w:sz w:val="24"/>
        </w:rPr>
      </w:pPr>
      <w:r>
        <w:rPr>
          <w:rFonts w:hint="eastAsia" w:ascii="宋体" w:hAnsi="宋体" w:cs="宋体"/>
          <w:sz w:val="24"/>
        </w:rPr>
        <w:t>项目编号：</w:t>
      </w:r>
    </w:p>
    <w:p w14:paraId="0C6CE61E">
      <w:pPr>
        <w:pStyle w:val="2"/>
      </w:pPr>
    </w:p>
    <w:p w14:paraId="53959E99">
      <w:pPr>
        <w:spacing w:line="360" w:lineRule="auto"/>
        <w:ind w:firstLine="480" w:firstLineChars="200"/>
        <w:rPr>
          <w:rFonts w:ascii="宋体" w:hAnsi="宋体" w:cs="宋体"/>
          <w:sz w:val="24"/>
        </w:rPr>
      </w:pPr>
      <w:r>
        <w:rPr>
          <w:rFonts w:hint="eastAsia" w:ascii="宋体" w:hAnsi="宋体" w:cs="宋体"/>
          <w:sz w:val="24"/>
        </w:rPr>
        <w:t>项目名称：</w:t>
      </w:r>
    </w:p>
    <w:p w14:paraId="18961946">
      <w:pPr>
        <w:pStyle w:val="2"/>
      </w:pPr>
    </w:p>
    <w:p w14:paraId="2C9721EE">
      <w:pPr>
        <w:spacing w:line="360" w:lineRule="auto"/>
        <w:ind w:firstLine="480" w:firstLineChars="200"/>
        <w:rPr>
          <w:rFonts w:ascii="宋体" w:hAnsi="宋体" w:cs="宋体"/>
          <w:sz w:val="24"/>
        </w:rPr>
      </w:pPr>
      <w:r>
        <w:rPr>
          <w:rFonts w:hint="eastAsia" w:ascii="宋体" w:hAnsi="宋体" w:cs="宋体"/>
          <w:sz w:val="24"/>
        </w:rPr>
        <w:t>货物名称：</w:t>
      </w:r>
    </w:p>
    <w:p w14:paraId="7732B21C">
      <w:pPr>
        <w:pStyle w:val="2"/>
      </w:pPr>
    </w:p>
    <w:p w14:paraId="5D5A2522">
      <w:pPr>
        <w:spacing w:line="360" w:lineRule="auto"/>
        <w:ind w:firstLine="480" w:firstLineChars="200"/>
        <w:rPr>
          <w:rFonts w:ascii="宋体" w:hAnsi="宋体" w:cs="宋体"/>
          <w:sz w:val="24"/>
        </w:rPr>
      </w:pPr>
      <w:r>
        <w:rPr>
          <w:rFonts w:hint="eastAsia" w:ascii="宋体" w:hAnsi="宋体" w:cs="宋体"/>
          <w:sz w:val="24"/>
        </w:rPr>
        <w:t>甲方：北京市西城区疾病预防控制中心</w:t>
      </w:r>
    </w:p>
    <w:p w14:paraId="7D2F95E6">
      <w:pPr>
        <w:pStyle w:val="2"/>
      </w:pPr>
    </w:p>
    <w:p w14:paraId="02AAC30E">
      <w:pPr>
        <w:spacing w:line="360" w:lineRule="auto"/>
        <w:ind w:firstLine="480" w:firstLineChars="200"/>
        <w:rPr>
          <w:rFonts w:ascii="宋体" w:hAnsi="宋体" w:cs="宋体"/>
          <w:sz w:val="24"/>
        </w:rPr>
      </w:pPr>
      <w:r>
        <w:rPr>
          <w:rFonts w:hint="eastAsia" w:ascii="宋体" w:hAnsi="宋体" w:cs="宋体"/>
          <w:sz w:val="24"/>
        </w:rPr>
        <w:t>乙方：</w:t>
      </w:r>
    </w:p>
    <w:p w14:paraId="129EC443">
      <w:pPr>
        <w:spacing w:line="360" w:lineRule="auto"/>
        <w:rPr>
          <w:rFonts w:ascii="宋体" w:hAnsi="宋体" w:cs="宋体"/>
          <w:sz w:val="24"/>
        </w:rPr>
      </w:pPr>
    </w:p>
    <w:p w14:paraId="2B917279">
      <w:pPr>
        <w:spacing w:line="360" w:lineRule="auto"/>
        <w:ind w:firstLine="480" w:firstLineChars="200"/>
        <w:rPr>
          <w:rFonts w:ascii="宋体" w:hAnsi="宋体" w:cs="宋体"/>
          <w:sz w:val="24"/>
        </w:rPr>
      </w:pPr>
    </w:p>
    <w:p w14:paraId="5E3B06DC">
      <w:pPr>
        <w:spacing w:line="360" w:lineRule="auto"/>
        <w:ind w:firstLine="480" w:firstLineChars="200"/>
        <w:rPr>
          <w:rFonts w:ascii="宋体" w:hAnsi="宋体" w:cs="宋体"/>
          <w:sz w:val="24"/>
        </w:rPr>
      </w:pPr>
    </w:p>
    <w:p w14:paraId="64526D02">
      <w:pPr>
        <w:spacing w:line="360" w:lineRule="auto"/>
        <w:ind w:firstLine="480" w:firstLineChars="200"/>
        <w:rPr>
          <w:rFonts w:ascii="宋体" w:hAnsi="宋体" w:cs="宋体"/>
          <w:sz w:val="24"/>
        </w:rPr>
      </w:pPr>
    </w:p>
    <w:p w14:paraId="0EC4DB62">
      <w:pPr>
        <w:spacing w:line="360" w:lineRule="auto"/>
        <w:rPr>
          <w:rFonts w:ascii="宋体" w:hAnsi="宋体" w:cs="宋体"/>
          <w:sz w:val="24"/>
        </w:rPr>
      </w:pPr>
    </w:p>
    <w:p w14:paraId="6E4D04CB">
      <w:pPr>
        <w:spacing w:line="360" w:lineRule="auto"/>
        <w:jc w:val="center"/>
        <w:rPr>
          <w:rFonts w:ascii="宋体" w:hAnsi="宋体" w:cs="宋体"/>
          <w:sz w:val="24"/>
        </w:rPr>
      </w:pPr>
      <w:r>
        <w:rPr>
          <w:rFonts w:hint="eastAsia" w:ascii="宋体" w:hAnsi="宋体" w:cs="宋体"/>
          <w:sz w:val="24"/>
        </w:rPr>
        <w:t>签署日期：</w:t>
      </w:r>
    </w:p>
    <w:p w14:paraId="328E5D8E">
      <w:pPr>
        <w:spacing w:line="360" w:lineRule="auto"/>
        <w:rPr>
          <w:rFonts w:ascii="宋体" w:hAnsi="宋体" w:cs="宋体"/>
          <w:sz w:val="24"/>
        </w:rPr>
      </w:pPr>
      <w:r>
        <w:rPr>
          <w:rFonts w:hint="eastAsia" w:ascii="宋体" w:hAnsi="宋体" w:cs="宋体"/>
          <w:sz w:val="24"/>
        </w:rPr>
        <w:br w:type="page"/>
      </w:r>
    </w:p>
    <w:p w14:paraId="3B0EE18A">
      <w:pPr>
        <w:jc w:val="center"/>
        <w:rPr>
          <w:rFonts w:ascii="宋体" w:hAnsi="宋体"/>
          <w:sz w:val="30"/>
          <w:szCs w:val="30"/>
        </w:rPr>
      </w:pPr>
      <w:r>
        <w:rPr>
          <w:rFonts w:hint="eastAsia" w:ascii="宋体" w:hAnsi="宋体"/>
          <w:sz w:val="30"/>
          <w:szCs w:val="30"/>
        </w:rPr>
        <w:t>试剂/耗材采购合同</w:t>
      </w:r>
    </w:p>
    <w:p w14:paraId="1BC150CF">
      <w:pPr>
        <w:spacing w:line="360" w:lineRule="auto"/>
        <w:ind w:firstLine="480" w:firstLineChars="200"/>
        <w:rPr>
          <w:rFonts w:ascii="宋体" w:hAnsi="宋体"/>
          <w:sz w:val="24"/>
        </w:rPr>
      </w:pPr>
    </w:p>
    <w:p w14:paraId="37620857">
      <w:pPr>
        <w:spacing w:line="360" w:lineRule="auto"/>
        <w:ind w:firstLine="480" w:firstLineChars="200"/>
        <w:rPr>
          <w:rFonts w:ascii="宋体" w:hAnsi="宋体"/>
          <w:sz w:val="24"/>
        </w:rPr>
      </w:pPr>
      <w:r>
        <w:rPr>
          <w:rFonts w:hint="eastAsia" w:ascii="宋体" w:hAnsi="宋体"/>
          <w:sz w:val="24"/>
        </w:rPr>
        <w:t>甲方：</w:t>
      </w:r>
    </w:p>
    <w:p w14:paraId="0AB549DD">
      <w:pPr>
        <w:spacing w:line="360" w:lineRule="auto"/>
        <w:ind w:firstLine="480" w:firstLineChars="200"/>
        <w:rPr>
          <w:rFonts w:ascii="宋体" w:hAnsi="宋体"/>
          <w:sz w:val="24"/>
        </w:rPr>
      </w:pPr>
      <w:r>
        <w:rPr>
          <w:rFonts w:hint="eastAsia" w:ascii="宋体" w:hAnsi="宋体"/>
          <w:sz w:val="24"/>
        </w:rPr>
        <w:t>地址：</w:t>
      </w:r>
    </w:p>
    <w:p w14:paraId="765D4697">
      <w:pPr>
        <w:spacing w:line="360" w:lineRule="auto"/>
        <w:ind w:firstLine="480" w:firstLineChars="200"/>
        <w:rPr>
          <w:rFonts w:ascii="宋体" w:hAnsi="宋体"/>
          <w:sz w:val="24"/>
        </w:rPr>
      </w:pPr>
      <w:r>
        <w:rPr>
          <w:rFonts w:hint="eastAsia" w:ascii="宋体" w:hAnsi="宋体"/>
          <w:sz w:val="24"/>
        </w:rPr>
        <w:t xml:space="preserve">联系人： </w:t>
      </w:r>
    </w:p>
    <w:p w14:paraId="7245077A">
      <w:pPr>
        <w:spacing w:line="360" w:lineRule="auto"/>
        <w:ind w:firstLine="480" w:firstLineChars="200"/>
        <w:rPr>
          <w:rFonts w:ascii="宋体" w:hAnsi="宋体"/>
          <w:sz w:val="24"/>
        </w:rPr>
      </w:pPr>
      <w:r>
        <w:rPr>
          <w:rFonts w:hint="eastAsia" w:ascii="宋体" w:hAnsi="宋体"/>
          <w:sz w:val="24"/>
        </w:rPr>
        <w:t xml:space="preserve">联系电话： </w:t>
      </w:r>
    </w:p>
    <w:p w14:paraId="587338F1">
      <w:pPr>
        <w:spacing w:line="360" w:lineRule="auto"/>
        <w:ind w:firstLine="480" w:firstLineChars="200"/>
        <w:rPr>
          <w:rFonts w:ascii="宋体" w:hAnsi="宋体"/>
          <w:sz w:val="24"/>
        </w:rPr>
      </w:pPr>
    </w:p>
    <w:p w14:paraId="7C0CF4E1">
      <w:pPr>
        <w:spacing w:line="360" w:lineRule="auto"/>
        <w:ind w:firstLine="480" w:firstLineChars="200"/>
        <w:rPr>
          <w:rFonts w:ascii="宋体" w:hAnsi="宋体"/>
          <w:sz w:val="24"/>
        </w:rPr>
      </w:pPr>
      <w:r>
        <w:rPr>
          <w:rFonts w:hint="eastAsia" w:ascii="宋体" w:hAnsi="宋体"/>
          <w:sz w:val="24"/>
        </w:rPr>
        <w:t>乙方：</w:t>
      </w:r>
    </w:p>
    <w:p w14:paraId="17CBA308">
      <w:pPr>
        <w:spacing w:line="360" w:lineRule="auto"/>
        <w:ind w:firstLine="480" w:firstLineChars="200"/>
        <w:rPr>
          <w:rFonts w:ascii="宋体" w:hAnsi="宋体"/>
          <w:sz w:val="24"/>
        </w:rPr>
      </w:pPr>
      <w:r>
        <w:rPr>
          <w:rFonts w:hint="eastAsia" w:ascii="宋体" w:hAnsi="宋体"/>
          <w:sz w:val="24"/>
        </w:rPr>
        <w:t>地址：</w:t>
      </w:r>
    </w:p>
    <w:p w14:paraId="0B90662E">
      <w:pPr>
        <w:spacing w:line="360" w:lineRule="auto"/>
        <w:ind w:firstLine="480" w:firstLineChars="200"/>
        <w:rPr>
          <w:rFonts w:ascii="宋体" w:hAnsi="宋体"/>
          <w:sz w:val="24"/>
        </w:rPr>
      </w:pPr>
      <w:r>
        <w:rPr>
          <w:rFonts w:hint="eastAsia" w:ascii="宋体" w:hAnsi="宋体"/>
          <w:sz w:val="24"/>
        </w:rPr>
        <w:t>联系人：</w:t>
      </w:r>
    </w:p>
    <w:p w14:paraId="027273DC">
      <w:pPr>
        <w:spacing w:line="360" w:lineRule="auto"/>
        <w:ind w:firstLine="480" w:firstLineChars="200"/>
        <w:rPr>
          <w:rFonts w:ascii="宋体" w:hAnsi="宋体"/>
          <w:sz w:val="24"/>
        </w:rPr>
      </w:pPr>
      <w:r>
        <w:rPr>
          <w:rFonts w:hint="eastAsia" w:ascii="宋体" w:hAnsi="宋体"/>
          <w:sz w:val="24"/>
        </w:rPr>
        <w:t>联系电话：</w:t>
      </w:r>
    </w:p>
    <w:p w14:paraId="56C594B0">
      <w:pPr>
        <w:spacing w:line="360" w:lineRule="auto"/>
        <w:ind w:firstLine="480" w:firstLineChars="200"/>
        <w:rPr>
          <w:rFonts w:ascii="宋体" w:hAnsi="宋体"/>
          <w:sz w:val="24"/>
        </w:rPr>
      </w:pPr>
    </w:p>
    <w:p w14:paraId="075C640B">
      <w:pPr>
        <w:spacing w:line="360" w:lineRule="auto"/>
        <w:ind w:firstLine="480" w:firstLineChars="200"/>
        <w:rPr>
          <w:rFonts w:ascii="宋体" w:hAnsi="宋体"/>
          <w:sz w:val="24"/>
        </w:rPr>
      </w:pPr>
      <w:r>
        <w:rPr>
          <w:rFonts w:hint="eastAsia" w:ascii="宋体" w:hAnsi="宋体"/>
          <w:sz w:val="24"/>
        </w:rPr>
        <w:t>北京市西城区疾病预防控制中心在招标编号为</w:t>
      </w:r>
      <w:r>
        <w:rPr>
          <w:rFonts w:hint="eastAsia" w:ascii="宋体" w:hAnsi="宋体"/>
          <w:sz w:val="24"/>
          <w:u w:val="single"/>
        </w:rPr>
        <w:t xml:space="preserve">     </w:t>
      </w:r>
      <w:r>
        <w:rPr>
          <w:rFonts w:hint="eastAsia" w:ascii="宋体" w:hAnsi="宋体"/>
          <w:sz w:val="24"/>
        </w:rPr>
        <w:t>采购项目中所需的</w:t>
      </w:r>
      <w:r>
        <w:rPr>
          <w:rFonts w:hint="eastAsia" w:ascii="宋体" w:hAnsi="宋体"/>
          <w:sz w:val="24"/>
          <w:u w:val="single"/>
        </w:rPr>
        <w:t xml:space="preserve">  </w:t>
      </w:r>
      <w:r>
        <w:rPr>
          <w:rFonts w:hint="eastAsia" w:ascii="宋体" w:hAnsi="宋体"/>
          <w:sz w:val="24"/>
        </w:rPr>
        <w:t>在国内以公开招标的采购方式进行采购。评标委员会评标后经甲方确定          为中标人(即本合同乙方)。甲、乙双方根据《中华人民共和国民法典》《中华人民共和国政府采购法》和其他法律、法规的规定，并按照公正、平等、自愿、诚实信用的原则，同意按照以下条款和条件，签署本合同，以资共同遵守。</w:t>
      </w:r>
    </w:p>
    <w:p w14:paraId="443218AE">
      <w:pPr>
        <w:spacing w:line="360" w:lineRule="auto"/>
        <w:ind w:firstLine="480" w:firstLineChars="200"/>
        <w:rPr>
          <w:rFonts w:ascii="宋体" w:hAnsi="宋体"/>
          <w:sz w:val="24"/>
        </w:rPr>
      </w:pPr>
    </w:p>
    <w:p w14:paraId="26073455">
      <w:pPr>
        <w:spacing w:line="360" w:lineRule="auto"/>
        <w:ind w:firstLine="480" w:firstLineChars="200"/>
        <w:rPr>
          <w:rFonts w:ascii="宋体" w:hAnsi="宋体"/>
          <w:sz w:val="24"/>
        </w:rPr>
      </w:pPr>
      <w:r>
        <w:rPr>
          <w:rFonts w:hint="eastAsia" w:ascii="宋体" w:hAnsi="宋体"/>
          <w:sz w:val="24"/>
        </w:rPr>
        <w:t>一、货物和数量</w:t>
      </w:r>
    </w:p>
    <w:tbl>
      <w:tblPr>
        <w:tblStyle w:val="27"/>
        <w:tblW w:w="8422" w:type="dxa"/>
        <w:jc w:val="center"/>
        <w:tblLayout w:type="fixed"/>
        <w:tblCellMar>
          <w:top w:w="0" w:type="dxa"/>
          <w:left w:w="108" w:type="dxa"/>
          <w:bottom w:w="0" w:type="dxa"/>
          <w:right w:w="108" w:type="dxa"/>
        </w:tblCellMar>
      </w:tblPr>
      <w:tblGrid>
        <w:gridCol w:w="709"/>
        <w:gridCol w:w="1488"/>
        <w:gridCol w:w="1350"/>
        <w:gridCol w:w="1650"/>
        <w:gridCol w:w="1110"/>
        <w:gridCol w:w="765"/>
        <w:gridCol w:w="1350"/>
      </w:tblGrid>
      <w:tr w14:paraId="17E07FBB">
        <w:tblPrEx>
          <w:tblCellMar>
            <w:top w:w="0" w:type="dxa"/>
            <w:left w:w="108" w:type="dxa"/>
            <w:bottom w:w="0" w:type="dxa"/>
            <w:right w:w="108" w:type="dxa"/>
          </w:tblCellMar>
        </w:tblPrEx>
        <w:trPr>
          <w:trHeight w:val="800" w:hRule="atLeast"/>
          <w:jc w:val="center"/>
        </w:trPr>
        <w:tc>
          <w:tcPr>
            <w:tcW w:w="709" w:type="dxa"/>
            <w:tcBorders>
              <w:top w:val="single" w:color="000000" w:sz="4" w:space="0"/>
              <w:left w:val="single" w:color="000000" w:sz="4" w:space="0"/>
              <w:bottom w:val="single" w:color="000000" w:sz="4" w:space="0"/>
              <w:right w:val="single" w:color="000000" w:sz="4" w:space="0"/>
            </w:tcBorders>
            <w:vAlign w:val="center"/>
          </w:tcPr>
          <w:p w14:paraId="6439E7D0">
            <w:pPr>
              <w:widowControl/>
              <w:jc w:val="center"/>
              <w:textAlignment w:val="center"/>
              <w:rPr>
                <w:b/>
                <w:bCs/>
                <w:color w:val="000000"/>
                <w:kern w:val="0"/>
                <w:szCs w:val="21"/>
                <w:lang w:bidi="ar"/>
              </w:rPr>
            </w:pPr>
            <w:r>
              <w:rPr>
                <w:b/>
                <w:bCs/>
                <w:color w:val="000000"/>
                <w:kern w:val="0"/>
                <w:szCs w:val="21"/>
                <w:lang w:bidi="ar"/>
              </w:rPr>
              <w:t>序号</w:t>
            </w:r>
          </w:p>
        </w:tc>
        <w:tc>
          <w:tcPr>
            <w:tcW w:w="1488" w:type="dxa"/>
            <w:tcBorders>
              <w:top w:val="single" w:color="000000" w:sz="4" w:space="0"/>
              <w:left w:val="single" w:color="000000" w:sz="4" w:space="0"/>
              <w:bottom w:val="single" w:color="000000" w:sz="4" w:space="0"/>
              <w:right w:val="single" w:color="000000" w:sz="4" w:space="0"/>
            </w:tcBorders>
            <w:vAlign w:val="center"/>
          </w:tcPr>
          <w:p w14:paraId="5AEF556A">
            <w:pPr>
              <w:widowControl/>
              <w:jc w:val="center"/>
              <w:textAlignment w:val="center"/>
              <w:rPr>
                <w:b/>
                <w:bCs/>
                <w:color w:val="000000"/>
                <w:kern w:val="0"/>
                <w:szCs w:val="21"/>
                <w:lang w:bidi="ar"/>
              </w:rPr>
            </w:pPr>
            <w:r>
              <w:rPr>
                <w:b/>
                <w:bCs/>
                <w:color w:val="000000"/>
                <w:kern w:val="0"/>
                <w:szCs w:val="21"/>
                <w:lang w:bidi="ar"/>
              </w:rPr>
              <w:t>分项名称</w:t>
            </w:r>
          </w:p>
        </w:tc>
        <w:tc>
          <w:tcPr>
            <w:tcW w:w="1350" w:type="dxa"/>
            <w:tcBorders>
              <w:top w:val="single" w:color="000000" w:sz="4" w:space="0"/>
              <w:left w:val="single" w:color="000000" w:sz="4" w:space="0"/>
              <w:bottom w:val="single" w:color="000000" w:sz="4" w:space="0"/>
              <w:right w:val="single" w:color="000000" w:sz="4" w:space="0"/>
            </w:tcBorders>
            <w:vAlign w:val="center"/>
          </w:tcPr>
          <w:p w14:paraId="2B57CFC4">
            <w:pPr>
              <w:widowControl/>
              <w:jc w:val="center"/>
              <w:textAlignment w:val="center"/>
              <w:rPr>
                <w:b/>
                <w:bCs/>
                <w:color w:val="000000"/>
                <w:kern w:val="0"/>
                <w:szCs w:val="21"/>
                <w:lang w:bidi="ar"/>
              </w:rPr>
            </w:pPr>
            <w:r>
              <w:rPr>
                <w:b/>
                <w:bCs/>
                <w:color w:val="000000"/>
                <w:kern w:val="0"/>
                <w:szCs w:val="21"/>
                <w:lang w:bidi="ar"/>
              </w:rPr>
              <w:t>品牌</w:t>
            </w:r>
          </w:p>
        </w:tc>
        <w:tc>
          <w:tcPr>
            <w:tcW w:w="1650" w:type="dxa"/>
            <w:tcBorders>
              <w:top w:val="single" w:color="000000" w:sz="4" w:space="0"/>
              <w:left w:val="single" w:color="000000" w:sz="4" w:space="0"/>
              <w:bottom w:val="single" w:color="000000" w:sz="4" w:space="0"/>
              <w:right w:val="single" w:color="000000" w:sz="4" w:space="0"/>
            </w:tcBorders>
            <w:vAlign w:val="center"/>
          </w:tcPr>
          <w:p w14:paraId="6838EEDD">
            <w:pPr>
              <w:widowControl/>
              <w:jc w:val="center"/>
              <w:textAlignment w:val="center"/>
              <w:rPr>
                <w:b/>
                <w:bCs/>
                <w:color w:val="000000"/>
                <w:kern w:val="0"/>
                <w:szCs w:val="21"/>
                <w:lang w:bidi="ar"/>
              </w:rPr>
            </w:pPr>
            <w:r>
              <w:rPr>
                <w:b/>
                <w:bCs/>
                <w:color w:val="000000"/>
                <w:kern w:val="0"/>
                <w:szCs w:val="21"/>
                <w:lang w:bidi="ar"/>
              </w:rPr>
              <w:t>规格、型号</w:t>
            </w:r>
          </w:p>
        </w:tc>
        <w:tc>
          <w:tcPr>
            <w:tcW w:w="1110" w:type="dxa"/>
            <w:tcBorders>
              <w:top w:val="single" w:color="000000" w:sz="4" w:space="0"/>
              <w:left w:val="single" w:color="000000" w:sz="4" w:space="0"/>
              <w:bottom w:val="single" w:color="000000" w:sz="4" w:space="0"/>
              <w:right w:val="single" w:color="000000" w:sz="4" w:space="0"/>
            </w:tcBorders>
            <w:vAlign w:val="center"/>
          </w:tcPr>
          <w:p w14:paraId="05107223">
            <w:pPr>
              <w:widowControl/>
              <w:jc w:val="center"/>
              <w:textAlignment w:val="center"/>
              <w:rPr>
                <w:b/>
                <w:bCs/>
                <w:color w:val="000000"/>
                <w:kern w:val="0"/>
                <w:szCs w:val="21"/>
                <w:lang w:bidi="ar"/>
              </w:rPr>
            </w:pPr>
            <w:r>
              <w:rPr>
                <w:b/>
                <w:bCs/>
                <w:color w:val="000000"/>
                <w:kern w:val="0"/>
                <w:szCs w:val="21"/>
                <w:lang w:bidi="ar"/>
              </w:rPr>
              <w:t>单价（元）</w:t>
            </w:r>
          </w:p>
        </w:tc>
        <w:tc>
          <w:tcPr>
            <w:tcW w:w="765" w:type="dxa"/>
            <w:tcBorders>
              <w:top w:val="single" w:color="000000" w:sz="4" w:space="0"/>
              <w:left w:val="single" w:color="000000" w:sz="4" w:space="0"/>
              <w:bottom w:val="single" w:color="000000" w:sz="4" w:space="0"/>
              <w:right w:val="single" w:color="000000" w:sz="4" w:space="0"/>
            </w:tcBorders>
            <w:vAlign w:val="center"/>
          </w:tcPr>
          <w:p w14:paraId="47F6E9F3">
            <w:pPr>
              <w:widowControl/>
              <w:jc w:val="center"/>
              <w:textAlignment w:val="center"/>
              <w:rPr>
                <w:b/>
                <w:bCs/>
                <w:color w:val="000000"/>
                <w:kern w:val="0"/>
                <w:szCs w:val="21"/>
                <w:lang w:bidi="ar"/>
              </w:rPr>
            </w:pPr>
            <w:r>
              <w:rPr>
                <w:b/>
                <w:bCs/>
                <w:color w:val="000000"/>
                <w:kern w:val="0"/>
                <w:szCs w:val="21"/>
                <w:lang w:bidi="ar"/>
              </w:rPr>
              <w:t>数量</w:t>
            </w:r>
          </w:p>
        </w:tc>
        <w:tc>
          <w:tcPr>
            <w:tcW w:w="1350" w:type="dxa"/>
            <w:tcBorders>
              <w:top w:val="single" w:color="000000" w:sz="4" w:space="0"/>
              <w:left w:val="single" w:color="000000" w:sz="4" w:space="0"/>
              <w:bottom w:val="single" w:color="000000" w:sz="4" w:space="0"/>
              <w:right w:val="single" w:color="000000" w:sz="4" w:space="0"/>
            </w:tcBorders>
            <w:vAlign w:val="center"/>
          </w:tcPr>
          <w:p w14:paraId="02429414">
            <w:pPr>
              <w:widowControl/>
              <w:jc w:val="center"/>
              <w:textAlignment w:val="center"/>
              <w:rPr>
                <w:b/>
                <w:bCs/>
                <w:color w:val="000000"/>
                <w:kern w:val="0"/>
                <w:szCs w:val="21"/>
                <w:lang w:bidi="ar"/>
              </w:rPr>
            </w:pPr>
            <w:r>
              <w:rPr>
                <w:b/>
                <w:bCs/>
                <w:color w:val="000000"/>
                <w:kern w:val="0"/>
                <w:szCs w:val="21"/>
                <w:lang w:bidi="ar"/>
              </w:rPr>
              <w:t>合价（元）</w:t>
            </w:r>
          </w:p>
        </w:tc>
      </w:tr>
      <w:tr w14:paraId="21FB34A7">
        <w:tblPrEx>
          <w:tblCellMar>
            <w:top w:w="0" w:type="dxa"/>
            <w:left w:w="108" w:type="dxa"/>
            <w:bottom w:w="0" w:type="dxa"/>
            <w:right w:w="108" w:type="dxa"/>
          </w:tblCellMar>
        </w:tblPrEx>
        <w:trPr>
          <w:trHeight w:val="800" w:hRule="atLeast"/>
          <w:jc w:val="center"/>
        </w:trPr>
        <w:tc>
          <w:tcPr>
            <w:tcW w:w="709" w:type="dxa"/>
            <w:tcBorders>
              <w:top w:val="single" w:color="000000" w:sz="4" w:space="0"/>
              <w:left w:val="single" w:color="000000" w:sz="4" w:space="0"/>
              <w:bottom w:val="single" w:color="000000" w:sz="4" w:space="0"/>
              <w:right w:val="single" w:color="000000" w:sz="4" w:space="0"/>
            </w:tcBorders>
            <w:vAlign w:val="center"/>
          </w:tcPr>
          <w:p w14:paraId="287907DD">
            <w:pPr>
              <w:widowControl/>
              <w:jc w:val="center"/>
              <w:textAlignment w:val="center"/>
              <w:rPr>
                <w:b/>
                <w:bCs/>
                <w:color w:val="000000"/>
                <w:kern w:val="0"/>
                <w:szCs w:val="21"/>
                <w:lang w:bidi="ar"/>
              </w:rPr>
            </w:pPr>
          </w:p>
        </w:tc>
        <w:tc>
          <w:tcPr>
            <w:tcW w:w="1488" w:type="dxa"/>
            <w:tcBorders>
              <w:top w:val="single" w:color="000000" w:sz="4" w:space="0"/>
              <w:left w:val="single" w:color="000000" w:sz="4" w:space="0"/>
              <w:bottom w:val="single" w:color="000000" w:sz="4" w:space="0"/>
              <w:right w:val="single" w:color="000000" w:sz="4" w:space="0"/>
            </w:tcBorders>
            <w:vAlign w:val="center"/>
          </w:tcPr>
          <w:p w14:paraId="757211E4">
            <w:pPr>
              <w:widowControl/>
              <w:jc w:val="center"/>
              <w:textAlignment w:val="center"/>
              <w:rPr>
                <w:b/>
                <w:bCs/>
                <w:color w:val="000000"/>
                <w:kern w:val="0"/>
                <w:szCs w:val="21"/>
                <w:lang w:bidi="ar"/>
              </w:rPr>
            </w:pPr>
          </w:p>
        </w:tc>
        <w:tc>
          <w:tcPr>
            <w:tcW w:w="1350" w:type="dxa"/>
            <w:tcBorders>
              <w:top w:val="single" w:color="000000" w:sz="4" w:space="0"/>
              <w:left w:val="single" w:color="000000" w:sz="4" w:space="0"/>
              <w:bottom w:val="single" w:color="000000" w:sz="4" w:space="0"/>
              <w:right w:val="single" w:color="000000" w:sz="4" w:space="0"/>
            </w:tcBorders>
            <w:vAlign w:val="center"/>
          </w:tcPr>
          <w:p w14:paraId="2482F6CE">
            <w:pPr>
              <w:widowControl/>
              <w:jc w:val="center"/>
              <w:textAlignment w:val="center"/>
              <w:rPr>
                <w:b/>
                <w:bCs/>
                <w:color w:val="000000"/>
                <w:kern w:val="0"/>
                <w:szCs w:val="21"/>
                <w:lang w:bidi="ar"/>
              </w:rPr>
            </w:pPr>
          </w:p>
        </w:tc>
        <w:tc>
          <w:tcPr>
            <w:tcW w:w="1650" w:type="dxa"/>
            <w:tcBorders>
              <w:top w:val="single" w:color="000000" w:sz="4" w:space="0"/>
              <w:left w:val="single" w:color="000000" w:sz="4" w:space="0"/>
              <w:bottom w:val="single" w:color="000000" w:sz="4" w:space="0"/>
              <w:right w:val="single" w:color="000000" w:sz="4" w:space="0"/>
            </w:tcBorders>
            <w:vAlign w:val="center"/>
          </w:tcPr>
          <w:p w14:paraId="61FF5A68">
            <w:pPr>
              <w:widowControl/>
              <w:jc w:val="center"/>
              <w:textAlignment w:val="center"/>
              <w:rPr>
                <w:b/>
                <w:bCs/>
                <w:color w:val="000000"/>
                <w:kern w:val="0"/>
                <w:szCs w:val="21"/>
                <w:lang w:bidi="ar"/>
              </w:rPr>
            </w:pPr>
          </w:p>
        </w:tc>
        <w:tc>
          <w:tcPr>
            <w:tcW w:w="1110" w:type="dxa"/>
            <w:tcBorders>
              <w:top w:val="single" w:color="000000" w:sz="4" w:space="0"/>
              <w:left w:val="single" w:color="000000" w:sz="4" w:space="0"/>
              <w:bottom w:val="single" w:color="000000" w:sz="4" w:space="0"/>
              <w:right w:val="single" w:color="000000" w:sz="4" w:space="0"/>
            </w:tcBorders>
            <w:vAlign w:val="center"/>
          </w:tcPr>
          <w:p w14:paraId="609A0EC8">
            <w:pPr>
              <w:widowControl/>
              <w:jc w:val="center"/>
              <w:textAlignment w:val="center"/>
              <w:rPr>
                <w:b/>
                <w:bCs/>
                <w:color w:val="000000"/>
                <w:kern w:val="0"/>
                <w:szCs w:val="21"/>
                <w:lang w:bidi="ar"/>
              </w:rPr>
            </w:pPr>
          </w:p>
        </w:tc>
        <w:tc>
          <w:tcPr>
            <w:tcW w:w="765" w:type="dxa"/>
            <w:tcBorders>
              <w:top w:val="single" w:color="000000" w:sz="4" w:space="0"/>
              <w:left w:val="single" w:color="000000" w:sz="4" w:space="0"/>
              <w:bottom w:val="single" w:color="000000" w:sz="4" w:space="0"/>
              <w:right w:val="single" w:color="000000" w:sz="4" w:space="0"/>
            </w:tcBorders>
            <w:vAlign w:val="center"/>
          </w:tcPr>
          <w:p w14:paraId="369D8C48">
            <w:pPr>
              <w:widowControl/>
              <w:jc w:val="center"/>
              <w:textAlignment w:val="center"/>
              <w:rPr>
                <w:b/>
                <w:bCs/>
                <w:color w:val="000000"/>
                <w:kern w:val="0"/>
                <w:szCs w:val="21"/>
                <w:lang w:bidi="ar"/>
              </w:rPr>
            </w:pPr>
          </w:p>
        </w:tc>
        <w:tc>
          <w:tcPr>
            <w:tcW w:w="1350" w:type="dxa"/>
            <w:tcBorders>
              <w:top w:val="single" w:color="000000" w:sz="4" w:space="0"/>
              <w:left w:val="single" w:color="000000" w:sz="4" w:space="0"/>
              <w:bottom w:val="single" w:color="000000" w:sz="4" w:space="0"/>
              <w:right w:val="single" w:color="000000" w:sz="4" w:space="0"/>
            </w:tcBorders>
            <w:vAlign w:val="center"/>
          </w:tcPr>
          <w:p w14:paraId="1EDD2D07">
            <w:pPr>
              <w:widowControl/>
              <w:jc w:val="center"/>
              <w:textAlignment w:val="center"/>
              <w:rPr>
                <w:b/>
                <w:bCs/>
                <w:color w:val="000000"/>
                <w:kern w:val="0"/>
                <w:szCs w:val="21"/>
                <w:lang w:bidi="ar"/>
              </w:rPr>
            </w:pPr>
          </w:p>
        </w:tc>
      </w:tr>
    </w:tbl>
    <w:p w14:paraId="7E49865C">
      <w:pPr>
        <w:spacing w:line="360" w:lineRule="auto"/>
        <w:ind w:firstLine="480" w:firstLineChars="200"/>
        <w:rPr>
          <w:rFonts w:ascii="宋体" w:hAnsi="宋体"/>
          <w:sz w:val="24"/>
        </w:rPr>
      </w:pPr>
    </w:p>
    <w:p w14:paraId="2B233019">
      <w:pPr>
        <w:spacing w:line="360" w:lineRule="auto"/>
        <w:ind w:firstLine="480" w:firstLineChars="200"/>
        <w:rPr>
          <w:rFonts w:ascii="宋体" w:hAnsi="宋体"/>
          <w:sz w:val="24"/>
        </w:rPr>
      </w:pPr>
      <w:r>
        <w:rPr>
          <w:rFonts w:hint="eastAsia" w:ascii="宋体" w:hAnsi="宋体"/>
          <w:sz w:val="24"/>
        </w:rPr>
        <w:t>二、合同履行期限及合同总价</w:t>
      </w:r>
    </w:p>
    <w:p w14:paraId="33F19D86">
      <w:pPr>
        <w:spacing w:line="360" w:lineRule="auto"/>
        <w:ind w:firstLine="480" w:firstLineChars="200"/>
        <w:rPr>
          <w:rFonts w:ascii="宋体" w:hAnsi="宋体"/>
          <w:sz w:val="24"/>
        </w:rPr>
      </w:pPr>
      <w:r>
        <w:rPr>
          <w:rFonts w:hint="eastAsia" w:ascii="宋体" w:hAnsi="宋体"/>
          <w:sz w:val="24"/>
        </w:rPr>
        <w:t>合同履行期限：合同生效后至2026年12月31日前完成全部供货</w:t>
      </w:r>
    </w:p>
    <w:p w14:paraId="4502FC11">
      <w:pPr>
        <w:spacing w:line="360" w:lineRule="auto"/>
        <w:ind w:firstLine="480" w:firstLineChars="200"/>
        <w:rPr>
          <w:rFonts w:ascii="宋体" w:hAnsi="宋体"/>
          <w:sz w:val="24"/>
        </w:rPr>
      </w:pPr>
      <w:r>
        <w:rPr>
          <w:rFonts w:hint="eastAsia" w:ascii="宋体" w:hAnsi="宋体"/>
          <w:sz w:val="24"/>
        </w:rPr>
        <w:t>合同款项共计人民币：</w:t>
      </w:r>
    </w:p>
    <w:p w14:paraId="7A4A15D0">
      <w:pPr>
        <w:spacing w:line="360" w:lineRule="auto"/>
        <w:ind w:firstLine="480" w:firstLineChars="200"/>
        <w:rPr>
          <w:rFonts w:ascii="宋体" w:hAnsi="宋体"/>
          <w:sz w:val="24"/>
        </w:rPr>
      </w:pPr>
      <w:r>
        <w:rPr>
          <w:rFonts w:hint="eastAsia" w:ascii="宋体" w:hAnsi="宋体"/>
          <w:sz w:val="24"/>
        </w:rPr>
        <w:t>三、付款结算</w:t>
      </w:r>
    </w:p>
    <w:p w14:paraId="4E663924">
      <w:pPr>
        <w:spacing w:line="360" w:lineRule="auto"/>
        <w:ind w:firstLine="480" w:firstLineChars="200"/>
        <w:rPr>
          <w:rFonts w:ascii="宋体" w:hAnsi="宋体"/>
          <w:sz w:val="24"/>
        </w:rPr>
      </w:pPr>
      <w:r>
        <w:rPr>
          <w:rFonts w:hint="eastAsia" w:ascii="宋体" w:hAnsi="宋体"/>
          <w:sz w:val="24"/>
        </w:rPr>
        <w:t>按双方约定比例付款，具体付款比例为：合同签订后，甲方向乙方支付合同金额的50%，全部货物交付完毕，经验收合格，支付剩余合同金额。</w:t>
      </w:r>
    </w:p>
    <w:p w14:paraId="6C7D6FED">
      <w:pPr>
        <w:spacing w:line="360" w:lineRule="auto"/>
        <w:ind w:firstLine="480" w:firstLineChars="200"/>
        <w:rPr>
          <w:rFonts w:ascii="宋体" w:hAnsi="宋体"/>
          <w:sz w:val="24"/>
        </w:rPr>
      </w:pPr>
      <w:r>
        <w:rPr>
          <w:rFonts w:hint="eastAsia" w:ascii="宋体" w:hAnsi="宋体"/>
          <w:sz w:val="24"/>
        </w:rPr>
        <w:t>甲方付款前，乙方向甲方开具与实际供货需求等价的有效增值税发票，否则甲方有权拒绝付款且不承担逾期付款的违约责任。甲方将采购款支付至乙方指定账户。</w:t>
      </w:r>
    </w:p>
    <w:p w14:paraId="7D5B63F7">
      <w:pPr>
        <w:spacing w:line="360" w:lineRule="auto"/>
        <w:ind w:firstLine="480" w:firstLineChars="200"/>
        <w:rPr>
          <w:rFonts w:ascii="宋体" w:hAnsi="宋体" w:cs="宋体"/>
          <w:bCs/>
          <w:sz w:val="24"/>
        </w:rPr>
      </w:pPr>
      <w:r>
        <w:rPr>
          <w:rFonts w:hint="eastAsia" w:ascii="宋体" w:hAnsi="宋体" w:cs="宋体"/>
          <w:bCs/>
          <w:sz w:val="24"/>
        </w:rPr>
        <w:t>乙</w:t>
      </w:r>
      <w:r>
        <w:rPr>
          <w:rFonts w:hint="eastAsia" w:ascii="宋体" w:hAnsi="宋体" w:cs="宋体"/>
          <w:sz w:val="24"/>
        </w:rPr>
        <w:t>方指定收款</w:t>
      </w:r>
      <w:r>
        <w:rPr>
          <w:rFonts w:hint="eastAsia" w:ascii="宋体" w:hAnsi="宋体" w:cs="宋体"/>
          <w:bCs/>
          <w:sz w:val="24"/>
        </w:rPr>
        <w:t>账户信息</w:t>
      </w:r>
      <w:r>
        <w:rPr>
          <w:rFonts w:hint="eastAsia" w:ascii="宋体" w:hAnsi="宋体" w:cs="宋体"/>
          <w:sz w:val="24"/>
        </w:rPr>
        <w:t>如下</w:t>
      </w:r>
      <w:r>
        <w:rPr>
          <w:rFonts w:hint="eastAsia" w:ascii="宋体" w:hAnsi="宋体" w:cs="宋体"/>
          <w:bCs/>
          <w:sz w:val="24"/>
        </w:rPr>
        <w:t>：</w:t>
      </w:r>
    </w:p>
    <w:p w14:paraId="6451797A">
      <w:pPr>
        <w:spacing w:line="360" w:lineRule="auto"/>
        <w:ind w:firstLine="480" w:firstLineChars="200"/>
        <w:rPr>
          <w:rFonts w:ascii="宋体" w:hAnsi="宋体" w:cs="宋体"/>
          <w:sz w:val="24"/>
        </w:rPr>
      </w:pPr>
      <w:r>
        <w:rPr>
          <w:rFonts w:hint="eastAsia" w:ascii="宋体" w:hAnsi="宋体" w:cs="宋体"/>
          <w:sz w:val="24"/>
        </w:rPr>
        <w:t>账户名称：</w:t>
      </w:r>
    </w:p>
    <w:p w14:paraId="0B723874">
      <w:pPr>
        <w:spacing w:line="360" w:lineRule="auto"/>
        <w:ind w:firstLine="480" w:firstLineChars="200"/>
        <w:rPr>
          <w:rFonts w:ascii="宋体" w:hAnsi="宋体" w:cs="宋体"/>
          <w:sz w:val="24"/>
        </w:rPr>
      </w:pPr>
      <w:r>
        <w:rPr>
          <w:rFonts w:hint="eastAsia" w:ascii="宋体" w:hAnsi="宋体" w:cs="宋体"/>
          <w:sz w:val="24"/>
        </w:rPr>
        <w:t>银行账户：</w:t>
      </w:r>
    </w:p>
    <w:p w14:paraId="1F3D3FEF">
      <w:pPr>
        <w:spacing w:line="360" w:lineRule="auto"/>
        <w:ind w:firstLine="480" w:firstLineChars="200"/>
        <w:rPr>
          <w:rFonts w:ascii="宋体" w:hAnsi="宋体" w:cs="宋体"/>
          <w:sz w:val="24"/>
        </w:rPr>
      </w:pPr>
      <w:r>
        <w:rPr>
          <w:rFonts w:hint="eastAsia" w:ascii="宋体" w:hAnsi="宋体" w:cs="宋体"/>
          <w:sz w:val="24"/>
        </w:rPr>
        <w:t>开户银行：</w:t>
      </w:r>
    </w:p>
    <w:p w14:paraId="1BC8EBC7">
      <w:pPr>
        <w:spacing w:line="360" w:lineRule="auto"/>
        <w:ind w:firstLine="480" w:firstLineChars="200"/>
        <w:rPr>
          <w:rFonts w:ascii="宋体" w:hAnsi="宋体" w:cs="宋体"/>
          <w:bCs/>
          <w:sz w:val="24"/>
        </w:rPr>
      </w:pPr>
      <w:r>
        <w:rPr>
          <w:rFonts w:hint="eastAsia" w:ascii="宋体" w:hAnsi="宋体" w:cs="宋体"/>
          <w:sz w:val="24"/>
        </w:rPr>
        <w:t>如乙方变更</w:t>
      </w:r>
      <w:r>
        <w:rPr>
          <w:rFonts w:hint="eastAsia" w:ascii="宋体" w:hAnsi="宋体" w:cs="宋体"/>
          <w:bCs/>
          <w:sz w:val="24"/>
        </w:rPr>
        <w:t>指定账户信息，应提前5日书面告知甲方，否则由此造成的损失应由乙方自行承担。</w:t>
      </w:r>
    </w:p>
    <w:p w14:paraId="7F67C1A6">
      <w:pPr>
        <w:widowControl/>
        <w:spacing w:line="360" w:lineRule="auto"/>
        <w:ind w:firstLine="480" w:firstLineChars="200"/>
        <w:rPr>
          <w:rFonts w:ascii="宋体" w:hAnsi="宋体"/>
          <w:sz w:val="24"/>
        </w:rPr>
      </w:pPr>
      <w:r>
        <w:rPr>
          <w:rFonts w:hint="eastAsia" w:ascii="宋体" w:hAnsi="宋体" w:cs="宋体"/>
          <w:bCs/>
          <w:sz w:val="24"/>
        </w:rPr>
        <w:t>如出现甲方因财政审批流程、财政拨款未到位、财政政策调整等原因不能按约付款的情况，双方认可在此种情况下，甲方不承担逾期付款的责任。</w:t>
      </w:r>
    </w:p>
    <w:p w14:paraId="23377ED5">
      <w:pPr>
        <w:spacing w:line="360" w:lineRule="auto"/>
        <w:ind w:firstLine="480" w:firstLineChars="200"/>
        <w:rPr>
          <w:rFonts w:ascii="宋体" w:hAnsi="宋体"/>
          <w:sz w:val="24"/>
        </w:rPr>
      </w:pPr>
      <w:r>
        <w:rPr>
          <w:rFonts w:hint="eastAsia" w:ascii="宋体" w:hAnsi="宋体"/>
          <w:sz w:val="24"/>
        </w:rPr>
        <w:t>四、交货时间及交货地点</w:t>
      </w:r>
    </w:p>
    <w:p w14:paraId="7AAE50B0">
      <w:pPr>
        <w:spacing w:line="360" w:lineRule="auto"/>
        <w:ind w:firstLine="480" w:firstLineChars="200"/>
        <w:rPr>
          <w:rFonts w:ascii="宋体" w:hAnsi="宋体"/>
          <w:sz w:val="24"/>
        </w:rPr>
      </w:pPr>
      <w:r>
        <w:rPr>
          <w:rFonts w:hint="eastAsia" w:ascii="宋体" w:hAnsi="宋体"/>
          <w:sz w:val="24"/>
        </w:rPr>
        <w:t>1、交货时间：乙方接到甲方通知后按甲方要求送货。</w:t>
      </w:r>
    </w:p>
    <w:p w14:paraId="169B6C45">
      <w:pPr>
        <w:spacing w:line="360" w:lineRule="auto"/>
        <w:ind w:firstLine="480" w:firstLineChars="200"/>
        <w:rPr>
          <w:rFonts w:ascii="宋体" w:hAnsi="宋体"/>
          <w:sz w:val="24"/>
        </w:rPr>
      </w:pPr>
      <w:r>
        <w:rPr>
          <w:rFonts w:hint="eastAsia" w:ascii="宋体" w:hAnsi="宋体"/>
          <w:sz w:val="24"/>
        </w:rPr>
        <w:t>2、交货地点：甲方指定地点。</w:t>
      </w:r>
    </w:p>
    <w:p w14:paraId="6F04E1EC">
      <w:pPr>
        <w:spacing w:line="360" w:lineRule="auto"/>
        <w:ind w:firstLine="480" w:firstLineChars="200"/>
        <w:rPr>
          <w:rFonts w:ascii="宋体" w:hAnsi="宋体"/>
          <w:sz w:val="24"/>
        </w:rPr>
      </w:pPr>
      <w:r>
        <w:rPr>
          <w:rFonts w:hint="eastAsia" w:ascii="宋体" w:hAnsi="宋体"/>
          <w:sz w:val="24"/>
        </w:rPr>
        <w:t>五、合同的生效</w:t>
      </w:r>
    </w:p>
    <w:p w14:paraId="30B4ED72">
      <w:pPr>
        <w:spacing w:line="360" w:lineRule="auto"/>
        <w:ind w:firstLine="480" w:firstLineChars="200"/>
        <w:rPr>
          <w:rFonts w:ascii="宋体" w:hAnsi="宋体"/>
          <w:sz w:val="24"/>
        </w:rPr>
      </w:pPr>
      <w:r>
        <w:rPr>
          <w:rFonts w:hint="eastAsia" w:ascii="宋体" w:hAnsi="宋体"/>
          <w:sz w:val="24"/>
        </w:rPr>
        <w:t>本合同自双方签字并加盖公章之日起生效。</w:t>
      </w:r>
    </w:p>
    <w:p w14:paraId="65267262">
      <w:pPr>
        <w:spacing w:line="360" w:lineRule="auto"/>
        <w:ind w:firstLine="480" w:firstLineChars="200"/>
        <w:rPr>
          <w:rFonts w:ascii="宋体" w:hAnsi="宋体"/>
          <w:sz w:val="24"/>
        </w:rPr>
      </w:pPr>
      <w:r>
        <w:rPr>
          <w:rFonts w:hint="eastAsia" w:ascii="宋体" w:hAnsi="宋体"/>
          <w:sz w:val="24"/>
        </w:rPr>
        <w:t>六、合同一般条款</w:t>
      </w:r>
    </w:p>
    <w:p w14:paraId="4BB273EC">
      <w:pPr>
        <w:spacing w:line="360" w:lineRule="auto"/>
        <w:ind w:firstLine="480" w:firstLineChars="200"/>
        <w:rPr>
          <w:rFonts w:ascii="宋体" w:hAnsi="宋体"/>
          <w:sz w:val="24"/>
        </w:rPr>
      </w:pPr>
      <w:r>
        <w:rPr>
          <w:rFonts w:hint="eastAsia" w:ascii="宋体" w:hAnsi="宋体"/>
          <w:sz w:val="24"/>
        </w:rPr>
        <w:t>1、包装要求</w:t>
      </w:r>
    </w:p>
    <w:p w14:paraId="04BA4094">
      <w:pPr>
        <w:spacing w:line="360" w:lineRule="auto"/>
        <w:ind w:firstLine="480" w:firstLineChars="200"/>
        <w:rPr>
          <w:rFonts w:ascii="宋体" w:hAnsi="宋体"/>
          <w:sz w:val="24"/>
        </w:rPr>
      </w:pPr>
      <w:r>
        <w:rPr>
          <w:rFonts w:hint="eastAsia" w:ascii="宋体" w:hAnsi="宋体"/>
          <w:sz w:val="24"/>
        </w:rPr>
        <w:t>除合同另有约定外，乙方提供的全部货物，均应采用本行业通用的方式进行包装，且该包装应符合国家有关包装的法律，法规的规定。包装应适应于远距离运输，防潮，防震，防锈和防粗暴装卸，确保货物安全无损，运抵现场。由于包装不善所引起的货物失效、损坏和损失均由乙方承担。</w:t>
      </w:r>
    </w:p>
    <w:p w14:paraId="597BFEDC">
      <w:pPr>
        <w:spacing w:line="360" w:lineRule="auto"/>
        <w:ind w:firstLine="480" w:firstLineChars="200"/>
        <w:rPr>
          <w:rFonts w:ascii="宋体" w:hAnsi="宋体"/>
          <w:sz w:val="24"/>
        </w:rPr>
      </w:pPr>
      <w:r>
        <w:rPr>
          <w:rFonts w:hint="eastAsia" w:ascii="宋体" w:hAnsi="宋体"/>
          <w:sz w:val="24"/>
        </w:rPr>
        <w:t>2、交货方式</w:t>
      </w:r>
    </w:p>
    <w:p w14:paraId="059F2ECE">
      <w:pPr>
        <w:spacing w:line="360" w:lineRule="auto"/>
        <w:ind w:firstLine="480" w:firstLineChars="200"/>
        <w:rPr>
          <w:rFonts w:ascii="宋体" w:hAnsi="宋体"/>
          <w:sz w:val="24"/>
        </w:rPr>
      </w:pPr>
      <w:r>
        <w:rPr>
          <w:rFonts w:hint="eastAsia" w:ascii="宋体" w:hAnsi="宋体"/>
          <w:sz w:val="24"/>
        </w:rPr>
        <w:t>现场交货：乙方负责办理运输和保险，将货物运抵现场。有关运输和保险的一切费用由乙方承担。所有货物运抵现场的日期为交货日期。</w:t>
      </w:r>
    </w:p>
    <w:p w14:paraId="133FB3B8">
      <w:pPr>
        <w:spacing w:line="360" w:lineRule="auto"/>
        <w:ind w:firstLine="480" w:firstLineChars="200"/>
        <w:rPr>
          <w:rFonts w:ascii="宋体" w:hAnsi="宋体"/>
          <w:sz w:val="24"/>
        </w:rPr>
      </w:pPr>
      <w:r>
        <w:rPr>
          <w:rFonts w:hint="eastAsia" w:ascii="宋体" w:hAnsi="宋体"/>
          <w:sz w:val="24"/>
        </w:rPr>
        <w:t>乙方应以函件、电子邮件、微信或传真等书面形式将货物名称，数量，包装箱件数，交货日期，储存的特殊要求和注意事项等通知甲方。</w:t>
      </w:r>
    </w:p>
    <w:p w14:paraId="51833F41">
      <w:pPr>
        <w:spacing w:line="360" w:lineRule="auto"/>
        <w:ind w:firstLine="480" w:firstLineChars="200"/>
        <w:rPr>
          <w:rFonts w:ascii="宋体" w:hAnsi="宋体"/>
          <w:sz w:val="24"/>
        </w:rPr>
      </w:pPr>
      <w:r>
        <w:rPr>
          <w:rFonts w:hint="eastAsia" w:ascii="宋体" w:hAnsi="宋体"/>
          <w:sz w:val="24"/>
        </w:rPr>
        <w:t>在现场交货条件下，乙方装运的货物不应超过合同规定的数量或重量。否则，乙方应对超运部分引起的一切后果负责。</w:t>
      </w:r>
    </w:p>
    <w:p w14:paraId="720CC2E1">
      <w:pPr>
        <w:spacing w:line="360" w:lineRule="auto"/>
        <w:ind w:firstLine="480" w:firstLineChars="200"/>
        <w:rPr>
          <w:rFonts w:ascii="宋体" w:hAnsi="宋体"/>
          <w:sz w:val="24"/>
        </w:rPr>
      </w:pPr>
      <w:r>
        <w:rPr>
          <w:rFonts w:hint="eastAsia" w:ascii="宋体" w:hAnsi="宋体"/>
          <w:sz w:val="24"/>
        </w:rPr>
        <w:t>3、质量保证</w:t>
      </w:r>
    </w:p>
    <w:p w14:paraId="65ED5602">
      <w:pPr>
        <w:spacing w:line="360" w:lineRule="auto"/>
        <w:ind w:firstLine="480" w:firstLineChars="200"/>
        <w:rPr>
          <w:rFonts w:ascii="宋体" w:hAnsi="宋体"/>
          <w:sz w:val="24"/>
        </w:rPr>
      </w:pPr>
      <w:r>
        <w:rPr>
          <w:rFonts w:hint="eastAsia" w:ascii="宋体" w:hAnsi="宋体"/>
          <w:sz w:val="24"/>
        </w:rPr>
        <w:t>3.1、乙方所供产品系全新，未曾用过，并完全符合本合同规定的质量，效期，规格等要求，质量应符合国际，国家有关行业标准。</w:t>
      </w:r>
      <w:bookmarkStart w:id="797" w:name="OLE_LINK181"/>
      <w:r>
        <w:rPr>
          <w:rFonts w:hint="eastAsia" w:ascii="宋体" w:hAnsi="宋体"/>
          <w:sz w:val="24"/>
        </w:rPr>
        <w:t>试剂耗材的有效期应符合规范标准</w:t>
      </w:r>
      <w:bookmarkEnd w:id="797"/>
      <w:r>
        <w:rPr>
          <w:rFonts w:hint="eastAsia" w:ascii="宋体" w:hAnsi="宋体"/>
          <w:sz w:val="24"/>
        </w:rPr>
        <w:t>及甲方要求。</w:t>
      </w:r>
    </w:p>
    <w:p w14:paraId="16C24623">
      <w:pPr>
        <w:spacing w:line="360" w:lineRule="auto"/>
        <w:ind w:firstLine="480" w:firstLineChars="200"/>
        <w:rPr>
          <w:rFonts w:ascii="宋体" w:hAnsi="宋体"/>
          <w:sz w:val="24"/>
        </w:rPr>
      </w:pPr>
      <w:r>
        <w:rPr>
          <w:rFonts w:hint="eastAsia" w:ascii="宋体" w:hAnsi="宋体"/>
          <w:sz w:val="24"/>
        </w:rPr>
        <w:t>3.2、如果发生产品质量问题或异议的，甲方应于问题发现后的一个月内以书面形式向乙方提出，经双方协商后无法解决的，乙方应向甲方提交北京市质量监督检验机构或有关鉴定机构出具的能证明产品合格的检验报告。如乙方未在甲方发出质量异议通知后7天内做出答复的或未能提供相关检验报告的，甲方在通知书中所提出的要求应视为已被乙方接受，乙方应无条件接受退货，返还全部货款以及承担因此给甲方造成的全部损失。</w:t>
      </w:r>
    </w:p>
    <w:p w14:paraId="02F8B573">
      <w:pPr>
        <w:spacing w:line="360" w:lineRule="auto"/>
        <w:ind w:firstLine="480" w:firstLineChars="200"/>
        <w:rPr>
          <w:rFonts w:ascii="宋体" w:hAnsi="宋体"/>
          <w:sz w:val="24"/>
        </w:rPr>
      </w:pPr>
      <w:r>
        <w:rPr>
          <w:rFonts w:hint="eastAsia" w:ascii="宋体" w:hAnsi="宋体"/>
          <w:sz w:val="24"/>
        </w:rPr>
        <w:t>3.3、乙方承诺甲方在使用其提供的产品时免受第三方提出的侵犯其专利权，商标权等知识产权的起诉或权利追索；并承担违反上述承诺致使甲方遭受的相关损失及支出的相关费用。</w:t>
      </w:r>
    </w:p>
    <w:p w14:paraId="7F64373F">
      <w:pPr>
        <w:spacing w:line="360" w:lineRule="auto"/>
        <w:ind w:firstLine="480" w:firstLineChars="200"/>
        <w:rPr>
          <w:rFonts w:ascii="宋体" w:hAnsi="宋体"/>
          <w:sz w:val="24"/>
        </w:rPr>
      </w:pPr>
      <w:r>
        <w:rPr>
          <w:rFonts w:hint="eastAsia" w:ascii="宋体" w:hAnsi="宋体"/>
          <w:sz w:val="24"/>
        </w:rPr>
        <w:t>4、检验和验收</w:t>
      </w:r>
    </w:p>
    <w:p w14:paraId="5DEBAC79">
      <w:pPr>
        <w:spacing w:line="360" w:lineRule="auto"/>
        <w:ind w:firstLine="480" w:firstLineChars="200"/>
        <w:rPr>
          <w:rFonts w:ascii="宋体" w:hAnsi="宋体"/>
          <w:sz w:val="24"/>
        </w:rPr>
      </w:pPr>
      <w:r>
        <w:rPr>
          <w:rFonts w:hint="eastAsia" w:ascii="宋体" w:hAnsi="宋体"/>
          <w:sz w:val="24"/>
        </w:rPr>
        <w:t>4.1、产品运抵甲方指定地点后，乙方须按甲方管理要求，在甲方验收地点与科室订购人员进行三方现场实物验收，验收内容包括产品名称，规格，批号，效期，数量，外观等。</w:t>
      </w:r>
    </w:p>
    <w:p w14:paraId="21E40843">
      <w:pPr>
        <w:spacing w:line="360" w:lineRule="auto"/>
        <w:ind w:firstLine="480" w:firstLineChars="200"/>
        <w:rPr>
          <w:rFonts w:ascii="宋体" w:hAnsi="宋体"/>
          <w:sz w:val="24"/>
        </w:rPr>
      </w:pPr>
      <w:r>
        <w:rPr>
          <w:rFonts w:hint="eastAsia" w:ascii="宋体" w:hAnsi="宋体"/>
          <w:sz w:val="24"/>
        </w:rPr>
        <w:t>4.2、如果货物的质量和规格与合同不符，证实货物是有缺陷的，包括潜在的缺陷或使用不符合要求的材料，甲方将有权向乙方提出索赔。</w:t>
      </w:r>
    </w:p>
    <w:p w14:paraId="08D93D99">
      <w:pPr>
        <w:spacing w:line="360" w:lineRule="auto"/>
        <w:ind w:firstLine="480" w:firstLineChars="200"/>
        <w:rPr>
          <w:rFonts w:ascii="宋体" w:hAnsi="宋体"/>
          <w:sz w:val="24"/>
        </w:rPr>
      </w:pPr>
      <w:r>
        <w:rPr>
          <w:rFonts w:hint="eastAsia" w:ascii="宋体" w:hAnsi="宋体"/>
          <w:sz w:val="24"/>
        </w:rPr>
        <w:t>5、延迟交货</w:t>
      </w:r>
    </w:p>
    <w:p w14:paraId="45258922">
      <w:pPr>
        <w:spacing w:line="360" w:lineRule="auto"/>
        <w:ind w:firstLine="480" w:firstLineChars="200"/>
        <w:rPr>
          <w:rFonts w:ascii="宋体" w:hAnsi="宋体"/>
          <w:sz w:val="24"/>
        </w:rPr>
      </w:pPr>
      <w:r>
        <w:rPr>
          <w:rFonts w:hint="eastAsia" w:ascii="宋体" w:hAnsi="宋体"/>
          <w:sz w:val="24"/>
        </w:rPr>
        <w:t>5.1、乙方应按照甲方规定的时间交货和提供服务，如果乙方无正当理由迟延交货，甲方有权提出违约损失赔偿或解除合同。</w:t>
      </w:r>
    </w:p>
    <w:p w14:paraId="3FAE6101">
      <w:pPr>
        <w:spacing w:line="360" w:lineRule="auto"/>
        <w:ind w:firstLine="480" w:firstLineChars="200"/>
        <w:rPr>
          <w:rFonts w:ascii="宋体" w:hAnsi="宋体"/>
          <w:sz w:val="24"/>
        </w:rPr>
      </w:pPr>
      <w:r>
        <w:rPr>
          <w:rFonts w:hint="eastAsia" w:ascii="宋体" w:hAnsi="宋体"/>
          <w:sz w:val="24"/>
        </w:rPr>
        <w:t>5.2、在履行合同过程中，如果乙方遇到不能按时交货和提供服务的情况，应及时以书面形式将不能按时交货的理由，预期延误时间通知甲方。甲方收到乙方通知后，认为其理由正当时必须出具书面批示，可酌情延长交货时间。</w:t>
      </w:r>
    </w:p>
    <w:p w14:paraId="5D9DBF88">
      <w:pPr>
        <w:spacing w:line="360" w:lineRule="auto"/>
        <w:ind w:firstLine="480" w:firstLineChars="200"/>
        <w:rPr>
          <w:rFonts w:ascii="宋体" w:hAnsi="宋体"/>
          <w:sz w:val="24"/>
        </w:rPr>
      </w:pPr>
      <w:r>
        <w:rPr>
          <w:rFonts w:hint="eastAsia" w:ascii="宋体" w:hAnsi="宋体"/>
          <w:sz w:val="24"/>
        </w:rPr>
        <w:t>七、违约赔偿</w:t>
      </w:r>
    </w:p>
    <w:p w14:paraId="4079E1F5">
      <w:pPr>
        <w:spacing w:line="360" w:lineRule="auto"/>
        <w:ind w:firstLine="480" w:firstLineChars="200"/>
        <w:rPr>
          <w:rFonts w:ascii="宋体" w:hAnsi="宋体"/>
          <w:sz w:val="24"/>
        </w:rPr>
      </w:pPr>
      <w:r>
        <w:rPr>
          <w:rFonts w:hint="eastAsia" w:ascii="宋体" w:hAnsi="宋体"/>
          <w:sz w:val="24"/>
        </w:rPr>
        <w:t>如果乙方没有按照合同规定的时间交货和提供服务，甲方可要求乙方支付违约金。违约金按每天迟交货物或未提供服务交货价的0.5%计收。如果达到最高限额，甲方有权解除合同。违约金的最高限额为迟交货物或没有提供服务的合同价的5%。</w:t>
      </w:r>
    </w:p>
    <w:p w14:paraId="13882996">
      <w:pPr>
        <w:spacing w:line="360" w:lineRule="auto"/>
        <w:ind w:firstLine="480" w:firstLineChars="200"/>
        <w:rPr>
          <w:rFonts w:ascii="宋体" w:hAnsi="宋体"/>
          <w:sz w:val="24"/>
        </w:rPr>
      </w:pPr>
      <w:r>
        <w:rPr>
          <w:rFonts w:hint="eastAsia" w:ascii="宋体" w:hAnsi="宋体"/>
          <w:sz w:val="24"/>
        </w:rPr>
        <w:t>八、不可抗力</w:t>
      </w:r>
    </w:p>
    <w:p w14:paraId="3F771AEF">
      <w:pPr>
        <w:spacing w:line="360" w:lineRule="auto"/>
        <w:ind w:firstLine="480" w:firstLineChars="200"/>
        <w:rPr>
          <w:rFonts w:ascii="宋体" w:hAnsi="宋体"/>
          <w:sz w:val="24"/>
        </w:rPr>
      </w:pPr>
      <w:r>
        <w:rPr>
          <w:rFonts w:hint="eastAsia" w:ascii="宋体" w:hAnsi="宋体"/>
          <w:sz w:val="24"/>
        </w:rPr>
        <w:t>1、如果双方中任何一方遭遇法律规定的不可抗力，致使合同履行受阻时，履行合同的期限应予延长，延长的期限应相当于不可抗力所影响的时间。</w:t>
      </w:r>
    </w:p>
    <w:p w14:paraId="29C528E7">
      <w:pPr>
        <w:spacing w:line="360" w:lineRule="auto"/>
        <w:ind w:firstLine="480" w:firstLineChars="200"/>
        <w:rPr>
          <w:rFonts w:ascii="宋体" w:hAnsi="宋体"/>
          <w:sz w:val="24"/>
        </w:rPr>
      </w:pPr>
      <w:r>
        <w:rPr>
          <w:rFonts w:hint="eastAsia" w:ascii="宋体" w:hAnsi="宋体"/>
          <w:sz w:val="24"/>
        </w:rPr>
        <w:t>2、受不可抗力影响的一方应在</w:t>
      </w:r>
      <w:bookmarkStart w:id="798" w:name="OLE_LINK184"/>
      <w:bookmarkStart w:id="799" w:name="OLE_LINK185"/>
      <w:r>
        <w:rPr>
          <w:rFonts w:hint="eastAsia" w:ascii="宋体" w:hAnsi="宋体"/>
          <w:sz w:val="24"/>
        </w:rPr>
        <w:t>不可抗力</w:t>
      </w:r>
      <w:bookmarkEnd w:id="798"/>
      <w:bookmarkEnd w:id="799"/>
      <w:r>
        <w:rPr>
          <w:rFonts w:hint="eastAsia" w:ascii="宋体" w:hAnsi="宋体"/>
          <w:sz w:val="24"/>
        </w:rPr>
        <w:t>的事故发生后尽快以书面形式通知另一方，并将有关部门出具的证明文件送达另一方。</w:t>
      </w:r>
    </w:p>
    <w:p w14:paraId="336F0572">
      <w:pPr>
        <w:spacing w:line="360" w:lineRule="auto"/>
        <w:ind w:firstLine="480" w:firstLineChars="200"/>
        <w:rPr>
          <w:rFonts w:ascii="宋体" w:hAnsi="宋体"/>
          <w:sz w:val="24"/>
        </w:rPr>
      </w:pPr>
      <w:r>
        <w:rPr>
          <w:rFonts w:hint="eastAsia" w:ascii="宋体" w:hAnsi="宋体"/>
          <w:sz w:val="24"/>
        </w:rPr>
        <w:t>3、不可抗力使合同的某些内容有变更必要的，双方应通过协商达成进一步履行合同的补充协议。因不可抗力致使合同不能履行的，合同终止。</w:t>
      </w:r>
    </w:p>
    <w:p w14:paraId="4DFF88D0">
      <w:pPr>
        <w:spacing w:line="360" w:lineRule="auto"/>
        <w:ind w:firstLine="480" w:firstLineChars="200"/>
        <w:rPr>
          <w:rFonts w:ascii="宋体" w:hAnsi="宋体"/>
          <w:sz w:val="24"/>
        </w:rPr>
      </w:pPr>
      <w:r>
        <w:rPr>
          <w:rFonts w:hint="eastAsia" w:ascii="宋体" w:hAnsi="宋体"/>
          <w:sz w:val="24"/>
        </w:rPr>
        <w:t>九、税费</w:t>
      </w:r>
    </w:p>
    <w:p w14:paraId="7AAC1E7E">
      <w:pPr>
        <w:spacing w:line="360" w:lineRule="auto"/>
        <w:ind w:firstLine="480" w:firstLineChars="200"/>
        <w:rPr>
          <w:rFonts w:ascii="宋体" w:hAnsi="宋体"/>
          <w:sz w:val="24"/>
        </w:rPr>
      </w:pPr>
      <w:r>
        <w:rPr>
          <w:rFonts w:hint="eastAsia" w:ascii="宋体" w:hAnsi="宋体"/>
          <w:sz w:val="24"/>
        </w:rPr>
        <w:t>与本合同有关的一切税费均适用中华人民共和国法律的相关规定，合同价为含税价，所有均由乙方缴纳。</w:t>
      </w:r>
    </w:p>
    <w:p w14:paraId="7BC0DD11">
      <w:pPr>
        <w:spacing w:line="360" w:lineRule="auto"/>
        <w:ind w:firstLine="480" w:firstLineChars="200"/>
        <w:rPr>
          <w:rFonts w:ascii="宋体" w:hAnsi="宋体"/>
          <w:sz w:val="24"/>
        </w:rPr>
      </w:pPr>
      <w:r>
        <w:rPr>
          <w:rFonts w:hint="eastAsia" w:ascii="宋体" w:hAnsi="宋体"/>
          <w:sz w:val="24"/>
        </w:rPr>
        <w:t>十、合同争议的解决</w:t>
      </w:r>
    </w:p>
    <w:p w14:paraId="2A64DBF4">
      <w:pPr>
        <w:spacing w:line="360" w:lineRule="auto"/>
        <w:ind w:firstLine="480" w:firstLineChars="200"/>
        <w:rPr>
          <w:rFonts w:ascii="宋体" w:hAnsi="宋体"/>
          <w:sz w:val="24"/>
        </w:rPr>
      </w:pPr>
      <w:r>
        <w:rPr>
          <w:rFonts w:hint="eastAsia" w:ascii="宋体" w:hAnsi="宋体"/>
          <w:sz w:val="24"/>
        </w:rPr>
        <w:t>因合同履行中发生的争议，合同当事人双方可通过协商解决。协商不成的，向本合同签订地北京市西城区有管辖权的人民法院提起诉讼。</w:t>
      </w:r>
    </w:p>
    <w:p w14:paraId="44364FCB">
      <w:pPr>
        <w:spacing w:line="360" w:lineRule="auto"/>
        <w:ind w:firstLine="480" w:firstLineChars="200"/>
        <w:rPr>
          <w:rFonts w:ascii="宋体" w:hAnsi="宋体"/>
          <w:sz w:val="24"/>
        </w:rPr>
      </w:pPr>
      <w:r>
        <w:rPr>
          <w:rFonts w:hint="eastAsia" w:ascii="宋体" w:hAnsi="宋体"/>
          <w:sz w:val="24"/>
        </w:rPr>
        <w:t>十一、合同约定</w:t>
      </w:r>
      <w:r>
        <w:rPr>
          <w:rFonts w:hint="eastAsia" w:ascii="宋体" w:hAnsi="宋体"/>
          <w:sz w:val="24"/>
        </w:rPr>
        <w:tab/>
      </w:r>
    </w:p>
    <w:p w14:paraId="46328F33">
      <w:pPr>
        <w:spacing w:line="360" w:lineRule="auto"/>
        <w:ind w:firstLine="480" w:firstLineChars="200"/>
        <w:rPr>
          <w:rFonts w:ascii="宋体" w:hAnsi="宋体"/>
          <w:sz w:val="24"/>
        </w:rPr>
      </w:pPr>
      <w:r>
        <w:rPr>
          <w:rFonts w:hint="eastAsia" w:ascii="宋体" w:hAnsi="宋体"/>
          <w:sz w:val="24"/>
        </w:rPr>
        <w:t>1、在乙方违约情况下，甲方可向乙方发出书面通知，部分或全部终止合同，同时保留向乙方追诉的权利.</w:t>
      </w:r>
    </w:p>
    <w:p w14:paraId="625C1F27">
      <w:pPr>
        <w:spacing w:line="360" w:lineRule="auto"/>
        <w:ind w:firstLine="480" w:firstLineChars="200"/>
        <w:rPr>
          <w:rFonts w:ascii="宋体" w:hAnsi="宋体"/>
          <w:sz w:val="24"/>
        </w:rPr>
      </w:pPr>
      <w:r>
        <w:rPr>
          <w:rFonts w:hint="eastAsia" w:ascii="宋体" w:hAnsi="宋体"/>
          <w:sz w:val="24"/>
        </w:rPr>
        <w:t>2、乙方未能在合同规定的限期或甲方同意延长的限期内，提供全部或部分货物，按合同的规定可以解除合同。</w:t>
      </w:r>
    </w:p>
    <w:p w14:paraId="5F873682">
      <w:pPr>
        <w:spacing w:line="360" w:lineRule="auto"/>
        <w:ind w:firstLine="480" w:firstLineChars="200"/>
        <w:rPr>
          <w:rFonts w:ascii="宋体" w:hAnsi="宋体"/>
          <w:sz w:val="24"/>
        </w:rPr>
      </w:pPr>
      <w:r>
        <w:rPr>
          <w:rFonts w:hint="eastAsia" w:ascii="宋体" w:hAnsi="宋体"/>
          <w:sz w:val="24"/>
        </w:rPr>
        <w:t>3、甲方和乙方都不得擅自变更本合同，但合同继续履行将损害国家和社会公共利益的除外；如需修改或补充合同内容，经协商后双方应签署补充协议，该协议将作为本合同的一个组成部份。</w:t>
      </w:r>
    </w:p>
    <w:p w14:paraId="7EC1801B">
      <w:pPr>
        <w:spacing w:line="360" w:lineRule="auto"/>
        <w:ind w:firstLine="480" w:firstLineChars="200"/>
        <w:rPr>
          <w:rFonts w:ascii="宋体" w:hAnsi="宋体"/>
          <w:sz w:val="24"/>
        </w:rPr>
      </w:pPr>
      <w:r>
        <w:rPr>
          <w:rFonts w:hint="eastAsia" w:ascii="宋体" w:hAnsi="宋体"/>
          <w:sz w:val="24"/>
        </w:rPr>
        <w:t>4、本合同一式陆份，甲方执叁份，乙方执贰份，代理机构执壹份，具有同等法律效力。</w:t>
      </w:r>
    </w:p>
    <w:p w14:paraId="24D7DBE5">
      <w:pPr>
        <w:spacing w:line="360" w:lineRule="auto"/>
        <w:ind w:firstLine="480" w:firstLineChars="200"/>
        <w:rPr>
          <w:rFonts w:ascii="宋体" w:hAnsi="宋体"/>
          <w:sz w:val="24"/>
        </w:rPr>
      </w:pPr>
      <w:r>
        <w:rPr>
          <w:rFonts w:hint="eastAsia" w:ascii="宋体" w:hAnsi="宋体"/>
          <w:sz w:val="24"/>
        </w:rPr>
        <w:t>十二、合同特殊条款</w:t>
      </w:r>
    </w:p>
    <w:p w14:paraId="755C235E">
      <w:pPr>
        <w:spacing w:line="360" w:lineRule="auto"/>
        <w:ind w:firstLine="480" w:firstLineChars="200"/>
        <w:rPr>
          <w:rFonts w:ascii="宋体" w:hAnsi="宋体"/>
          <w:sz w:val="24"/>
        </w:rPr>
      </w:pPr>
      <w:r>
        <w:rPr>
          <w:rFonts w:hint="eastAsia" w:ascii="宋体" w:hAnsi="宋体"/>
          <w:sz w:val="24"/>
        </w:rPr>
        <w:t>1、合同特殊条款是合同一般条款的补充和修改。如果两者之间有抵触应以特殊条款为准，特殊条款中没有规定的按本合同一般条款执行。</w:t>
      </w:r>
    </w:p>
    <w:p w14:paraId="6AEB452C">
      <w:pPr>
        <w:spacing w:line="360" w:lineRule="auto"/>
        <w:ind w:firstLine="480" w:firstLineChars="200"/>
        <w:rPr>
          <w:rFonts w:ascii="宋体" w:hAnsi="宋体"/>
          <w:sz w:val="24"/>
        </w:rPr>
      </w:pPr>
      <w:r>
        <w:rPr>
          <w:rFonts w:hint="eastAsia" w:ascii="宋体" w:hAnsi="宋体"/>
          <w:sz w:val="24"/>
        </w:rPr>
        <w:t>2、本合同采购货物，以实际发生为准，按照采购需求确定采购清单并可根据需要签订补充协议进行约定；如已支付款项超出合同款项，乙方应配合甲方完成超出部分款项退回，如已支付款项不足，甲方应及时向乙方支付补足相应款项。</w:t>
      </w:r>
    </w:p>
    <w:p w14:paraId="51336287">
      <w:pPr>
        <w:spacing w:line="360" w:lineRule="auto"/>
        <w:ind w:firstLine="480" w:firstLineChars="200"/>
        <w:rPr>
          <w:rFonts w:ascii="宋体" w:hAnsi="宋体"/>
          <w:sz w:val="24"/>
        </w:rPr>
      </w:pPr>
      <w:r>
        <w:rPr>
          <w:rFonts w:hint="eastAsia" w:ascii="宋体" w:hAnsi="宋体"/>
          <w:sz w:val="24"/>
        </w:rPr>
        <w:t>3、其它未尽事宜，以《中华人民共和国民法典》规定，以及本项目招标文件的要求、乙方的投标响应为准。</w:t>
      </w:r>
    </w:p>
    <w:p w14:paraId="2619E5BA">
      <w:pPr>
        <w:spacing w:line="360" w:lineRule="auto"/>
        <w:ind w:firstLine="480" w:firstLineChars="200"/>
        <w:rPr>
          <w:rFonts w:ascii="宋体" w:hAnsi="宋体"/>
          <w:sz w:val="24"/>
        </w:rPr>
      </w:pPr>
      <w:r>
        <w:rPr>
          <w:rFonts w:hint="eastAsia" w:ascii="宋体" w:hAnsi="宋体"/>
          <w:sz w:val="24"/>
        </w:rPr>
        <w:t>十三、廉洁条款</w:t>
      </w:r>
    </w:p>
    <w:p w14:paraId="1E7EB8FE">
      <w:pPr>
        <w:spacing w:line="360" w:lineRule="auto"/>
        <w:ind w:firstLine="480" w:firstLineChars="200"/>
        <w:rPr>
          <w:rFonts w:ascii="宋体" w:hAnsi="宋体"/>
          <w:sz w:val="24"/>
        </w:rPr>
      </w:pPr>
      <w:r>
        <w:rPr>
          <w:rFonts w:hint="eastAsia" w:ascii="宋体" w:hAnsi="宋体"/>
          <w:sz w:val="24"/>
        </w:rPr>
        <w:t>1、甲方人员不得索要或接受乙方的现金、有价证券、实物和其他利益；不得参加乙方安排的宴请和娱乐活动；不得以任何理由向乙方提出推荐项目分包单位、试剂耗材、设备供应、劳务等经济活动要求；</w:t>
      </w:r>
    </w:p>
    <w:p w14:paraId="5C76A00B">
      <w:pPr>
        <w:spacing w:line="360" w:lineRule="auto"/>
        <w:ind w:firstLine="480" w:firstLineChars="200"/>
        <w:rPr>
          <w:rFonts w:ascii="宋体" w:hAnsi="宋体"/>
          <w:sz w:val="24"/>
        </w:rPr>
      </w:pPr>
      <w:r>
        <w:rPr>
          <w:rFonts w:hint="eastAsia" w:ascii="宋体" w:hAnsi="宋体"/>
          <w:sz w:val="24"/>
        </w:rPr>
        <w:t>2、乙方人员不得以任何理由向甲方人员给付现金、有价证券、实物和其他利益；不得以任何理由安排甲方人员参加宴请及娱乐活动；不接受甲方人员明示或者暗示提供试剂耗材和设备供应商，以及劳务等经济活动的要求；</w:t>
      </w:r>
    </w:p>
    <w:p w14:paraId="774A27B8">
      <w:pPr>
        <w:spacing w:line="360" w:lineRule="auto"/>
        <w:ind w:firstLine="480" w:firstLineChars="200"/>
        <w:rPr>
          <w:rFonts w:ascii="宋体" w:hAnsi="宋体"/>
          <w:sz w:val="24"/>
        </w:rPr>
      </w:pPr>
      <w:r>
        <w:rPr>
          <w:rFonts w:hint="eastAsia" w:ascii="宋体" w:hAnsi="宋体"/>
          <w:sz w:val="24"/>
        </w:rPr>
        <w:t>3、甲方人员违反廉洁条款第一条规定的，按照管理权限，依据有关法律和规定给予党纪，政纪或组织处理，涉嫌犯罪的，移交司法机关追究刑事责任。乙方人员违反廉洁条款第二条规定的，一经发现，甲方有权即行解除合同，并按照有关规定追究相关人员责任，给甲方造成的经济损失，乙方应予赔偿；</w:t>
      </w:r>
    </w:p>
    <w:p w14:paraId="0C8043A5">
      <w:pPr>
        <w:spacing w:line="360" w:lineRule="auto"/>
        <w:ind w:firstLine="480" w:firstLineChars="200"/>
        <w:rPr>
          <w:rFonts w:ascii="宋体" w:hAnsi="宋体"/>
          <w:sz w:val="24"/>
        </w:rPr>
      </w:pPr>
      <w:r>
        <w:rPr>
          <w:rFonts w:hint="eastAsia" w:ascii="宋体" w:hAnsi="宋体"/>
          <w:sz w:val="24"/>
        </w:rPr>
        <w:t>4、乙方主动配合接受结果查究。</w:t>
      </w:r>
    </w:p>
    <w:p w14:paraId="24129DEB">
      <w:pPr>
        <w:spacing w:line="360" w:lineRule="auto"/>
        <w:ind w:firstLine="480" w:firstLineChars="200"/>
        <w:rPr>
          <w:rFonts w:ascii="宋体" w:hAnsi="宋体"/>
          <w:sz w:val="24"/>
        </w:rPr>
      </w:pPr>
    </w:p>
    <w:p w14:paraId="1D1BAB2D">
      <w:pPr>
        <w:spacing w:line="360" w:lineRule="auto"/>
        <w:ind w:firstLine="480" w:firstLineChars="200"/>
        <w:rPr>
          <w:rFonts w:ascii="宋体" w:hAnsi="宋体"/>
          <w:sz w:val="24"/>
        </w:rPr>
      </w:pPr>
      <w:r>
        <w:rPr>
          <w:rFonts w:hint="eastAsia" w:ascii="宋体" w:hAnsi="宋体"/>
          <w:sz w:val="24"/>
        </w:rPr>
        <w:t>--以下无正文-----</w:t>
      </w:r>
    </w:p>
    <w:p w14:paraId="01548ECC">
      <w:pPr>
        <w:spacing w:line="360" w:lineRule="auto"/>
        <w:ind w:firstLine="480" w:firstLineChars="200"/>
        <w:rPr>
          <w:rFonts w:ascii="宋体" w:hAnsi="宋体"/>
          <w:sz w:val="24"/>
        </w:rPr>
      </w:pPr>
    </w:p>
    <w:p w14:paraId="2EA8C795">
      <w:pPr>
        <w:spacing w:line="360" w:lineRule="auto"/>
        <w:ind w:firstLine="480" w:firstLineChars="200"/>
        <w:rPr>
          <w:rFonts w:ascii="宋体" w:hAnsi="宋体"/>
          <w:sz w:val="24"/>
        </w:rPr>
      </w:pPr>
      <w:r>
        <w:rPr>
          <w:rFonts w:hint="eastAsia" w:ascii="宋体" w:hAnsi="宋体"/>
          <w:sz w:val="24"/>
        </w:rPr>
        <w:t>甲方：</w:t>
      </w:r>
    </w:p>
    <w:p w14:paraId="7EC946D0">
      <w:pPr>
        <w:spacing w:line="360" w:lineRule="auto"/>
        <w:ind w:firstLine="480" w:firstLineChars="200"/>
        <w:rPr>
          <w:rFonts w:ascii="宋体" w:hAnsi="宋体"/>
          <w:sz w:val="24"/>
        </w:rPr>
      </w:pPr>
      <w:r>
        <w:rPr>
          <w:rFonts w:hint="eastAsia" w:ascii="宋体" w:hAnsi="宋体"/>
          <w:sz w:val="24"/>
        </w:rPr>
        <w:t>法定代表人/授权代表(签字)：</w:t>
      </w:r>
    </w:p>
    <w:p w14:paraId="06DF33E6">
      <w:pPr>
        <w:spacing w:line="360" w:lineRule="auto"/>
        <w:ind w:firstLine="480" w:firstLineChars="200"/>
        <w:rPr>
          <w:rFonts w:ascii="宋体" w:hAnsi="宋体"/>
          <w:sz w:val="24"/>
        </w:rPr>
      </w:pPr>
      <w:r>
        <w:rPr>
          <w:rFonts w:hint="eastAsia" w:ascii="宋体" w:hAnsi="宋体"/>
          <w:sz w:val="24"/>
        </w:rPr>
        <w:t>地址：</w:t>
      </w:r>
    </w:p>
    <w:p w14:paraId="2CBC325A">
      <w:pPr>
        <w:spacing w:line="360" w:lineRule="auto"/>
        <w:ind w:firstLine="480" w:firstLineChars="200"/>
        <w:rPr>
          <w:rFonts w:ascii="宋体" w:hAnsi="宋体"/>
          <w:sz w:val="24"/>
        </w:rPr>
      </w:pPr>
      <w:r>
        <w:rPr>
          <w:rFonts w:hint="eastAsia" w:ascii="宋体" w:hAnsi="宋体"/>
          <w:sz w:val="24"/>
        </w:rPr>
        <w:t>电话:</w:t>
      </w:r>
    </w:p>
    <w:p w14:paraId="4922851E">
      <w:pPr>
        <w:spacing w:line="360" w:lineRule="auto"/>
        <w:ind w:firstLine="480" w:firstLineChars="200"/>
        <w:rPr>
          <w:rFonts w:ascii="宋体" w:hAnsi="宋体"/>
          <w:sz w:val="24"/>
        </w:rPr>
      </w:pPr>
      <w:r>
        <w:rPr>
          <w:rFonts w:hint="eastAsia" w:ascii="宋体" w:hAnsi="宋体"/>
          <w:sz w:val="24"/>
        </w:rPr>
        <w:t>日期：</w:t>
      </w:r>
    </w:p>
    <w:p w14:paraId="7AAD2793">
      <w:pPr>
        <w:spacing w:line="360" w:lineRule="auto"/>
        <w:ind w:firstLine="480" w:firstLineChars="200"/>
        <w:rPr>
          <w:rFonts w:ascii="宋体" w:hAnsi="宋体"/>
          <w:sz w:val="24"/>
        </w:rPr>
      </w:pPr>
    </w:p>
    <w:p w14:paraId="2E96BC7C">
      <w:pPr>
        <w:spacing w:line="360" w:lineRule="auto"/>
        <w:ind w:firstLine="480" w:firstLineChars="200"/>
        <w:rPr>
          <w:rFonts w:ascii="宋体" w:hAnsi="宋体"/>
          <w:sz w:val="24"/>
        </w:rPr>
      </w:pPr>
    </w:p>
    <w:p w14:paraId="7E841E24">
      <w:pPr>
        <w:spacing w:line="360" w:lineRule="auto"/>
        <w:ind w:firstLine="480" w:firstLineChars="200"/>
        <w:rPr>
          <w:rFonts w:ascii="宋体" w:hAnsi="宋体"/>
          <w:sz w:val="24"/>
        </w:rPr>
      </w:pPr>
      <w:r>
        <w:rPr>
          <w:rFonts w:hint="eastAsia" w:ascii="宋体" w:hAnsi="宋体"/>
          <w:sz w:val="24"/>
        </w:rPr>
        <w:t>乙方：</w:t>
      </w:r>
    </w:p>
    <w:p w14:paraId="18F6006E">
      <w:pPr>
        <w:spacing w:line="360" w:lineRule="auto"/>
        <w:ind w:firstLine="480" w:firstLineChars="200"/>
        <w:rPr>
          <w:rFonts w:ascii="宋体" w:hAnsi="宋体"/>
          <w:sz w:val="24"/>
        </w:rPr>
      </w:pPr>
      <w:r>
        <w:rPr>
          <w:rFonts w:hint="eastAsia" w:ascii="宋体" w:hAnsi="宋体"/>
          <w:sz w:val="24"/>
        </w:rPr>
        <w:t>法定代表人/授权代表(签字)：</w:t>
      </w:r>
      <w:r>
        <w:rPr>
          <w:rFonts w:hint="eastAsia" w:ascii="宋体" w:hAnsi="宋体"/>
          <w:sz w:val="24"/>
        </w:rPr>
        <w:tab/>
      </w:r>
    </w:p>
    <w:p w14:paraId="649034A1">
      <w:pPr>
        <w:spacing w:line="360" w:lineRule="auto"/>
        <w:ind w:firstLine="480" w:firstLineChars="200"/>
        <w:rPr>
          <w:rFonts w:ascii="宋体" w:hAnsi="宋体"/>
          <w:sz w:val="24"/>
        </w:rPr>
      </w:pPr>
      <w:r>
        <w:rPr>
          <w:rFonts w:hint="eastAsia" w:ascii="宋体" w:hAnsi="宋体"/>
          <w:sz w:val="24"/>
        </w:rPr>
        <w:t>地址：</w:t>
      </w:r>
      <w:r>
        <w:rPr>
          <w:rFonts w:hint="eastAsia" w:ascii="宋体" w:hAnsi="宋体"/>
          <w:sz w:val="24"/>
        </w:rPr>
        <w:tab/>
      </w:r>
    </w:p>
    <w:p w14:paraId="64F12E33">
      <w:pPr>
        <w:spacing w:line="360" w:lineRule="auto"/>
        <w:ind w:firstLine="480" w:firstLineChars="200"/>
        <w:rPr>
          <w:rFonts w:ascii="宋体" w:hAnsi="宋体"/>
          <w:sz w:val="24"/>
        </w:rPr>
      </w:pPr>
      <w:r>
        <w:rPr>
          <w:rFonts w:hint="eastAsia" w:ascii="宋体" w:hAnsi="宋体"/>
          <w:sz w:val="24"/>
        </w:rPr>
        <w:t>电话：</w:t>
      </w:r>
    </w:p>
    <w:p w14:paraId="5CA426DA">
      <w:pPr>
        <w:spacing w:line="360" w:lineRule="auto"/>
        <w:ind w:firstLine="480" w:firstLineChars="200"/>
        <w:rPr>
          <w:rFonts w:ascii="宋体" w:hAnsi="宋体"/>
          <w:sz w:val="24"/>
        </w:rPr>
      </w:pPr>
      <w:r>
        <w:rPr>
          <w:rFonts w:hint="eastAsia" w:ascii="宋体" w:hAnsi="宋体"/>
          <w:sz w:val="24"/>
        </w:rPr>
        <w:t>日期：</w:t>
      </w:r>
    </w:p>
    <w:p w14:paraId="07B72899">
      <w:pPr>
        <w:spacing w:line="360" w:lineRule="auto"/>
        <w:rPr>
          <w:rFonts w:ascii="宋体" w:hAnsi="宋体" w:cs="宋体"/>
          <w:sz w:val="24"/>
        </w:rPr>
      </w:pPr>
    </w:p>
    <w:p w14:paraId="4AF604F9">
      <w:pPr>
        <w:rPr>
          <w:rFonts w:ascii="宋体" w:hAnsi="宋体"/>
          <w:b/>
          <w:sz w:val="36"/>
          <w:szCs w:val="36"/>
        </w:rPr>
        <w:sectPr>
          <w:headerReference r:id="rId16" w:type="default"/>
          <w:footerReference r:id="rId17" w:type="default"/>
          <w:pgSz w:w="11907" w:h="16840"/>
          <w:pgMar w:top="1440" w:right="1800" w:bottom="1440" w:left="1800" w:header="851" w:footer="851" w:gutter="0"/>
          <w:cols w:space="720" w:num="1"/>
          <w:docGrid w:linePitch="462" w:charSpace="0"/>
        </w:sectPr>
      </w:pPr>
    </w:p>
    <w:p w14:paraId="0198412E">
      <w:pPr>
        <w:rPr>
          <w:rFonts w:ascii="宋体" w:hAnsi="宋体"/>
          <w:b/>
          <w:sz w:val="36"/>
          <w:szCs w:val="36"/>
        </w:rPr>
      </w:pPr>
    </w:p>
    <w:p w14:paraId="217B8EFF">
      <w:pPr>
        <w:spacing w:line="360" w:lineRule="auto"/>
        <w:jc w:val="center"/>
        <w:outlineLvl w:val="0"/>
        <w:rPr>
          <w:rFonts w:ascii="宋体" w:hAnsi="宋体"/>
          <w:b/>
          <w:sz w:val="36"/>
          <w:szCs w:val="36"/>
        </w:rPr>
      </w:pPr>
      <w:bookmarkStart w:id="800" w:name="_Toc9196"/>
      <w:r>
        <w:rPr>
          <w:rFonts w:ascii="宋体" w:hAnsi="宋体"/>
          <w:b/>
          <w:sz w:val="36"/>
          <w:szCs w:val="36"/>
        </w:rPr>
        <w:t>第七章</w:t>
      </w:r>
      <w:r>
        <w:rPr>
          <w:rFonts w:hint="eastAsia" w:ascii="宋体" w:hAnsi="宋体"/>
          <w:b/>
          <w:sz w:val="36"/>
          <w:szCs w:val="36"/>
        </w:rPr>
        <w:t xml:space="preserve">  </w:t>
      </w:r>
      <w:r>
        <w:rPr>
          <w:rFonts w:ascii="宋体" w:hAnsi="宋体"/>
          <w:b/>
          <w:sz w:val="36"/>
          <w:szCs w:val="36"/>
        </w:rPr>
        <w:t>投标文件格式</w:t>
      </w:r>
      <w:bookmarkEnd w:id="800"/>
    </w:p>
    <w:p w14:paraId="6F546130">
      <w:pPr>
        <w:tabs>
          <w:tab w:val="left" w:pos="900"/>
          <w:tab w:val="left" w:pos="1980"/>
        </w:tabs>
        <w:snapToGrid w:val="0"/>
        <w:spacing w:line="360" w:lineRule="auto"/>
        <w:rPr>
          <w:rFonts w:ascii="宋体" w:hAnsi="宋体"/>
          <w:b/>
          <w:sz w:val="24"/>
        </w:rPr>
      </w:pPr>
    </w:p>
    <w:p w14:paraId="2544175B">
      <w:pPr>
        <w:tabs>
          <w:tab w:val="left" w:pos="900"/>
          <w:tab w:val="left" w:pos="1980"/>
        </w:tabs>
        <w:snapToGrid w:val="0"/>
        <w:spacing w:line="360" w:lineRule="auto"/>
        <w:ind w:left="142"/>
        <w:rPr>
          <w:rFonts w:ascii="宋体" w:hAnsi="宋体"/>
          <w:sz w:val="24"/>
        </w:rPr>
      </w:pPr>
      <w:r>
        <w:rPr>
          <w:rFonts w:ascii="宋体" w:hAnsi="宋体"/>
          <w:b/>
          <w:sz w:val="24"/>
        </w:rPr>
        <w:t>投标人编制文件须知</w:t>
      </w:r>
    </w:p>
    <w:p w14:paraId="78278E8B">
      <w:pPr>
        <w:tabs>
          <w:tab w:val="left" w:pos="900"/>
          <w:tab w:val="left" w:pos="1980"/>
        </w:tabs>
        <w:snapToGrid w:val="0"/>
        <w:spacing w:line="360" w:lineRule="auto"/>
        <w:ind w:left="142"/>
        <w:rPr>
          <w:rFonts w:ascii="宋体" w:hAnsi="宋体"/>
          <w:sz w:val="24"/>
        </w:rPr>
      </w:pPr>
      <w:r>
        <w:rPr>
          <w:rFonts w:hint="eastAsia" w:ascii="宋体" w:hAnsi="宋体"/>
          <w:sz w:val="24"/>
        </w:rPr>
        <w:t>1.</w:t>
      </w:r>
      <w:r>
        <w:rPr>
          <w:rFonts w:ascii="宋体" w:hAnsi="宋体"/>
          <w:sz w:val="24"/>
        </w:rPr>
        <w:t>投标人按照本部分的顺序编制投标文件（资格证明文件）、投标文件（商务技术文件），编制中涉及格式资料的，应按照本部分提供的内容和格式（所有表格的格式可扩展）填写提交。</w:t>
      </w:r>
    </w:p>
    <w:p w14:paraId="39EB4B6D">
      <w:pPr>
        <w:tabs>
          <w:tab w:val="left" w:pos="900"/>
          <w:tab w:val="left" w:pos="1980"/>
        </w:tabs>
        <w:snapToGrid w:val="0"/>
        <w:spacing w:line="360" w:lineRule="auto"/>
        <w:ind w:left="142"/>
        <w:rPr>
          <w:rFonts w:ascii="宋体" w:hAnsi="宋体"/>
          <w:kern w:val="0"/>
          <w:sz w:val="24"/>
        </w:rPr>
      </w:pPr>
      <w:r>
        <w:rPr>
          <w:rFonts w:hint="eastAsia" w:ascii="宋体" w:hAnsi="宋体"/>
          <w:sz w:val="24"/>
        </w:rPr>
        <w:t>2.</w:t>
      </w:r>
      <w:r>
        <w:rPr>
          <w:rFonts w:ascii="宋体" w:hAnsi="宋体"/>
          <w:kern w:val="0"/>
          <w:sz w:val="24"/>
        </w:rPr>
        <w:t>对于招标文件中标记了“实质性格式”文件的，</w:t>
      </w:r>
      <w:r>
        <w:rPr>
          <w:rFonts w:ascii="宋体" w:hAnsi="宋体"/>
          <w:sz w:val="24"/>
        </w:rPr>
        <w:t>投标人不得改变格式中给定的文字所表达的含义，不得删减格式中的实质性内容，不得自行添加与格式中给定的文字内容相矛盾的内容，不得对应当填写的空格不填写或不实质性响应，</w:t>
      </w:r>
      <w:r>
        <w:rPr>
          <w:rFonts w:ascii="宋体" w:hAnsi="宋体"/>
          <w:kern w:val="0"/>
          <w:sz w:val="24"/>
        </w:rPr>
        <w:t>否则</w:t>
      </w:r>
      <w:r>
        <w:rPr>
          <w:rFonts w:ascii="宋体" w:hAnsi="宋体"/>
          <w:b/>
          <w:kern w:val="0"/>
          <w:sz w:val="24"/>
        </w:rPr>
        <w:t>投标无效</w:t>
      </w:r>
      <w:r>
        <w:rPr>
          <w:rFonts w:ascii="宋体" w:hAnsi="宋体"/>
          <w:kern w:val="0"/>
          <w:sz w:val="24"/>
        </w:rPr>
        <w:t>。未标记“实质性格式”的文件和招标文件未提供格式的内容，可由投标人自行编写。</w:t>
      </w:r>
    </w:p>
    <w:p w14:paraId="532969CA">
      <w:pPr>
        <w:tabs>
          <w:tab w:val="left" w:pos="900"/>
          <w:tab w:val="left" w:pos="1980"/>
        </w:tabs>
        <w:snapToGrid w:val="0"/>
        <w:spacing w:line="360" w:lineRule="auto"/>
        <w:ind w:left="142"/>
        <w:rPr>
          <w:rFonts w:ascii="宋体" w:hAnsi="宋体"/>
          <w:sz w:val="24"/>
        </w:rPr>
      </w:pPr>
      <w:r>
        <w:rPr>
          <w:rFonts w:hint="eastAsia" w:ascii="宋体" w:hAnsi="宋体"/>
          <w:sz w:val="24"/>
        </w:rPr>
        <w:t>3.</w:t>
      </w:r>
      <w:r>
        <w:rPr>
          <w:rFonts w:ascii="宋体" w:hAnsi="宋体"/>
          <w:sz w:val="24"/>
        </w:rPr>
        <w:t>全部声明和问题的回答及所附材料必须是真实的、准确的和完整的。</w:t>
      </w:r>
    </w:p>
    <w:p w14:paraId="22134257">
      <w:pPr>
        <w:widowControl/>
        <w:jc w:val="left"/>
        <w:rPr>
          <w:rFonts w:ascii="宋体" w:hAnsi="宋体"/>
          <w:sz w:val="24"/>
        </w:rPr>
      </w:pPr>
      <w:r>
        <w:rPr>
          <w:rFonts w:ascii="宋体" w:hAnsi="宋体"/>
          <w:sz w:val="24"/>
        </w:rPr>
        <w:br w:type="page"/>
      </w:r>
    </w:p>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p w14:paraId="29F59E4C">
      <w:pPr>
        <w:keepNext/>
        <w:keepLines/>
        <w:autoSpaceDE w:val="0"/>
        <w:autoSpaceDN w:val="0"/>
        <w:adjustRightInd w:val="0"/>
        <w:spacing w:before="120" w:line="300" w:lineRule="auto"/>
        <w:jc w:val="left"/>
        <w:outlineLvl w:val="1"/>
        <w:rPr>
          <w:rFonts w:ascii="宋体" w:hAnsi="宋体"/>
          <w:b/>
          <w:kern w:val="0"/>
          <w:sz w:val="30"/>
          <w:szCs w:val="20"/>
        </w:rPr>
      </w:pPr>
      <w:r>
        <w:rPr>
          <w:rFonts w:ascii="宋体" w:hAnsi="宋体"/>
          <w:b/>
          <w:sz w:val="24"/>
        </w:rPr>
        <w:t>一、资格证明文件格式</w:t>
      </w:r>
    </w:p>
    <w:p w14:paraId="7C4715C0">
      <w:pPr>
        <w:rPr>
          <w:rFonts w:ascii="宋体" w:hAnsi="宋体"/>
          <w:b/>
          <w:szCs w:val="21"/>
        </w:rPr>
      </w:pPr>
    </w:p>
    <w:p w14:paraId="36EB4A2B">
      <w:pPr>
        <w:rPr>
          <w:rFonts w:ascii="宋体" w:hAnsi="宋体"/>
          <w:b/>
          <w:sz w:val="24"/>
        </w:rPr>
      </w:pPr>
      <w:r>
        <w:rPr>
          <w:rFonts w:ascii="宋体" w:hAnsi="宋体"/>
          <w:b/>
          <w:sz w:val="24"/>
        </w:rPr>
        <w:t>投标文件（资格证明文件）封面（非实质性格式）</w:t>
      </w:r>
    </w:p>
    <w:p w14:paraId="66EBE759">
      <w:pPr>
        <w:jc w:val="center"/>
        <w:rPr>
          <w:rFonts w:ascii="宋体" w:hAnsi="宋体"/>
          <w:szCs w:val="21"/>
        </w:rPr>
      </w:pPr>
    </w:p>
    <w:p w14:paraId="4AAC1E71">
      <w:pPr>
        <w:jc w:val="center"/>
        <w:rPr>
          <w:rFonts w:ascii="宋体" w:hAnsi="宋体"/>
          <w:b/>
          <w:sz w:val="84"/>
          <w:szCs w:val="84"/>
        </w:rPr>
      </w:pPr>
      <w:r>
        <w:rPr>
          <w:rFonts w:ascii="宋体" w:hAnsi="宋体"/>
          <w:b/>
          <w:sz w:val="84"/>
          <w:szCs w:val="84"/>
        </w:rPr>
        <w:t>投标文件</w:t>
      </w:r>
    </w:p>
    <w:p w14:paraId="7671FB16">
      <w:pPr>
        <w:jc w:val="center"/>
        <w:rPr>
          <w:rFonts w:ascii="宋体" w:hAnsi="宋体"/>
          <w:b/>
          <w:sz w:val="52"/>
          <w:szCs w:val="52"/>
        </w:rPr>
      </w:pPr>
      <w:r>
        <w:rPr>
          <w:rFonts w:ascii="宋体" w:hAnsi="宋体"/>
          <w:b/>
          <w:sz w:val="52"/>
          <w:szCs w:val="52"/>
        </w:rPr>
        <w:t>（资格证明文件）</w:t>
      </w:r>
    </w:p>
    <w:p w14:paraId="45070D53">
      <w:pPr>
        <w:spacing w:line="360" w:lineRule="auto"/>
        <w:ind w:firstLine="482" w:firstLineChars="150"/>
        <w:rPr>
          <w:rFonts w:ascii="宋体" w:hAnsi="宋体"/>
          <w:b/>
          <w:sz w:val="32"/>
          <w:szCs w:val="32"/>
        </w:rPr>
      </w:pPr>
    </w:p>
    <w:p w14:paraId="71E7264C">
      <w:pPr>
        <w:spacing w:line="360" w:lineRule="auto"/>
        <w:ind w:firstLine="482" w:firstLineChars="150"/>
        <w:rPr>
          <w:rFonts w:ascii="宋体" w:hAnsi="宋体"/>
          <w:b/>
          <w:sz w:val="32"/>
          <w:szCs w:val="32"/>
        </w:rPr>
      </w:pPr>
    </w:p>
    <w:p w14:paraId="46AC2E4D">
      <w:pPr>
        <w:spacing w:line="360" w:lineRule="auto"/>
        <w:ind w:firstLine="482" w:firstLineChars="150"/>
        <w:rPr>
          <w:rFonts w:ascii="宋体" w:hAnsi="宋体"/>
          <w:b/>
          <w:sz w:val="32"/>
          <w:szCs w:val="32"/>
        </w:rPr>
      </w:pPr>
      <w:r>
        <w:rPr>
          <w:rFonts w:ascii="宋体" w:hAnsi="宋体"/>
          <w:b/>
          <w:sz w:val="32"/>
          <w:szCs w:val="32"/>
        </w:rPr>
        <w:t>项目名称：</w:t>
      </w:r>
    </w:p>
    <w:p w14:paraId="70C9A6A5">
      <w:pPr>
        <w:spacing w:line="360" w:lineRule="auto"/>
        <w:ind w:firstLine="482" w:firstLineChars="150"/>
        <w:rPr>
          <w:rFonts w:ascii="宋体" w:hAnsi="宋体"/>
        </w:rPr>
      </w:pPr>
      <w:r>
        <w:rPr>
          <w:rFonts w:ascii="宋体" w:hAnsi="宋体"/>
          <w:b/>
          <w:sz w:val="32"/>
          <w:szCs w:val="32"/>
        </w:rPr>
        <w:t>项目编号：</w:t>
      </w:r>
    </w:p>
    <w:p w14:paraId="100733DF">
      <w:pPr>
        <w:spacing w:line="360" w:lineRule="auto"/>
        <w:ind w:firstLine="482" w:firstLineChars="150"/>
        <w:rPr>
          <w:rFonts w:ascii="宋体" w:hAnsi="宋体"/>
          <w:b/>
          <w:sz w:val="32"/>
          <w:szCs w:val="32"/>
        </w:rPr>
      </w:pPr>
    </w:p>
    <w:p w14:paraId="7C723472">
      <w:pPr>
        <w:spacing w:line="360" w:lineRule="auto"/>
        <w:ind w:firstLine="482" w:firstLineChars="150"/>
        <w:rPr>
          <w:rFonts w:ascii="宋体" w:hAnsi="宋体"/>
          <w:b/>
          <w:sz w:val="32"/>
          <w:szCs w:val="32"/>
        </w:rPr>
      </w:pPr>
    </w:p>
    <w:p w14:paraId="1B924378">
      <w:pPr>
        <w:spacing w:line="360" w:lineRule="auto"/>
        <w:ind w:firstLine="482" w:firstLineChars="150"/>
        <w:rPr>
          <w:rFonts w:ascii="宋体" w:hAnsi="宋体"/>
          <w:b/>
          <w:sz w:val="32"/>
          <w:szCs w:val="32"/>
        </w:rPr>
      </w:pPr>
    </w:p>
    <w:p w14:paraId="702F5EC0">
      <w:pPr>
        <w:spacing w:line="360" w:lineRule="auto"/>
        <w:ind w:firstLine="482" w:firstLineChars="150"/>
        <w:rPr>
          <w:rFonts w:ascii="宋体" w:hAnsi="宋体"/>
          <w:b/>
          <w:sz w:val="32"/>
          <w:szCs w:val="32"/>
        </w:rPr>
      </w:pPr>
    </w:p>
    <w:p w14:paraId="5D4C9900">
      <w:pPr>
        <w:spacing w:line="360" w:lineRule="auto"/>
        <w:ind w:firstLine="482" w:firstLineChars="150"/>
        <w:rPr>
          <w:rFonts w:ascii="宋体" w:hAnsi="宋体"/>
          <w:b/>
          <w:sz w:val="32"/>
          <w:szCs w:val="32"/>
        </w:rPr>
      </w:pPr>
    </w:p>
    <w:p w14:paraId="69F7462A">
      <w:pPr>
        <w:spacing w:line="360" w:lineRule="auto"/>
        <w:ind w:firstLine="482" w:firstLineChars="150"/>
        <w:rPr>
          <w:rFonts w:ascii="宋体" w:hAnsi="宋体"/>
          <w:b/>
          <w:sz w:val="32"/>
          <w:szCs w:val="32"/>
        </w:rPr>
      </w:pPr>
    </w:p>
    <w:p w14:paraId="67F2C0F9">
      <w:pPr>
        <w:spacing w:line="360" w:lineRule="auto"/>
        <w:ind w:firstLine="482" w:firstLineChars="150"/>
        <w:rPr>
          <w:rFonts w:ascii="宋体" w:hAnsi="宋体"/>
          <w:b/>
          <w:sz w:val="32"/>
          <w:szCs w:val="32"/>
        </w:rPr>
      </w:pPr>
    </w:p>
    <w:p w14:paraId="72FAF4E6">
      <w:pPr>
        <w:spacing w:line="360" w:lineRule="auto"/>
        <w:ind w:firstLine="482" w:firstLineChars="150"/>
        <w:rPr>
          <w:rFonts w:ascii="宋体" w:hAnsi="宋体"/>
          <w:b/>
          <w:sz w:val="32"/>
          <w:szCs w:val="32"/>
        </w:rPr>
      </w:pPr>
    </w:p>
    <w:p w14:paraId="4FE8CBCE">
      <w:pPr>
        <w:spacing w:line="360" w:lineRule="auto"/>
        <w:ind w:firstLine="643" w:firstLineChars="200"/>
        <w:jc w:val="left"/>
        <w:rPr>
          <w:rFonts w:ascii="宋体" w:hAnsi="宋体"/>
          <w:b/>
          <w:sz w:val="32"/>
          <w:szCs w:val="32"/>
        </w:rPr>
      </w:pPr>
      <w:r>
        <w:rPr>
          <w:rFonts w:ascii="宋体" w:hAnsi="宋体"/>
          <w:b/>
          <w:sz w:val="32"/>
          <w:szCs w:val="32"/>
        </w:rPr>
        <w:t>投标人名称：</w:t>
      </w:r>
    </w:p>
    <w:p w14:paraId="024E93E7">
      <w:pPr>
        <w:spacing w:line="360" w:lineRule="auto"/>
        <w:jc w:val="center"/>
        <w:rPr>
          <w:rFonts w:ascii="宋体" w:hAnsi="宋体"/>
          <w:b/>
          <w:sz w:val="32"/>
          <w:szCs w:val="32"/>
        </w:rPr>
      </w:pPr>
    </w:p>
    <w:p w14:paraId="05A25C6E">
      <w:pPr>
        <w:rPr>
          <w:rFonts w:ascii="宋体" w:hAnsi="宋体"/>
          <w:b/>
        </w:rPr>
      </w:pPr>
      <w:r>
        <w:rPr>
          <w:rFonts w:ascii="宋体" w:hAnsi="宋体"/>
          <w:b/>
          <w:sz w:val="32"/>
          <w:szCs w:val="32"/>
        </w:rPr>
        <w:br w:type="page"/>
      </w:r>
    </w:p>
    <w:p w14:paraId="482D69CC">
      <w:pPr>
        <w:numPr>
          <w:ilvl w:val="0"/>
          <w:numId w:val="11"/>
        </w:numPr>
        <w:tabs>
          <w:tab w:val="left" w:pos="360"/>
        </w:tabs>
        <w:snapToGrid w:val="0"/>
        <w:spacing w:line="360" w:lineRule="auto"/>
        <w:outlineLvl w:val="1"/>
        <w:rPr>
          <w:rFonts w:ascii="宋体" w:hAnsi="宋体"/>
          <w:sz w:val="24"/>
          <w:szCs w:val="20"/>
        </w:rPr>
      </w:pPr>
      <w:r>
        <w:rPr>
          <w:rFonts w:ascii="宋体" w:hAnsi="宋体"/>
          <w:sz w:val="24"/>
        </w:rPr>
        <w:t>满足《中华人民共和国政府采购法》第二十二条规定</w:t>
      </w:r>
    </w:p>
    <w:p w14:paraId="693FECAB">
      <w:pPr>
        <w:spacing w:line="360" w:lineRule="auto"/>
        <w:outlineLvl w:val="2"/>
        <w:rPr>
          <w:rFonts w:ascii="宋体" w:hAnsi="宋体"/>
          <w:sz w:val="24"/>
          <w:szCs w:val="20"/>
        </w:rPr>
      </w:pPr>
      <w:r>
        <w:rPr>
          <w:rFonts w:ascii="宋体" w:hAnsi="宋体"/>
          <w:sz w:val="24"/>
          <w:szCs w:val="20"/>
        </w:rPr>
        <w:t>1-1 营业执照等证明文件</w:t>
      </w:r>
      <w:r>
        <w:rPr>
          <w:rFonts w:hint="eastAsia" w:ascii="宋体" w:hAnsi="宋体"/>
          <w:sz w:val="24"/>
        </w:rPr>
        <w:t>电子件</w:t>
      </w:r>
      <w:r>
        <w:rPr>
          <w:rFonts w:hint="eastAsia" w:ascii="宋体" w:hAnsi="宋体"/>
          <w:sz w:val="24"/>
          <w:szCs w:val="20"/>
        </w:rPr>
        <w:t>加盖投标单位公章</w:t>
      </w:r>
    </w:p>
    <w:p w14:paraId="487F87B7">
      <w:pPr>
        <w:tabs>
          <w:tab w:val="left" w:pos="1080"/>
        </w:tabs>
        <w:snapToGrid w:val="0"/>
        <w:rPr>
          <w:rFonts w:ascii="宋体" w:hAnsi="宋体"/>
          <w:sz w:val="24"/>
        </w:rPr>
      </w:pPr>
    </w:p>
    <w:p w14:paraId="04614578">
      <w:pPr>
        <w:widowControl/>
        <w:jc w:val="left"/>
        <w:rPr>
          <w:rFonts w:ascii="宋体" w:hAnsi="宋体"/>
          <w:sz w:val="24"/>
          <w:szCs w:val="20"/>
        </w:rPr>
      </w:pPr>
      <w:r>
        <w:rPr>
          <w:rFonts w:ascii="宋体" w:hAnsi="宋体"/>
          <w:sz w:val="24"/>
        </w:rPr>
        <w:br w:type="page"/>
      </w:r>
      <w:r>
        <w:rPr>
          <w:rFonts w:ascii="宋体" w:hAnsi="宋体"/>
          <w:sz w:val="24"/>
          <w:szCs w:val="20"/>
        </w:rPr>
        <w:t>1-2 投标人资格声明书</w:t>
      </w:r>
    </w:p>
    <w:p w14:paraId="705FA12A">
      <w:pPr>
        <w:jc w:val="center"/>
        <w:rPr>
          <w:rFonts w:ascii="宋体" w:hAnsi="宋体"/>
          <w:b/>
          <w:sz w:val="36"/>
          <w:szCs w:val="36"/>
        </w:rPr>
      </w:pPr>
      <w:r>
        <w:rPr>
          <w:rFonts w:hint="eastAsia" w:ascii="宋体" w:hAnsi="宋体"/>
          <w:b/>
          <w:sz w:val="36"/>
          <w:szCs w:val="36"/>
        </w:rPr>
        <w:t>投标人资格声明书</w:t>
      </w:r>
    </w:p>
    <w:p w14:paraId="1ABD0D0C">
      <w:pPr>
        <w:tabs>
          <w:tab w:val="left" w:pos="5580"/>
        </w:tabs>
        <w:spacing w:line="360" w:lineRule="auto"/>
        <w:rPr>
          <w:rFonts w:ascii="宋体" w:hAnsi="宋体"/>
          <w:sz w:val="24"/>
        </w:rPr>
      </w:pPr>
    </w:p>
    <w:p w14:paraId="0EB25A28">
      <w:pPr>
        <w:tabs>
          <w:tab w:val="left" w:pos="5580"/>
        </w:tabs>
        <w:spacing w:line="360" w:lineRule="auto"/>
        <w:rPr>
          <w:rFonts w:ascii="宋体" w:hAnsi="宋体"/>
          <w:sz w:val="24"/>
        </w:rPr>
      </w:pPr>
      <w:r>
        <w:rPr>
          <w:rFonts w:ascii="宋体" w:hAnsi="宋体"/>
          <w:sz w:val="24"/>
        </w:rPr>
        <w:t>致：</w:t>
      </w:r>
      <w:r>
        <w:rPr>
          <w:rFonts w:ascii="宋体" w:hAnsi="宋体"/>
          <w:sz w:val="24"/>
          <w:u w:val="single"/>
        </w:rPr>
        <w:t>采购人或采购代理机构</w:t>
      </w:r>
    </w:p>
    <w:p w14:paraId="7DB73BC5">
      <w:pPr>
        <w:spacing w:line="360" w:lineRule="auto"/>
        <w:ind w:firstLine="480" w:firstLineChars="200"/>
        <w:rPr>
          <w:rFonts w:ascii="宋体" w:hAnsi="宋体"/>
          <w:sz w:val="24"/>
        </w:rPr>
      </w:pPr>
      <w:r>
        <w:rPr>
          <w:rFonts w:ascii="宋体" w:hAnsi="宋体"/>
          <w:sz w:val="24"/>
        </w:rPr>
        <w:t>在参与本次项目投标中，我单位承诺：</w:t>
      </w:r>
    </w:p>
    <w:p w14:paraId="6B74A4E6">
      <w:pPr>
        <w:numPr>
          <w:ilvl w:val="0"/>
          <w:numId w:val="12"/>
        </w:numPr>
        <w:spacing w:line="360" w:lineRule="auto"/>
        <w:ind w:left="1134"/>
        <w:rPr>
          <w:rFonts w:ascii="宋体" w:hAnsi="宋体"/>
          <w:sz w:val="24"/>
          <w:szCs w:val="22"/>
        </w:rPr>
      </w:pPr>
      <w:r>
        <w:rPr>
          <w:rFonts w:ascii="宋体" w:hAnsi="宋体"/>
          <w:sz w:val="24"/>
          <w:szCs w:val="22"/>
        </w:rPr>
        <w:t>具有良好的商业信誉和健全的财务会计制度；</w:t>
      </w:r>
    </w:p>
    <w:p w14:paraId="76543501">
      <w:pPr>
        <w:numPr>
          <w:ilvl w:val="0"/>
          <w:numId w:val="12"/>
        </w:numPr>
        <w:spacing w:line="360" w:lineRule="auto"/>
        <w:ind w:left="1134"/>
        <w:rPr>
          <w:rFonts w:ascii="宋体" w:hAnsi="宋体"/>
          <w:sz w:val="24"/>
          <w:szCs w:val="22"/>
        </w:rPr>
      </w:pPr>
      <w:r>
        <w:rPr>
          <w:rFonts w:ascii="宋体" w:hAnsi="宋体"/>
          <w:sz w:val="24"/>
          <w:szCs w:val="22"/>
        </w:rPr>
        <w:t>具有履行合同所必需的设备和专业技术能力；</w:t>
      </w:r>
    </w:p>
    <w:p w14:paraId="6F0BE341">
      <w:pPr>
        <w:numPr>
          <w:ilvl w:val="0"/>
          <w:numId w:val="12"/>
        </w:numPr>
        <w:spacing w:line="360" w:lineRule="auto"/>
        <w:ind w:left="1134"/>
        <w:rPr>
          <w:rFonts w:ascii="宋体" w:hAnsi="宋体"/>
          <w:sz w:val="24"/>
          <w:szCs w:val="22"/>
        </w:rPr>
      </w:pPr>
      <w:r>
        <w:rPr>
          <w:rFonts w:ascii="宋体" w:hAnsi="宋体"/>
          <w:sz w:val="24"/>
          <w:szCs w:val="22"/>
        </w:rPr>
        <w:t>有依法缴纳税收和社会保障资金的良好记录；</w:t>
      </w:r>
    </w:p>
    <w:p w14:paraId="4CE7AD14">
      <w:pPr>
        <w:numPr>
          <w:ilvl w:val="0"/>
          <w:numId w:val="12"/>
        </w:numPr>
        <w:spacing w:line="360" w:lineRule="auto"/>
        <w:ind w:left="1134"/>
        <w:rPr>
          <w:rFonts w:ascii="宋体" w:hAnsi="宋体"/>
          <w:sz w:val="24"/>
          <w:szCs w:val="22"/>
        </w:rPr>
      </w:pPr>
      <w:r>
        <w:rPr>
          <w:rFonts w:ascii="宋体" w:hAnsi="宋体"/>
          <w:sz w:val="24"/>
          <w:szCs w:val="22"/>
        </w:rPr>
        <w:t>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14:paraId="77FB9B89">
      <w:pPr>
        <w:numPr>
          <w:ilvl w:val="0"/>
          <w:numId w:val="12"/>
        </w:numPr>
        <w:spacing w:line="360" w:lineRule="auto"/>
        <w:ind w:left="1134"/>
        <w:rPr>
          <w:rFonts w:ascii="宋体" w:hAnsi="宋体"/>
          <w:sz w:val="24"/>
          <w:szCs w:val="22"/>
        </w:rPr>
      </w:pPr>
      <w:r>
        <w:rPr>
          <w:rFonts w:hint="eastAsia" w:ascii="宋体" w:hAnsi="宋体"/>
          <w:sz w:val="24"/>
          <w:szCs w:val="22"/>
        </w:rPr>
        <w:t>我单位不属于政府采购法律、行政法规规定的公益一类事业单位、或使用事业编制且由财政拨款保障的群团组织（仅适用于政府购买服务项目）；</w:t>
      </w:r>
    </w:p>
    <w:p w14:paraId="5D478074">
      <w:pPr>
        <w:numPr>
          <w:ilvl w:val="0"/>
          <w:numId w:val="12"/>
        </w:numPr>
        <w:spacing w:line="360" w:lineRule="auto"/>
        <w:ind w:left="1134"/>
        <w:rPr>
          <w:rFonts w:ascii="宋体" w:hAnsi="宋体"/>
          <w:sz w:val="24"/>
          <w:szCs w:val="22"/>
        </w:rPr>
      </w:pPr>
      <w:r>
        <w:rPr>
          <w:rFonts w:ascii="宋体" w:hAnsi="宋体"/>
          <w:sz w:val="24"/>
          <w:szCs w:val="22"/>
        </w:rPr>
        <w:t>我单位不存在为采购项目提供整体设计、规范编制或者项目管理、监理、检测等服务后，再参加该采购项目的其他采购活动的情形（单一来源采购项目除外）；</w:t>
      </w:r>
    </w:p>
    <w:p w14:paraId="14DB9D82">
      <w:pPr>
        <w:numPr>
          <w:ilvl w:val="0"/>
          <w:numId w:val="12"/>
        </w:numPr>
        <w:spacing w:line="360" w:lineRule="auto"/>
        <w:ind w:left="1134"/>
        <w:rPr>
          <w:rFonts w:ascii="宋体" w:hAnsi="宋体"/>
          <w:sz w:val="24"/>
          <w:szCs w:val="22"/>
        </w:rPr>
      </w:pPr>
      <w:r>
        <w:rPr>
          <w:rFonts w:ascii="宋体" w:hAnsi="宋体"/>
          <w:sz w:val="24"/>
          <w:szCs w:val="22"/>
        </w:rPr>
        <w:t>与我单位存在“单位负责人为同一人或者存在直接控股、管理关系”的其他法人单位信息如下（如有，不论其是否参加同一合同项下的政府采购活动均须填写）：</w:t>
      </w:r>
    </w:p>
    <w:tbl>
      <w:tblPr>
        <w:tblStyle w:val="27"/>
        <w:tblW w:w="8500"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50"/>
        <w:gridCol w:w="4574"/>
        <w:gridCol w:w="2976"/>
      </w:tblGrid>
      <w:tr w14:paraId="415DE9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7227B29D">
            <w:pPr>
              <w:jc w:val="center"/>
              <w:rPr>
                <w:rFonts w:ascii="宋体" w:hAnsi="宋体"/>
                <w:sz w:val="24"/>
              </w:rPr>
            </w:pPr>
            <w:r>
              <w:rPr>
                <w:rFonts w:hint="eastAsia" w:ascii="宋体" w:hAnsi="宋体"/>
                <w:sz w:val="24"/>
              </w:rPr>
              <w:t>序号</w:t>
            </w:r>
          </w:p>
        </w:tc>
        <w:tc>
          <w:tcPr>
            <w:tcW w:w="4574" w:type="dxa"/>
            <w:vAlign w:val="center"/>
          </w:tcPr>
          <w:p w14:paraId="051D971B">
            <w:pPr>
              <w:jc w:val="center"/>
              <w:rPr>
                <w:rFonts w:ascii="宋体" w:hAnsi="宋体"/>
                <w:sz w:val="24"/>
              </w:rPr>
            </w:pPr>
            <w:r>
              <w:rPr>
                <w:rFonts w:hint="eastAsia" w:ascii="宋体" w:hAnsi="宋体"/>
                <w:sz w:val="24"/>
              </w:rPr>
              <w:t>单位名称</w:t>
            </w:r>
          </w:p>
        </w:tc>
        <w:tc>
          <w:tcPr>
            <w:tcW w:w="2976" w:type="dxa"/>
            <w:vAlign w:val="center"/>
          </w:tcPr>
          <w:p w14:paraId="4CADF571">
            <w:pPr>
              <w:jc w:val="center"/>
              <w:rPr>
                <w:rFonts w:ascii="宋体" w:hAnsi="宋体"/>
                <w:sz w:val="24"/>
              </w:rPr>
            </w:pPr>
            <w:r>
              <w:rPr>
                <w:rFonts w:hint="eastAsia" w:ascii="宋体" w:hAnsi="宋体"/>
                <w:sz w:val="24"/>
              </w:rPr>
              <w:t>相互关系</w:t>
            </w:r>
          </w:p>
        </w:tc>
      </w:tr>
      <w:tr w14:paraId="6159B2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2B28DA32">
            <w:pPr>
              <w:jc w:val="center"/>
              <w:rPr>
                <w:rFonts w:ascii="宋体" w:hAnsi="宋体"/>
                <w:sz w:val="24"/>
              </w:rPr>
            </w:pPr>
            <w:r>
              <w:rPr>
                <w:rFonts w:hint="eastAsia" w:ascii="宋体" w:hAnsi="宋体"/>
                <w:sz w:val="24"/>
              </w:rPr>
              <w:t>1</w:t>
            </w:r>
          </w:p>
        </w:tc>
        <w:tc>
          <w:tcPr>
            <w:tcW w:w="4574" w:type="dxa"/>
            <w:vAlign w:val="center"/>
          </w:tcPr>
          <w:p w14:paraId="1356A5C6">
            <w:pPr>
              <w:jc w:val="center"/>
              <w:rPr>
                <w:rFonts w:ascii="宋体" w:hAnsi="宋体"/>
                <w:sz w:val="24"/>
              </w:rPr>
            </w:pPr>
          </w:p>
        </w:tc>
        <w:tc>
          <w:tcPr>
            <w:tcW w:w="2976" w:type="dxa"/>
            <w:vAlign w:val="center"/>
          </w:tcPr>
          <w:p w14:paraId="27E30C10">
            <w:pPr>
              <w:jc w:val="center"/>
              <w:rPr>
                <w:rFonts w:ascii="宋体" w:hAnsi="宋体"/>
                <w:sz w:val="24"/>
              </w:rPr>
            </w:pPr>
          </w:p>
        </w:tc>
      </w:tr>
      <w:tr w14:paraId="048A28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724A3B72">
            <w:pPr>
              <w:jc w:val="center"/>
              <w:rPr>
                <w:rFonts w:ascii="宋体" w:hAnsi="宋体"/>
                <w:sz w:val="24"/>
              </w:rPr>
            </w:pPr>
            <w:r>
              <w:rPr>
                <w:rFonts w:hint="eastAsia" w:ascii="宋体" w:hAnsi="宋体"/>
                <w:sz w:val="24"/>
              </w:rPr>
              <w:t>2</w:t>
            </w:r>
          </w:p>
        </w:tc>
        <w:tc>
          <w:tcPr>
            <w:tcW w:w="4574" w:type="dxa"/>
            <w:vAlign w:val="center"/>
          </w:tcPr>
          <w:p w14:paraId="0D1F2ECA">
            <w:pPr>
              <w:jc w:val="center"/>
              <w:rPr>
                <w:rFonts w:ascii="宋体" w:hAnsi="宋体"/>
                <w:sz w:val="24"/>
              </w:rPr>
            </w:pPr>
          </w:p>
        </w:tc>
        <w:tc>
          <w:tcPr>
            <w:tcW w:w="2976" w:type="dxa"/>
            <w:vAlign w:val="center"/>
          </w:tcPr>
          <w:p w14:paraId="3A0CE37D">
            <w:pPr>
              <w:jc w:val="center"/>
              <w:rPr>
                <w:rFonts w:ascii="宋体" w:hAnsi="宋体"/>
                <w:sz w:val="24"/>
              </w:rPr>
            </w:pPr>
          </w:p>
        </w:tc>
      </w:tr>
      <w:tr w14:paraId="197BDF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51472DB2">
            <w:pPr>
              <w:jc w:val="center"/>
              <w:rPr>
                <w:rFonts w:ascii="宋体" w:hAnsi="宋体"/>
                <w:sz w:val="24"/>
              </w:rPr>
            </w:pPr>
            <w:r>
              <w:rPr>
                <w:rFonts w:hint="eastAsia" w:ascii="宋体" w:hAnsi="宋体"/>
                <w:sz w:val="24"/>
              </w:rPr>
              <w:t>…</w:t>
            </w:r>
          </w:p>
        </w:tc>
        <w:tc>
          <w:tcPr>
            <w:tcW w:w="4574" w:type="dxa"/>
            <w:vAlign w:val="center"/>
          </w:tcPr>
          <w:p w14:paraId="20F11756">
            <w:pPr>
              <w:jc w:val="center"/>
              <w:rPr>
                <w:rFonts w:ascii="宋体" w:hAnsi="宋体"/>
                <w:sz w:val="24"/>
              </w:rPr>
            </w:pPr>
          </w:p>
        </w:tc>
        <w:tc>
          <w:tcPr>
            <w:tcW w:w="2976" w:type="dxa"/>
            <w:vAlign w:val="center"/>
          </w:tcPr>
          <w:p w14:paraId="57D23D74">
            <w:pPr>
              <w:jc w:val="center"/>
              <w:rPr>
                <w:rFonts w:ascii="宋体" w:hAnsi="宋体"/>
                <w:sz w:val="24"/>
              </w:rPr>
            </w:pPr>
          </w:p>
        </w:tc>
      </w:tr>
    </w:tbl>
    <w:p w14:paraId="764FE349">
      <w:pPr>
        <w:ind w:firstLine="480" w:firstLineChars="200"/>
        <w:rPr>
          <w:rFonts w:ascii="宋体" w:hAnsi="宋体"/>
          <w:sz w:val="24"/>
          <w:szCs w:val="22"/>
        </w:rPr>
      </w:pPr>
      <w:r>
        <w:rPr>
          <w:rFonts w:ascii="宋体" w:hAnsi="宋体"/>
          <w:sz w:val="24"/>
        </w:rPr>
        <w:t>上述声明真实有效，否则我方负全部责任。</w:t>
      </w:r>
    </w:p>
    <w:p w14:paraId="12D288DD">
      <w:pPr>
        <w:spacing w:line="360" w:lineRule="auto"/>
        <w:rPr>
          <w:rFonts w:ascii="宋体" w:hAnsi="宋体"/>
          <w:sz w:val="24"/>
        </w:rPr>
      </w:pPr>
    </w:p>
    <w:p w14:paraId="720FA11A">
      <w:pPr>
        <w:wordWrap w:val="0"/>
        <w:autoSpaceDE w:val="0"/>
        <w:autoSpaceDN w:val="0"/>
        <w:adjustRightInd w:val="0"/>
        <w:snapToGrid w:val="0"/>
        <w:spacing w:before="25" w:after="25" w:line="360" w:lineRule="auto"/>
        <w:jc w:val="center"/>
        <w:rPr>
          <w:rFonts w:ascii="宋体" w:hAnsi="宋体"/>
          <w:sz w:val="24"/>
          <w:u w:val="single"/>
        </w:rPr>
      </w:pPr>
      <w:r>
        <w:rPr>
          <w:rFonts w:hint="eastAsia" w:ascii="宋体" w:hAnsi="宋体"/>
          <w:sz w:val="24"/>
        </w:rPr>
        <w:t xml:space="preserve">                              </w:t>
      </w:r>
      <w:r>
        <w:rPr>
          <w:rFonts w:ascii="宋体" w:hAnsi="宋体"/>
          <w:sz w:val="24"/>
        </w:rPr>
        <w:t>投标人名称（加盖公章）</w:t>
      </w:r>
      <w:r>
        <w:rPr>
          <w:rFonts w:ascii="宋体" w:hAnsi="宋体"/>
          <w:sz w:val="24"/>
          <w:lang w:val="zh-CN"/>
        </w:rPr>
        <w:t>：</w:t>
      </w:r>
      <w:r>
        <w:rPr>
          <w:rFonts w:hint="eastAsia" w:ascii="宋体" w:hAnsi="宋体"/>
          <w:sz w:val="24"/>
          <w:u w:val="single"/>
        </w:rPr>
        <w:t xml:space="preserve">             </w:t>
      </w:r>
    </w:p>
    <w:p w14:paraId="69EC95A4">
      <w:pPr>
        <w:spacing w:line="360" w:lineRule="auto"/>
        <w:ind w:right="360" w:firstLine="480"/>
        <w:jc w:val="right"/>
        <w:rPr>
          <w:rFonts w:ascii="宋体" w:hAnsi="宋体"/>
          <w:sz w:val="24"/>
        </w:rPr>
      </w:pPr>
      <w:r>
        <w:rPr>
          <w:rFonts w:ascii="宋体" w:hAnsi="宋体"/>
          <w:sz w:val="24"/>
          <w:szCs w:val="20"/>
        </w:rPr>
        <w:t>日期：_____年______月______日</w:t>
      </w:r>
    </w:p>
    <w:p w14:paraId="6A13866A">
      <w:pPr>
        <w:spacing w:line="360" w:lineRule="auto"/>
        <w:rPr>
          <w:rFonts w:ascii="宋体" w:hAnsi="宋体"/>
          <w:sz w:val="24"/>
        </w:rPr>
      </w:pPr>
      <w:r>
        <w:rPr>
          <w:rFonts w:ascii="宋体" w:hAnsi="宋体"/>
          <w:sz w:val="24"/>
        </w:rPr>
        <w:t>说明：</w:t>
      </w:r>
      <w:r>
        <w:rPr>
          <w:rFonts w:hint="eastAsia" w:ascii="宋体" w:hAnsi="宋体"/>
          <w:sz w:val="24"/>
        </w:rPr>
        <w:t>供应商承诺不实的，依据《中华人民共和国政府采购法》第七十七条“提供虚假材料谋取中标、成交的”有关规定予以处理</w:t>
      </w:r>
      <w:r>
        <w:rPr>
          <w:rFonts w:ascii="宋体" w:hAnsi="宋体"/>
          <w:sz w:val="24"/>
        </w:rPr>
        <w:t>。</w:t>
      </w:r>
    </w:p>
    <w:p w14:paraId="04FAA17F">
      <w:pPr>
        <w:tabs>
          <w:tab w:val="left" w:pos="5580"/>
        </w:tabs>
        <w:spacing w:line="360" w:lineRule="auto"/>
        <w:rPr>
          <w:rFonts w:ascii="宋体" w:hAnsi="宋体"/>
          <w:sz w:val="24"/>
        </w:rPr>
        <w:sectPr>
          <w:headerReference r:id="rId18" w:type="default"/>
          <w:footerReference r:id="rId19" w:type="default"/>
          <w:pgSz w:w="11907" w:h="16840"/>
          <w:pgMar w:top="1440" w:right="1800" w:bottom="1440" w:left="1800" w:header="851" w:footer="851" w:gutter="0"/>
          <w:cols w:space="720" w:num="1"/>
          <w:docGrid w:linePitch="462" w:charSpace="0"/>
        </w:sectPr>
      </w:pPr>
    </w:p>
    <w:p w14:paraId="40EBE0E1">
      <w:pPr>
        <w:spacing w:line="360" w:lineRule="auto"/>
        <w:outlineLvl w:val="2"/>
        <w:rPr>
          <w:rFonts w:ascii="宋体" w:hAnsi="宋体"/>
          <w:sz w:val="24"/>
          <w:szCs w:val="20"/>
        </w:rPr>
      </w:pPr>
      <w:r>
        <w:rPr>
          <w:rFonts w:ascii="宋体" w:hAnsi="宋体"/>
          <w:sz w:val="24"/>
          <w:szCs w:val="20"/>
        </w:rPr>
        <w:t>2 落实政府采购政策需满足的资格要求（如有）</w:t>
      </w:r>
    </w:p>
    <w:p w14:paraId="2B0EA256">
      <w:pPr>
        <w:spacing w:line="360" w:lineRule="auto"/>
        <w:outlineLvl w:val="2"/>
        <w:rPr>
          <w:rFonts w:ascii="宋体" w:hAnsi="宋体"/>
          <w:sz w:val="24"/>
          <w:szCs w:val="20"/>
        </w:rPr>
      </w:pPr>
      <w:r>
        <w:rPr>
          <w:rFonts w:ascii="宋体" w:hAnsi="宋体"/>
          <w:sz w:val="24"/>
          <w:szCs w:val="20"/>
        </w:rPr>
        <w:t>2-1 中小企业政策证明文件</w:t>
      </w:r>
    </w:p>
    <w:p w14:paraId="505C3D14">
      <w:pPr>
        <w:tabs>
          <w:tab w:val="left" w:pos="5580"/>
        </w:tabs>
        <w:spacing w:line="360" w:lineRule="auto"/>
        <w:rPr>
          <w:rFonts w:ascii="宋体" w:hAnsi="宋体"/>
          <w:sz w:val="24"/>
        </w:rPr>
      </w:pPr>
      <w:r>
        <w:rPr>
          <w:rFonts w:ascii="宋体" w:hAnsi="宋体"/>
          <w:sz w:val="24"/>
        </w:rPr>
        <w:t>说明：</w:t>
      </w:r>
    </w:p>
    <w:p w14:paraId="5F3ADA97">
      <w:pPr>
        <w:tabs>
          <w:tab w:val="left" w:pos="5580"/>
        </w:tabs>
        <w:spacing w:line="360" w:lineRule="auto"/>
        <w:rPr>
          <w:rFonts w:ascii="宋体" w:hAnsi="宋体"/>
          <w:sz w:val="24"/>
        </w:rPr>
      </w:pPr>
      <w:r>
        <w:rPr>
          <w:rFonts w:ascii="宋体" w:hAnsi="宋体"/>
          <w:sz w:val="24"/>
        </w:rPr>
        <w:t>（1）如本项目（包）不专门面向中小企业预留采购份额，资格证明文件部分无需提供《中小企业声明函》或《残疾人福利性单位声明函》或由省级以上监狱管理局、戒毒管理局（含新疆生产建设兵团）出具的属于监狱企业的证明文件；供应商如具有上述证明文件，建议在商务技术文件中提供。</w:t>
      </w:r>
    </w:p>
    <w:p w14:paraId="5E77BA3C">
      <w:pPr>
        <w:tabs>
          <w:tab w:val="left" w:pos="5580"/>
        </w:tabs>
        <w:spacing w:line="360" w:lineRule="auto"/>
        <w:rPr>
          <w:rFonts w:ascii="宋体" w:hAnsi="宋体"/>
          <w:sz w:val="24"/>
        </w:rPr>
      </w:pPr>
      <w:r>
        <w:rPr>
          <w:rFonts w:ascii="宋体" w:hAnsi="宋体"/>
          <w:sz w:val="24"/>
        </w:rPr>
        <w:t>（2）如本项目（包）专门面向中小企业采购，投标文件中须提供《中小企业声明函》或《残疾人福利性单位声明函》或由省级以上监狱管理局、戒毒管理局（含新疆生产建设兵团）出具的属于监狱企业的证明文件，且建议在资格证明文件部分提供。</w:t>
      </w:r>
    </w:p>
    <w:p w14:paraId="7CE3D465">
      <w:pPr>
        <w:tabs>
          <w:tab w:val="left" w:pos="5580"/>
        </w:tabs>
        <w:spacing w:line="360" w:lineRule="auto"/>
        <w:rPr>
          <w:rFonts w:ascii="宋体" w:hAnsi="宋体"/>
          <w:sz w:val="24"/>
        </w:rPr>
      </w:pPr>
      <w:r>
        <w:rPr>
          <w:rFonts w:ascii="宋体" w:hAnsi="宋体"/>
          <w:sz w:val="24"/>
        </w:rPr>
        <w:t>（3）如本项目（包）预留部分采购项目预算专门面向中小企业采购，且要求获得采购合同的供应商将采购项目中的一定比例分包给一家或者多家中小企业的，如供应商因落实政府采购政策拟进行分包的，投标文件中除须提供《中小企业声明函》或《残疾人福利性单位声明函》或由省级以上监狱管理局、戒毒管理局（含新疆生产建设兵团）出具的属于监狱企业的证明文件，还须同时提供《拟分包情况说明》及《分包意向协议》，且建议在资格证明文件部分提供。</w:t>
      </w:r>
    </w:p>
    <w:p w14:paraId="46DF8B1F">
      <w:pPr>
        <w:tabs>
          <w:tab w:val="left" w:pos="5580"/>
        </w:tabs>
        <w:spacing w:line="360" w:lineRule="auto"/>
        <w:rPr>
          <w:rFonts w:ascii="宋体" w:hAnsi="宋体"/>
          <w:sz w:val="24"/>
        </w:rPr>
      </w:pPr>
      <w:r>
        <w:rPr>
          <w:rFonts w:ascii="宋体" w:hAnsi="宋体"/>
          <w:sz w:val="24"/>
        </w:rPr>
        <w:t>（4）如本项目（包）预留部分采购项目预算专门面向中小企业采购，且要求供应商以联合体形式参加采购活动</w:t>
      </w:r>
      <w:r>
        <w:rPr>
          <w:rFonts w:ascii="宋体" w:hAnsi="宋体"/>
        </w:rPr>
        <w:t>，</w:t>
      </w:r>
      <w:bookmarkStart w:id="801" w:name="_Hlk145526067"/>
      <w:r>
        <w:rPr>
          <w:rFonts w:ascii="宋体" w:hAnsi="宋体"/>
          <w:sz w:val="24"/>
        </w:rPr>
        <w:t>如供应商为联合体的，</w:t>
      </w:r>
      <w:bookmarkEnd w:id="801"/>
      <w:r>
        <w:rPr>
          <w:rFonts w:ascii="宋体" w:hAnsi="宋体"/>
          <w:sz w:val="24"/>
        </w:rPr>
        <w:t>投标文件中除须提供《中小企业声明函》或《残疾人福利性单位声明函》或由省级以上监狱管理局、戒毒管理局（含新疆生产建设兵团）出具的属于监狱企业的证明文件，还须同时提供《联合协议》；上述文件建议在资格证明文件部分提供。</w:t>
      </w:r>
    </w:p>
    <w:p w14:paraId="4943A8E4">
      <w:pPr>
        <w:tabs>
          <w:tab w:val="left" w:pos="5580"/>
        </w:tabs>
        <w:spacing w:line="360" w:lineRule="auto"/>
        <w:rPr>
          <w:rFonts w:ascii="宋体" w:hAnsi="宋体"/>
          <w:sz w:val="24"/>
        </w:rPr>
      </w:pPr>
      <w:r>
        <w:rPr>
          <w:rFonts w:ascii="宋体" w:hAnsi="宋体"/>
          <w:sz w:val="24"/>
        </w:rPr>
        <w:t>（5）中小企业声明函填写注意事项</w:t>
      </w:r>
    </w:p>
    <w:p w14:paraId="2838E30C">
      <w:pPr>
        <w:tabs>
          <w:tab w:val="left" w:pos="5580"/>
        </w:tabs>
        <w:spacing w:line="360" w:lineRule="auto"/>
        <w:rPr>
          <w:rFonts w:ascii="宋体" w:hAnsi="宋体"/>
          <w:sz w:val="24"/>
        </w:rPr>
      </w:pPr>
      <w:r>
        <w:rPr>
          <w:rFonts w:ascii="宋体" w:hAnsi="宋体"/>
          <w:sz w:val="24"/>
        </w:rPr>
        <w:t>1）《中小企业声明函》由参加政府采购活动的投标人出具。联合体投标的，《中小企业声明函》可由牵头人出具。</w:t>
      </w:r>
    </w:p>
    <w:p w14:paraId="4EDA2969">
      <w:pPr>
        <w:tabs>
          <w:tab w:val="left" w:pos="5580"/>
        </w:tabs>
        <w:spacing w:line="360" w:lineRule="auto"/>
        <w:rPr>
          <w:rFonts w:ascii="宋体" w:hAnsi="宋体"/>
          <w:sz w:val="24"/>
        </w:rPr>
      </w:pPr>
      <w:r>
        <w:rPr>
          <w:rFonts w:ascii="宋体" w:hAnsi="宋体"/>
          <w:sz w:val="24"/>
        </w:rPr>
        <w:t>2）对于联合体中由中小企业承担的部分，或者分包给中小企业的部分，必须全部由中小企业制造、承建或者承接。供应商应当在声明函“标的名称”部分标明联合体中中小企业承担的具体内容或者中小企业的具体分包内容。</w:t>
      </w:r>
    </w:p>
    <w:p w14:paraId="2A0DF979">
      <w:pPr>
        <w:tabs>
          <w:tab w:val="left" w:pos="5580"/>
        </w:tabs>
        <w:spacing w:line="360" w:lineRule="auto"/>
        <w:rPr>
          <w:rFonts w:ascii="宋体" w:hAnsi="宋体"/>
          <w:sz w:val="24"/>
        </w:rPr>
      </w:pPr>
      <w:r>
        <w:rPr>
          <w:rFonts w:ascii="宋体" w:hAnsi="宋体"/>
          <w:sz w:val="24"/>
        </w:rPr>
        <w:t>3）对于多标的采购项目，投标人应充分、准确地了解所提供货物的制造企业、提供服务的承接企业信息。对相关情况了解不清楚的，不建议填报本声明函。</w:t>
      </w:r>
    </w:p>
    <w:p w14:paraId="4B05566B">
      <w:pPr>
        <w:tabs>
          <w:tab w:val="left" w:pos="5580"/>
        </w:tabs>
        <w:spacing w:line="360" w:lineRule="auto"/>
        <w:rPr>
          <w:rFonts w:ascii="宋体" w:hAnsi="宋体" w:cs="宋体"/>
          <w:snapToGrid w:val="0"/>
          <w:kern w:val="0"/>
          <w:sz w:val="24"/>
        </w:rPr>
      </w:pPr>
      <w:r>
        <w:rPr>
          <w:rFonts w:ascii="宋体" w:hAnsi="宋体"/>
          <w:sz w:val="24"/>
        </w:rPr>
        <w:t>（6）温馨提示：为方便广大中小企业识别企业规模类型，工业和信息化部组织开发了中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2011﹞300号）》及</w:t>
      </w:r>
      <w:r>
        <w:rPr>
          <w:rFonts w:hint="eastAsia" w:ascii="宋体" w:hAnsi="宋体"/>
          <w:sz w:val="24"/>
        </w:rPr>
        <w:t>《金融业企业划型标准规定》（银发〔</w:t>
      </w:r>
      <w:r>
        <w:rPr>
          <w:rFonts w:ascii="宋体" w:hAnsi="宋体"/>
          <w:sz w:val="24"/>
        </w:rPr>
        <w:t>2015</w:t>
      </w:r>
      <w:r>
        <w:rPr>
          <w:rFonts w:hint="eastAsia" w:ascii="宋体" w:hAnsi="宋体"/>
          <w:sz w:val="24"/>
        </w:rPr>
        <w:t>〕</w:t>
      </w:r>
      <w:r>
        <w:rPr>
          <w:rFonts w:ascii="宋体" w:hAnsi="宋体"/>
          <w:sz w:val="24"/>
        </w:rPr>
        <w:t>309</w:t>
      </w:r>
      <w:r>
        <w:rPr>
          <w:rFonts w:hint="eastAsia" w:ascii="宋体" w:hAnsi="宋体"/>
          <w:sz w:val="24"/>
        </w:rPr>
        <w:t>号）等国务院批准的中小企业划分标准执行</w:t>
      </w:r>
      <w:r>
        <w:rPr>
          <w:rFonts w:ascii="宋体" w:hAnsi="宋体"/>
          <w:sz w:val="24"/>
        </w:rPr>
        <w:t>。</w:t>
      </w:r>
    </w:p>
    <w:p w14:paraId="4F6D75AF">
      <w:pPr>
        <w:tabs>
          <w:tab w:val="left" w:pos="5580"/>
        </w:tabs>
        <w:spacing w:line="360" w:lineRule="auto"/>
        <w:rPr>
          <w:rFonts w:ascii="宋体" w:hAnsi="宋体"/>
          <w:sz w:val="24"/>
        </w:rPr>
      </w:pPr>
    </w:p>
    <w:p w14:paraId="7AE550C5">
      <w:pPr>
        <w:widowControl/>
        <w:jc w:val="left"/>
        <w:rPr>
          <w:rFonts w:ascii="宋体" w:hAnsi="宋体"/>
          <w:b/>
          <w:bCs/>
          <w:sz w:val="36"/>
          <w:szCs w:val="36"/>
        </w:rPr>
      </w:pPr>
      <w:r>
        <w:rPr>
          <w:rFonts w:ascii="宋体" w:hAnsi="宋体"/>
          <w:sz w:val="24"/>
        </w:rPr>
        <w:br w:type="page"/>
      </w:r>
    </w:p>
    <w:p w14:paraId="107168E2">
      <w:pPr>
        <w:pStyle w:val="8"/>
        <w:rPr>
          <w:rFonts w:ascii="宋体" w:hAnsi="宋体"/>
        </w:rPr>
      </w:pPr>
      <w:r>
        <w:rPr>
          <w:rFonts w:ascii="宋体" w:hAnsi="宋体"/>
        </w:rPr>
        <w:t>2-1-1 中小企业证明文件</w:t>
      </w:r>
    </w:p>
    <w:p w14:paraId="1150B928">
      <w:pPr>
        <w:spacing w:before="240" w:beforeLines="100" w:after="240" w:afterLines="100" w:line="360" w:lineRule="auto"/>
        <w:jc w:val="center"/>
        <w:rPr>
          <w:rFonts w:ascii="宋体" w:hAnsi="宋体"/>
          <w:b/>
          <w:sz w:val="36"/>
          <w:szCs w:val="36"/>
        </w:rPr>
      </w:pPr>
      <w:r>
        <w:rPr>
          <w:rFonts w:ascii="宋体" w:hAnsi="宋体"/>
          <w:b/>
          <w:bCs/>
          <w:sz w:val="36"/>
          <w:szCs w:val="36"/>
        </w:rPr>
        <w:t>中小企业声明函（货物）格式</w:t>
      </w:r>
    </w:p>
    <w:p w14:paraId="508C6476">
      <w:pPr>
        <w:spacing w:line="360" w:lineRule="auto"/>
        <w:ind w:firstLine="504"/>
        <w:rPr>
          <w:rFonts w:ascii="宋体" w:hAnsi="宋体"/>
          <w:sz w:val="24"/>
        </w:rPr>
      </w:pPr>
      <w:r>
        <w:rPr>
          <w:rFonts w:ascii="宋体" w:hAnsi="宋体"/>
          <w:sz w:val="24"/>
        </w:rPr>
        <w:t>本公司（联合体）郑重声明，根据《政府采购促进中小企业发展管理办法》（财库﹝2020﹞46 号）的规定，本公司（联合体）参加_____（单位名称）的_____（项目名称）采购活动，提供的货物全部由符合政策要求的中小企业制造。相关企业（含联合体中的中小企业、签订分包意向协议的中小企业）的具体情况如下：</w:t>
      </w:r>
    </w:p>
    <w:p w14:paraId="39298E09">
      <w:pPr>
        <w:spacing w:line="360" w:lineRule="auto"/>
        <w:ind w:firstLine="504"/>
        <w:rPr>
          <w:rFonts w:ascii="宋体" w:hAnsi="宋体"/>
          <w:sz w:val="24"/>
        </w:rPr>
      </w:pPr>
      <w:r>
        <w:rPr>
          <w:rFonts w:ascii="宋体" w:hAnsi="宋体"/>
          <w:sz w:val="24"/>
        </w:rPr>
        <w:t>1.</w:t>
      </w:r>
      <w:r>
        <w:rPr>
          <w:rFonts w:ascii="宋体" w:hAnsi="宋体"/>
          <w:sz w:val="24"/>
          <w:u w:val="single"/>
        </w:rPr>
        <w:t>（标的名称）</w:t>
      </w:r>
      <w:r>
        <w:rPr>
          <w:rFonts w:ascii="宋体" w:hAnsi="宋体"/>
          <w:sz w:val="24"/>
        </w:rPr>
        <w:t>，属于</w:t>
      </w:r>
      <w:r>
        <w:rPr>
          <w:rFonts w:ascii="宋体" w:hAnsi="宋体"/>
          <w:sz w:val="24"/>
          <w:u w:val="single"/>
        </w:rPr>
        <w:t>（采购文件中明确的所属行业）</w:t>
      </w:r>
      <w:r>
        <w:rPr>
          <w:rFonts w:ascii="宋体" w:hAnsi="宋体"/>
          <w:sz w:val="24"/>
        </w:rPr>
        <w:t>行业；制造商为</w:t>
      </w:r>
      <w:r>
        <w:rPr>
          <w:rFonts w:ascii="宋体" w:hAnsi="宋体"/>
          <w:sz w:val="24"/>
          <w:u w:val="single"/>
        </w:rPr>
        <w:t>（企业名称）</w:t>
      </w:r>
      <w:r>
        <w:rPr>
          <w:rFonts w:ascii="宋体" w:hAnsi="宋体"/>
          <w:sz w:val="24"/>
        </w:rPr>
        <w:t>，从业人员______人，营业收入为______万元，资产总额为______万元</w:t>
      </w:r>
      <w:r>
        <w:rPr>
          <w:rFonts w:ascii="宋体" w:hAnsi="宋体"/>
          <w:sz w:val="24"/>
          <w:vertAlign w:val="superscript"/>
        </w:rPr>
        <w:t>1</w:t>
      </w:r>
      <w:r>
        <w:rPr>
          <w:rFonts w:ascii="宋体" w:hAnsi="宋体"/>
          <w:sz w:val="24"/>
        </w:rPr>
        <w:t>，属于_____（中型企业、小型企业、微型企业）；</w:t>
      </w:r>
    </w:p>
    <w:p w14:paraId="4E4500E7">
      <w:pPr>
        <w:spacing w:line="360" w:lineRule="auto"/>
        <w:ind w:firstLine="504"/>
        <w:rPr>
          <w:rFonts w:ascii="宋体" w:hAnsi="宋体"/>
          <w:sz w:val="24"/>
        </w:rPr>
      </w:pPr>
      <w:r>
        <w:rPr>
          <w:rFonts w:ascii="宋体" w:hAnsi="宋体"/>
          <w:sz w:val="24"/>
        </w:rPr>
        <w:t>2.</w:t>
      </w:r>
      <w:r>
        <w:rPr>
          <w:rFonts w:ascii="宋体" w:hAnsi="宋体"/>
          <w:sz w:val="24"/>
          <w:u w:val="single"/>
        </w:rPr>
        <w:t>（标的名称）</w:t>
      </w:r>
      <w:r>
        <w:rPr>
          <w:rFonts w:ascii="宋体" w:hAnsi="宋体"/>
          <w:sz w:val="24"/>
        </w:rPr>
        <w:t>，属于</w:t>
      </w:r>
      <w:r>
        <w:rPr>
          <w:rFonts w:ascii="宋体" w:hAnsi="宋体"/>
          <w:sz w:val="24"/>
          <w:u w:val="single"/>
        </w:rPr>
        <w:t>（采购文件中明确的所属行业）</w:t>
      </w:r>
      <w:r>
        <w:rPr>
          <w:rFonts w:ascii="宋体" w:hAnsi="宋体"/>
          <w:sz w:val="24"/>
        </w:rPr>
        <w:t>行业；制造商为</w:t>
      </w:r>
      <w:r>
        <w:rPr>
          <w:rFonts w:ascii="宋体" w:hAnsi="宋体"/>
          <w:sz w:val="24"/>
          <w:u w:val="single"/>
        </w:rPr>
        <w:t>（企业名称）</w:t>
      </w:r>
      <w:r>
        <w:rPr>
          <w:rFonts w:ascii="宋体" w:hAnsi="宋体"/>
          <w:sz w:val="24"/>
        </w:rPr>
        <w:t>，从业人员______人，营业收入为______万元，资产总额为______万元，属于_____（中型企业、小型企业、微型企业）；</w:t>
      </w:r>
    </w:p>
    <w:p w14:paraId="27FC5477">
      <w:pPr>
        <w:spacing w:line="360" w:lineRule="auto"/>
        <w:ind w:firstLine="504"/>
        <w:rPr>
          <w:rFonts w:ascii="宋体" w:hAnsi="宋体"/>
          <w:sz w:val="24"/>
        </w:rPr>
      </w:pPr>
      <w:r>
        <w:rPr>
          <w:rFonts w:ascii="宋体" w:hAnsi="宋体"/>
          <w:sz w:val="24"/>
        </w:rPr>
        <w:t>……</w:t>
      </w:r>
    </w:p>
    <w:p w14:paraId="2888C2AB">
      <w:pPr>
        <w:spacing w:line="360" w:lineRule="auto"/>
        <w:ind w:firstLine="504"/>
        <w:rPr>
          <w:rFonts w:ascii="宋体" w:hAnsi="宋体"/>
          <w:sz w:val="24"/>
        </w:rPr>
      </w:pPr>
      <w:r>
        <w:rPr>
          <w:rFonts w:ascii="宋体" w:hAnsi="宋体"/>
          <w:sz w:val="24"/>
        </w:rPr>
        <w:t>以上企业，不属于大企业的分支机构，不存在控股股东为大企业的情形，也不存在与大企业的负责人为同一人的情形。</w:t>
      </w:r>
    </w:p>
    <w:p w14:paraId="5CA2309C">
      <w:pPr>
        <w:spacing w:line="360" w:lineRule="auto"/>
        <w:ind w:firstLine="504"/>
        <w:rPr>
          <w:rFonts w:ascii="宋体" w:hAnsi="宋体"/>
          <w:sz w:val="24"/>
        </w:rPr>
      </w:pPr>
      <w:r>
        <w:rPr>
          <w:rFonts w:ascii="宋体" w:hAnsi="宋体"/>
          <w:sz w:val="24"/>
        </w:rPr>
        <w:t>本企业对上述声明内容的真实性负责。如有虚假，将依法承担相应责任。</w:t>
      </w:r>
    </w:p>
    <w:p w14:paraId="3E0EDDE8">
      <w:pPr>
        <w:spacing w:line="360" w:lineRule="auto"/>
        <w:ind w:firstLine="504"/>
        <w:rPr>
          <w:rFonts w:ascii="宋体" w:hAnsi="宋体"/>
          <w:sz w:val="24"/>
        </w:rPr>
      </w:pPr>
    </w:p>
    <w:p w14:paraId="4871D237">
      <w:pPr>
        <w:spacing w:line="360" w:lineRule="auto"/>
        <w:ind w:right="360" w:firstLine="480"/>
        <w:jc w:val="right"/>
        <w:rPr>
          <w:rFonts w:ascii="宋体" w:hAnsi="宋体"/>
          <w:sz w:val="24"/>
        </w:rPr>
      </w:pPr>
      <w:r>
        <w:rPr>
          <w:rFonts w:ascii="宋体" w:hAnsi="宋体"/>
          <w:sz w:val="24"/>
        </w:rPr>
        <w:t>企业名称（盖章）：________</w:t>
      </w:r>
    </w:p>
    <w:p w14:paraId="58D7210D">
      <w:pPr>
        <w:spacing w:line="360" w:lineRule="auto"/>
        <w:ind w:right="360" w:firstLine="480"/>
        <w:jc w:val="right"/>
        <w:rPr>
          <w:rFonts w:ascii="宋体" w:hAnsi="宋体"/>
          <w:sz w:val="24"/>
        </w:rPr>
      </w:pPr>
      <w:r>
        <w:rPr>
          <w:rFonts w:ascii="宋体" w:hAnsi="宋体"/>
          <w:sz w:val="24"/>
        </w:rPr>
        <w:t>日 期：________</w:t>
      </w:r>
    </w:p>
    <w:p w14:paraId="73302FBA">
      <w:pPr>
        <w:spacing w:line="360" w:lineRule="auto"/>
        <w:ind w:right="360" w:firstLine="480"/>
        <w:jc w:val="right"/>
        <w:rPr>
          <w:rFonts w:ascii="宋体" w:hAnsi="宋体"/>
          <w:sz w:val="24"/>
        </w:rPr>
      </w:pPr>
    </w:p>
    <w:p w14:paraId="49DD7B58">
      <w:pPr>
        <w:spacing w:line="360" w:lineRule="auto"/>
        <w:ind w:right="360" w:firstLine="480"/>
        <w:jc w:val="right"/>
        <w:rPr>
          <w:rFonts w:ascii="宋体" w:hAnsi="宋体"/>
          <w:sz w:val="24"/>
        </w:rPr>
      </w:pPr>
    </w:p>
    <w:tbl>
      <w:tblPr>
        <w:tblStyle w:val="27"/>
        <w:tblW w:w="0" w:type="auto"/>
        <w:tblInd w:w="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523"/>
      </w:tblGrid>
      <w:tr w14:paraId="5AD37BC2">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PrEx>
        <w:tc>
          <w:tcPr>
            <w:tcW w:w="8946" w:type="dxa"/>
          </w:tcPr>
          <w:p w14:paraId="0042EBCD">
            <w:pPr>
              <w:adjustRightInd w:val="0"/>
              <w:snapToGrid w:val="0"/>
              <w:jc w:val="left"/>
              <w:rPr>
                <w:rFonts w:ascii="宋体" w:hAnsi="宋体"/>
                <w:szCs w:val="21"/>
              </w:rPr>
            </w:pPr>
            <w:r>
              <w:rPr>
                <w:rFonts w:ascii="宋体" w:hAnsi="宋体"/>
                <w:szCs w:val="21"/>
                <w:vertAlign w:val="superscript"/>
              </w:rPr>
              <w:t>1</w:t>
            </w:r>
            <w:r>
              <w:rPr>
                <w:rFonts w:ascii="宋体" w:hAnsi="宋体"/>
                <w:szCs w:val="21"/>
              </w:rPr>
              <w:t>从业人员、营业收入、资产总额填报上一年度数据，无上一年度数据的新成立企业可不填报。</w:t>
            </w:r>
          </w:p>
        </w:tc>
      </w:tr>
    </w:tbl>
    <w:p w14:paraId="4AD41D61">
      <w:pPr>
        <w:autoSpaceDE w:val="0"/>
        <w:autoSpaceDN w:val="0"/>
        <w:adjustRightInd w:val="0"/>
        <w:ind w:firstLine="420"/>
        <w:jc w:val="left"/>
        <w:rPr>
          <w:rFonts w:ascii="宋体" w:hAnsi="宋体"/>
          <w:sz w:val="24"/>
        </w:rPr>
      </w:pPr>
    </w:p>
    <w:p w14:paraId="0AF7898E">
      <w:pPr>
        <w:rPr>
          <w:rFonts w:ascii="宋体" w:hAnsi="宋体"/>
          <w:b/>
          <w:bCs/>
          <w:sz w:val="36"/>
          <w:szCs w:val="36"/>
        </w:rPr>
      </w:pPr>
      <w:r>
        <w:rPr>
          <w:rFonts w:hint="eastAsia" w:ascii="宋体" w:hAnsi="宋体"/>
          <w:b/>
          <w:bCs/>
          <w:sz w:val="36"/>
          <w:szCs w:val="36"/>
        </w:rPr>
        <w:br w:type="page"/>
      </w:r>
    </w:p>
    <w:p w14:paraId="600F5EC2">
      <w:pPr>
        <w:spacing w:before="240" w:beforeLines="100" w:after="240" w:afterLines="100" w:line="360" w:lineRule="auto"/>
        <w:jc w:val="center"/>
        <w:rPr>
          <w:rFonts w:ascii="宋体" w:hAnsi="宋体"/>
          <w:b/>
          <w:sz w:val="36"/>
          <w:szCs w:val="36"/>
        </w:rPr>
      </w:pPr>
      <w:r>
        <w:rPr>
          <w:rFonts w:ascii="宋体" w:hAnsi="宋体"/>
          <w:b/>
          <w:bCs/>
          <w:sz w:val="36"/>
          <w:szCs w:val="36"/>
        </w:rPr>
        <w:t>残疾人福利性单位声明函格式</w:t>
      </w:r>
      <w:r>
        <w:rPr>
          <w:rFonts w:ascii="宋体" w:hAnsi="宋体"/>
          <w:b/>
          <w:sz w:val="36"/>
          <w:szCs w:val="36"/>
        </w:rPr>
        <w:t xml:space="preserve">       </w:t>
      </w:r>
    </w:p>
    <w:p w14:paraId="73926B9A">
      <w:pPr>
        <w:spacing w:line="588" w:lineRule="exact"/>
        <w:ind w:firstLine="504"/>
        <w:rPr>
          <w:rFonts w:ascii="宋体" w:hAnsi="宋体"/>
          <w:sz w:val="24"/>
        </w:rPr>
      </w:pPr>
      <w:r>
        <w:rPr>
          <w:rFonts w:ascii="宋体" w:hAnsi="宋体"/>
          <w:sz w:val="24"/>
        </w:rPr>
        <w:t>本单位郑重声明，根据《财政部 民政部 中国残疾人联合会关于促进残疾人就业政府采购政策的通知》（财库〔2017〕 141号）的规定，本单位</w:t>
      </w:r>
      <w:r>
        <w:rPr>
          <w:rFonts w:ascii="宋体" w:hAnsi="宋体"/>
          <w:b/>
          <w:sz w:val="24"/>
        </w:rPr>
        <w:t>（请进行选择）</w:t>
      </w:r>
      <w:r>
        <w:rPr>
          <w:rFonts w:ascii="宋体" w:hAnsi="宋体"/>
          <w:sz w:val="24"/>
        </w:rPr>
        <w:t>：</w:t>
      </w:r>
    </w:p>
    <w:p w14:paraId="05CF9CF5">
      <w:pPr>
        <w:spacing w:line="588" w:lineRule="exact"/>
        <w:ind w:firstLine="482"/>
        <w:rPr>
          <w:rFonts w:ascii="宋体" w:hAnsi="宋体"/>
          <w:b/>
          <w:sz w:val="24"/>
        </w:rPr>
      </w:pPr>
      <w:r>
        <w:rPr>
          <w:rFonts w:ascii="宋体" w:hAnsi="宋体"/>
          <w:b/>
          <w:sz w:val="24"/>
        </w:rPr>
        <w:t>□不属于符合条件的残疾人福利性单位。</w:t>
      </w:r>
    </w:p>
    <w:p w14:paraId="545665F3">
      <w:pPr>
        <w:spacing w:line="588" w:lineRule="exact"/>
        <w:ind w:firstLine="482"/>
        <w:rPr>
          <w:rFonts w:ascii="宋体" w:hAnsi="宋体"/>
          <w:sz w:val="24"/>
        </w:rPr>
      </w:pPr>
      <w:r>
        <w:rPr>
          <w:rFonts w:ascii="宋体" w:hAnsi="宋体"/>
          <w:b/>
          <w:sz w:val="24"/>
        </w:rPr>
        <w:t>□属于符合条件的残疾人福利性单位，</w:t>
      </w:r>
      <w:r>
        <w:rPr>
          <w:rFonts w:ascii="宋体" w:hAnsi="宋体"/>
          <w:sz w:val="24"/>
        </w:rPr>
        <w:t>且本单位参加______单位的______项目采购活动提供本单位制造的货物（由本单位承担工程/提供服务），或者提供其他残疾人福利性单位制造的货物（不包括使用非残疾人福利性单位注册商标的货物）。</w:t>
      </w:r>
    </w:p>
    <w:p w14:paraId="65326A7B">
      <w:pPr>
        <w:spacing w:line="588" w:lineRule="exact"/>
        <w:ind w:firstLine="482" w:firstLineChars="200"/>
        <w:rPr>
          <w:rFonts w:ascii="宋体" w:hAnsi="宋体"/>
          <w:sz w:val="24"/>
        </w:rPr>
      </w:pPr>
      <w:r>
        <w:rPr>
          <w:rFonts w:ascii="宋体" w:hAnsi="宋体"/>
          <w:b/>
          <w:sz w:val="24"/>
        </w:rPr>
        <w:t>本单位对上述声明的真实性负责。如有虚假，将依法承担相应责任。</w:t>
      </w:r>
    </w:p>
    <w:p w14:paraId="583F5F70">
      <w:pPr>
        <w:spacing w:line="588" w:lineRule="exact"/>
        <w:ind w:firstLine="480" w:firstLineChars="200"/>
        <w:rPr>
          <w:rFonts w:ascii="宋体" w:hAnsi="宋体"/>
          <w:sz w:val="24"/>
        </w:rPr>
      </w:pPr>
    </w:p>
    <w:p w14:paraId="42DFD5BE">
      <w:pPr>
        <w:spacing w:line="588" w:lineRule="exact"/>
        <w:ind w:firstLine="480" w:firstLineChars="200"/>
        <w:rPr>
          <w:rFonts w:ascii="宋体" w:hAnsi="宋体"/>
          <w:sz w:val="24"/>
        </w:rPr>
      </w:pPr>
    </w:p>
    <w:p w14:paraId="64B44A6A">
      <w:pPr>
        <w:tabs>
          <w:tab w:val="left" w:pos="4860"/>
        </w:tabs>
        <w:spacing w:line="588" w:lineRule="exact"/>
        <w:ind w:right="1560" w:firstLine="480" w:firstLineChars="200"/>
        <w:jc w:val="center"/>
        <w:rPr>
          <w:rFonts w:ascii="宋体" w:hAnsi="宋体"/>
          <w:sz w:val="24"/>
        </w:rPr>
      </w:pPr>
      <w:r>
        <w:rPr>
          <w:rFonts w:ascii="宋体" w:hAnsi="宋体"/>
          <w:sz w:val="24"/>
        </w:rPr>
        <w:t xml:space="preserve">               单位名称（盖章）：</w:t>
      </w:r>
    </w:p>
    <w:p w14:paraId="11B72C13">
      <w:pPr>
        <w:tabs>
          <w:tab w:val="left" w:pos="4860"/>
        </w:tabs>
        <w:spacing w:line="588" w:lineRule="exact"/>
        <w:ind w:right="1560" w:firstLine="480" w:firstLineChars="200"/>
        <w:jc w:val="center"/>
        <w:rPr>
          <w:rFonts w:ascii="宋体" w:hAnsi="宋体"/>
          <w:sz w:val="24"/>
        </w:rPr>
      </w:pPr>
      <w:r>
        <w:rPr>
          <w:rFonts w:ascii="宋体" w:hAnsi="宋体"/>
          <w:sz w:val="24"/>
        </w:rPr>
        <w:t xml:space="preserve">       日  期：</w:t>
      </w:r>
    </w:p>
    <w:p w14:paraId="7F47BE66">
      <w:pPr>
        <w:rPr>
          <w:rFonts w:ascii="宋体" w:hAnsi="宋体"/>
          <w:sz w:val="24"/>
          <w:szCs w:val="20"/>
        </w:rPr>
      </w:pPr>
      <w:r>
        <w:rPr>
          <w:rFonts w:ascii="宋体" w:hAnsi="宋体"/>
          <w:sz w:val="24"/>
          <w:szCs w:val="20"/>
        </w:rPr>
        <w:br w:type="page"/>
      </w:r>
    </w:p>
    <w:p w14:paraId="637BB069">
      <w:pPr>
        <w:spacing w:line="360" w:lineRule="auto"/>
        <w:outlineLvl w:val="2"/>
        <w:rPr>
          <w:rFonts w:ascii="宋体" w:hAnsi="宋体"/>
          <w:sz w:val="24"/>
          <w:szCs w:val="20"/>
        </w:rPr>
      </w:pPr>
      <w:r>
        <w:rPr>
          <w:rFonts w:ascii="宋体" w:hAnsi="宋体"/>
          <w:sz w:val="24"/>
          <w:szCs w:val="20"/>
        </w:rPr>
        <w:t>2-</w:t>
      </w:r>
      <w:r>
        <w:rPr>
          <w:rFonts w:hint="eastAsia" w:ascii="宋体" w:hAnsi="宋体"/>
          <w:sz w:val="24"/>
          <w:szCs w:val="20"/>
        </w:rPr>
        <w:t>2</w:t>
      </w:r>
      <w:r>
        <w:rPr>
          <w:rFonts w:ascii="宋体" w:hAnsi="宋体"/>
          <w:sz w:val="24"/>
        </w:rPr>
        <w:t>其它落实政府采购政策的资格要求</w:t>
      </w:r>
      <w:r>
        <w:rPr>
          <w:rFonts w:ascii="宋体" w:hAnsi="宋体"/>
          <w:sz w:val="24"/>
          <w:szCs w:val="20"/>
        </w:rPr>
        <w:t>（如有）</w:t>
      </w:r>
    </w:p>
    <w:p w14:paraId="1D9C66AA">
      <w:pPr>
        <w:widowControl/>
        <w:jc w:val="left"/>
        <w:rPr>
          <w:rFonts w:ascii="宋体" w:hAnsi="宋体"/>
          <w:sz w:val="24"/>
        </w:rPr>
      </w:pPr>
    </w:p>
    <w:p w14:paraId="51B7B8F3">
      <w:pPr>
        <w:widowControl/>
        <w:jc w:val="left"/>
        <w:rPr>
          <w:rFonts w:ascii="宋体" w:hAnsi="宋体"/>
          <w:sz w:val="24"/>
        </w:rPr>
      </w:pPr>
      <w:r>
        <w:rPr>
          <w:rFonts w:ascii="宋体" w:hAnsi="宋体"/>
          <w:sz w:val="24"/>
        </w:rPr>
        <w:br w:type="page"/>
      </w:r>
    </w:p>
    <w:p w14:paraId="58754B05">
      <w:pPr>
        <w:spacing w:line="360" w:lineRule="auto"/>
        <w:outlineLvl w:val="2"/>
        <w:rPr>
          <w:rFonts w:ascii="宋体" w:hAnsi="宋体"/>
          <w:sz w:val="24"/>
        </w:rPr>
      </w:pPr>
      <w:r>
        <w:rPr>
          <w:rFonts w:ascii="宋体" w:hAnsi="宋体"/>
          <w:sz w:val="24"/>
          <w:szCs w:val="20"/>
        </w:rPr>
        <w:t xml:space="preserve">3 </w:t>
      </w:r>
      <w:r>
        <w:rPr>
          <w:rFonts w:ascii="宋体" w:hAnsi="宋体"/>
          <w:sz w:val="24"/>
        </w:rPr>
        <w:t>本项目的特定资格要求</w:t>
      </w:r>
      <w:r>
        <w:rPr>
          <w:rFonts w:ascii="宋体" w:hAnsi="宋体"/>
          <w:sz w:val="24"/>
          <w:szCs w:val="20"/>
        </w:rPr>
        <w:t>（如有）</w:t>
      </w:r>
    </w:p>
    <w:p w14:paraId="5CA4B6B7">
      <w:pPr>
        <w:pStyle w:val="13"/>
        <w:tabs>
          <w:tab w:val="left" w:pos="5580"/>
        </w:tabs>
        <w:spacing w:line="360" w:lineRule="auto"/>
        <w:ind w:firstLine="480" w:firstLineChars="200"/>
        <w:rPr>
          <w:rFonts w:hint="default" w:hAnsi="宋体" w:cs="Arial"/>
          <w:sz w:val="24"/>
          <w:szCs w:val="24"/>
        </w:rPr>
      </w:pPr>
    </w:p>
    <w:p w14:paraId="2C3C90E8">
      <w:pPr>
        <w:pStyle w:val="13"/>
        <w:tabs>
          <w:tab w:val="left" w:pos="5580"/>
        </w:tabs>
        <w:spacing w:line="360" w:lineRule="auto"/>
        <w:ind w:firstLine="480" w:firstLineChars="200"/>
        <w:rPr>
          <w:rFonts w:hint="default" w:hAnsi="宋体" w:cs="Arial"/>
          <w:sz w:val="24"/>
          <w:szCs w:val="24"/>
        </w:rPr>
      </w:pPr>
    </w:p>
    <w:p w14:paraId="57D8DF1A">
      <w:pPr>
        <w:pStyle w:val="13"/>
        <w:tabs>
          <w:tab w:val="left" w:pos="5580"/>
        </w:tabs>
        <w:spacing w:line="360" w:lineRule="auto"/>
        <w:ind w:firstLine="480" w:firstLineChars="200"/>
        <w:rPr>
          <w:rFonts w:hint="default" w:hAnsi="宋体" w:cs="Arial"/>
          <w:sz w:val="24"/>
          <w:szCs w:val="24"/>
        </w:rPr>
      </w:pPr>
    </w:p>
    <w:p w14:paraId="0D93C9F3">
      <w:pPr>
        <w:pStyle w:val="13"/>
        <w:tabs>
          <w:tab w:val="left" w:pos="5580"/>
        </w:tabs>
        <w:spacing w:line="360" w:lineRule="auto"/>
        <w:ind w:firstLine="480" w:firstLineChars="200"/>
        <w:rPr>
          <w:rFonts w:hint="default" w:hAnsi="宋体" w:cs="Arial"/>
          <w:sz w:val="24"/>
          <w:szCs w:val="24"/>
        </w:rPr>
      </w:pPr>
      <w:r>
        <w:rPr>
          <w:rFonts w:hAnsi="宋体" w:cs="Arial"/>
          <w:sz w:val="24"/>
          <w:szCs w:val="24"/>
        </w:rPr>
        <w:t>（1）在“信用中国”网站（www.creditchina.gov.cn）被列入失信被执行人和重大税收违法案件当事人名单的，或在“中国政府采购网”网站（www.ccgp.gov.cn）被列入政府采购严重违法失信行为记录名单（处罚期限尚未届满的）的供应商，不得参与本项目的政府采购活动。</w:t>
      </w:r>
    </w:p>
    <w:p w14:paraId="31ADADE1">
      <w:pPr>
        <w:widowControl/>
        <w:spacing w:line="360" w:lineRule="auto"/>
        <w:ind w:firstLine="480" w:firstLineChars="200"/>
        <w:jc w:val="left"/>
        <w:rPr>
          <w:rFonts w:ascii="宋体" w:hAnsi="宋体" w:cs="Arial"/>
          <w:bCs/>
          <w:sz w:val="24"/>
        </w:rPr>
      </w:pPr>
      <w:r>
        <w:rPr>
          <w:rFonts w:hint="eastAsia" w:ascii="宋体" w:hAnsi="宋体" w:cs="Arial"/>
          <w:bCs/>
          <w:sz w:val="24"/>
        </w:rPr>
        <w:t>注：本项无需投标人提供证明文件，以资格审查前采购人或采购代理机构网上查询结果为准，并由采购代理机构留存查询结果截图。</w:t>
      </w:r>
    </w:p>
    <w:p w14:paraId="1288CA4F">
      <w:pPr>
        <w:widowControl/>
        <w:spacing w:line="360" w:lineRule="auto"/>
        <w:ind w:firstLine="480" w:firstLineChars="200"/>
        <w:jc w:val="left"/>
        <w:rPr>
          <w:rFonts w:ascii="宋体" w:hAnsi="宋体" w:cs="Arial"/>
          <w:bCs/>
          <w:sz w:val="24"/>
        </w:rPr>
      </w:pPr>
    </w:p>
    <w:p w14:paraId="6FADE2B8">
      <w:pPr>
        <w:pStyle w:val="14"/>
      </w:pPr>
    </w:p>
    <w:p w14:paraId="77916E52">
      <w:pPr>
        <w:widowControl/>
        <w:spacing w:line="360" w:lineRule="auto"/>
        <w:ind w:firstLine="480" w:firstLineChars="200"/>
        <w:jc w:val="left"/>
        <w:rPr>
          <w:rFonts w:ascii="宋体" w:hAnsi="宋体" w:cs="Arial"/>
          <w:bCs/>
          <w:sz w:val="24"/>
        </w:rPr>
      </w:pPr>
    </w:p>
    <w:p w14:paraId="27E263CB">
      <w:pPr>
        <w:widowControl/>
        <w:spacing w:line="360" w:lineRule="auto"/>
        <w:ind w:firstLine="480" w:firstLineChars="200"/>
        <w:jc w:val="left"/>
        <w:rPr>
          <w:rFonts w:ascii="宋体" w:hAnsi="宋体" w:cs="Arial"/>
          <w:bCs/>
          <w:sz w:val="24"/>
        </w:rPr>
      </w:pPr>
      <w:r>
        <w:rPr>
          <w:rFonts w:ascii="宋体" w:hAnsi="宋体" w:cs="Arial"/>
          <w:bCs/>
          <w:sz w:val="24"/>
        </w:rPr>
        <w:t>（2）投标产品属于医疗器械的，投标人如为代理商，投标人应具有合法有效的医疗器械经营资格；投标人如为制造商，使用自身生产的产品投标时，投标人应具有合法有效的医疗器械生产资格。</w:t>
      </w:r>
    </w:p>
    <w:p w14:paraId="1E0DA7FE">
      <w:pPr>
        <w:widowControl/>
        <w:spacing w:line="360" w:lineRule="auto"/>
        <w:ind w:firstLine="480" w:firstLineChars="200"/>
        <w:jc w:val="left"/>
        <w:rPr>
          <w:rFonts w:ascii="宋体" w:hAnsi="宋体" w:cs="Arial"/>
          <w:bCs/>
          <w:sz w:val="24"/>
        </w:rPr>
      </w:pPr>
      <w:r>
        <w:rPr>
          <w:rFonts w:ascii="宋体" w:hAnsi="宋体" w:cs="Arial"/>
          <w:bCs/>
          <w:sz w:val="24"/>
        </w:rPr>
        <w:t>注：</w:t>
      </w:r>
      <w:r>
        <w:rPr>
          <w:rFonts w:hint="eastAsia" w:ascii="宋体" w:hAnsi="宋体" w:cs="Arial"/>
          <w:bCs/>
          <w:sz w:val="24"/>
        </w:rPr>
        <w:t>本项需</w:t>
      </w:r>
      <w:r>
        <w:rPr>
          <w:rFonts w:ascii="宋体" w:hAnsi="宋体" w:cs="Arial"/>
          <w:bCs/>
          <w:sz w:val="24"/>
        </w:rPr>
        <w:t>投标人提供相关证书电子件并加盖投标单位公章。</w:t>
      </w:r>
    </w:p>
    <w:p w14:paraId="090B2FA0">
      <w:pPr>
        <w:widowControl/>
        <w:spacing w:line="360" w:lineRule="auto"/>
        <w:ind w:firstLine="480" w:firstLineChars="200"/>
        <w:jc w:val="left"/>
        <w:rPr>
          <w:rFonts w:ascii="宋体" w:hAnsi="宋体" w:cs="Arial"/>
          <w:bCs/>
          <w:sz w:val="24"/>
        </w:rPr>
      </w:pPr>
    </w:p>
    <w:p w14:paraId="65B2D482">
      <w:pPr>
        <w:widowControl/>
        <w:spacing w:line="360" w:lineRule="auto"/>
        <w:ind w:firstLine="480" w:firstLineChars="200"/>
        <w:jc w:val="left"/>
        <w:rPr>
          <w:rFonts w:ascii="宋体" w:hAnsi="宋体" w:cs="Arial"/>
          <w:bCs/>
          <w:sz w:val="24"/>
        </w:rPr>
      </w:pPr>
    </w:p>
    <w:p w14:paraId="0895F88F">
      <w:pPr>
        <w:rPr>
          <w:rFonts w:ascii="宋体" w:hAnsi="宋体"/>
          <w:sz w:val="24"/>
          <w:szCs w:val="20"/>
        </w:rPr>
      </w:pPr>
      <w:r>
        <w:rPr>
          <w:rFonts w:ascii="宋体" w:hAnsi="宋体"/>
          <w:sz w:val="24"/>
          <w:szCs w:val="20"/>
        </w:rPr>
        <w:br w:type="page"/>
      </w:r>
    </w:p>
    <w:p w14:paraId="742D7222">
      <w:pPr>
        <w:spacing w:line="360" w:lineRule="auto"/>
        <w:outlineLvl w:val="2"/>
        <w:rPr>
          <w:rFonts w:ascii="宋体" w:hAnsi="宋体"/>
          <w:sz w:val="24"/>
          <w:szCs w:val="20"/>
        </w:rPr>
      </w:pPr>
      <w:r>
        <w:rPr>
          <w:rFonts w:ascii="宋体" w:hAnsi="宋体"/>
          <w:sz w:val="24"/>
          <w:szCs w:val="20"/>
        </w:rPr>
        <w:t xml:space="preserve">4 </w:t>
      </w:r>
      <w:r>
        <w:rPr>
          <w:rFonts w:hint="eastAsia" w:ascii="宋体" w:hAnsi="宋体"/>
          <w:sz w:val="24"/>
          <w:szCs w:val="20"/>
        </w:rPr>
        <w:t>投标保证金凭证/交款单据电子件加盖投标单位公章</w:t>
      </w:r>
    </w:p>
    <w:p w14:paraId="2E4E40D9">
      <w:pPr>
        <w:spacing w:line="360" w:lineRule="auto"/>
        <w:rPr>
          <w:rFonts w:ascii="宋体" w:hAnsi="宋体"/>
          <w:sz w:val="24"/>
          <w:szCs w:val="20"/>
        </w:rPr>
      </w:pPr>
    </w:p>
    <w:p w14:paraId="595FA849">
      <w:pPr>
        <w:spacing w:line="360" w:lineRule="auto"/>
        <w:rPr>
          <w:rFonts w:ascii="宋体" w:hAnsi="宋体"/>
          <w:sz w:val="24"/>
          <w:szCs w:val="20"/>
        </w:rPr>
      </w:pPr>
    </w:p>
    <w:p w14:paraId="6043505D">
      <w:pPr>
        <w:widowControl/>
        <w:jc w:val="left"/>
        <w:rPr>
          <w:rFonts w:ascii="宋体" w:hAnsi="宋体"/>
          <w:kern w:val="0"/>
          <w:sz w:val="24"/>
          <w:szCs w:val="20"/>
        </w:rPr>
      </w:pPr>
      <w:r>
        <w:rPr>
          <w:rFonts w:ascii="宋体" w:hAnsi="宋体"/>
          <w:sz w:val="24"/>
          <w:szCs w:val="20"/>
        </w:rPr>
        <w:br w:type="page"/>
      </w:r>
    </w:p>
    <w:p w14:paraId="543D02C3">
      <w:pPr>
        <w:keepNext/>
        <w:keepLines/>
        <w:autoSpaceDE w:val="0"/>
        <w:autoSpaceDN w:val="0"/>
        <w:adjustRightInd w:val="0"/>
        <w:spacing w:before="120" w:line="300" w:lineRule="auto"/>
        <w:jc w:val="left"/>
        <w:outlineLvl w:val="1"/>
        <w:rPr>
          <w:rFonts w:ascii="宋体" w:hAnsi="宋体"/>
          <w:b/>
          <w:sz w:val="24"/>
        </w:rPr>
      </w:pPr>
      <w:r>
        <w:rPr>
          <w:rFonts w:ascii="宋体" w:hAnsi="宋体"/>
          <w:b/>
          <w:sz w:val="24"/>
        </w:rPr>
        <w:t>二、商务技术文件格式</w:t>
      </w:r>
    </w:p>
    <w:p w14:paraId="27BDF12D">
      <w:pPr>
        <w:rPr>
          <w:rFonts w:ascii="宋体" w:hAnsi="宋体"/>
          <w:b/>
          <w:szCs w:val="21"/>
        </w:rPr>
      </w:pPr>
    </w:p>
    <w:p w14:paraId="155F68C2">
      <w:pPr>
        <w:rPr>
          <w:rFonts w:ascii="宋体" w:hAnsi="宋体"/>
          <w:b/>
          <w:sz w:val="24"/>
        </w:rPr>
      </w:pPr>
      <w:r>
        <w:rPr>
          <w:rFonts w:ascii="宋体" w:hAnsi="宋体"/>
          <w:b/>
          <w:sz w:val="24"/>
        </w:rPr>
        <w:t>投标文件（商务技术文件）封面（非实质性格式）</w:t>
      </w:r>
    </w:p>
    <w:p w14:paraId="50A1AA9D">
      <w:pPr>
        <w:jc w:val="center"/>
        <w:rPr>
          <w:rFonts w:ascii="宋体" w:hAnsi="宋体"/>
          <w:szCs w:val="21"/>
        </w:rPr>
      </w:pPr>
    </w:p>
    <w:p w14:paraId="746D5339">
      <w:pPr>
        <w:jc w:val="center"/>
        <w:rPr>
          <w:rFonts w:ascii="宋体" w:hAnsi="宋体"/>
          <w:b/>
          <w:sz w:val="84"/>
          <w:szCs w:val="84"/>
        </w:rPr>
      </w:pPr>
      <w:r>
        <w:rPr>
          <w:rFonts w:ascii="宋体" w:hAnsi="宋体"/>
          <w:b/>
          <w:sz w:val="84"/>
          <w:szCs w:val="84"/>
        </w:rPr>
        <w:t>投标文件</w:t>
      </w:r>
    </w:p>
    <w:p w14:paraId="289546AA">
      <w:pPr>
        <w:jc w:val="center"/>
        <w:rPr>
          <w:rFonts w:ascii="宋体" w:hAnsi="宋体"/>
          <w:b/>
          <w:sz w:val="52"/>
          <w:szCs w:val="52"/>
        </w:rPr>
      </w:pPr>
      <w:r>
        <w:rPr>
          <w:rFonts w:ascii="宋体" w:hAnsi="宋体"/>
          <w:b/>
          <w:sz w:val="52"/>
          <w:szCs w:val="52"/>
        </w:rPr>
        <w:t>（商务技术文件）</w:t>
      </w:r>
    </w:p>
    <w:p w14:paraId="6564059F">
      <w:pPr>
        <w:spacing w:line="360" w:lineRule="auto"/>
        <w:ind w:firstLine="482" w:firstLineChars="150"/>
        <w:rPr>
          <w:rFonts w:ascii="宋体" w:hAnsi="宋体"/>
          <w:b/>
          <w:sz w:val="32"/>
          <w:szCs w:val="32"/>
        </w:rPr>
      </w:pPr>
    </w:p>
    <w:p w14:paraId="6C900282">
      <w:pPr>
        <w:spacing w:line="360" w:lineRule="auto"/>
        <w:ind w:firstLine="482" w:firstLineChars="150"/>
        <w:rPr>
          <w:rFonts w:ascii="宋体" w:hAnsi="宋体"/>
          <w:b/>
          <w:sz w:val="32"/>
          <w:szCs w:val="32"/>
        </w:rPr>
      </w:pPr>
    </w:p>
    <w:p w14:paraId="1416555D">
      <w:pPr>
        <w:spacing w:line="360" w:lineRule="auto"/>
        <w:ind w:firstLine="482" w:firstLineChars="150"/>
        <w:rPr>
          <w:rFonts w:ascii="宋体" w:hAnsi="宋体"/>
          <w:b/>
          <w:sz w:val="32"/>
          <w:szCs w:val="32"/>
        </w:rPr>
      </w:pPr>
      <w:r>
        <w:rPr>
          <w:rFonts w:ascii="宋体" w:hAnsi="宋体"/>
          <w:b/>
          <w:sz w:val="32"/>
          <w:szCs w:val="32"/>
        </w:rPr>
        <w:t>项目名称：</w:t>
      </w:r>
    </w:p>
    <w:p w14:paraId="5EFB3EB5">
      <w:pPr>
        <w:spacing w:line="360" w:lineRule="auto"/>
        <w:ind w:firstLine="482" w:firstLineChars="150"/>
        <w:rPr>
          <w:rFonts w:ascii="宋体" w:hAnsi="宋体"/>
          <w:b/>
          <w:sz w:val="32"/>
          <w:szCs w:val="32"/>
        </w:rPr>
      </w:pPr>
      <w:r>
        <w:rPr>
          <w:rFonts w:ascii="宋体" w:hAnsi="宋体"/>
          <w:b/>
          <w:sz w:val="32"/>
          <w:szCs w:val="32"/>
        </w:rPr>
        <w:t>项目编号：</w:t>
      </w:r>
    </w:p>
    <w:p w14:paraId="3C2B7867">
      <w:pPr>
        <w:spacing w:line="360" w:lineRule="auto"/>
        <w:ind w:firstLine="482" w:firstLineChars="150"/>
        <w:rPr>
          <w:rFonts w:ascii="宋体" w:hAnsi="宋体"/>
          <w:b/>
          <w:sz w:val="32"/>
          <w:szCs w:val="32"/>
        </w:rPr>
      </w:pPr>
    </w:p>
    <w:p w14:paraId="710B0884">
      <w:pPr>
        <w:spacing w:line="360" w:lineRule="auto"/>
        <w:ind w:firstLine="482" w:firstLineChars="150"/>
        <w:rPr>
          <w:rFonts w:ascii="宋体" w:hAnsi="宋体"/>
          <w:b/>
          <w:sz w:val="32"/>
          <w:szCs w:val="32"/>
        </w:rPr>
      </w:pPr>
    </w:p>
    <w:p w14:paraId="1949A2A1">
      <w:pPr>
        <w:spacing w:line="360" w:lineRule="auto"/>
        <w:ind w:firstLine="482" w:firstLineChars="150"/>
        <w:rPr>
          <w:rFonts w:ascii="宋体" w:hAnsi="宋体"/>
          <w:b/>
          <w:sz w:val="32"/>
          <w:szCs w:val="32"/>
        </w:rPr>
      </w:pPr>
    </w:p>
    <w:p w14:paraId="157749D2">
      <w:pPr>
        <w:spacing w:line="360" w:lineRule="auto"/>
        <w:ind w:firstLine="482" w:firstLineChars="150"/>
        <w:rPr>
          <w:rFonts w:ascii="宋体" w:hAnsi="宋体"/>
          <w:b/>
          <w:sz w:val="32"/>
          <w:szCs w:val="32"/>
        </w:rPr>
      </w:pPr>
    </w:p>
    <w:p w14:paraId="4B7825F0">
      <w:pPr>
        <w:spacing w:line="360" w:lineRule="auto"/>
        <w:ind w:firstLine="482" w:firstLineChars="150"/>
        <w:rPr>
          <w:rFonts w:ascii="宋体" w:hAnsi="宋体"/>
          <w:b/>
          <w:sz w:val="32"/>
          <w:szCs w:val="32"/>
        </w:rPr>
      </w:pPr>
    </w:p>
    <w:p w14:paraId="08E4DCA9">
      <w:pPr>
        <w:spacing w:line="360" w:lineRule="auto"/>
        <w:ind w:firstLine="482" w:firstLineChars="150"/>
        <w:rPr>
          <w:rFonts w:ascii="宋体" w:hAnsi="宋体"/>
          <w:b/>
          <w:sz w:val="32"/>
          <w:szCs w:val="32"/>
        </w:rPr>
      </w:pPr>
    </w:p>
    <w:p w14:paraId="740059E3">
      <w:pPr>
        <w:spacing w:line="360" w:lineRule="auto"/>
        <w:ind w:firstLine="482" w:firstLineChars="150"/>
        <w:rPr>
          <w:rFonts w:ascii="宋体" w:hAnsi="宋体"/>
          <w:b/>
          <w:sz w:val="32"/>
          <w:szCs w:val="32"/>
        </w:rPr>
      </w:pPr>
    </w:p>
    <w:p w14:paraId="3ED78CFC">
      <w:pPr>
        <w:spacing w:line="360" w:lineRule="auto"/>
        <w:ind w:firstLine="482" w:firstLineChars="150"/>
        <w:rPr>
          <w:rFonts w:ascii="宋体" w:hAnsi="宋体"/>
          <w:b/>
          <w:sz w:val="32"/>
          <w:szCs w:val="32"/>
        </w:rPr>
      </w:pPr>
    </w:p>
    <w:p w14:paraId="48F7D2AA">
      <w:pPr>
        <w:spacing w:line="360" w:lineRule="auto"/>
        <w:ind w:firstLine="1285" w:firstLineChars="400"/>
        <w:jc w:val="left"/>
        <w:rPr>
          <w:rFonts w:ascii="宋体" w:hAnsi="宋体"/>
          <w:b/>
          <w:sz w:val="32"/>
          <w:szCs w:val="32"/>
        </w:rPr>
      </w:pPr>
      <w:r>
        <w:rPr>
          <w:rFonts w:ascii="宋体" w:hAnsi="宋体"/>
          <w:b/>
          <w:sz w:val="32"/>
          <w:szCs w:val="32"/>
        </w:rPr>
        <w:t>投标人名称：</w:t>
      </w:r>
    </w:p>
    <w:p w14:paraId="323C4A58">
      <w:pPr>
        <w:spacing w:line="360" w:lineRule="auto"/>
        <w:jc w:val="center"/>
        <w:rPr>
          <w:rFonts w:ascii="宋体" w:hAnsi="宋体"/>
          <w:b/>
          <w:sz w:val="32"/>
          <w:szCs w:val="32"/>
        </w:rPr>
      </w:pPr>
    </w:p>
    <w:p w14:paraId="0633F123">
      <w:pPr>
        <w:widowControl/>
        <w:jc w:val="left"/>
        <w:rPr>
          <w:rFonts w:ascii="宋体" w:hAnsi="宋体"/>
          <w:b/>
          <w:sz w:val="24"/>
        </w:rPr>
      </w:pPr>
      <w:r>
        <w:rPr>
          <w:rFonts w:ascii="宋体" w:hAnsi="宋体"/>
          <w:b/>
          <w:sz w:val="24"/>
        </w:rPr>
        <w:br w:type="page"/>
      </w:r>
    </w:p>
    <w:p w14:paraId="6BC7922C">
      <w:pPr>
        <w:spacing w:line="360" w:lineRule="auto"/>
        <w:outlineLvl w:val="2"/>
        <w:rPr>
          <w:rFonts w:ascii="宋体" w:hAnsi="宋体"/>
          <w:sz w:val="24"/>
          <w:szCs w:val="20"/>
        </w:rPr>
      </w:pPr>
      <w:bookmarkStart w:id="802" w:name="_Hlt520274065"/>
      <w:bookmarkEnd w:id="802"/>
      <w:bookmarkStart w:id="803" w:name="_Hlt520355504"/>
      <w:bookmarkEnd w:id="803"/>
      <w:bookmarkStart w:id="804" w:name="_Hlt520350918"/>
      <w:bookmarkEnd w:id="804"/>
      <w:bookmarkStart w:id="805" w:name="_Hlt520271212"/>
      <w:bookmarkEnd w:id="805"/>
      <w:bookmarkStart w:id="806" w:name="_Hlt520343392"/>
      <w:bookmarkEnd w:id="806"/>
      <w:bookmarkStart w:id="807" w:name="_Hlt520274393"/>
      <w:bookmarkEnd w:id="807"/>
      <w:bookmarkStart w:id="808" w:name="_Hlt520273711"/>
      <w:bookmarkEnd w:id="808"/>
      <w:bookmarkStart w:id="809" w:name="_Hlt520274407"/>
      <w:bookmarkEnd w:id="809"/>
      <w:bookmarkStart w:id="810" w:name="_Hlt520343000"/>
      <w:bookmarkEnd w:id="810"/>
      <w:bookmarkStart w:id="811" w:name="_Hlt520274121"/>
      <w:bookmarkEnd w:id="811"/>
      <w:bookmarkStart w:id="812" w:name="_Ref467988698"/>
      <w:bookmarkStart w:id="813" w:name="_Toc480942349"/>
      <w:bookmarkStart w:id="814" w:name="_Toc226965829"/>
      <w:bookmarkStart w:id="815" w:name="_Toc142311058"/>
      <w:bookmarkStart w:id="816" w:name="_Toc226965746"/>
      <w:bookmarkStart w:id="817" w:name="_Toc226309800"/>
      <w:bookmarkStart w:id="818" w:name="_Toc226337252"/>
      <w:bookmarkStart w:id="819" w:name="_Toc127151556"/>
      <w:bookmarkStart w:id="820" w:name="_Toc150480794"/>
      <w:bookmarkStart w:id="821" w:name="_Toc150774761"/>
      <w:bookmarkStart w:id="822" w:name="_Toc195842921"/>
      <w:bookmarkStart w:id="823" w:name="_Toc520356217"/>
      <w:r>
        <w:rPr>
          <w:rFonts w:ascii="宋体" w:hAnsi="宋体"/>
          <w:sz w:val="24"/>
        </w:rPr>
        <w:t>1</w:t>
      </w:r>
      <w:r>
        <w:rPr>
          <w:rFonts w:hint="eastAsia" w:ascii="宋体" w:hAnsi="宋体"/>
          <w:sz w:val="24"/>
        </w:rPr>
        <w:t xml:space="preserve">  </w:t>
      </w:r>
      <w:r>
        <w:rPr>
          <w:rFonts w:ascii="宋体" w:hAnsi="宋体"/>
          <w:sz w:val="24"/>
        </w:rPr>
        <w:t>投标</w:t>
      </w:r>
      <w:bookmarkEnd w:id="812"/>
      <w:bookmarkEnd w:id="813"/>
      <w:r>
        <w:rPr>
          <w:rFonts w:ascii="宋体" w:hAnsi="宋体"/>
          <w:sz w:val="24"/>
        </w:rPr>
        <w:t>书</w:t>
      </w:r>
      <w:bookmarkEnd w:id="814"/>
      <w:bookmarkEnd w:id="815"/>
      <w:bookmarkEnd w:id="816"/>
      <w:bookmarkEnd w:id="817"/>
      <w:bookmarkEnd w:id="818"/>
      <w:bookmarkEnd w:id="819"/>
      <w:bookmarkEnd w:id="820"/>
      <w:bookmarkEnd w:id="821"/>
      <w:bookmarkEnd w:id="822"/>
      <w:bookmarkEnd w:id="823"/>
      <w:r>
        <w:rPr>
          <w:rFonts w:ascii="宋体" w:hAnsi="宋体"/>
          <w:sz w:val="24"/>
          <w:szCs w:val="20"/>
        </w:rPr>
        <w:t>（实质性格式）</w:t>
      </w:r>
    </w:p>
    <w:p w14:paraId="581AC5F2">
      <w:pPr>
        <w:tabs>
          <w:tab w:val="left" w:pos="5580"/>
        </w:tabs>
        <w:spacing w:line="360" w:lineRule="auto"/>
        <w:rPr>
          <w:rFonts w:ascii="宋体" w:hAnsi="宋体"/>
          <w:sz w:val="24"/>
        </w:rPr>
      </w:pPr>
    </w:p>
    <w:p w14:paraId="7FFD87CD">
      <w:pPr>
        <w:spacing w:line="360" w:lineRule="auto"/>
        <w:jc w:val="center"/>
        <w:rPr>
          <w:rFonts w:ascii="宋体" w:hAnsi="宋体"/>
          <w:b/>
          <w:sz w:val="36"/>
          <w:szCs w:val="36"/>
        </w:rPr>
      </w:pPr>
      <w:r>
        <w:rPr>
          <w:rFonts w:ascii="宋体" w:hAnsi="宋体"/>
          <w:b/>
          <w:sz w:val="36"/>
          <w:szCs w:val="36"/>
        </w:rPr>
        <w:t>投标书</w:t>
      </w:r>
    </w:p>
    <w:p w14:paraId="1ABDF682">
      <w:pPr>
        <w:tabs>
          <w:tab w:val="left" w:pos="5580"/>
        </w:tabs>
        <w:spacing w:line="360" w:lineRule="auto"/>
        <w:rPr>
          <w:rFonts w:ascii="宋体" w:hAnsi="宋体"/>
          <w:sz w:val="24"/>
        </w:rPr>
      </w:pPr>
      <w:r>
        <w:rPr>
          <w:rFonts w:ascii="宋体" w:hAnsi="宋体"/>
          <w:sz w:val="24"/>
        </w:rPr>
        <w:t>致：</w:t>
      </w:r>
      <w:r>
        <w:rPr>
          <w:rFonts w:ascii="宋体" w:hAnsi="宋体"/>
          <w:sz w:val="24"/>
          <w:u w:val="single"/>
        </w:rPr>
        <w:t>（采购人或采购代理机构）</w:t>
      </w:r>
    </w:p>
    <w:p w14:paraId="45C584CE">
      <w:pPr>
        <w:tabs>
          <w:tab w:val="left" w:pos="5580"/>
        </w:tabs>
        <w:spacing w:line="360" w:lineRule="auto"/>
        <w:rPr>
          <w:rFonts w:ascii="宋体" w:hAnsi="宋体"/>
          <w:sz w:val="24"/>
          <w:szCs w:val="20"/>
        </w:rPr>
      </w:pPr>
    </w:p>
    <w:p w14:paraId="3F746BE0">
      <w:pPr>
        <w:tabs>
          <w:tab w:val="left" w:pos="5580"/>
        </w:tabs>
        <w:spacing w:line="360" w:lineRule="auto"/>
        <w:ind w:firstLine="408"/>
        <w:rPr>
          <w:rFonts w:ascii="宋体" w:hAnsi="宋体"/>
          <w:sz w:val="24"/>
          <w:szCs w:val="20"/>
        </w:rPr>
      </w:pPr>
      <w:r>
        <w:rPr>
          <w:rFonts w:ascii="宋体" w:hAnsi="宋体"/>
          <w:sz w:val="24"/>
          <w:szCs w:val="20"/>
        </w:rPr>
        <w:t>我方参加你方就_________（项目名称，项目编号）组织的招标活动，并对此项目进行投标。</w:t>
      </w:r>
    </w:p>
    <w:p w14:paraId="19B9050C">
      <w:pPr>
        <w:tabs>
          <w:tab w:val="left" w:pos="5580"/>
        </w:tabs>
        <w:spacing w:line="360" w:lineRule="auto"/>
        <w:ind w:firstLine="408"/>
        <w:rPr>
          <w:rFonts w:ascii="宋体" w:hAnsi="宋体"/>
          <w:sz w:val="24"/>
          <w:szCs w:val="20"/>
        </w:rPr>
      </w:pPr>
      <w:r>
        <w:rPr>
          <w:rFonts w:ascii="宋体" w:hAnsi="宋体"/>
          <w:sz w:val="24"/>
          <w:szCs w:val="20"/>
        </w:rPr>
        <w:t>1. 我方</w:t>
      </w:r>
      <w:r>
        <w:rPr>
          <w:rFonts w:ascii="宋体" w:hAnsi="宋体"/>
          <w:sz w:val="24"/>
        </w:rPr>
        <w:t>已详细审查全部招标文件</w:t>
      </w:r>
      <w:r>
        <w:rPr>
          <w:rFonts w:ascii="宋体" w:hAnsi="宋体"/>
          <w:sz w:val="24"/>
          <w:szCs w:val="20"/>
        </w:rPr>
        <w:t>，自愿参与投标并承诺如下：</w:t>
      </w:r>
    </w:p>
    <w:p w14:paraId="4C4ED908">
      <w:pPr>
        <w:tabs>
          <w:tab w:val="left" w:pos="720"/>
          <w:tab w:val="left" w:pos="900"/>
        </w:tabs>
        <w:spacing w:line="360" w:lineRule="auto"/>
        <w:ind w:left="360" w:firstLine="72" w:firstLineChars="30"/>
        <w:rPr>
          <w:rFonts w:ascii="宋体" w:hAnsi="宋体"/>
          <w:sz w:val="24"/>
          <w:szCs w:val="20"/>
        </w:rPr>
      </w:pPr>
      <w:r>
        <w:rPr>
          <w:rFonts w:ascii="宋体" w:hAnsi="宋体"/>
          <w:sz w:val="24"/>
          <w:szCs w:val="20"/>
        </w:rPr>
        <w:t>（1）本投标有效期为自提交投标文件的截止之日起</w:t>
      </w:r>
      <w:r>
        <w:rPr>
          <w:rFonts w:ascii="宋体" w:hAnsi="宋体"/>
          <w:sz w:val="24"/>
        </w:rPr>
        <w:t>_____</w:t>
      </w:r>
      <w:r>
        <w:rPr>
          <w:rFonts w:ascii="宋体" w:hAnsi="宋体"/>
          <w:sz w:val="24"/>
          <w:szCs w:val="20"/>
        </w:rPr>
        <w:t>个日历日。</w:t>
      </w:r>
    </w:p>
    <w:p w14:paraId="04A5F924">
      <w:pPr>
        <w:tabs>
          <w:tab w:val="left" w:pos="720"/>
          <w:tab w:val="left" w:pos="900"/>
        </w:tabs>
        <w:spacing w:line="360" w:lineRule="auto"/>
        <w:ind w:left="360" w:firstLine="72" w:firstLineChars="30"/>
        <w:rPr>
          <w:rFonts w:ascii="宋体" w:hAnsi="宋体"/>
          <w:sz w:val="24"/>
          <w:szCs w:val="20"/>
        </w:rPr>
      </w:pPr>
      <w:r>
        <w:rPr>
          <w:rFonts w:ascii="宋体" w:hAnsi="宋体"/>
          <w:sz w:val="24"/>
          <w:szCs w:val="20"/>
        </w:rPr>
        <w:t>（2）除</w:t>
      </w:r>
      <w:r>
        <w:rPr>
          <w:rFonts w:hint="eastAsia" w:ascii="宋体" w:hAnsi="宋体"/>
          <w:sz w:val="24"/>
          <w:szCs w:val="20"/>
        </w:rPr>
        <w:t>商务</w:t>
      </w:r>
      <w:r>
        <w:rPr>
          <w:rFonts w:ascii="宋体" w:hAnsi="宋体"/>
          <w:sz w:val="24"/>
          <w:szCs w:val="20"/>
        </w:rPr>
        <w:t>条款及采购需求偏离表列出的偏离外，我方响应招标文件的全部要求。</w:t>
      </w:r>
    </w:p>
    <w:p w14:paraId="4303F0AA">
      <w:pPr>
        <w:tabs>
          <w:tab w:val="left" w:pos="5580"/>
        </w:tabs>
        <w:spacing w:line="360" w:lineRule="auto"/>
        <w:ind w:firstLine="420" w:firstLineChars="175"/>
        <w:rPr>
          <w:rFonts w:ascii="宋体" w:hAnsi="宋体"/>
          <w:sz w:val="24"/>
          <w:szCs w:val="20"/>
        </w:rPr>
      </w:pPr>
      <w:r>
        <w:rPr>
          <w:rFonts w:ascii="宋体" w:hAnsi="宋体"/>
          <w:sz w:val="24"/>
          <w:szCs w:val="20"/>
        </w:rPr>
        <w:t>（3）我方已提供的全部文件资料是真实、准确的，并对此承担一切法律后果。</w:t>
      </w:r>
    </w:p>
    <w:p w14:paraId="11E240C3">
      <w:pPr>
        <w:tabs>
          <w:tab w:val="left" w:pos="5580"/>
        </w:tabs>
        <w:spacing w:line="360" w:lineRule="auto"/>
        <w:ind w:firstLine="420" w:firstLineChars="175"/>
        <w:rPr>
          <w:rFonts w:ascii="宋体" w:hAnsi="宋体"/>
          <w:sz w:val="24"/>
        </w:rPr>
      </w:pPr>
      <w:r>
        <w:rPr>
          <w:rFonts w:ascii="宋体" w:hAnsi="宋体"/>
          <w:sz w:val="24"/>
          <w:szCs w:val="20"/>
        </w:rPr>
        <w:t>（4）如我方中标，我方将在法律规定的期限内与你方签订合同，按照招标文件要求提交履约保证金，并在合同约定的期限内完成合同规定的全部义务。</w:t>
      </w:r>
    </w:p>
    <w:p w14:paraId="7BE57A94">
      <w:pPr>
        <w:spacing w:line="360" w:lineRule="auto"/>
        <w:ind w:left="420"/>
        <w:rPr>
          <w:rFonts w:ascii="宋体" w:hAnsi="宋体"/>
          <w:sz w:val="24"/>
        </w:rPr>
      </w:pPr>
      <w:r>
        <w:rPr>
          <w:rFonts w:ascii="宋体" w:hAnsi="宋体"/>
          <w:sz w:val="24"/>
        </w:rPr>
        <w:t>2. 其他补充条款（如有）：</w:t>
      </w:r>
      <w:r>
        <w:rPr>
          <w:rFonts w:ascii="宋体" w:hAnsi="宋体"/>
          <w:sz w:val="24"/>
          <w:szCs w:val="20"/>
        </w:rPr>
        <w:t>___________</w:t>
      </w:r>
      <w:r>
        <w:rPr>
          <w:rFonts w:ascii="宋体" w:hAnsi="宋体"/>
          <w:sz w:val="24"/>
        </w:rPr>
        <w:t>。</w:t>
      </w:r>
    </w:p>
    <w:p w14:paraId="57D35A6B">
      <w:pPr>
        <w:spacing w:line="360" w:lineRule="auto"/>
        <w:ind w:firstLine="480" w:firstLineChars="200"/>
        <w:rPr>
          <w:rFonts w:ascii="宋体" w:hAnsi="宋体"/>
          <w:sz w:val="24"/>
        </w:rPr>
      </w:pPr>
      <w:r>
        <w:rPr>
          <w:rFonts w:ascii="宋体" w:hAnsi="宋体"/>
          <w:sz w:val="24"/>
        </w:rPr>
        <w:t>与本投标有关的一切正式往来信函请寄：</w:t>
      </w:r>
    </w:p>
    <w:p w14:paraId="5370B522">
      <w:pPr>
        <w:tabs>
          <w:tab w:val="left" w:pos="5580"/>
        </w:tabs>
        <w:spacing w:line="360" w:lineRule="auto"/>
        <w:ind w:left="420"/>
        <w:rPr>
          <w:rFonts w:ascii="宋体" w:hAnsi="宋体"/>
          <w:sz w:val="24"/>
          <w:szCs w:val="20"/>
        </w:rPr>
      </w:pPr>
    </w:p>
    <w:p w14:paraId="51156D76">
      <w:pPr>
        <w:tabs>
          <w:tab w:val="left" w:pos="5580"/>
        </w:tabs>
        <w:spacing w:line="360" w:lineRule="auto"/>
        <w:ind w:left="420"/>
        <w:rPr>
          <w:rFonts w:ascii="宋体" w:hAnsi="宋体"/>
          <w:sz w:val="24"/>
          <w:szCs w:val="20"/>
        </w:rPr>
      </w:pPr>
      <w:r>
        <w:rPr>
          <w:rFonts w:ascii="宋体" w:hAnsi="宋体"/>
          <w:sz w:val="24"/>
          <w:szCs w:val="20"/>
        </w:rPr>
        <w:t>地址：________________________   传真：___________________________</w:t>
      </w:r>
    </w:p>
    <w:p w14:paraId="65F45734">
      <w:pPr>
        <w:tabs>
          <w:tab w:val="left" w:pos="5580"/>
        </w:tabs>
        <w:spacing w:line="360" w:lineRule="auto"/>
        <w:ind w:left="420"/>
        <w:rPr>
          <w:rFonts w:ascii="宋体" w:hAnsi="宋体"/>
          <w:sz w:val="24"/>
          <w:szCs w:val="20"/>
        </w:rPr>
      </w:pPr>
      <w:r>
        <w:rPr>
          <w:rFonts w:ascii="宋体" w:hAnsi="宋体"/>
          <w:sz w:val="24"/>
          <w:szCs w:val="20"/>
        </w:rPr>
        <w:t>电话：________________________   电子函件：_______________________</w:t>
      </w:r>
    </w:p>
    <w:p w14:paraId="51C174B5">
      <w:pPr>
        <w:tabs>
          <w:tab w:val="left" w:pos="5580"/>
        </w:tabs>
        <w:spacing w:line="360" w:lineRule="auto"/>
        <w:ind w:left="420"/>
        <w:rPr>
          <w:rFonts w:ascii="宋体" w:hAnsi="宋体"/>
          <w:sz w:val="24"/>
          <w:szCs w:val="20"/>
        </w:rPr>
      </w:pPr>
    </w:p>
    <w:p w14:paraId="0E47032E">
      <w:pPr>
        <w:tabs>
          <w:tab w:val="left" w:pos="5580"/>
        </w:tabs>
        <w:spacing w:line="360" w:lineRule="auto"/>
        <w:ind w:left="420"/>
        <w:rPr>
          <w:rFonts w:ascii="宋体" w:hAnsi="宋体"/>
          <w:sz w:val="24"/>
          <w:szCs w:val="20"/>
        </w:rPr>
      </w:pPr>
    </w:p>
    <w:p w14:paraId="3A2DABC5">
      <w:pPr>
        <w:tabs>
          <w:tab w:val="left" w:pos="5580"/>
        </w:tabs>
        <w:spacing w:line="360" w:lineRule="auto"/>
        <w:ind w:left="420"/>
        <w:rPr>
          <w:rFonts w:ascii="宋体" w:hAnsi="宋体"/>
          <w:sz w:val="24"/>
          <w:szCs w:val="20"/>
        </w:rPr>
      </w:pPr>
    </w:p>
    <w:p w14:paraId="49EEF660">
      <w:pPr>
        <w:tabs>
          <w:tab w:val="left" w:pos="5580"/>
        </w:tabs>
        <w:spacing w:line="360" w:lineRule="auto"/>
        <w:ind w:left="420"/>
        <w:rPr>
          <w:rFonts w:ascii="宋体" w:hAnsi="宋体"/>
          <w:sz w:val="24"/>
          <w:szCs w:val="20"/>
        </w:rPr>
      </w:pPr>
      <w:r>
        <w:rPr>
          <w:rFonts w:ascii="宋体" w:hAnsi="宋体"/>
          <w:sz w:val="24"/>
          <w:szCs w:val="20"/>
        </w:rPr>
        <w:t>投标人名称（加盖公章） ___________</w:t>
      </w:r>
    </w:p>
    <w:p w14:paraId="6F61C630">
      <w:pPr>
        <w:tabs>
          <w:tab w:val="left" w:pos="5580"/>
        </w:tabs>
        <w:spacing w:line="360" w:lineRule="auto"/>
        <w:ind w:left="420"/>
        <w:rPr>
          <w:rFonts w:ascii="宋体" w:hAnsi="宋体"/>
          <w:sz w:val="24"/>
          <w:szCs w:val="20"/>
        </w:rPr>
      </w:pPr>
      <w:r>
        <w:rPr>
          <w:rFonts w:ascii="宋体" w:hAnsi="宋体"/>
          <w:sz w:val="24"/>
          <w:szCs w:val="20"/>
        </w:rPr>
        <w:t xml:space="preserve">日期：_____年______月______日  </w:t>
      </w:r>
    </w:p>
    <w:p w14:paraId="595D660E">
      <w:pPr>
        <w:tabs>
          <w:tab w:val="left" w:pos="5580"/>
        </w:tabs>
        <w:spacing w:line="360" w:lineRule="auto"/>
        <w:ind w:left="420"/>
        <w:rPr>
          <w:rFonts w:ascii="宋体" w:hAnsi="宋体"/>
          <w:sz w:val="24"/>
          <w:szCs w:val="20"/>
          <w:u w:val="single"/>
        </w:rPr>
      </w:pPr>
    </w:p>
    <w:p w14:paraId="477A17DD">
      <w:pPr>
        <w:widowControl/>
        <w:jc w:val="left"/>
        <w:rPr>
          <w:rFonts w:ascii="宋体" w:hAnsi="宋体"/>
          <w:sz w:val="24"/>
        </w:rPr>
      </w:pPr>
      <w:bookmarkStart w:id="824" w:name="_Hlt520355938"/>
      <w:bookmarkEnd w:id="824"/>
      <w:bookmarkStart w:id="825" w:name="_Hlt520356243"/>
      <w:bookmarkEnd w:id="825"/>
      <w:bookmarkStart w:id="826" w:name="_Toc142311059"/>
      <w:bookmarkStart w:id="827" w:name="_Toc305158825"/>
      <w:bookmarkStart w:id="828" w:name="_Toc127151557"/>
      <w:bookmarkStart w:id="829" w:name="_Toc264969247"/>
      <w:bookmarkStart w:id="830" w:name="_Toc226309801"/>
      <w:bookmarkStart w:id="831" w:name="_Toc150480795"/>
      <w:bookmarkStart w:id="832" w:name="_Toc150774762"/>
      <w:bookmarkStart w:id="833" w:name="_Toc226965747"/>
      <w:bookmarkStart w:id="834" w:name="_Toc305158899"/>
      <w:bookmarkStart w:id="835" w:name="_Toc265228395"/>
      <w:bookmarkStart w:id="836" w:name="_Toc226337253"/>
      <w:bookmarkStart w:id="837" w:name="_Toc520356218"/>
      <w:bookmarkStart w:id="838" w:name="_Toc480942350"/>
      <w:bookmarkStart w:id="839" w:name="_Toc195842922"/>
      <w:bookmarkStart w:id="840" w:name="_Toc226965830"/>
      <w:bookmarkStart w:id="841" w:name="_Ref467988705"/>
      <w:r>
        <w:rPr>
          <w:rFonts w:ascii="宋体" w:hAnsi="宋体"/>
          <w:sz w:val="24"/>
        </w:rPr>
        <w:br w:type="page"/>
      </w:r>
    </w:p>
    <w:p w14:paraId="33D84F12">
      <w:pPr>
        <w:spacing w:line="360" w:lineRule="auto"/>
        <w:outlineLvl w:val="2"/>
        <w:rPr>
          <w:rFonts w:ascii="宋体" w:hAnsi="宋体"/>
          <w:sz w:val="24"/>
        </w:rPr>
      </w:pPr>
      <w:r>
        <w:rPr>
          <w:rFonts w:ascii="宋体" w:hAnsi="宋体"/>
          <w:sz w:val="24"/>
        </w:rPr>
        <w:t>2  授权委托书（实质性格式）</w:t>
      </w:r>
    </w:p>
    <w:p w14:paraId="549059DE">
      <w:pPr>
        <w:spacing w:line="360" w:lineRule="exact"/>
        <w:jc w:val="center"/>
        <w:rPr>
          <w:rFonts w:ascii="宋体" w:hAnsi="宋体"/>
          <w:b/>
          <w:sz w:val="36"/>
          <w:szCs w:val="36"/>
        </w:rPr>
      </w:pPr>
      <w:r>
        <w:rPr>
          <w:rFonts w:ascii="宋体" w:hAnsi="宋体"/>
          <w:b/>
          <w:sz w:val="36"/>
          <w:szCs w:val="36"/>
        </w:rPr>
        <w:t>授权委托书</w:t>
      </w:r>
    </w:p>
    <w:p w14:paraId="6B881708">
      <w:pPr>
        <w:spacing w:line="360" w:lineRule="auto"/>
        <w:ind w:firstLine="420"/>
        <w:rPr>
          <w:rFonts w:ascii="宋体" w:hAnsi="宋体"/>
          <w:sz w:val="24"/>
          <w:szCs w:val="20"/>
        </w:rPr>
      </w:pPr>
    </w:p>
    <w:p w14:paraId="16F3CDE4">
      <w:pPr>
        <w:spacing w:line="360" w:lineRule="auto"/>
        <w:ind w:firstLine="420"/>
        <w:rPr>
          <w:rFonts w:ascii="宋体" w:hAnsi="宋体"/>
          <w:sz w:val="24"/>
          <w:szCs w:val="20"/>
        </w:rPr>
      </w:pPr>
      <w:r>
        <w:rPr>
          <w:rFonts w:ascii="宋体" w:hAnsi="宋体"/>
          <w:sz w:val="24"/>
          <w:szCs w:val="20"/>
        </w:rPr>
        <w:t>本人</w:t>
      </w:r>
      <w:r>
        <w:rPr>
          <w:rFonts w:ascii="宋体" w:hAnsi="宋体"/>
          <w:sz w:val="24"/>
          <w:lang w:val="zh-CN"/>
        </w:rPr>
        <w:t>_______</w:t>
      </w:r>
      <w:r>
        <w:rPr>
          <w:rFonts w:ascii="宋体" w:hAnsi="宋体"/>
          <w:sz w:val="24"/>
          <w:szCs w:val="20"/>
        </w:rPr>
        <w:t>（姓名）系</w:t>
      </w:r>
      <w:r>
        <w:rPr>
          <w:rFonts w:ascii="宋体" w:hAnsi="宋体"/>
          <w:sz w:val="24"/>
          <w:lang w:val="zh-CN"/>
        </w:rPr>
        <w:t>________________</w:t>
      </w:r>
      <w:r>
        <w:rPr>
          <w:rFonts w:ascii="宋体" w:hAnsi="宋体"/>
          <w:sz w:val="24"/>
          <w:szCs w:val="20"/>
        </w:rPr>
        <w:t>（投标人名称）的法定代表人（单位负责人），现委托</w:t>
      </w:r>
      <w:r>
        <w:rPr>
          <w:rFonts w:ascii="宋体" w:hAnsi="宋体"/>
          <w:sz w:val="24"/>
          <w:lang w:val="zh-CN"/>
        </w:rPr>
        <w:t>_______</w:t>
      </w:r>
      <w:r>
        <w:rPr>
          <w:rFonts w:ascii="宋体" w:hAnsi="宋体"/>
          <w:sz w:val="24"/>
          <w:szCs w:val="20"/>
        </w:rPr>
        <w:t>（姓名）为我方代理人。代理人根据授权，以我方名义签署、澄清确认、提交、撤回、修改</w:t>
      </w:r>
      <w:r>
        <w:rPr>
          <w:rFonts w:ascii="宋体" w:hAnsi="宋体"/>
          <w:sz w:val="24"/>
          <w:lang w:val="zh-CN"/>
        </w:rPr>
        <w:t>________________</w:t>
      </w:r>
      <w:r>
        <w:rPr>
          <w:rFonts w:ascii="宋体" w:hAnsi="宋体"/>
          <w:sz w:val="24"/>
          <w:szCs w:val="20"/>
        </w:rPr>
        <w:t>（项目名称）投标文件和处理有关事宜，其法律后果由我方承担。</w:t>
      </w:r>
    </w:p>
    <w:p w14:paraId="788654E9">
      <w:pPr>
        <w:spacing w:line="360" w:lineRule="auto"/>
        <w:ind w:firstLine="420"/>
        <w:rPr>
          <w:rFonts w:ascii="宋体" w:hAnsi="宋体"/>
          <w:sz w:val="24"/>
          <w:szCs w:val="20"/>
        </w:rPr>
      </w:pPr>
      <w:r>
        <w:rPr>
          <w:rFonts w:ascii="宋体" w:hAnsi="宋体"/>
          <w:sz w:val="24"/>
          <w:szCs w:val="20"/>
        </w:rPr>
        <w:t>委托期限：自本授权委托书签署之日起至投标有效期届满之日止。</w:t>
      </w:r>
    </w:p>
    <w:p w14:paraId="2BFB17F6">
      <w:pPr>
        <w:spacing w:line="360" w:lineRule="auto"/>
        <w:ind w:firstLine="420"/>
        <w:rPr>
          <w:rFonts w:ascii="宋体" w:hAnsi="宋体"/>
          <w:sz w:val="24"/>
          <w:lang w:val="zh-CN"/>
        </w:rPr>
      </w:pPr>
      <w:r>
        <w:rPr>
          <w:rFonts w:ascii="宋体" w:hAnsi="宋体"/>
          <w:sz w:val="24"/>
          <w:szCs w:val="20"/>
        </w:rPr>
        <w:t>代理人无转委托权。</w:t>
      </w:r>
      <w:r>
        <w:rPr>
          <w:rFonts w:ascii="宋体" w:hAnsi="宋体"/>
          <w:sz w:val="24"/>
          <w:szCs w:val="20"/>
        </w:rPr>
        <w:cr/>
      </w:r>
      <w:r>
        <w:rPr>
          <w:rFonts w:ascii="宋体" w:hAnsi="宋体"/>
          <w:sz w:val="24"/>
        </w:rPr>
        <w:t>投标人名称（加盖公章）</w:t>
      </w:r>
      <w:r>
        <w:rPr>
          <w:rFonts w:ascii="宋体" w:hAnsi="宋体"/>
          <w:sz w:val="24"/>
          <w:lang w:val="zh-CN"/>
        </w:rPr>
        <w:t>：________________</w:t>
      </w:r>
    </w:p>
    <w:p w14:paraId="6ADD7EAD">
      <w:pPr>
        <w:spacing w:line="360" w:lineRule="auto"/>
        <w:rPr>
          <w:rFonts w:ascii="宋体" w:hAnsi="宋体"/>
          <w:sz w:val="24"/>
          <w:szCs w:val="20"/>
        </w:rPr>
      </w:pPr>
      <w:r>
        <w:rPr>
          <w:rFonts w:ascii="宋体" w:hAnsi="宋体"/>
          <w:sz w:val="24"/>
          <w:szCs w:val="20"/>
        </w:rPr>
        <w:t>法定代表人（单位负责人）（签字或签章</w:t>
      </w:r>
      <w:r>
        <w:rPr>
          <w:rFonts w:hint="eastAsia" w:ascii="宋体" w:hAnsi="宋体"/>
          <w:sz w:val="24"/>
          <w:szCs w:val="20"/>
        </w:rPr>
        <w:t>或印鉴</w:t>
      </w:r>
      <w:r>
        <w:rPr>
          <w:rFonts w:ascii="宋体" w:hAnsi="宋体"/>
          <w:sz w:val="24"/>
          <w:szCs w:val="20"/>
        </w:rPr>
        <w:t>）：</w:t>
      </w:r>
      <w:r>
        <w:rPr>
          <w:rFonts w:ascii="宋体" w:hAnsi="宋体"/>
          <w:sz w:val="24"/>
          <w:lang w:val="zh-CN"/>
        </w:rPr>
        <w:t>________________</w:t>
      </w:r>
    </w:p>
    <w:p w14:paraId="0A94BB49">
      <w:pPr>
        <w:autoSpaceDE w:val="0"/>
        <w:autoSpaceDN w:val="0"/>
        <w:adjustRightInd w:val="0"/>
        <w:snapToGrid w:val="0"/>
        <w:spacing w:line="360" w:lineRule="auto"/>
        <w:rPr>
          <w:rFonts w:ascii="宋体" w:hAnsi="宋体"/>
          <w:sz w:val="24"/>
          <w:lang w:val="zh-CN"/>
        </w:rPr>
      </w:pPr>
      <w:r>
        <w:rPr>
          <w:rFonts w:ascii="宋体" w:hAnsi="宋体"/>
          <w:sz w:val="24"/>
        </w:rPr>
        <w:t>委托代理人（签字或签章）：</w:t>
      </w:r>
      <w:r>
        <w:rPr>
          <w:rFonts w:ascii="宋体" w:hAnsi="宋体"/>
          <w:sz w:val="24"/>
          <w:lang w:val="zh-CN"/>
        </w:rPr>
        <w:t>________________</w:t>
      </w:r>
    </w:p>
    <w:p w14:paraId="3517FD6B">
      <w:pPr>
        <w:autoSpaceDE w:val="0"/>
        <w:autoSpaceDN w:val="0"/>
        <w:adjustRightInd w:val="0"/>
        <w:snapToGrid w:val="0"/>
        <w:spacing w:line="360" w:lineRule="auto"/>
        <w:rPr>
          <w:rFonts w:ascii="宋体" w:hAnsi="宋体"/>
          <w:sz w:val="24"/>
          <w:lang w:val="zh-CN"/>
        </w:rPr>
      </w:pPr>
      <w:r>
        <w:rPr>
          <w:rFonts w:ascii="宋体" w:hAnsi="宋体"/>
          <w:sz w:val="24"/>
        </w:rPr>
        <w:t>日期：_____年_____月_____日</w:t>
      </w:r>
    </w:p>
    <w:p w14:paraId="5ACCD26E">
      <w:pPr>
        <w:tabs>
          <w:tab w:val="left" w:pos="5580"/>
        </w:tabs>
        <w:spacing w:line="360" w:lineRule="auto"/>
        <w:ind w:firstLine="480" w:firstLineChars="200"/>
        <w:rPr>
          <w:rFonts w:ascii="宋体" w:hAnsi="宋体"/>
          <w:sz w:val="24"/>
          <w:szCs w:val="20"/>
        </w:rPr>
      </w:pPr>
    </w:p>
    <w:p w14:paraId="44093890">
      <w:pPr>
        <w:tabs>
          <w:tab w:val="left" w:pos="5580"/>
        </w:tabs>
        <w:spacing w:line="360" w:lineRule="auto"/>
        <w:rPr>
          <w:rFonts w:ascii="宋体" w:hAnsi="宋体"/>
          <w:sz w:val="24"/>
          <w:szCs w:val="20"/>
        </w:rPr>
      </w:pPr>
      <w:r>
        <w:rPr>
          <w:rFonts w:ascii="宋体" w:hAnsi="宋体"/>
          <w:sz w:val="24"/>
          <w:szCs w:val="20"/>
        </w:rPr>
        <w:t>附：法定代表人</w:t>
      </w:r>
      <w:r>
        <w:rPr>
          <w:rFonts w:hint="eastAsia" w:ascii="宋体" w:hAnsi="宋体"/>
          <w:sz w:val="24"/>
          <w:szCs w:val="20"/>
        </w:rPr>
        <w:t>（单位负责人）</w:t>
      </w:r>
      <w:r>
        <w:rPr>
          <w:rFonts w:ascii="宋体" w:hAnsi="宋体"/>
          <w:sz w:val="24"/>
          <w:szCs w:val="20"/>
        </w:rPr>
        <w:t>及委托代理人身份证明文件电子件：</w:t>
      </w:r>
    </w:p>
    <w:p w14:paraId="26DF1813">
      <w:pPr>
        <w:tabs>
          <w:tab w:val="left" w:pos="5580"/>
        </w:tabs>
        <w:spacing w:line="360" w:lineRule="auto"/>
        <w:jc w:val="left"/>
        <w:rPr>
          <w:rFonts w:ascii="宋体" w:hAnsi="宋体"/>
          <w:sz w:val="24"/>
          <w:szCs w:val="20"/>
        </w:rPr>
      </w:pPr>
      <w:r>
        <w:rPr>
          <w:rFonts w:ascii="宋体" w:hAnsi="宋体"/>
          <w:sz w:val="24"/>
          <w:szCs w:val="20"/>
        </w:rPr>
        <w:t>法定代表人（单位负责人）有效期内的身份证</w:t>
      </w:r>
      <w:r>
        <w:rPr>
          <w:rFonts w:ascii="宋体" w:hAnsi="宋体"/>
          <w:b/>
          <w:sz w:val="24"/>
          <w:szCs w:val="20"/>
        </w:rPr>
        <w:t>正反面</w:t>
      </w:r>
      <w:r>
        <w:rPr>
          <w:rFonts w:hint="eastAsia" w:ascii="宋体" w:hAnsi="宋体"/>
          <w:sz w:val="24"/>
        </w:rPr>
        <w:t>电子件</w:t>
      </w:r>
      <w:r>
        <w:rPr>
          <w:rFonts w:ascii="宋体" w:hAnsi="宋体"/>
          <w:sz w:val="24"/>
          <w:szCs w:val="20"/>
        </w:rPr>
        <w:t>：</w:t>
      </w:r>
    </w:p>
    <w:tbl>
      <w:tblPr>
        <w:tblStyle w:val="27"/>
        <w:tblW w:w="8472"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4077"/>
        <w:gridCol w:w="4395"/>
      </w:tblGrid>
      <w:tr w14:paraId="13470F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8" w:hRule="atLeast"/>
        </w:trPr>
        <w:tc>
          <w:tcPr>
            <w:tcW w:w="4077" w:type="dxa"/>
          </w:tcPr>
          <w:p w14:paraId="0B1150CF">
            <w:pPr>
              <w:tabs>
                <w:tab w:val="left" w:pos="5580"/>
              </w:tabs>
              <w:spacing w:line="360" w:lineRule="auto"/>
              <w:jc w:val="left"/>
              <w:rPr>
                <w:rFonts w:ascii="宋体" w:hAnsi="宋体"/>
                <w:sz w:val="24"/>
                <w:szCs w:val="20"/>
              </w:rPr>
            </w:pPr>
          </w:p>
        </w:tc>
        <w:tc>
          <w:tcPr>
            <w:tcW w:w="4395" w:type="dxa"/>
          </w:tcPr>
          <w:p w14:paraId="27221DF9">
            <w:pPr>
              <w:tabs>
                <w:tab w:val="left" w:pos="5580"/>
              </w:tabs>
              <w:spacing w:line="360" w:lineRule="auto"/>
              <w:jc w:val="left"/>
              <w:rPr>
                <w:rFonts w:ascii="宋体" w:hAnsi="宋体"/>
                <w:sz w:val="24"/>
                <w:szCs w:val="20"/>
              </w:rPr>
            </w:pPr>
          </w:p>
        </w:tc>
      </w:tr>
    </w:tbl>
    <w:p w14:paraId="76E87D48">
      <w:pPr>
        <w:tabs>
          <w:tab w:val="left" w:pos="5580"/>
        </w:tabs>
        <w:spacing w:line="360" w:lineRule="auto"/>
        <w:jc w:val="left"/>
        <w:rPr>
          <w:rFonts w:ascii="宋体" w:hAnsi="宋体"/>
          <w:sz w:val="24"/>
          <w:szCs w:val="20"/>
        </w:rPr>
      </w:pPr>
      <w:r>
        <w:rPr>
          <w:rFonts w:hint="eastAsia" w:ascii="宋体" w:hAnsi="宋体"/>
          <w:sz w:val="24"/>
          <w:szCs w:val="20"/>
        </w:rPr>
        <w:t>委托代理人</w:t>
      </w:r>
      <w:r>
        <w:rPr>
          <w:rFonts w:ascii="宋体" w:hAnsi="宋体"/>
          <w:sz w:val="24"/>
          <w:szCs w:val="20"/>
        </w:rPr>
        <w:t>有效期内的身份证</w:t>
      </w:r>
      <w:r>
        <w:rPr>
          <w:rFonts w:ascii="宋体" w:hAnsi="宋体"/>
          <w:b/>
          <w:sz w:val="24"/>
          <w:szCs w:val="20"/>
        </w:rPr>
        <w:t>正反面</w:t>
      </w:r>
      <w:r>
        <w:rPr>
          <w:rFonts w:hint="eastAsia" w:ascii="宋体" w:hAnsi="宋体"/>
          <w:sz w:val="24"/>
        </w:rPr>
        <w:t>电子件</w:t>
      </w:r>
      <w:r>
        <w:rPr>
          <w:rFonts w:ascii="宋体" w:hAnsi="宋体"/>
          <w:sz w:val="24"/>
          <w:szCs w:val="20"/>
        </w:rPr>
        <w:t>：</w:t>
      </w:r>
    </w:p>
    <w:tbl>
      <w:tblPr>
        <w:tblStyle w:val="27"/>
        <w:tblW w:w="8472"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4077"/>
        <w:gridCol w:w="4395"/>
      </w:tblGrid>
      <w:tr w14:paraId="69C37F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8" w:hRule="atLeast"/>
        </w:trPr>
        <w:tc>
          <w:tcPr>
            <w:tcW w:w="4077" w:type="dxa"/>
          </w:tcPr>
          <w:p w14:paraId="07552C3E">
            <w:pPr>
              <w:tabs>
                <w:tab w:val="left" w:pos="5580"/>
              </w:tabs>
              <w:spacing w:line="360" w:lineRule="auto"/>
              <w:jc w:val="left"/>
              <w:rPr>
                <w:rFonts w:ascii="宋体" w:hAnsi="宋体"/>
                <w:sz w:val="24"/>
                <w:szCs w:val="20"/>
              </w:rPr>
            </w:pPr>
          </w:p>
        </w:tc>
        <w:tc>
          <w:tcPr>
            <w:tcW w:w="4395" w:type="dxa"/>
          </w:tcPr>
          <w:p w14:paraId="6E2FCB38">
            <w:pPr>
              <w:tabs>
                <w:tab w:val="left" w:pos="5580"/>
              </w:tabs>
              <w:spacing w:line="360" w:lineRule="auto"/>
              <w:jc w:val="left"/>
              <w:rPr>
                <w:rFonts w:ascii="宋体" w:hAnsi="宋体"/>
                <w:sz w:val="24"/>
                <w:szCs w:val="20"/>
              </w:rPr>
            </w:pPr>
          </w:p>
        </w:tc>
      </w:tr>
    </w:tbl>
    <w:p w14:paraId="096A7F6C">
      <w:pPr>
        <w:tabs>
          <w:tab w:val="left" w:pos="5580"/>
        </w:tabs>
        <w:jc w:val="left"/>
        <w:rPr>
          <w:rFonts w:ascii="宋体" w:hAnsi="宋体"/>
          <w:sz w:val="24"/>
          <w:szCs w:val="20"/>
        </w:rPr>
      </w:pPr>
      <w:r>
        <w:rPr>
          <w:rFonts w:ascii="宋体" w:hAnsi="宋体"/>
          <w:sz w:val="24"/>
          <w:szCs w:val="20"/>
        </w:rPr>
        <w:t>说明：</w:t>
      </w:r>
    </w:p>
    <w:p w14:paraId="1C73C297">
      <w:pPr>
        <w:tabs>
          <w:tab w:val="left" w:pos="5580"/>
        </w:tabs>
        <w:jc w:val="left"/>
        <w:rPr>
          <w:rFonts w:ascii="宋体" w:hAnsi="宋体"/>
          <w:sz w:val="24"/>
          <w:szCs w:val="20"/>
        </w:rPr>
      </w:pPr>
      <w:r>
        <w:rPr>
          <w:rFonts w:ascii="宋体" w:hAnsi="宋体"/>
          <w:sz w:val="24"/>
          <w:szCs w:val="20"/>
        </w:rPr>
        <w:t>1.若供应商为事业单位或其他组织或分支机构，则法定代表人（单位负责人）处的签署人可为单位负责人。</w:t>
      </w:r>
    </w:p>
    <w:p w14:paraId="642635E4">
      <w:pPr>
        <w:tabs>
          <w:tab w:val="left" w:pos="5580"/>
        </w:tabs>
        <w:jc w:val="left"/>
        <w:rPr>
          <w:rFonts w:ascii="宋体" w:hAnsi="宋体"/>
          <w:sz w:val="24"/>
          <w:szCs w:val="20"/>
        </w:rPr>
      </w:pPr>
      <w:r>
        <w:rPr>
          <w:rFonts w:ascii="宋体" w:hAnsi="宋体"/>
          <w:sz w:val="24"/>
          <w:szCs w:val="20"/>
        </w:rPr>
        <w:t>2.若投标文件中签字之处均为法定代表人（单位负责人）本人签署，则可不提供本《授权委托书》，但须提供《法定代表人（单位负责人）身份证明》；否则，不需要提供《法定代表人（单位负责人）身份证明》。</w:t>
      </w:r>
    </w:p>
    <w:p w14:paraId="02E3CCCA">
      <w:pPr>
        <w:rPr>
          <w:rFonts w:ascii="宋体" w:hAnsi="宋体"/>
          <w:sz w:val="24"/>
          <w:szCs w:val="20"/>
        </w:rPr>
      </w:pPr>
      <w:r>
        <w:rPr>
          <w:rFonts w:hint="eastAsia" w:ascii="宋体" w:hAnsi="宋体"/>
          <w:sz w:val="24"/>
          <w:szCs w:val="20"/>
        </w:rPr>
        <w:t>3.若投标文件中签字之处为委托代理人签字的，则供应商须提供本《授权委托书》，同时提供委托代理人的有效期内的身份证、护照等身份证明文件</w:t>
      </w:r>
      <w:r>
        <w:rPr>
          <w:rFonts w:hint="eastAsia" w:ascii="宋体" w:hAnsi="宋体"/>
          <w:sz w:val="24"/>
        </w:rPr>
        <w:t>电子件</w:t>
      </w:r>
      <w:r>
        <w:rPr>
          <w:rFonts w:hint="eastAsia" w:ascii="宋体" w:hAnsi="宋体"/>
          <w:sz w:val="24"/>
          <w:szCs w:val="20"/>
        </w:rPr>
        <w:t>（提供身份证的，应同时提供身份证双面</w:t>
      </w:r>
      <w:r>
        <w:rPr>
          <w:rFonts w:hint="eastAsia" w:ascii="宋体" w:hAnsi="宋体"/>
          <w:sz w:val="24"/>
        </w:rPr>
        <w:t>电子件</w:t>
      </w:r>
      <w:r>
        <w:rPr>
          <w:rFonts w:hint="eastAsia" w:ascii="宋体" w:hAnsi="宋体"/>
          <w:sz w:val="24"/>
          <w:szCs w:val="20"/>
        </w:rPr>
        <w:t>）及委托代理人的在职证明（提供有效期内的劳动合同或近6个月内任意一个月的社保缴纳证明</w:t>
      </w:r>
      <w:r>
        <w:rPr>
          <w:rFonts w:hint="eastAsia" w:ascii="宋体" w:hAnsi="宋体"/>
          <w:sz w:val="24"/>
        </w:rPr>
        <w:t>电子件</w:t>
      </w:r>
      <w:r>
        <w:rPr>
          <w:rFonts w:hint="eastAsia" w:ascii="宋体" w:hAnsi="宋体"/>
          <w:sz w:val="24"/>
          <w:szCs w:val="20"/>
        </w:rPr>
        <w:t>）并加盖供应商单位公章，否则</w:t>
      </w:r>
      <w:r>
        <w:rPr>
          <w:rFonts w:hint="eastAsia" w:ascii="宋体" w:hAnsi="宋体"/>
          <w:b/>
          <w:bCs/>
          <w:sz w:val="24"/>
          <w:szCs w:val="20"/>
        </w:rPr>
        <w:t>投标无效</w:t>
      </w:r>
      <w:r>
        <w:rPr>
          <w:rFonts w:hint="eastAsia" w:ascii="宋体" w:hAnsi="宋体"/>
          <w:sz w:val="24"/>
          <w:szCs w:val="20"/>
        </w:rPr>
        <w:t>。</w:t>
      </w:r>
    </w:p>
    <w:p w14:paraId="68559220">
      <w:pPr>
        <w:tabs>
          <w:tab w:val="left" w:pos="5580"/>
        </w:tabs>
        <w:jc w:val="left"/>
        <w:rPr>
          <w:rFonts w:ascii="宋体" w:hAnsi="宋体"/>
          <w:sz w:val="24"/>
          <w:szCs w:val="20"/>
        </w:rPr>
      </w:pPr>
      <w:r>
        <w:rPr>
          <w:rFonts w:hint="eastAsia" w:ascii="宋体" w:hAnsi="宋体"/>
          <w:sz w:val="24"/>
          <w:szCs w:val="20"/>
        </w:rPr>
        <w:t>4</w:t>
      </w:r>
      <w:r>
        <w:rPr>
          <w:rFonts w:ascii="宋体" w:hAnsi="宋体"/>
          <w:sz w:val="24"/>
          <w:szCs w:val="20"/>
        </w:rPr>
        <w:t>.供应商为自然人的情形，可不提供本《授权委托书》。</w:t>
      </w:r>
    </w:p>
    <w:p w14:paraId="4B3B38FC">
      <w:pPr>
        <w:jc w:val="left"/>
        <w:rPr>
          <w:rFonts w:ascii="宋体" w:hAnsi="宋体"/>
          <w:sz w:val="24"/>
          <w:szCs w:val="20"/>
        </w:rPr>
      </w:pPr>
      <w:r>
        <w:rPr>
          <w:rFonts w:hint="eastAsia" w:ascii="宋体" w:hAnsi="宋体"/>
          <w:sz w:val="24"/>
          <w:szCs w:val="20"/>
        </w:rPr>
        <w:t>5</w:t>
      </w:r>
      <w:r>
        <w:rPr>
          <w:rFonts w:ascii="宋体" w:hAnsi="宋体"/>
          <w:sz w:val="24"/>
          <w:szCs w:val="20"/>
        </w:rPr>
        <w:t>.供应商应随本《授权委托书》同时提供法定代表人（单位负责人）及委托代理人的有效的身份证</w:t>
      </w:r>
      <w:r>
        <w:rPr>
          <w:rFonts w:hint="eastAsia" w:ascii="宋体" w:hAnsi="宋体"/>
          <w:sz w:val="24"/>
          <w:szCs w:val="20"/>
        </w:rPr>
        <w:t>或</w:t>
      </w:r>
      <w:r>
        <w:rPr>
          <w:rFonts w:ascii="宋体" w:hAnsi="宋体"/>
          <w:sz w:val="24"/>
          <w:szCs w:val="20"/>
        </w:rPr>
        <w:t>护照等身份证明文件电子件。提供身份证的，应同时提供身份证</w:t>
      </w:r>
      <w:r>
        <w:rPr>
          <w:rFonts w:ascii="宋体" w:hAnsi="宋体"/>
          <w:b/>
          <w:sz w:val="24"/>
          <w:szCs w:val="20"/>
        </w:rPr>
        <w:t>双面</w:t>
      </w:r>
      <w:r>
        <w:rPr>
          <w:rFonts w:ascii="宋体" w:hAnsi="宋体"/>
          <w:sz w:val="24"/>
          <w:szCs w:val="20"/>
        </w:rPr>
        <w:t>电子件。</w:t>
      </w:r>
    </w:p>
    <w:p w14:paraId="0A3FDBCA">
      <w:pPr>
        <w:jc w:val="left"/>
        <w:rPr>
          <w:rFonts w:ascii="宋体" w:hAnsi="宋体"/>
          <w:sz w:val="24"/>
          <w:szCs w:val="20"/>
        </w:rPr>
      </w:pPr>
    </w:p>
    <w:p w14:paraId="36A7608D">
      <w:pPr>
        <w:spacing w:line="360" w:lineRule="auto"/>
        <w:rPr>
          <w:rFonts w:ascii="宋体" w:hAnsi="宋体"/>
          <w:sz w:val="24"/>
          <w:szCs w:val="20"/>
        </w:rPr>
      </w:pPr>
      <w:r>
        <w:rPr>
          <w:rFonts w:hint="eastAsia" w:ascii="宋体" w:hAnsi="宋体"/>
          <w:sz w:val="24"/>
          <w:szCs w:val="20"/>
        </w:rPr>
        <w:t>附件：委托代理人的在职证明（提供有效期内的劳动合同或近6个月内任意一个月的社保缴纳证明</w:t>
      </w:r>
      <w:r>
        <w:rPr>
          <w:rFonts w:hint="eastAsia" w:ascii="宋体" w:hAnsi="宋体"/>
          <w:sz w:val="24"/>
        </w:rPr>
        <w:t>电子件</w:t>
      </w:r>
      <w:r>
        <w:rPr>
          <w:rFonts w:hint="eastAsia" w:ascii="宋体" w:hAnsi="宋体"/>
          <w:sz w:val="24"/>
          <w:szCs w:val="20"/>
        </w:rPr>
        <w:t>）</w:t>
      </w:r>
    </w:p>
    <w:p w14:paraId="4623D5FC">
      <w:pPr>
        <w:jc w:val="left"/>
        <w:rPr>
          <w:rFonts w:ascii="宋体" w:hAnsi="宋体"/>
          <w:sz w:val="24"/>
          <w:szCs w:val="20"/>
        </w:rPr>
      </w:pPr>
      <w:r>
        <w:rPr>
          <w:rFonts w:hint="eastAsia" w:ascii="宋体" w:hAnsi="宋体"/>
          <w:sz w:val="24"/>
          <w:szCs w:val="20"/>
        </w:rPr>
        <w:br w:type="page"/>
      </w:r>
    </w:p>
    <w:p w14:paraId="14F7CE94">
      <w:pPr>
        <w:spacing w:line="360" w:lineRule="exact"/>
        <w:jc w:val="center"/>
        <w:rPr>
          <w:rFonts w:ascii="宋体" w:hAnsi="宋体"/>
          <w:b/>
          <w:sz w:val="36"/>
          <w:szCs w:val="36"/>
        </w:rPr>
      </w:pPr>
      <w:r>
        <w:rPr>
          <w:rFonts w:ascii="宋体" w:hAnsi="宋体"/>
          <w:b/>
          <w:sz w:val="36"/>
          <w:szCs w:val="36"/>
        </w:rPr>
        <w:t>法定代表人（单位负责人）身份证明</w:t>
      </w:r>
    </w:p>
    <w:p w14:paraId="457E0018">
      <w:pPr>
        <w:kinsoku w:val="0"/>
        <w:overflowPunct w:val="0"/>
        <w:spacing w:line="200" w:lineRule="exact"/>
        <w:rPr>
          <w:rFonts w:ascii="宋体" w:hAnsi="宋体"/>
          <w:sz w:val="20"/>
          <w:szCs w:val="20"/>
        </w:rPr>
      </w:pPr>
    </w:p>
    <w:p w14:paraId="481177B3">
      <w:pPr>
        <w:tabs>
          <w:tab w:val="left" w:pos="5580"/>
        </w:tabs>
        <w:spacing w:line="360" w:lineRule="auto"/>
        <w:rPr>
          <w:rFonts w:ascii="宋体" w:hAnsi="宋体"/>
          <w:sz w:val="24"/>
        </w:rPr>
      </w:pPr>
      <w:r>
        <w:rPr>
          <w:rFonts w:ascii="宋体" w:hAnsi="宋体"/>
          <w:sz w:val="24"/>
        </w:rPr>
        <w:t>致：</w:t>
      </w:r>
      <w:r>
        <w:rPr>
          <w:rFonts w:ascii="宋体" w:hAnsi="宋体"/>
          <w:sz w:val="24"/>
          <w:u w:val="single"/>
        </w:rPr>
        <w:t>（采购人或采购代理机构）</w:t>
      </w:r>
    </w:p>
    <w:p w14:paraId="5F449819">
      <w:pPr>
        <w:pStyle w:val="10"/>
        <w:tabs>
          <w:tab w:val="left" w:pos="2412"/>
          <w:tab w:val="left" w:pos="3883"/>
          <w:tab w:val="left" w:pos="5352"/>
          <w:tab w:val="left" w:pos="6821"/>
        </w:tabs>
        <w:kinsoku w:val="0"/>
        <w:overflowPunct w:val="0"/>
        <w:spacing w:line="335" w:lineRule="exact"/>
        <w:ind w:firstLine="480" w:firstLineChars="200"/>
      </w:pPr>
      <w:r>
        <w:t>兹证明，</w:t>
      </w:r>
    </w:p>
    <w:p w14:paraId="09E9082A">
      <w:pPr>
        <w:pStyle w:val="10"/>
        <w:tabs>
          <w:tab w:val="left" w:pos="1690"/>
          <w:tab w:val="left" w:pos="3400"/>
          <w:tab w:val="left" w:pos="5110"/>
          <w:tab w:val="left" w:pos="6821"/>
        </w:tabs>
        <w:kinsoku w:val="0"/>
        <w:overflowPunct w:val="0"/>
        <w:spacing w:line="335" w:lineRule="exact"/>
      </w:pPr>
      <w:r>
        <w:t>姓名：____性别：____年龄：____职务：____</w:t>
      </w:r>
    </w:p>
    <w:p w14:paraId="58289BE0">
      <w:pPr>
        <w:pStyle w:val="10"/>
        <w:tabs>
          <w:tab w:val="left" w:pos="2412"/>
          <w:tab w:val="left" w:pos="3883"/>
          <w:tab w:val="left" w:pos="5352"/>
          <w:tab w:val="left" w:pos="6821"/>
        </w:tabs>
        <w:kinsoku w:val="0"/>
        <w:overflowPunct w:val="0"/>
        <w:spacing w:line="335" w:lineRule="exact"/>
      </w:pPr>
    </w:p>
    <w:p w14:paraId="0BDA7ADE">
      <w:pPr>
        <w:pStyle w:val="10"/>
        <w:tabs>
          <w:tab w:val="left" w:pos="2250"/>
          <w:tab w:val="left" w:pos="2412"/>
          <w:tab w:val="left" w:pos="3883"/>
          <w:tab w:val="left" w:pos="5352"/>
          <w:tab w:val="left" w:pos="6821"/>
          <w:tab w:val="clear" w:pos="567"/>
        </w:tabs>
        <w:kinsoku w:val="0"/>
        <w:overflowPunct w:val="0"/>
        <w:spacing w:line="335" w:lineRule="exact"/>
      </w:pPr>
      <w:r>
        <w:t>系</w:t>
      </w:r>
      <w:r>
        <w:rPr>
          <w:u w:val="single"/>
        </w:rPr>
        <w:t xml:space="preserve"> </w:t>
      </w:r>
      <w:r>
        <w:t>（投标人名称）的法定代表人（单位负责人）。</w:t>
      </w:r>
    </w:p>
    <w:p w14:paraId="7B51C676">
      <w:pPr>
        <w:pStyle w:val="10"/>
        <w:tabs>
          <w:tab w:val="left" w:pos="2412"/>
          <w:tab w:val="left" w:pos="3883"/>
          <w:tab w:val="left" w:pos="5352"/>
          <w:tab w:val="left" w:pos="6821"/>
        </w:tabs>
        <w:kinsoku w:val="0"/>
        <w:overflowPunct w:val="0"/>
        <w:spacing w:line="335" w:lineRule="exact"/>
      </w:pPr>
    </w:p>
    <w:p w14:paraId="15AB20A9">
      <w:pPr>
        <w:pStyle w:val="10"/>
        <w:kinsoku w:val="0"/>
        <w:overflowPunct w:val="0"/>
        <w:spacing w:line="583" w:lineRule="auto"/>
        <w:ind w:right="-46"/>
        <w:rPr>
          <w:szCs w:val="20"/>
        </w:rPr>
      </w:pPr>
      <w:r>
        <w:rPr>
          <w:szCs w:val="20"/>
        </w:rPr>
        <w:t>附：法定代表人（单位负责人）身份证</w:t>
      </w:r>
      <w:r>
        <w:rPr>
          <w:rFonts w:hint="eastAsia"/>
          <w:szCs w:val="20"/>
        </w:rPr>
        <w:t>或</w:t>
      </w:r>
      <w:r>
        <w:rPr>
          <w:szCs w:val="20"/>
        </w:rPr>
        <w:t>护照等身份证明文件电子件：</w:t>
      </w:r>
    </w:p>
    <w:tbl>
      <w:tblPr>
        <w:tblStyle w:val="27"/>
        <w:tblW w:w="8330"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4077"/>
        <w:gridCol w:w="4253"/>
      </w:tblGrid>
      <w:tr w14:paraId="18D9F6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399" w:hRule="atLeast"/>
        </w:trPr>
        <w:tc>
          <w:tcPr>
            <w:tcW w:w="4077" w:type="dxa"/>
          </w:tcPr>
          <w:p w14:paraId="2CE3D6C9">
            <w:pPr>
              <w:tabs>
                <w:tab w:val="left" w:pos="5580"/>
              </w:tabs>
              <w:spacing w:line="360" w:lineRule="auto"/>
              <w:jc w:val="left"/>
              <w:rPr>
                <w:rFonts w:ascii="宋体" w:hAnsi="宋体"/>
                <w:sz w:val="24"/>
                <w:szCs w:val="20"/>
              </w:rPr>
            </w:pPr>
          </w:p>
          <w:p w14:paraId="7E675B69">
            <w:pPr>
              <w:tabs>
                <w:tab w:val="left" w:pos="5580"/>
              </w:tabs>
              <w:spacing w:line="360" w:lineRule="auto"/>
              <w:jc w:val="left"/>
              <w:rPr>
                <w:rFonts w:ascii="宋体" w:hAnsi="宋体"/>
                <w:sz w:val="24"/>
                <w:szCs w:val="20"/>
              </w:rPr>
            </w:pPr>
          </w:p>
          <w:p w14:paraId="0D5E9AA4">
            <w:pPr>
              <w:tabs>
                <w:tab w:val="left" w:pos="5580"/>
              </w:tabs>
              <w:spacing w:line="360" w:lineRule="auto"/>
              <w:jc w:val="left"/>
              <w:rPr>
                <w:rFonts w:ascii="宋体" w:hAnsi="宋体"/>
                <w:sz w:val="24"/>
                <w:szCs w:val="20"/>
              </w:rPr>
            </w:pPr>
          </w:p>
        </w:tc>
        <w:tc>
          <w:tcPr>
            <w:tcW w:w="4253" w:type="dxa"/>
          </w:tcPr>
          <w:p w14:paraId="18F55748">
            <w:pPr>
              <w:tabs>
                <w:tab w:val="left" w:pos="5580"/>
              </w:tabs>
              <w:spacing w:line="360" w:lineRule="auto"/>
              <w:jc w:val="left"/>
              <w:rPr>
                <w:rFonts w:ascii="宋体" w:hAnsi="宋体"/>
                <w:sz w:val="24"/>
                <w:szCs w:val="20"/>
              </w:rPr>
            </w:pPr>
          </w:p>
          <w:p w14:paraId="01CA8EA1">
            <w:pPr>
              <w:tabs>
                <w:tab w:val="left" w:pos="5580"/>
              </w:tabs>
              <w:spacing w:line="360" w:lineRule="auto"/>
              <w:jc w:val="left"/>
              <w:rPr>
                <w:rFonts w:ascii="宋体" w:hAnsi="宋体"/>
                <w:sz w:val="24"/>
                <w:szCs w:val="20"/>
              </w:rPr>
            </w:pPr>
          </w:p>
          <w:p w14:paraId="7D6A086E">
            <w:pPr>
              <w:tabs>
                <w:tab w:val="left" w:pos="5580"/>
              </w:tabs>
              <w:spacing w:line="360" w:lineRule="auto"/>
              <w:jc w:val="left"/>
              <w:rPr>
                <w:rFonts w:ascii="宋体" w:hAnsi="宋体"/>
                <w:sz w:val="24"/>
                <w:szCs w:val="20"/>
              </w:rPr>
            </w:pPr>
          </w:p>
        </w:tc>
      </w:tr>
    </w:tbl>
    <w:p w14:paraId="5CF7283B">
      <w:pPr>
        <w:pStyle w:val="10"/>
        <w:kinsoku w:val="0"/>
        <w:overflowPunct w:val="0"/>
        <w:spacing w:before="0" w:line="360" w:lineRule="auto"/>
        <w:ind w:right="4305"/>
      </w:pPr>
    </w:p>
    <w:p w14:paraId="657692B7">
      <w:pPr>
        <w:pStyle w:val="10"/>
        <w:kinsoku w:val="0"/>
        <w:overflowPunct w:val="0"/>
        <w:spacing w:before="0" w:line="360" w:lineRule="auto"/>
        <w:ind w:right="4305"/>
      </w:pPr>
    </w:p>
    <w:p w14:paraId="26AE4BB5">
      <w:pPr>
        <w:pStyle w:val="10"/>
        <w:kinsoku w:val="0"/>
        <w:overflowPunct w:val="0"/>
        <w:spacing w:before="0" w:line="360" w:lineRule="auto"/>
        <w:ind w:right="4305"/>
      </w:pPr>
    </w:p>
    <w:p w14:paraId="3B03FA59">
      <w:pPr>
        <w:pStyle w:val="10"/>
        <w:kinsoku w:val="0"/>
        <w:overflowPunct w:val="0"/>
        <w:spacing w:before="0" w:line="360" w:lineRule="auto"/>
        <w:ind w:right="4305"/>
      </w:pPr>
    </w:p>
    <w:p w14:paraId="2C760466">
      <w:pPr>
        <w:pStyle w:val="10"/>
        <w:kinsoku w:val="0"/>
        <w:overflowPunct w:val="0"/>
        <w:spacing w:before="0" w:line="360" w:lineRule="auto"/>
        <w:ind w:right="4305"/>
      </w:pPr>
    </w:p>
    <w:p w14:paraId="50C03CA8">
      <w:pPr>
        <w:autoSpaceDE w:val="0"/>
        <w:autoSpaceDN w:val="0"/>
        <w:adjustRightInd w:val="0"/>
        <w:snapToGrid w:val="0"/>
        <w:spacing w:line="360" w:lineRule="auto"/>
        <w:rPr>
          <w:rFonts w:ascii="宋体" w:hAnsi="宋体"/>
          <w:sz w:val="24"/>
          <w:lang w:val="zh-CN"/>
        </w:rPr>
      </w:pPr>
      <w:r>
        <w:rPr>
          <w:rFonts w:ascii="宋体" w:hAnsi="宋体"/>
          <w:sz w:val="24"/>
        </w:rPr>
        <w:t>投标人名称（加盖公章）</w:t>
      </w:r>
      <w:r>
        <w:rPr>
          <w:rFonts w:ascii="宋体" w:hAnsi="宋体"/>
          <w:sz w:val="24"/>
          <w:lang w:val="zh-CN"/>
        </w:rPr>
        <w:t>：________________</w:t>
      </w:r>
    </w:p>
    <w:p w14:paraId="5B1597C6">
      <w:pPr>
        <w:pStyle w:val="10"/>
        <w:kinsoku w:val="0"/>
        <w:overflowPunct w:val="0"/>
        <w:spacing w:before="0" w:line="360" w:lineRule="auto"/>
        <w:ind w:right="95"/>
      </w:pPr>
      <w:r>
        <w:t>法定代表人（单位负责人）（签字或签章</w:t>
      </w:r>
      <w:r>
        <w:rPr>
          <w:rFonts w:hint="eastAsia"/>
          <w:szCs w:val="20"/>
        </w:rPr>
        <w:t>或印鉴</w:t>
      </w:r>
      <w:r>
        <w:t>）：_______</w:t>
      </w:r>
    </w:p>
    <w:p w14:paraId="20B852D6">
      <w:pPr>
        <w:autoSpaceDE w:val="0"/>
        <w:autoSpaceDN w:val="0"/>
        <w:adjustRightInd w:val="0"/>
        <w:snapToGrid w:val="0"/>
        <w:spacing w:line="360" w:lineRule="auto"/>
        <w:rPr>
          <w:rFonts w:ascii="宋体" w:hAnsi="宋体"/>
          <w:sz w:val="24"/>
          <w:lang w:val="zh-CN"/>
        </w:rPr>
      </w:pPr>
      <w:r>
        <w:rPr>
          <w:rFonts w:ascii="宋体" w:hAnsi="宋体"/>
          <w:sz w:val="24"/>
        </w:rPr>
        <w:t>日期：_____年____月____日</w:t>
      </w:r>
    </w:p>
    <w:p w14:paraId="630C920E">
      <w:pPr>
        <w:widowControl/>
        <w:spacing w:line="360" w:lineRule="auto"/>
        <w:jc w:val="left"/>
        <w:rPr>
          <w:rFonts w:ascii="宋体" w:hAnsi="宋体"/>
          <w:i/>
          <w:sz w:val="24"/>
          <w:szCs w:val="20"/>
          <w:u w:val="single"/>
        </w:rPr>
      </w:pPr>
    </w:p>
    <w:p w14:paraId="0514C605">
      <w:pPr>
        <w:widowControl/>
        <w:spacing w:line="360" w:lineRule="auto"/>
        <w:jc w:val="left"/>
        <w:rPr>
          <w:rFonts w:ascii="宋体" w:hAnsi="宋体"/>
          <w:sz w:val="24"/>
          <w:szCs w:val="20"/>
        </w:rPr>
      </w:pPr>
      <w:r>
        <w:rPr>
          <w:rFonts w:ascii="宋体" w:hAnsi="宋体"/>
          <w:sz w:val="24"/>
          <w:szCs w:val="20"/>
        </w:rPr>
        <w:br w:type="page"/>
      </w:r>
    </w:p>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p w14:paraId="4CF40E3C">
      <w:pPr>
        <w:tabs>
          <w:tab w:val="left" w:pos="360"/>
        </w:tabs>
        <w:snapToGrid w:val="0"/>
        <w:spacing w:line="360" w:lineRule="auto"/>
        <w:ind w:left="900" w:hanging="900"/>
        <w:outlineLvl w:val="2"/>
        <w:rPr>
          <w:rFonts w:ascii="宋体" w:hAnsi="宋体"/>
          <w:sz w:val="24"/>
          <w:szCs w:val="20"/>
        </w:rPr>
      </w:pPr>
      <w:bookmarkStart w:id="842" w:name="_Toc150774763"/>
      <w:bookmarkStart w:id="843" w:name="_Toc195842924"/>
      <w:bookmarkStart w:id="844" w:name="_Toc150480796"/>
      <w:bookmarkStart w:id="845" w:name="_Toc142311060"/>
      <w:bookmarkStart w:id="846" w:name="_Toc264969249"/>
      <w:bookmarkStart w:id="847" w:name="_Toc226309803"/>
      <w:bookmarkStart w:id="848" w:name="_Toc127151558"/>
      <w:bookmarkStart w:id="849" w:name="_Toc265228397"/>
      <w:bookmarkStart w:id="850" w:name="_Toc226965832"/>
      <w:bookmarkStart w:id="851" w:name="_Toc226965749"/>
      <w:bookmarkStart w:id="852" w:name="_Toc226337255"/>
      <w:bookmarkStart w:id="853" w:name="_Toc305158901"/>
      <w:bookmarkStart w:id="854" w:name="_Toc305158827"/>
      <w:r>
        <w:rPr>
          <w:rFonts w:hint="eastAsia" w:ascii="宋体" w:hAnsi="宋体"/>
          <w:sz w:val="24"/>
          <w:szCs w:val="20"/>
        </w:rPr>
        <w:t>3</w:t>
      </w:r>
      <w:r>
        <w:rPr>
          <w:rFonts w:ascii="宋体" w:hAnsi="宋体"/>
          <w:sz w:val="24"/>
          <w:szCs w:val="20"/>
        </w:rPr>
        <w:t>开标一览表（实质性格式）</w:t>
      </w:r>
    </w:p>
    <w:p w14:paraId="7EE313E7">
      <w:pPr>
        <w:spacing w:line="360" w:lineRule="exact"/>
        <w:jc w:val="center"/>
        <w:rPr>
          <w:rFonts w:ascii="宋体" w:hAnsi="宋体"/>
          <w:b/>
          <w:sz w:val="36"/>
          <w:szCs w:val="36"/>
        </w:rPr>
      </w:pPr>
      <w:bookmarkStart w:id="855" w:name="_Toc305158826"/>
      <w:bookmarkStart w:id="856" w:name="_Toc305158900"/>
      <w:bookmarkStart w:id="857" w:name="_Toc226309802"/>
      <w:bookmarkStart w:id="858" w:name="_Toc226337254"/>
      <w:bookmarkStart w:id="859" w:name="_Toc164608672"/>
      <w:bookmarkStart w:id="860" w:name="_Toc164608827"/>
      <w:bookmarkStart w:id="861" w:name="_Toc195842923"/>
      <w:bookmarkStart w:id="862" w:name="_Toc264969248"/>
      <w:bookmarkStart w:id="863" w:name="_Toc226965748"/>
      <w:bookmarkStart w:id="864" w:name="_Toc226965831"/>
      <w:bookmarkStart w:id="865" w:name="_Toc265228396"/>
      <w:r>
        <w:rPr>
          <w:rFonts w:ascii="宋体" w:hAnsi="宋体"/>
          <w:b/>
          <w:sz w:val="36"/>
          <w:szCs w:val="36"/>
        </w:rPr>
        <w:t>开标一览表</w:t>
      </w:r>
      <w:bookmarkEnd w:id="855"/>
      <w:bookmarkEnd w:id="856"/>
      <w:bookmarkEnd w:id="857"/>
      <w:bookmarkEnd w:id="858"/>
      <w:bookmarkEnd w:id="859"/>
      <w:bookmarkEnd w:id="860"/>
      <w:bookmarkEnd w:id="861"/>
      <w:bookmarkEnd w:id="862"/>
      <w:bookmarkEnd w:id="863"/>
      <w:bookmarkEnd w:id="864"/>
      <w:bookmarkEnd w:id="865"/>
    </w:p>
    <w:p w14:paraId="33190CB6">
      <w:pPr>
        <w:tabs>
          <w:tab w:val="left" w:pos="1800"/>
          <w:tab w:val="left" w:pos="5580"/>
        </w:tabs>
        <w:spacing w:line="360" w:lineRule="auto"/>
        <w:jc w:val="left"/>
        <w:rPr>
          <w:rFonts w:ascii="宋体" w:hAnsi="宋体"/>
          <w:i/>
          <w:sz w:val="24"/>
        </w:rPr>
      </w:pPr>
    </w:p>
    <w:p w14:paraId="37B6DBDD">
      <w:pPr>
        <w:tabs>
          <w:tab w:val="left" w:pos="1800"/>
          <w:tab w:val="left" w:pos="5580"/>
        </w:tabs>
        <w:spacing w:line="360" w:lineRule="auto"/>
        <w:ind w:firstLine="240" w:firstLineChars="100"/>
        <w:jc w:val="left"/>
        <w:rPr>
          <w:rFonts w:ascii="宋体" w:hAnsi="宋体"/>
          <w:sz w:val="24"/>
          <w:u w:val="single"/>
        </w:rPr>
      </w:pPr>
      <w:r>
        <w:rPr>
          <w:rFonts w:ascii="宋体" w:hAnsi="宋体"/>
          <w:sz w:val="24"/>
        </w:rPr>
        <w:t>项目编号：_____________________     项目名称：____________</w:t>
      </w:r>
    </w:p>
    <w:tbl>
      <w:tblPr>
        <w:tblStyle w:val="27"/>
        <w:tblW w:w="4921"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791"/>
        <w:gridCol w:w="3238"/>
        <w:gridCol w:w="2148"/>
        <w:gridCol w:w="2009"/>
      </w:tblGrid>
      <w:tr w14:paraId="3C6C4B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31" w:hRule="atLeast"/>
          <w:jc w:val="center"/>
        </w:trPr>
        <w:tc>
          <w:tcPr>
            <w:tcW w:w="483" w:type="pct"/>
            <w:vMerge w:val="restart"/>
            <w:vAlign w:val="center"/>
          </w:tcPr>
          <w:p w14:paraId="2DDBEAE3">
            <w:pPr>
              <w:tabs>
                <w:tab w:val="left" w:pos="5580"/>
              </w:tabs>
              <w:jc w:val="center"/>
              <w:rPr>
                <w:rFonts w:ascii="宋体" w:hAnsi="宋体"/>
                <w:b/>
                <w:sz w:val="24"/>
              </w:rPr>
            </w:pPr>
            <w:r>
              <w:rPr>
                <w:rFonts w:hint="eastAsia" w:ascii="宋体" w:hAnsi="宋体"/>
                <w:b/>
                <w:sz w:val="24"/>
              </w:rPr>
              <w:t>序</w:t>
            </w:r>
            <w:r>
              <w:rPr>
                <w:rFonts w:ascii="宋体" w:hAnsi="宋体"/>
                <w:b/>
                <w:sz w:val="24"/>
              </w:rPr>
              <w:t>号</w:t>
            </w:r>
          </w:p>
        </w:tc>
        <w:tc>
          <w:tcPr>
            <w:tcW w:w="1978" w:type="pct"/>
            <w:vMerge w:val="restart"/>
            <w:vAlign w:val="center"/>
          </w:tcPr>
          <w:p w14:paraId="77FB394D">
            <w:pPr>
              <w:tabs>
                <w:tab w:val="left" w:pos="5580"/>
              </w:tabs>
              <w:jc w:val="center"/>
              <w:rPr>
                <w:rFonts w:ascii="宋体" w:hAnsi="宋体"/>
                <w:b/>
                <w:sz w:val="24"/>
              </w:rPr>
            </w:pPr>
            <w:r>
              <w:rPr>
                <w:rFonts w:ascii="宋体" w:hAnsi="宋体"/>
                <w:b/>
                <w:sz w:val="24"/>
              </w:rPr>
              <w:t>投标人名称</w:t>
            </w:r>
          </w:p>
        </w:tc>
        <w:tc>
          <w:tcPr>
            <w:tcW w:w="2539" w:type="pct"/>
            <w:gridSpan w:val="2"/>
            <w:vAlign w:val="center"/>
          </w:tcPr>
          <w:p w14:paraId="27E9C0B4">
            <w:pPr>
              <w:tabs>
                <w:tab w:val="left" w:pos="5580"/>
              </w:tabs>
              <w:jc w:val="center"/>
              <w:rPr>
                <w:rFonts w:ascii="宋体" w:hAnsi="宋体"/>
                <w:b/>
                <w:sz w:val="24"/>
              </w:rPr>
            </w:pPr>
            <w:r>
              <w:rPr>
                <w:rFonts w:ascii="宋体" w:hAnsi="宋体"/>
                <w:b/>
                <w:sz w:val="24"/>
              </w:rPr>
              <w:t>投标报价</w:t>
            </w:r>
            <w:r>
              <w:rPr>
                <w:rFonts w:hint="eastAsia" w:ascii="宋体" w:hAnsi="宋体"/>
                <w:b/>
                <w:sz w:val="24"/>
              </w:rPr>
              <w:t>（元）</w:t>
            </w:r>
          </w:p>
        </w:tc>
      </w:tr>
      <w:tr w14:paraId="026610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74" w:hRule="atLeast"/>
          <w:jc w:val="center"/>
        </w:trPr>
        <w:tc>
          <w:tcPr>
            <w:tcW w:w="483" w:type="pct"/>
            <w:vMerge w:val="continue"/>
            <w:vAlign w:val="center"/>
          </w:tcPr>
          <w:p w14:paraId="06C00D3E">
            <w:pPr>
              <w:tabs>
                <w:tab w:val="left" w:pos="5580"/>
              </w:tabs>
              <w:jc w:val="center"/>
              <w:rPr>
                <w:rFonts w:ascii="宋体" w:hAnsi="宋体"/>
                <w:sz w:val="24"/>
              </w:rPr>
            </w:pPr>
          </w:p>
        </w:tc>
        <w:tc>
          <w:tcPr>
            <w:tcW w:w="1978" w:type="pct"/>
            <w:vMerge w:val="continue"/>
            <w:vAlign w:val="center"/>
          </w:tcPr>
          <w:p w14:paraId="249DAE38">
            <w:pPr>
              <w:tabs>
                <w:tab w:val="left" w:pos="5580"/>
              </w:tabs>
              <w:jc w:val="center"/>
              <w:rPr>
                <w:rFonts w:ascii="宋体" w:hAnsi="宋体"/>
                <w:sz w:val="24"/>
              </w:rPr>
            </w:pPr>
          </w:p>
        </w:tc>
        <w:tc>
          <w:tcPr>
            <w:tcW w:w="1312" w:type="pct"/>
            <w:vAlign w:val="center"/>
          </w:tcPr>
          <w:p w14:paraId="0F70DF2A">
            <w:pPr>
              <w:tabs>
                <w:tab w:val="left" w:pos="5580"/>
              </w:tabs>
              <w:jc w:val="center"/>
              <w:rPr>
                <w:rFonts w:ascii="宋体" w:hAnsi="宋体"/>
                <w:b/>
                <w:sz w:val="24"/>
              </w:rPr>
            </w:pPr>
            <w:r>
              <w:rPr>
                <w:rFonts w:ascii="宋体" w:hAnsi="宋体"/>
                <w:b/>
                <w:sz w:val="24"/>
              </w:rPr>
              <w:t>大写</w:t>
            </w:r>
          </w:p>
        </w:tc>
        <w:tc>
          <w:tcPr>
            <w:tcW w:w="1227" w:type="pct"/>
            <w:vAlign w:val="center"/>
          </w:tcPr>
          <w:p w14:paraId="4EDC6039">
            <w:pPr>
              <w:tabs>
                <w:tab w:val="left" w:pos="5580"/>
              </w:tabs>
              <w:jc w:val="center"/>
              <w:rPr>
                <w:rFonts w:ascii="宋体" w:hAnsi="宋体"/>
                <w:b/>
                <w:sz w:val="24"/>
              </w:rPr>
            </w:pPr>
            <w:r>
              <w:rPr>
                <w:rFonts w:ascii="宋体" w:hAnsi="宋体"/>
                <w:b/>
                <w:sz w:val="24"/>
              </w:rPr>
              <w:t>小写</w:t>
            </w:r>
          </w:p>
        </w:tc>
      </w:tr>
      <w:tr w14:paraId="7BC99D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76" w:hRule="atLeast"/>
          <w:jc w:val="center"/>
        </w:trPr>
        <w:tc>
          <w:tcPr>
            <w:tcW w:w="483" w:type="pct"/>
            <w:vAlign w:val="center"/>
          </w:tcPr>
          <w:p w14:paraId="15FE2E9E">
            <w:pPr>
              <w:tabs>
                <w:tab w:val="left" w:pos="5580"/>
              </w:tabs>
              <w:jc w:val="center"/>
              <w:rPr>
                <w:rFonts w:ascii="宋体" w:hAnsi="宋体"/>
                <w:sz w:val="24"/>
              </w:rPr>
            </w:pPr>
          </w:p>
        </w:tc>
        <w:tc>
          <w:tcPr>
            <w:tcW w:w="1978" w:type="pct"/>
            <w:vAlign w:val="center"/>
          </w:tcPr>
          <w:p w14:paraId="059F40AA">
            <w:pPr>
              <w:tabs>
                <w:tab w:val="left" w:pos="5580"/>
              </w:tabs>
              <w:jc w:val="center"/>
              <w:rPr>
                <w:rFonts w:ascii="宋体" w:hAnsi="宋体"/>
                <w:sz w:val="24"/>
              </w:rPr>
            </w:pPr>
          </w:p>
        </w:tc>
        <w:tc>
          <w:tcPr>
            <w:tcW w:w="1312" w:type="pct"/>
            <w:vAlign w:val="center"/>
          </w:tcPr>
          <w:p w14:paraId="74BD042F">
            <w:pPr>
              <w:tabs>
                <w:tab w:val="left" w:pos="5580"/>
              </w:tabs>
              <w:jc w:val="center"/>
              <w:rPr>
                <w:rFonts w:ascii="宋体" w:hAnsi="宋体"/>
                <w:sz w:val="24"/>
              </w:rPr>
            </w:pPr>
          </w:p>
        </w:tc>
        <w:tc>
          <w:tcPr>
            <w:tcW w:w="1227" w:type="pct"/>
            <w:vAlign w:val="center"/>
          </w:tcPr>
          <w:p w14:paraId="477CB1D2">
            <w:pPr>
              <w:tabs>
                <w:tab w:val="left" w:pos="5580"/>
              </w:tabs>
              <w:jc w:val="center"/>
              <w:rPr>
                <w:rFonts w:ascii="宋体" w:hAnsi="宋体"/>
                <w:sz w:val="24"/>
              </w:rPr>
            </w:pPr>
          </w:p>
        </w:tc>
      </w:tr>
    </w:tbl>
    <w:p w14:paraId="60E591D4">
      <w:pPr>
        <w:autoSpaceDE w:val="0"/>
        <w:autoSpaceDN w:val="0"/>
        <w:adjustRightInd w:val="0"/>
        <w:spacing w:line="360" w:lineRule="auto"/>
        <w:jc w:val="left"/>
        <w:rPr>
          <w:rFonts w:ascii="宋体" w:hAnsi="宋体"/>
          <w:sz w:val="24"/>
          <w:szCs w:val="20"/>
        </w:rPr>
      </w:pPr>
      <w:r>
        <w:rPr>
          <w:rFonts w:ascii="宋体" w:hAnsi="宋体"/>
          <w:kern w:val="0"/>
          <w:sz w:val="24"/>
        </w:rPr>
        <w:t>注：1</w:t>
      </w:r>
      <w:r>
        <w:rPr>
          <w:rFonts w:ascii="宋体" w:hAnsi="宋体"/>
          <w:sz w:val="24"/>
          <w:szCs w:val="20"/>
        </w:rPr>
        <w:t>.此表中投标报价应和《投标分项报价表》中的总价一致。</w:t>
      </w:r>
    </w:p>
    <w:p w14:paraId="6356AAE6">
      <w:pPr>
        <w:tabs>
          <w:tab w:val="left" w:pos="5580"/>
        </w:tabs>
        <w:spacing w:line="360" w:lineRule="auto"/>
        <w:ind w:firstLine="480" w:firstLineChars="200"/>
        <w:rPr>
          <w:rFonts w:ascii="宋体" w:hAnsi="宋体"/>
          <w:sz w:val="24"/>
          <w:szCs w:val="20"/>
        </w:rPr>
      </w:pPr>
      <w:r>
        <w:rPr>
          <w:rFonts w:ascii="宋体" w:hAnsi="宋体"/>
          <w:sz w:val="24"/>
          <w:szCs w:val="20"/>
        </w:rPr>
        <w:t>2.</w:t>
      </w:r>
      <w:r>
        <w:rPr>
          <w:rFonts w:hint="eastAsia" w:ascii="宋体" w:hAnsi="宋体" w:cs="宋体"/>
          <w:sz w:val="24"/>
          <w:szCs w:val="20"/>
        </w:rPr>
        <w:t>如项目划分采购包，</w:t>
      </w:r>
      <w:r>
        <w:rPr>
          <w:rFonts w:ascii="宋体" w:hAnsi="宋体"/>
          <w:sz w:val="24"/>
          <w:szCs w:val="20"/>
        </w:rPr>
        <w:t>本表必须按包分别填写。</w:t>
      </w:r>
    </w:p>
    <w:p w14:paraId="72FDBFE7">
      <w:pPr>
        <w:autoSpaceDE w:val="0"/>
        <w:autoSpaceDN w:val="0"/>
        <w:adjustRightInd w:val="0"/>
        <w:snapToGrid w:val="0"/>
        <w:spacing w:before="25" w:after="25" w:line="360" w:lineRule="auto"/>
        <w:rPr>
          <w:rFonts w:ascii="宋体" w:hAnsi="宋体"/>
          <w:sz w:val="24"/>
          <w:lang w:val="zh-CN"/>
        </w:rPr>
      </w:pPr>
    </w:p>
    <w:p w14:paraId="2AC7E405">
      <w:pPr>
        <w:autoSpaceDE w:val="0"/>
        <w:autoSpaceDN w:val="0"/>
        <w:adjustRightInd w:val="0"/>
        <w:snapToGrid w:val="0"/>
        <w:spacing w:before="25" w:after="25" w:line="360" w:lineRule="auto"/>
        <w:rPr>
          <w:rFonts w:ascii="宋体" w:hAnsi="宋体"/>
          <w:sz w:val="24"/>
          <w:lang w:val="zh-CN"/>
        </w:rPr>
      </w:pPr>
    </w:p>
    <w:p w14:paraId="3174A6BA">
      <w:pPr>
        <w:autoSpaceDE w:val="0"/>
        <w:autoSpaceDN w:val="0"/>
        <w:adjustRightInd w:val="0"/>
        <w:snapToGrid w:val="0"/>
        <w:spacing w:before="25" w:after="25" w:line="360" w:lineRule="auto"/>
        <w:rPr>
          <w:rFonts w:ascii="宋体" w:hAnsi="宋体"/>
          <w:sz w:val="24"/>
          <w:lang w:val="zh-CN"/>
        </w:rPr>
      </w:pPr>
    </w:p>
    <w:p w14:paraId="01EB145A">
      <w:pPr>
        <w:autoSpaceDE w:val="0"/>
        <w:autoSpaceDN w:val="0"/>
        <w:adjustRightInd w:val="0"/>
        <w:snapToGrid w:val="0"/>
        <w:spacing w:before="25" w:after="25" w:line="360" w:lineRule="auto"/>
        <w:rPr>
          <w:rFonts w:ascii="宋体" w:hAnsi="宋体"/>
          <w:sz w:val="24"/>
          <w:lang w:val="zh-CN"/>
        </w:rPr>
      </w:pPr>
      <w:r>
        <w:rPr>
          <w:rFonts w:ascii="宋体" w:hAnsi="宋体"/>
          <w:sz w:val="24"/>
        </w:rPr>
        <w:t>投标人名称（加盖公章）</w:t>
      </w:r>
      <w:r>
        <w:rPr>
          <w:rFonts w:ascii="宋体" w:hAnsi="宋体"/>
          <w:sz w:val="24"/>
          <w:lang w:val="zh-CN"/>
        </w:rPr>
        <w:t>：____________</w:t>
      </w:r>
    </w:p>
    <w:p w14:paraId="12CEC96A">
      <w:pPr>
        <w:autoSpaceDE w:val="0"/>
        <w:autoSpaceDN w:val="0"/>
        <w:adjustRightInd w:val="0"/>
        <w:snapToGrid w:val="0"/>
        <w:spacing w:before="25" w:after="25" w:line="360" w:lineRule="auto"/>
        <w:rPr>
          <w:rFonts w:ascii="宋体" w:hAnsi="宋体"/>
          <w:sz w:val="24"/>
          <w:lang w:val="zh-CN"/>
        </w:rPr>
      </w:pPr>
      <w:r>
        <w:rPr>
          <w:rFonts w:ascii="宋体" w:hAnsi="宋体"/>
          <w:sz w:val="24"/>
          <w:szCs w:val="20"/>
        </w:rPr>
        <w:t>日期：_____年____月____日</w:t>
      </w:r>
    </w:p>
    <w:p w14:paraId="0C0BC8D7">
      <w:pPr>
        <w:widowControl/>
        <w:spacing w:line="360" w:lineRule="auto"/>
        <w:jc w:val="left"/>
        <w:rPr>
          <w:rFonts w:ascii="宋体" w:hAnsi="宋体"/>
          <w:sz w:val="24"/>
          <w:szCs w:val="20"/>
        </w:rPr>
      </w:pPr>
      <w:r>
        <w:rPr>
          <w:rFonts w:ascii="宋体" w:hAnsi="宋体"/>
          <w:sz w:val="24"/>
          <w:szCs w:val="20"/>
        </w:rPr>
        <w:br w:type="page"/>
      </w:r>
    </w:p>
    <w:p w14:paraId="6EEAA9FA">
      <w:pPr>
        <w:spacing w:line="360" w:lineRule="auto"/>
        <w:outlineLvl w:val="3"/>
        <w:rPr>
          <w:rFonts w:ascii="宋体" w:hAnsi="宋体"/>
          <w:sz w:val="24"/>
          <w:szCs w:val="20"/>
        </w:rPr>
        <w:sectPr>
          <w:pgSz w:w="11907" w:h="16840"/>
          <w:pgMar w:top="1440" w:right="1800" w:bottom="1440" w:left="1800" w:header="851" w:footer="851" w:gutter="0"/>
          <w:cols w:space="720" w:num="1"/>
          <w:docGrid w:linePitch="462" w:charSpace="0"/>
        </w:sectPr>
      </w:pPr>
    </w:p>
    <w:p w14:paraId="0703DFE4">
      <w:pPr>
        <w:spacing w:line="360" w:lineRule="auto"/>
        <w:outlineLvl w:val="2"/>
        <w:rPr>
          <w:rFonts w:ascii="宋体" w:hAnsi="宋体"/>
          <w:sz w:val="24"/>
          <w:szCs w:val="20"/>
        </w:rPr>
      </w:pPr>
      <w:r>
        <w:rPr>
          <w:rFonts w:hint="eastAsia" w:ascii="宋体" w:hAnsi="宋体"/>
          <w:sz w:val="24"/>
          <w:szCs w:val="20"/>
        </w:rPr>
        <w:t xml:space="preserve">4  </w:t>
      </w:r>
      <w:r>
        <w:rPr>
          <w:rFonts w:ascii="宋体" w:hAnsi="宋体"/>
          <w:sz w:val="24"/>
          <w:szCs w:val="20"/>
        </w:rPr>
        <w:t>投标分项报价表（实质性格式）</w:t>
      </w:r>
    </w:p>
    <w:p w14:paraId="7963006B">
      <w:pPr>
        <w:spacing w:line="360" w:lineRule="exact"/>
        <w:jc w:val="center"/>
        <w:rPr>
          <w:rFonts w:ascii="宋体" w:hAnsi="宋体"/>
          <w:sz w:val="36"/>
          <w:szCs w:val="36"/>
        </w:rPr>
      </w:pPr>
    </w:p>
    <w:p w14:paraId="5D7A5337">
      <w:pPr>
        <w:spacing w:line="360" w:lineRule="exact"/>
        <w:jc w:val="center"/>
        <w:rPr>
          <w:rFonts w:ascii="宋体" w:hAnsi="宋体"/>
          <w:b/>
          <w:bCs/>
          <w:i/>
          <w:iCs/>
          <w:sz w:val="25"/>
          <w:szCs w:val="25"/>
          <w14:textOutline w14:w="4356" w14:cap="sq" w14:cmpd="sng" w14:algn="ctr">
            <w14:solidFill>
              <w14:srgbClr w14:val="FF0000"/>
            </w14:solidFill>
            <w14:prstDash w14:val="solid"/>
            <w14:bevel/>
          </w14:textOutline>
        </w:rPr>
      </w:pPr>
      <w:r>
        <w:rPr>
          <w:rFonts w:hint="eastAsia" w:ascii="宋体" w:hAnsi="宋体"/>
          <w:b/>
          <w:sz w:val="36"/>
          <w:szCs w:val="36"/>
        </w:rPr>
        <w:t>投标分项报价表</w:t>
      </w:r>
    </w:p>
    <w:p w14:paraId="3A8120EB">
      <w:pPr>
        <w:tabs>
          <w:tab w:val="left" w:pos="911"/>
        </w:tabs>
        <w:jc w:val="left"/>
        <w:rPr>
          <w:rFonts w:ascii="宋体" w:hAnsi="宋体"/>
        </w:rPr>
      </w:pPr>
    </w:p>
    <w:p w14:paraId="4DBEAD34">
      <w:pPr>
        <w:tabs>
          <w:tab w:val="left" w:pos="1800"/>
          <w:tab w:val="left" w:pos="5580"/>
        </w:tabs>
        <w:spacing w:line="360" w:lineRule="auto"/>
        <w:rPr>
          <w:rFonts w:hint="eastAsia" w:ascii="宋体" w:hAnsi="宋体"/>
          <w:sz w:val="24"/>
        </w:rPr>
      </w:pPr>
      <w:r>
        <w:rPr>
          <w:rFonts w:ascii="宋体" w:hAnsi="宋体"/>
          <w:sz w:val="24"/>
        </w:rPr>
        <w:t>项目编号：________ 项目名称：__________报价单位：人民币元</w:t>
      </w:r>
    </w:p>
    <w:tbl>
      <w:tblPr>
        <w:tblStyle w:val="27"/>
        <w:tblW w:w="14373" w:type="dxa"/>
        <w:jc w:val="center"/>
        <w:tblLayout w:type="fixed"/>
        <w:tblCellMar>
          <w:top w:w="0" w:type="dxa"/>
          <w:left w:w="108" w:type="dxa"/>
          <w:bottom w:w="0" w:type="dxa"/>
          <w:right w:w="108" w:type="dxa"/>
        </w:tblCellMar>
      </w:tblPr>
      <w:tblGrid>
        <w:gridCol w:w="604"/>
        <w:gridCol w:w="2754"/>
        <w:gridCol w:w="1570"/>
        <w:gridCol w:w="850"/>
        <w:gridCol w:w="766"/>
        <w:gridCol w:w="1219"/>
        <w:gridCol w:w="992"/>
        <w:gridCol w:w="1239"/>
        <w:gridCol w:w="900"/>
        <w:gridCol w:w="832"/>
        <w:gridCol w:w="1143"/>
        <w:gridCol w:w="763"/>
        <w:gridCol w:w="741"/>
      </w:tblGrid>
      <w:tr w14:paraId="1D31A83D">
        <w:tblPrEx>
          <w:tblCellMar>
            <w:top w:w="0" w:type="dxa"/>
            <w:left w:w="108" w:type="dxa"/>
            <w:bottom w:w="0" w:type="dxa"/>
            <w:right w:w="108" w:type="dxa"/>
          </w:tblCellMar>
        </w:tblPrEx>
        <w:trPr>
          <w:trHeight w:val="20" w:hRule="atLeast"/>
          <w:jc w:val="center"/>
        </w:trPr>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43A2D7">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序号</w:t>
            </w:r>
          </w:p>
        </w:tc>
        <w:tc>
          <w:tcPr>
            <w:tcW w:w="2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74D27F">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标的名称</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5E91B6">
            <w:pPr>
              <w:widowControl/>
              <w:jc w:val="center"/>
              <w:textAlignment w:val="center"/>
              <w:rPr>
                <w:rFonts w:hint="eastAsia" w:ascii="宋体" w:hAnsi="宋体" w:eastAsia="宋体" w:cs="宋体"/>
                <w:color w:val="000000"/>
                <w:sz w:val="20"/>
                <w:szCs w:val="20"/>
                <w:lang w:val="en-US" w:eastAsia="zh-CN"/>
              </w:rPr>
            </w:pPr>
            <w:r>
              <w:rPr>
                <w:rFonts w:hint="eastAsia" w:ascii="宋体" w:hAnsi="宋体" w:cs="宋体"/>
                <w:color w:val="000000"/>
                <w:kern w:val="0"/>
                <w:sz w:val="20"/>
                <w:szCs w:val="20"/>
                <w:lang w:val="en-US" w:eastAsia="zh-CN" w:bidi="ar"/>
              </w:rPr>
              <w:t>招标</w:t>
            </w:r>
            <w:r>
              <w:rPr>
                <w:rFonts w:hint="eastAsia" w:ascii="宋体" w:hAnsi="宋体" w:cs="宋体"/>
                <w:color w:val="000000"/>
                <w:kern w:val="0"/>
                <w:sz w:val="20"/>
                <w:szCs w:val="20"/>
                <w:lang w:bidi="ar"/>
              </w:rPr>
              <w:t>规格</w:t>
            </w:r>
            <w:r>
              <w:rPr>
                <w:rFonts w:hint="eastAsia" w:ascii="宋体" w:hAnsi="宋体" w:cs="宋体"/>
                <w:color w:val="000000"/>
                <w:kern w:val="0"/>
                <w:sz w:val="20"/>
                <w:szCs w:val="20"/>
                <w:lang w:val="en-US" w:eastAsia="zh-CN" w:bidi="ar"/>
              </w:rPr>
              <w:t>要求</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726BFC">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单位</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1B92BF">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预估数量</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811F3E">
            <w:pPr>
              <w:widowControl/>
              <w:jc w:val="center"/>
              <w:textAlignment w:val="center"/>
              <w:rPr>
                <w:rFonts w:ascii="宋体" w:hAnsi="宋体" w:cs="宋体"/>
                <w:color w:val="000000"/>
                <w:sz w:val="20"/>
                <w:szCs w:val="20"/>
              </w:rPr>
            </w:pPr>
            <w:r>
              <w:rPr>
                <w:rFonts w:ascii="宋体" w:hAnsi="宋体"/>
                <w:kern w:val="0"/>
                <w:sz w:val="20"/>
                <w:szCs w:val="20"/>
              </w:rPr>
              <w:t>★</w:t>
            </w:r>
            <w:r>
              <w:rPr>
                <w:rFonts w:hint="eastAsia" w:ascii="宋体" w:hAnsi="宋体" w:cs="宋体"/>
                <w:color w:val="000000"/>
                <w:kern w:val="0"/>
                <w:sz w:val="20"/>
                <w:szCs w:val="20"/>
                <w:lang w:bidi="ar"/>
              </w:rPr>
              <w:t>单价最高限价（元）</w:t>
            </w:r>
          </w:p>
        </w:tc>
        <w:tc>
          <w:tcPr>
            <w:tcW w:w="992" w:type="dxa"/>
            <w:tcBorders>
              <w:top w:val="single" w:color="000000" w:sz="4" w:space="0"/>
              <w:left w:val="single" w:color="000000" w:sz="4" w:space="0"/>
              <w:bottom w:val="single" w:color="000000" w:sz="4" w:space="0"/>
              <w:right w:val="single" w:color="000000" w:sz="4" w:space="0"/>
            </w:tcBorders>
            <w:vAlign w:val="center"/>
          </w:tcPr>
          <w:p w14:paraId="2BB3C806">
            <w:pPr>
              <w:widowControl/>
              <w:jc w:val="center"/>
              <w:textAlignment w:val="center"/>
              <w:rPr>
                <w:rFonts w:ascii="宋体" w:hAnsi="宋体"/>
                <w:kern w:val="0"/>
                <w:sz w:val="20"/>
                <w:szCs w:val="20"/>
              </w:rPr>
            </w:pPr>
            <w:r>
              <w:rPr>
                <w:rFonts w:hint="eastAsia" w:ascii="宋体" w:hAnsi="宋体" w:cs="宋体"/>
                <w:color w:val="000000"/>
                <w:kern w:val="0"/>
                <w:sz w:val="20"/>
                <w:szCs w:val="20"/>
              </w:rPr>
              <w:t>制造商</w:t>
            </w:r>
          </w:p>
        </w:tc>
        <w:tc>
          <w:tcPr>
            <w:tcW w:w="1239" w:type="dxa"/>
            <w:tcBorders>
              <w:top w:val="single" w:color="000000" w:sz="4" w:space="0"/>
              <w:left w:val="single" w:color="000000" w:sz="4" w:space="0"/>
              <w:bottom w:val="single" w:color="000000" w:sz="4" w:space="0"/>
              <w:right w:val="single" w:color="000000" w:sz="4" w:space="0"/>
            </w:tcBorders>
            <w:vAlign w:val="center"/>
          </w:tcPr>
          <w:p w14:paraId="555513FE">
            <w:pPr>
              <w:widowControl/>
              <w:jc w:val="center"/>
              <w:textAlignment w:val="center"/>
              <w:rPr>
                <w:rFonts w:ascii="宋体" w:hAnsi="宋体"/>
                <w:kern w:val="0"/>
                <w:sz w:val="20"/>
                <w:szCs w:val="20"/>
              </w:rPr>
            </w:pPr>
            <w:r>
              <w:rPr>
                <w:rFonts w:hint="eastAsia" w:ascii="宋体" w:hAnsi="宋体" w:cs="宋体"/>
                <w:color w:val="000000"/>
                <w:kern w:val="0"/>
                <w:sz w:val="20"/>
                <w:szCs w:val="20"/>
              </w:rPr>
              <w:t>制造商统一信用代码</w:t>
            </w:r>
          </w:p>
        </w:tc>
        <w:tc>
          <w:tcPr>
            <w:tcW w:w="900" w:type="dxa"/>
            <w:tcBorders>
              <w:top w:val="single" w:color="000000" w:sz="4" w:space="0"/>
              <w:left w:val="single" w:color="000000" w:sz="4" w:space="0"/>
              <w:bottom w:val="single" w:color="000000" w:sz="4" w:space="0"/>
              <w:right w:val="single" w:color="000000" w:sz="4" w:space="0"/>
            </w:tcBorders>
            <w:vAlign w:val="center"/>
          </w:tcPr>
          <w:p w14:paraId="1DAF77C9">
            <w:pPr>
              <w:widowControl/>
              <w:jc w:val="center"/>
              <w:textAlignment w:val="center"/>
              <w:rPr>
                <w:rFonts w:ascii="宋体" w:hAnsi="宋体"/>
                <w:kern w:val="0"/>
                <w:sz w:val="20"/>
                <w:szCs w:val="20"/>
              </w:rPr>
            </w:pPr>
            <w:r>
              <w:rPr>
                <w:rFonts w:hint="eastAsia" w:ascii="宋体" w:hAnsi="宋体" w:cs="宋体"/>
                <w:color w:val="000000"/>
                <w:kern w:val="0"/>
                <w:sz w:val="20"/>
                <w:szCs w:val="20"/>
              </w:rPr>
              <w:t>制造商规模</w:t>
            </w:r>
          </w:p>
        </w:tc>
        <w:tc>
          <w:tcPr>
            <w:tcW w:w="832" w:type="dxa"/>
            <w:tcBorders>
              <w:top w:val="single" w:color="000000" w:sz="4" w:space="0"/>
              <w:left w:val="single" w:color="000000" w:sz="4" w:space="0"/>
              <w:bottom w:val="single" w:color="000000" w:sz="4" w:space="0"/>
              <w:right w:val="single" w:color="000000" w:sz="4" w:space="0"/>
            </w:tcBorders>
            <w:vAlign w:val="center"/>
          </w:tcPr>
          <w:p w14:paraId="2D7AF344">
            <w:pPr>
              <w:widowControl/>
              <w:jc w:val="center"/>
              <w:textAlignment w:val="center"/>
              <w:rPr>
                <w:rFonts w:ascii="宋体" w:hAnsi="宋体"/>
                <w:kern w:val="0"/>
                <w:sz w:val="20"/>
                <w:szCs w:val="20"/>
              </w:rPr>
            </w:pPr>
            <w:r>
              <w:rPr>
                <w:rFonts w:hint="eastAsia" w:ascii="宋体" w:hAnsi="宋体" w:cs="宋体"/>
                <w:color w:val="000000"/>
                <w:kern w:val="0"/>
                <w:sz w:val="20"/>
                <w:szCs w:val="20"/>
              </w:rPr>
              <w:t>品牌</w:t>
            </w:r>
          </w:p>
        </w:tc>
        <w:tc>
          <w:tcPr>
            <w:tcW w:w="1143" w:type="dxa"/>
            <w:tcBorders>
              <w:top w:val="single" w:color="000000" w:sz="4" w:space="0"/>
              <w:left w:val="single" w:color="000000" w:sz="4" w:space="0"/>
              <w:bottom w:val="single" w:color="000000" w:sz="4" w:space="0"/>
              <w:right w:val="single" w:color="000000" w:sz="4" w:space="0"/>
            </w:tcBorders>
            <w:vAlign w:val="center"/>
          </w:tcPr>
          <w:p w14:paraId="6E4F7CB4">
            <w:pPr>
              <w:widowControl/>
              <w:jc w:val="center"/>
              <w:textAlignment w:val="center"/>
              <w:rPr>
                <w:rFonts w:hint="eastAsia" w:ascii="宋体" w:hAnsi="宋体" w:cs="宋体"/>
                <w:color w:val="000000"/>
                <w:kern w:val="0"/>
                <w:sz w:val="20"/>
                <w:szCs w:val="20"/>
              </w:rPr>
            </w:pPr>
            <w:r>
              <w:rPr>
                <w:rFonts w:hint="eastAsia" w:ascii="宋体" w:hAnsi="宋体" w:cs="宋体"/>
                <w:color w:val="000000"/>
                <w:kern w:val="0"/>
                <w:sz w:val="20"/>
                <w:szCs w:val="20"/>
                <w:lang w:val="en-US" w:eastAsia="zh-CN"/>
              </w:rPr>
              <w:t>投标产品</w:t>
            </w:r>
            <w:r>
              <w:rPr>
                <w:rFonts w:hint="eastAsia" w:ascii="宋体" w:hAnsi="宋体" w:cs="宋体"/>
                <w:color w:val="000000"/>
                <w:kern w:val="0"/>
                <w:sz w:val="20"/>
                <w:szCs w:val="20"/>
              </w:rPr>
              <w:t>规格、型号</w:t>
            </w:r>
          </w:p>
        </w:tc>
        <w:tc>
          <w:tcPr>
            <w:tcW w:w="763" w:type="dxa"/>
            <w:tcBorders>
              <w:top w:val="single" w:color="000000" w:sz="4" w:space="0"/>
              <w:left w:val="single" w:color="000000" w:sz="4" w:space="0"/>
              <w:bottom w:val="single" w:color="000000" w:sz="4" w:space="0"/>
              <w:right w:val="single" w:color="000000" w:sz="4" w:space="0"/>
            </w:tcBorders>
            <w:vAlign w:val="center"/>
          </w:tcPr>
          <w:p w14:paraId="4B7BBF8F">
            <w:pPr>
              <w:widowControl/>
              <w:jc w:val="center"/>
              <w:textAlignment w:val="center"/>
              <w:rPr>
                <w:rFonts w:hint="eastAsia" w:ascii="宋体" w:hAnsi="宋体" w:cs="宋体"/>
                <w:color w:val="000000"/>
                <w:kern w:val="0"/>
                <w:sz w:val="20"/>
                <w:szCs w:val="20"/>
              </w:rPr>
            </w:pPr>
            <w:r>
              <w:rPr>
                <w:rFonts w:hint="eastAsia" w:ascii="宋体" w:hAnsi="宋体" w:cs="宋体"/>
                <w:color w:val="000000"/>
                <w:kern w:val="0"/>
                <w:sz w:val="20"/>
                <w:szCs w:val="20"/>
              </w:rPr>
              <w:t>单价（元）</w:t>
            </w:r>
          </w:p>
        </w:tc>
        <w:tc>
          <w:tcPr>
            <w:tcW w:w="741" w:type="dxa"/>
            <w:tcBorders>
              <w:top w:val="single" w:color="000000" w:sz="4" w:space="0"/>
              <w:left w:val="single" w:color="000000" w:sz="4" w:space="0"/>
              <w:bottom w:val="single" w:color="000000" w:sz="4" w:space="0"/>
              <w:right w:val="single" w:color="000000" w:sz="4" w:space="0"/>
            </w:tcBorders>
            <w:vAlign w:val="center"/>
          </w:tcPr>
          <w:p w14:paraId="34DCCBC5">
            <w:pPr>
              <w:widowControl/>
              <w:jc w:val="center"/>
              <w:textAlignment w:val="center"/>
              <w:rPr>
                <w:rFonts w:hint="eastAsia" w:ascii="宋体" w:hAnsi="宋体" w:cs="宋体"/>
                <w:color w:val="000000"/>
                <w:kern w:val="0"/>
                <w:sz w:val="20"/>
                <w:szCs w:val="20"/>
              </w:rPr>
            </w:pPr>
            <w:r>
              <w:rPr>
                <w:rFonts w:hint="eastAsia" w:ascii="宋体" w:hAnsi="宋体" w:cs="宋体"/>
                <w:color w:val="000000"/>
                <w:kern w:val="0"/>
                <w:sz w:val="20"/>
                <w:szCs w:val="20"/>
              </w:rPr>
              <w:t>合价（元）</w:t>
            </w:r>
          </w:p>
        </w:tc>
      </w:tr>
      <w:tr w14:paraId="57E1F754">
        <w:tblPrEx>
          <w:tblCellMar>
            <w:top w:w="0" w:type="dxa"/>
            <w:left w:w="108" w:type="dxa"/>
            <w:bottom w:w="0" w:type="dxa"/>
            <w:right w:w="108" w:type="dxa"/>
          </w:tblCellMar>
        </w:tblPrEx>
        <w:trPr>
          <w:trHeight w:val="20" w:hRule="atLeast"/>
          <w:jc w:val="center"/>
        </w:trPr>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08413D">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w:t>
            </w:r>
          </w:p>
        </w:tc>
        <w:tc>
          <w:tcPr>
            <w:tcW w:w="2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374358">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人类免疫缺陷病毒1型（HIV-1）核酸测定试剂盒（PCR-荧光探针法）</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8E7DA2">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32测试/盒</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2C5206">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盒</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D023B4">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D6A301">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7360</w:t>
            </w:r>
          </w:p>
        </w:tc>
        <w:tc>
          <w:tcPr>
            <w:tcW w:w="992" w:type="dxa"/>
            <w:tcBorders>
              <w:top w:val="single" w:color="000000" w:sz="4" w:space="0"/>
              <w:left w:val="single" w:color="000000" w:sz="4" w:space="0"/>
              <w:bottom w:val="single" w:color="000000" w:sz="4" w:space="0"/>
              <w:right w:val="single" w:color="000000" w:sz="4" w:space="0"/>
            </w:tcBorders>
            <w:vAlign w:val="center"/>
          </w:tcPr>
          <w:p w14:paraId="29BF1BFF">
            <w:pPr>
              <w:widowControl/>
              <w:jc w:val="center"/>
              <w:textAlignment w:val="center"/>
              <w:rPr>
                <w:rFonts w:hint="eastAsia" w:ascii="宋体" w:hAnsi="宋体" w:cs="宋体"/>
                <w:color w:val="000000"/>
                <w:kern w:val="0"/>
                <w:sz w:val="20"/>
                <w:szCs w:val="20"/>
                <w:lang w:bidi="ar"/>
              </w:rPr>
            </w:pPr>
          </w:p>
        </w:tc>
        <w:tc>
          <w:tcPr>
            <w:tcW w:w="1239" w:type="dxa"/>
            <w:tcBorders>
              <w:top w:val="single" w:color="000000" w:sz="4" w:space="0"/>
              <w:left w:val="single" w:color="000000" w:sz="4" w:space="0"/>
              <w:bottom w:val="single" w:color="000000" w:sz="4" w:space="0"/>
              <w:right w:val="single" w:color="000000" w:sz="4" w:space="0"/>
            </w:tcBorders>
            <w:vAlign w:val="center"/>
          </w:tcPr>
          <w:p w14:paraId="288C090F">
            <w:pPr>
              <w:widowControl/>
              <w:jc w:val="center"/>
              <w:textAlignment w:val="center"/>
              <w:rPr>
                <w:rFonts w:hint="eastAsia" w:ascii="宋体" w:hAnsi="宋体" w:cs="宋体"/>
                <w:color w:val="000000"/>
                <w:kern w:val="0"/>
                <w:sz w:val="20"/>
                <w:szCs w:val="20"/>
                <w:lang w:bidi="ar"/>
              </w:rPr>
            </w:pPr>
          </w:p>
        </w:tc>
        <w:tc>
          <w:tcPr>
            <w:tcW w:w="900" w:type="dxa"/>
            <w:tcBorders>
              <w:top w:val="single" w:color="000000" w:sz="4" w:space="0"/>
              <w:left w:val="single" w:color="000000" w:sz="4" w:space="0"/>
              <w:bottom w:val="single" w:color="000000" w:sz="4" w:space="0"/>
              <w:right w:val="single" w:color="000000" w:sz="4" w:space="0"/>
            </w:tcBorders>
            <w:vAlign w:val="center"/>
          </w:tcPr>
          <w:p w14:paraId="6443781A">
            <w:pPr>
              <w:widowControl/>
              <w:jc w:val="center"/>
              <w:textAlignment w:val="center"/>
              <w:rPr>
                <w:rFonts w:hint="eastAsia" w:ascii="宋体" w:hAnsi="宋体" w:cs="宋体"/>
                <w:color w:val="000000"/>
                <w:kern w:val="0"/>
                <w:sz w:val="20"/>
                <w:szCs w:val="20"/>
                <w:lang w:bidi="ar"/>
              </w:rPr>
            </w:pPr>
          </w:p>
        </w:tc>
        <w:tc>
          <w:tcPr>
            <w:tcW w:w="832" w:type="dxa"/>
            <w:tcBorders>
              <w:top w:val="single" w:color="000000" w:sz="4" w:space="0"/>
              <w:left w:val="single" w:color="000000" w:sz="4" w:space="0"/>
              <w:bottom w:val="single" w:color="000000" w:sz="4" w:space="0"/>
              <w:right w:val="single" w:color="000000" w:sz="4" w:space="0"/>
            </w:tcBorders>
            <w:vAlign w:val="center"/>
          </w:tcPr>
          <w:p w14:paraId="0EF60715">
            <w:pPr>
              <w:widowControl/>
              <w:jc w:val="center"/>
              <w:textAlignment w:val="center"/>
              <w:rPr>
                <w:rFonts w:hint="eastAsia" w:ascii="宋体" w:hAnsi="宋体" w:cs="宋体"/>
                <w:color w:val="000000"/>
                <w:kern w:val="0"/>
                <w:sz w:val="20"/>
                <w:szCs w:val="20"/>
                <w:lang w:bidi="ar"/>
              </w:rPr>
            </w:pPr>
          </w:p>
        </w:tc>
        <w:tc>
          <w:tcPr>
            <w:tcW w:w="1143" w:type="dxa"/>
            <w:tcBorders>
              <w:top w:val="single" w:color="000000" w:sz="4" w:space="0"/>
              <w:left w:val="single" w:color="000000" w:sz="4" w:space="0"/>
              <w:bottom w:val="single" w:color="000000" w:sz="4" w:space="0"/>
              <w:right w:val="single" w:color="000000" w:sz="4" w:space="0"/>
            </w:tcBorders>
            <w:vAlign w:val="center"/>
          </w:tcPr>
          <w:p w14:paraId="4AB87456">
            <w:pPr>
              <w:widowControl/>
              <w:jc w:val="center"/>
              <w:textAlignment w:val="center"/>
              <w:rPr>
                <w:rFonts w:hint="eastAsia" w:ascii="宋体" w:hAnsi="宋体" w:cs="宋体"/>
                <w:color w:val="000000"/>
                <w:kern w:val="0"/>
                <w:sz w:val="20"/>
                <w:szCs w:val="20"/>
                <w:lang w:bidi="ar"/>
              </w:rPr>
            </w:pPr>
          </w:p>
        </w:tc>
        <w:tc>
          <w:tcPr>
            <w:tcW w:w="763" w:type="dxa"/>
            <w:tcBorders>
              <w:top w:val="single" w:color="000000" w:sz="4" w:space="0"/>
              <w:left w:val="single" w:color="000000" w:sz="4" w:space="0"/>
              <w:bottom w:val="single" w:color="000000" w:sz="4" w:space="0"/>
              <w:right w:val="single" w:color="000000" w:sz="4" w:space="0"/>
            </w:tcBorders>
            <w:vAlign w:val="center"/>
          </w:tcPr>
          <w:p w14:paraId="39C15EA8">
            <w:pPr>
              <w:widowControl/>
              <w:jc w:val="center"/>
              <w:textAlignment w:val="center"/>
              <w:rPr>
                <w:rFonts w:hint="eastAsia" w:ascii="宋体" w:hAnsi="宋体" w:cs="宋体"/>
                <w:color w:val="000000"/>
                <w:kern w:val="0"/>
                <w:sz w:val="20"/>
                <w:szCs w:val="20"/>
                <w:lang w:bidi="ar"/>
              </w:rPr>
            </w:pPr>
          </w:p>
        </w:tc>
        <w:tc>
          <w:tcPr>
            <w:tcW w:w="741" w:type="dxa"/>
            <w:tcBorders>
              <w:top w:val="single" w:color="000000" w:sz="4" w:space="0"/>
              <w:left w:val="single" w:color="000000" w:sz="4" w:space="0"/>
              <w:bottom w:val="single" w:color="000000" w:sz="4" w:space="0"/>
              <w:right w:val="single" w:color="000000" w:sz="4" w:space="0"/>
            </w:tcBorders>
            <w:vAlign w:val="center"/>
          </w:tcPr>
          <w:p w14:paraId="6148A09D">
            <w:pPr>
              <w:widowControl/>
              <w:jc w:val="center"/>
              <w:textAlignment w:val="center"/>
              <w:rPr>
                <w:rFonts w:hint="eastAsia" w:ascii="宋体" w:hAnsi="宋体" w:cs="宋体"/>
                <w:color w:val="000000"/>
                <w:kern w:val="0"/>
                <w:sz w:val="20"/>
                <w:szCs w:val="20"/>
                <w:lang w:bidi="ar"/>
              </w:rPr>
            </w:pPr>
          </w:p>
        </w:tc>
      </w:tr>
      <w:tr w14:paraId="23AB8084">
        <w:tblPrEx>
          <w:tblCellMar>
            <w:top w:w="0" w:type="dxa"/>
            <w:left w:w="108" w:type="dxa"/>
            <w:bottom w:w="0" w:type="dxa"/>
            <w:right w:w="108" w:type="dxa"/>
          </w:tblCellMar>
        </w:tblPrEx>
        <w:trPr>
          <w:trHeight w:val="20" w:hRule="atLeast"/>
          <w:jc w:val="center"/>
        </w:trPr>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E7251A">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w:t>
            </w:r>
          </w:p>
        </w:tc>
        <w:tc>
          <w:tcPr>
            <w:tcW w:w="2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21A1D6">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核酸提取或纯化试剂</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78E934">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64T/盒（16T/板×4板）</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94C632">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盒</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D03DED">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DC0534">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960</w:t>
            </w:r>
          </w:p>
        </w:tc>
        <w:tc>
          <w:tcPr>
            <w:tcW w:w="992" w:type="dxa"/>
            <w:tcBorders>
              <w:top w:val="single" w:color="000000" w:sz="4" w:space="0"/>
              <w:left w:val="single" w:color="000000" w:sz="4" w:space="0"/>
              <w:bottom w:val="single" w:color="000000" w:sz="4" w:space="0"/>
              <w:right w:val="single" w:color="000000" w:sz="4" w:space="0"/>
            </w:tcBorders>
            <w:vAlign w:val="center"/>
          </w:tcPr>
          <w:p w14:paraId="520D5B7B">
            <w:pPr>
              <w:widowControl/>
              <w:jc w:val="center"/>
              <w:textAlignment w:val="center"/>
              <w:rPr>
                <w:rFonts w:hint="eastAsia" w:ascii="宋体" w:hAnsi="宋体" w:cs="宋体"/>
                <w:color w:val="000000"/>
                <w:kern w:val="0"/>
                <w:sz w:val="20"/>
                <w:szCs w:val="20"/>
                <w:lang w:bidi="ar"/>
              </w:rPr>
            </w:pPr>
          </w:p>
        </w:tc>
        <w:tc>
          <w:tcPr>
            <w:tcW w:w="1239" w:type="dxa"/>
            <w:tcBorders>
              <w:top w:val="single" w:color="000000" w:sz="4" w:space="0"/>
              <w:left w:val="single" w:color="000000" w:sz="4" w:space="0"/>
              <w:bottom w:val="single" w:color="000000" w:sz="4" w:space="0"/>
              <w:right w:val="single" w:color="000000" w:sz="4" w:space="0"/>
            </w:tcBorders>
            <w:vAlign w:val="center"/>
          </w:tcPr>
          <w:p w14:paraId="57CDCB00">
            <w:pPr>
              <w:widowControl/>
              <w:jc w:val="center"/>
              <w:textAlignment w:val="center"/>
              <w:rPr>
                <w:rFonts w:hint="eastAsia" w:ascii="宋体" w:hAnsi="宋体" w:cs="宋体"/>
                <w:color w:val="000000"/>
                <w:kern w:val="0"/>
                <w:sz w:val="20"/>
                <w:szCs w:val="20"/>
                <w:lang w:bidi="ar"/>
              </w:rPr>
            </w:pPr>
          </w:p>
        </w:tc>
        <w:tc>
          <w:tcPr>
            <w:tcW w:w="900" w:type="dxa"/>
            <w:tcBorders>
              <w:top w:val="single" w:color="000000" w:sz="4" w:space="0"/>
              <w:left w:val="single" w:color="000000" w:sz="4" w:space="0"/>
              <w:bottom w:val="single" w:color="000000" w:sz="4" w:space="0"/>
              <w:right w:val="single" w:color="000000" w:sz="4" w:space="0"/>
            </w:tcBorders>
            <w:vAlign w:val="center"/>
          </w:tcPr>
          <w:p w14:paraId="6069EDFF">
            <w:pPr>
              <w:widowControl/>
              <w:jc w:val="center"/>
              <w:textAlignment w:val="center"/>
              <w:rPr>
                <w:rFonts w:hint="eastAsia" w:ascii="宋体" w:hAnsi="宋体" w:cs="宋体"/>
                <w:color w:val="000000"/>
                <w:kern w:val="0"/>
                <w:sz w:val="20"/>
                <w:szCs w:val="20"/>
                <w:lang w:bidi="ar"/>
              </w:rPr>
            </w:pPr>
          </w:p>
        </w:tc>
        <w:tc>
          <w:tcPr>
            <w:tcW w:w="832" w:type="dxa"/>
            <w:tcBorders>
              <w:top w:val="single" w:color="000000" w:sz="4" w:space="0"/>
              <w:left w:val="single" w:color="000000" w:sz="4" w:space="0"/>
              <w:bottom w:val="single" w:color="000000" w:sz="4" w:space="0"/>
              <w:right w:val="single" w:color="000000" w:sz="4" w:space="0"/>
            </w:tcBorders>
            <w:vAlign w:val="center"/>
          </w:tcPr>
          <w:p w14:paraId="62801004">
            <w:pPr>
              <w:widowControl/>
              <w:jc w:val="center"/>
              <w:textAlignment w:val="center"/>
              <w:rPr>
                <w:rFonts w:hint="eastAsia" w:ascii="宋体" w:hAnsi="宋体" w:cs="宋体"/>
                <w:color w:val="000000"/>
                <w:kern w:val="0"/>
                <w:sz w:val="20"/>
                <w:szCs w:val="20"/>
                <w:lang w:bidi="ar"/>
              </w:rPr>
            </w:pPr>
          </w:p>
        </w:tc>
        <w:tc>
          <w:tcPr>
            <w:tcW w:w="1143" w:type="dxa"/>
            <w:tcBorders>
              <w:top w:val="single" w:color="000000" w:sz="4" w:space="0"/>
              <w:left w:val="single" w:color="000000" w:sz="4" w:space="0"/>
              <w:bottom w:val="single" w:color="000000" w:sz="4" w:space="0"/>
              <w:right w:val="single" w:color="000000" w:sz="4" w:space="0"/>
            </w:tcBorders>
            <w:vAlign w:val="center"/>
          </w:tcPr>
          <w:p w14:paraId="190279E5">
            <w:pPr>
              <w:widowControl/>
              <w:jc w:val="center"/>
              <w:textAlignment w:val="center"/>
              <w:rPr>
                <w:rFonts w:hint="eastAsia" w:ascii="宋体" w:hAnsi="宋体" w:cs="宋体"/>
                <w:color w:val="000000"/>
                <w:kern w:val="0"/>
                <w:sz w:val="20"/>
                <w:szCs w:val="20"/>
                <w:lang w:bidi="ar"/>
              </w:rPr>
            </w:pPr>
          </w:p>
        </w:tc>
        <w:tc>
          <w:tcPr>
            <w:tcW w:w="763" w:type="dxa"/>
            <w:tcBorders>
              <w:top w:val="single" w:color="000000" w:sz="4" w:space="0"/>
              <w:left w:val="single" w:color="000000" w:sz="4" w:space="0"/>
              <w:bottom w:val="single" w:color="000000" w:sz="4" w:space="0"/>
              <w:right w:val="single" w:color="000000" w:sz="4" w:space="0"/>
            </w:tcBorders>
            <w:vAlign w:val="center"/>
          </w:tcPr>
          <w:p w14:paraId="48AC4DDA">
            <w:pPr>
              <w:widowControl/>
              <w:jc w:val="center"/>
              <w:textAlignment w:val="center"/>
              <w:rPr>
                <w:rFonts w:hint="eastAsia" w:ascii="宋体" w:hAnsi="宋体" w:cs="宋体"/>
                <w:color w:val="000000"/>
                <w:kern w:val="0"/>
                <w:sz w:val="20"/>
                <w:szCs w:val="20"/>
                <w:lang w:bidi="ar"/>
              </w:rPr>
            </w:pPr>
          </w:p>
        </w:tc>
        <w:tc>
          <w:tcPr>
            <w:tcW w:w="741" w:type="dxa"/>
            <w:tcBorders>
              <w:top w:val="single" w:color="000000" w:sz="4" w:space="0"/>
              <w:left w:val="single" w:color="000000" w:sz="4" w:space="0"/>
              <w:bottom w:val="single" w:color="000000" w:sz="4" w:space="0"/>
              <w:right w:val="single" w:color="000000" w:sz="4" w:space="0"/>
            </w:tcBorders>
            <w:vAlign w:val="center"/>
          </w:tcPr>
          <w:p w14:paraId="1F5B2A11">
            <w:pPr>
              <w:widowControl/>
              <w:jc w:val="center"/>
              <w:textAlignment w:val="center"/>
              <w:rPr>
                <w:rFonts w:hint="eastAsia" w:ascii="宋体" w:hAnsi="宋体" w:cs="宋体"/>
                <w:color w:val="000000"/>
                <w:kern w:val="0"/>
                <w:sz w:val="20"/>
                <w:szCs w:val="20"/>
                <w:lang w:bidi="ar"/>
              </w:rPr>
            </w:pPr>
          </w:p>
        </w:tc>
      </w:tr>
      <w:tr w14:paraId="1B27CEE5">
        <w:tblPrEx>
          <w:tblCellMar>
            <w:top w:w="0" w:type="dxa"/>
            <w:left w:w="108" w:type="dxa"/>
            <w:bottom w:w="0" w:type="dxa"/>
            <w:right w:w="108" w:type="dxa"/>
          </w:tblCellMar>
        </w:tblPrEx>
        <w:trPr>
          <w:trHeight w:val="20" w:hRule="atLeast"/>
          <w:jc w:val="center"/>
        </w:trPr>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91D7FB">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3</w:t>
            </w:r>
          </w:p>
        </w:tc>
        <w:tc>
          <w:tcPr>
            <w:tcW w:w="2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57B91B">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测序试剂盒1</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B8717D">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300cycles</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677A23">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套</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EBD1A9">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4B9521">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7650</w:t>
            </w:r>
          </w:p>
        </w:tc>
        <w:tc>
          <w:tcPr>
            <w:tcW w:w="992" w:type="dxa"/>
            <w:tcBorders>
              <w:top w:val="single" w:color="000000" w:sz="4" w:space="0"/>
              <w:left w:val="single" w:color="000000" w:sz="4" w:space="0"/>
              <w:bottom w:val="single" w:color="000000" w:sz="4" w:space="0"/>
              <w:right w:val="single" w:color="000000" w:sz="4" w:space="0"/>
            </w:tcBorders>
            <w:vAlign w:val="center"/>
          </w:tcPr>
          <w:p w14:paraId="79B83550">
            <w:pPr>
              <w:widowControl/>
              <w:jc w:val="center"/>
              <w:textAlignment w:val="center"/>
              <w:rPr>
                <w:rFonts w:hint="eastAsia" w:ascii="宋体" w:hAnsi="宋体" w:cs="宋体"/>
                <w:color w:val="000000"/>
                <w:kern w:val="0"/>
                <w:sz w:val="20"/>
                <w:szCs w:val="20"/>
                <w:lang w:bidi="ar"/>
              </w:rPr>
            </w:pPr>
          </w:p>
        </w:tc>
        <w:tc>
          <w:tcPr>
            <w:tcW w:w="1239" w:type="dxa"/>
            <w:tcBorders>
              <w:top w:val="single" w:color="000000" w:sz="4" w:space="0"/>
              <w:left w:val="single" w:color="000000" w:sz="4" w:space="0"/>
              <w:bottom w:val="single" w:color="000000" w:sz="4" w:space="0"/>
              <w:right w:val="single" w:color="000000" w:sz="4" w:space="0"/>
            </w:tcBorders>
            <w:vAlign w:val="center"/>
          </w:tcPr>
          <w:p w14:paraId="6A4E96DA">
            <w:pPr>
              <w:widowControl/>
              <w:jc w:val="center"/>
              <w:textAlignment w:val="center"/>
              <w:rPr>
                <w:rFonts w:hint="eastAsia" w:ascii="宋体" w:hAnsi="宋体" w:cs="宋体"/>
                <w:color w:val="000000"/>
                <w:kern w:val="0"/>
                <w:sz w:val="20"/>
                <w:szCs w:val="20"/>
                <w:lang w:bidi="ar"/>
              </w:rPr>
            </w:pPr>
          </w:p>
        </w:tc>
        <w:tc>
          <w:tcPr>
            <w:tcW w:w="900" w:type="dxa"/>
            <w:tcBorders>
              <w:top w:val="single" w:color="000000" w:sz="4" w:space="0"/>
              <w:left w:val="single" w:color="000000" w:sz="4" w:space="0"/>
              <w:bottom w:val="single" w:color="000000" w:sz="4" w:space="0"/>
              <w:right w:val="single" w:color="000000" w:sz="4" w:space="0"/>
            </w:tcBorders>
            <w:vAlign w:val="center"/>
          </w:tcPr>
          <w:p w14:paraId="0D9AE284">
            <w:pPr>
              <w:widowControl/>
              <w:jc w:val="center"/>
              <w:textAlignment w:val="center"/>
              <w:rPr>
                <w:rFonts w:hint="eastAsia" w:ascii="宋体" w:hAnsi="宋体" w:cs="宋体"/>
                <w:color w:val="000000"/>
                <w:kern w:val="0"/>
                <w:sz w:val="20"/>
                <w:szCs w:val="20"/>
                <w:lang w:bidi="ar"/>
              </w:rPr>
            </w:pPr>
          </w:p>
        </w:tc>
        <w:tc>
          <w:tcPr>
            <w:tcW w:w="832" w:type="dxa"/>
            <w:tcBorders>
              <w:top w:val="single" w:color="000000" w:sz="4" w:space="0"/>
              <w:left w:val="single" w:color="000000" w:sz="4" w:space="0"/>
              <w:bottom w:val="single" w:color="000000" w:sz="4" w:space="0"/>
              <w:right w:val="single" w:color="000000" w:sz="4" w:space="0"/>
            </w:tcBorders>
            <w:vAlign w:val="center"/>
          </w:tcPr>
          <w:p w14:paraId="1D76E946">
            <w:pPr>
              <w:widowControl/>
              <w:jc w:val="center"/>
              <w:textAlignment w:val="center"/>
              <w:rPr>
                <w:rFonts w:hint="eastAsia" w:ascii="宋体" w:hAnsi="宋体" w:cs="宋体"/>
                <w:color w:val="000000"/>
                <w:kern w:val="0"/>
                <w:sz w:val="20"/>
                <w:szCs w:val="20"/>
                <w:lang w:bidi="ar"/>
              </w:rPr>
            </w:pPr>
          </w:p>
        </w:tc>
        <w:tc>
          <w:tcPr>
            <w:tcW w:w="1143" w:type="dxa"/>
            <w:tcBorders>
              <w:top w:val="single" w:color="000000" w:sz="4" w:space="0"/>
              <w:left w:val="single" w:color="000000" w:sz="4" w:space="0"/>
              <w:bottom w:val="single" w:color="000000" w:sz="4" w:space="0"/>
              <w:right w:val="single" w:color="000000" w:sz="4" w:space="0"/>
            </w:tcBorders>
            <w:vAlign w:val="center"/>
          </w:tcPr>
          <w:p w14:paraId="6FC2249D">
            <w:pPr>
              <w:widowControl/>
              <w:jc w:val="center"/>
              <w:textAlignment w:val="center"/>
              <w:rPr>
                <w:rFonts w:hint="eastAsia" w:ascii="宋体" w:hAnsi="宋体" w:cs="宋体"/>
                <w:color w:val="000000"/>
                <w:kern w:val="0"/>
                <w:sz w:val="20"/>
                <w:szCs w:val="20"/>
                <w:lang w:bidi="ar"/>
              </w:rPr>
            </w:pPr>
          </w:p>
        </w:tc>
        <w:tc>
          <w:tcPr>
            <w:tcW w:w="763" w:type="dxa"/>
            <w:tcBorders>
              <w:top w:val="single" w:color="000000" w:sz="4" w:space="0"/>
              <w:left w:val="single" w:color="000000" w:sz="4" w:space="0"/>
              <w:bottom w:val="single" w:color="000000" w:sz="4" w:space="0"/>
              <w:right w:val="single" w:color="000000" w:sz="4" w:space="0"/>
            </w:tcBorders>
            <w:vAlign w:val="center"/>
          </w:tcPr>
          <w:p w14:paraId="50330D5F">
            <w:pPr>
              <w:widowControl/>
              <w:jc w:val="center"/>
              <w:textAlignment w:val="center"/>
              <w:rPr>
                <w:rFonts w:hint="eastAsia" w:ascii="宋体" w:hAnsi="宋体" w:cs="宋体"/>
                <w:color w:val="000000"/>
                <w:kern w:val="0"/>
                <w:sz w:val="20"/>
                <w:szCs w:val="20"/>
                <w:lang w:bidi="ar"/>
              </w:rPr>
            </w:pPr>
          </w:p>
        </w:tc>
        <w:tc>
          <w:tcPr>
            <w:tcW w:w="741" w:type="dxa"/>
            <w:tcBorders>
              <w:top w:val="single" w:color="000000" w:sz="4" w:space="0"/>
              <w:left w:val="single" w:color="000000" w:sz="4" w:space="0"/>
              <w:bottom w:val="single" w:color="000000" w:sz="4" w:space="0"/>
              <w:right w:val="single" w:color="000000" w:sz="4" w:space="0"/>
            </w:tcBorders>
            <w:vAlign w:val="center"/>
          </w:tcPr>
          <w:p w14:paraId="2659D3E1">
            <w:pPr>
              <w:widowControl/>
              <w:jc w:val="center"/>
              <w:textAlignment w:val="center"/>
              <w:rPr>
                <w:rFonts w:hint="eastAsia" w:ascii="宋体" w:hAnsi="宋体" w:cs="宋体"/>
                <w:color w:val="000000"/>
                <w:kern w:val="0"/>
                <w:sz w:val="20"/>
                <w:szCs w:val="20"/>
                <w:lang w:bidi="ar"/>
              </w:rPr>
            </w:pPr>
          </w:p>
        </w:tc>
      </w:tr>
      <w:tr w14:paraId="58382E46">
        <w:tblPrEx>
          <w:tblCellMar>
            <w:top w:w="0" w:type="dxa"/>
            <w:left w:w="108" w:type="dxa"/>
            <w:bottom w:w="0" w:type="dxa"/>
            <w:right w:w="108" w:type="dxa"/>
          </w:tblCellMar>
        </w:tblPrEx>
        <w:trPr>
          <w:trHeight w:val="20" w:hRule="atLeast"/>
          <w:jc w:val="center"/>
        </w:trPr>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3F8E06">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4</w:t>
            </w:r>
          </w:p>
        </w:tc>
        <w:tc>
          <w:tcPr>
            <w:tcW w:w="2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788B8A">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测序试剂盒2</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F24312">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300cycles</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E339B5">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套</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A5BF75">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E0EBC1">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12300</w:t>
            </w:r>
          </w:p>
        </w:tc>
        <w:tc>
          <w:tcPr>
            <w:tcW w:w="992" w:type="dxa"/>
            <w:tcBorders>
              <w:top w:val="single" w:color="000000" w:sz="4" w:space="0"/>
              <w:left w:val="single" w:color="000000" w:sz="4" w:space="0"/>
              <w:bottom w:val="single" w:color="000000" w:sz="4" w:space="0"/>
              <w:right w:val="single" w:color="000000" w:sz="4" w:space="0"/>
            </w:tcBorders>
            <w:vAlign w:val="center"/>
          </w:tcPr>
          <w:p w14:paraId="0BE977F6">
            <w:pPr>
              <w:widowControl/>
              <w:jc w:val="center"/>
              <w:textAlignment w:val="center"/>
              <w:rPr>
                <w:rFonts w:hint="eastAsia" w:ascii="宋体" w:hAnsi="宋体" w:cs="宋体"/>
                <w:color w:val="000000"/>
                <w:kern w:val="0"/>
                <w:sz w:val="20"/>
                <w:szCs w:val="20"/>
                <w:lang w:bidi="ar"/>
              </w:rPr>
            </w:pPr>
          </w:p>
        </w:tc>
        <w:tc>
          <w:tcPr>
            <w:tcW w:w="1239" w:type="dxa"/>
            <w:tcBorders>
              <w:top w:val="single" w:color="000000" w:sz="4" w:space="0"/>
              <w:left w:val="single" w:color="000000" w:sz="4" w:space="0"/>
              <w:bottom w:val="single" w:color="000000" w:sz="4" w:space="0"/>
              <w:right w:val="single" w:color="000000" w:sz="4" w:space="0"/>
            </w:tcBorders>
            <w:vAlign w:val="center"/>
          </w:tcPr>
          <w:p w14:paraId="6A3309C1">
            <w:pPr>
              <w:widowControl/>
              <w:jc w:val="center"/>
              <w:textAlignment w:val="center"/>
              <w:rPr>
                <w:rFonts w:hint="eastAsia" w:ascii="宋体" w:hAnsi="宋体" w:cs="宋体"/>
                <w:color w:val="000000"/>
                <w:kern w:val="0"/>
                <w:sz w:val="20"/>
                <w:szCs w:val="20"/>
                <w:lang w:bidi="ar"/>
              </w:rPr>
            </w:pPr>
          </w:p>
        </w:tc>
        <w:tc>
          <w:tcPr>
            <w:tcW w:w="900" w:type="dxa"/>
            <w:tcBorders>
              <w:top w:val="single" w:color="000000" w:sz="4" w:space="0"/>
              <w:left w:val="single" w:color="000000" w:sz="4" w:space="0"/>
              <w:bottom w:val="single" w:color="000000" w:sz="4" w:space="0"/>
              <w:right w:val="single" w:color="000000" w:sz="4" w:space="0"/>
            </w:tcBorders>
            <w:vAlign w:val="center"/>
          </w:tcPr>
          <w:p w14:paraId="2E76E36F">
            <w:pPr>
              <w:widowControl/>
              <w:jc w:val="center"/>
              <w:textAlignment w:val="center"/>
              <w:rPr>
                <w:rFonts w:hint="eastAsia" w:ascii="宋体" w:hAnsi="宋体" w:cs="宋体"/>
                <w:color w:val="000000"/>
                <w:kern w:val="0"/>
                <w:sz w:val="20"/>
                <w:szCs w:val="20"/>
                <w:lang w:bidi="ar"/>
              </w:rPr>
            </w:pPr>
          </w:p>
        </w:tc>
        <w:tc>
          <w:tcPr>
            <w:tcW w:w="832" w:type="dxa"/>
            <w:tcBorders>
              <w:top w:val="single" w:color="000000" w:sz="4" w:space="0"/>
              <w:left w:val="single" w:color="000000" w:sz="4" w:space="0"/>
              <w:bottom w:val="single" w:color="000000" w:sz="4" w:space="0"/>
              <w:right w:val="single" w:color="000000" w:sz="4" w:space="0"/>
            </w:tcBorders>
            <w:vAlign w:val="center"/>
          </w:tcPr>
          <w:p w14:paraId="34117D44">
            <w:pPr>
              <w:widowControl/>
              <w:jc w:val="center"/>
              <w:textAlignment w:val="center"/>
              <w:rPr>
                <w:rFonts w:hint="eastAsia" w:ascii="宋体" w:hAnsi="宋体" w:cs="宋体"/>
                <w:color w:val="000000"/>
                <w:kern w:val="0"/>
                <w:sz w:val="20"/>
                <w:szCs w:val="20"/>
                <w:lang w:bidi="ar"/>
              </w:rPr>
            </w:pPr>
          </w:p>
        </w:tc>
        <w:tc>
          <w:tcPr>
            <w:tcW w:w="1143" w:type="dxa"/>
            <w:tcBorders>
              <w:top w:val="single" w:color="000000" w:sz="4" w:space="0"/>
              <w:left w:val="single" w:color="000000" w:sz="4" w:space="0"/>
              <w:bottom w:val="single" w:color="000000" w:sz="4" w:space="0"/>
              <w:right w:val="single" w:color="000000" w:sz="4" w:space="0"/>
            </w:tcBorders>
            <w:vAlign w:val="center"/>
          </w:tcPr>
          <w:p w14:paraId="564F9BED">
            <w:pPr>
              <w:widowControl/>
              <w:jc w:val="center"/>
              <w:textAlignment w:val="center"/>
              <w:rPr>
                <w:rFonts w:hint="eastAsia" w:ascii="宋体" w:hAnsi="宋体" w:cs="宋体"/>
                <w:color w:val="000000"/>
                <w:kern w:val="0"/>
                <w:sz w:val="20"/>
                <w:szCs w:val="20"/>
                <w:lang w:bidi="ar"/>
              </w:rPr>
            </w:pPr>
          </w:p>
        </w:tc>
        <w:tc>
          <w:tcPr>
            <w:tcW w:w="763" w:type="dxa"/>
            <w:tcBorders>
              <w:top w:val="single" w:color="000000" w:sz="4" w:space="0"/>
              <w:left w:val="single" w:color="000000" w:sz="4" w:space="0"/>
              <w:bottom w:val="single" w:color="000000" w:sz="4" w:space="0"/>
              <w:right w:val="single" w:color="000000" w:sz="4" w:space="0"/>
            </w:tcBorders>
            <w:vAlign w:val="center"/>
          </w:tcPr>
          <w:p w14:paraId="13B2FED2">
            <w:pPr>
              <w:widowControl/>
              <w:jc w:val="center"/>
              <w:textAlignment w:val="center"/>
              <w:rPr>
                <w:rFonts w:hint="eastAsia" w:ascii="宋体" w:hAnsi="宋体" w:cs="宋体"/>
                <w:color w:val="000000"/>
                <w:kern w:val="0"/>
                <w:sz w:val="20"/>
                <w:szCs w:val="20"/>
                <w:lang w:bidi="ar"/>
              </w:rPr>
            </w:pPr>
          </w:p>
        </w:tc>
        <w:tc>
          <w:tcPr>
            <w:tcW w:w="741" w:type="dxa"/>
            <w:tcBorders>
              <w:top w:val="single" w:color="000000" w:sz="4" w:space="0"/>
              <w:left w:val="single" w:color="000000" w:sz="4" w:space="0"/>
              <w:bottom w:val="single" w:color="000000" w:sz="4" w:space="0"/>
              <w:right w:val="single" w:color="000000" w:sz="4" w:space="0"/>
            </w:tcBorders>
            <w:vAlign w:val="center"/>
          </w:tcPr>
          <w:p w14:paraId="17A89E8E">
            <w:pPr>
              <w:widowControl/>
              <w:jc w:val="center"/>
              <w:textAlignment w:val="center"/>
              <w:rPr>
                <w:rFonts w:hint="eastAsia" w:ascii="宋体" w:hAnsi="宋体" w:cs="宋体"/>
                <w:color w:val="000000"/>
                <w:kern w:val="0"/>
                <w:sz w:val="20"/>
                <w:szCs w:val="20"/>
                <w:lang w:bidi="ar"/>
              </w:rPr>
            </w:pPr>
          </w:p>
        </w:tc>
      </w:tr>
      <w:tr w14:paraId="4CF48482">
        <w:tblPrEx>
          <w:tblCellMar>
            <w:top w:w="0" w:type="dxa"/>
            <w:left w:w="108" w:type="dxa"/>
            <w:bottom w:w="0" w:type="dxa"/>
            <w:right w:w="108" w:type="dxa"/>
          </w:tblCellMar>
        </w:tblPrEx>
        <w:trPr>
          <w:trHeight w:val="20" w:hRule="atLeast"/>
          <w:jc w:val="center"/>
        </w:trPr>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DA719C">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5</w:t>
            </w:r>
          </w:p>
        </w:tc>
        <w:tc>
          <w:tcPr>
            <w:tcW w:w="2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A6E6B5">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测序试剂盒3</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C6F4D1">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300cycles</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F751CC">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套</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366617">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8</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D7A3D9">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17250</w:t>
            </w:r>
          </w:p>
        </w:tc>
        <w:tc>
          <w:tcPr>
            <w:tcW w:w="992" w:type="dxa"/>
            <w:tcBorders>
              <w:top w:val="single" w:color="000000" w:sz="4" w:space="0"/>
              <w:left w:val="single" w:color="000000" w:sz="4" w:space="0"/>
              <w:bottom w:val="single" w:color="000000" w:sz="4" w:space="0"/>
              <w:right w:val="single" w:color="000000" w:sz="4" w:space="0"/>
            </w:tcBorders>
            <w:vAlign w:val="center"/>
          </w:tcPr>
          <w:p w14:paraId="3C8296E0">
            <w:pPr>
              <w:widowControl/>
              <w:jc w:val="center"/>
              <w:textAlignment w:val="center"/>
              <w:rPr>
                <w:rFonts w:hint="eastAsia" w:ascii="宋体" w:hAnsi="宋体" w:cs="宋体"/>
                <w:color w:val="000000"/>
                <w:kern w:val="0"/>
                <w:sz w:val="20"/>
                <w:szCs w:val="20"/>
                <w:lang w:bidi="ar"/>
              </w:rPr>
            </w:pPr>
          </w:p>
        </w:tc>
        <w:tc>
          <w:tcPr>
            <w:tcW w:w="1239" w:type="dxa"/>
            <w:tcBorders>
              <w:top w:val="single" w:color="000000" w:sz="4" w:space="0"/>
              <w:left w:val="single" w:color="000000" w:sz="4" w:space="0"/>
              <w:bottom w:val="single" w:color="000000" w:sz="4" w:space="0"/>
              <w:right w:val="single" w:color="000000" w:sz="4" w:space="0"/>
            </w:tcBorders>
            <w:vAlign w:val="center"/>
          </w:tcPr>
          <w:p w14:paraId="04EC2784">
            <w:pPr>
              <w:widowControl/>
              <w:jc w:val="center"/>
              <w:textAlignment w:val="center"/>
              <w:rPr>
                <w:rFonts w:hint="eastAsia" w:ascii="宋体" w:hAnsi="宋体" w:cs="宋体"/>
                <w:color w:val="000000"/>
                <w:kern w:val="0"/>
                <w:sz w:val="20"/>
                <w:szCs w:val="20"/>
                <w:lang w:bidi="ar"/>
              </w:rPr>
            </w:pPr>
          </w:p>
        </w:tc>
        <w:tc>
          <w:tcPr>
            <w:tcW w:w="900" w:type="dxa"/>
            <w:tcBorders>
              <w:top w:val="single" w:color="000000" w:sz="4" w:space="0"/>
              <w:left w:val="single" w:color="000000" w:sz="4" w:space="0"/>
              <w:bottom w:val="single" w:color="000000" w:sz="4" w:space="0"/>
              <w:right w:val="single" w:color="000000" w:sz="4" w:space="0"/>
            </w:tcBorders>
            <w:vAlign w:val="center"/>
          </w:tcPr>
          <w:p w14:paraId="3270D94F">
            <w:pPr>
              <w:widowControl/>
              <w:jc w:val="center"/>
              <w:textAlignment w:val="center"/>
              <w:rPr>
                <w:rFonts w:hint="eastAsia" w:ascii="宋体" w:hAnsi="宋体" w:cs="宋体"/>
                <w:color w:val="000000"/>
                <w:kern w:val="0"/>
                <w:sz w:val="20"/>
                <w:szCs w:val="20"/>
                <w:lang w:bidi="ar"/>
              </w:rPr>
            </w:pPr>
          </w:p>
        </w:tc>
        <w:tc>
          <w:tcPr>
            <w:tcW w:w="832" w:type="dxa"/>
            <w:tcBorders>
              <w:top w:val="single" w:color="000000" w:sz="4" w:space="0"/>
              <w:left w:val="single" w:color="000000" w:sz="4" w:space="0"/>
              <w:bottom w:val="single" w:color="000000" w:sz="4" w:space="0"/>
              <w:right w:val="single" w:color="000000" w:sz="4" w:space="0"/>
            </w:tcBorders>
            <w:vAlign w:val="center"/>
          </w:tcPr>
          <w:p w14:paraId="37761830">
            <w:pPr>
              <w:widowControl/>
              <w:jc w:val="center"/>
              <w:textAlignment w:val="center"/>
              <w:rPr>
                <w:rFonts w:hint="eastAsia" w:ascii="宋体" w:hAnsi="宋体" w:cs="宋体"/>
                <w:color w:val="000000"/>
                <w:kern w:val="0"/>
                <w:sz w:val="20"/>
                <w:szCs w:val="20"/>
                <w:lang w:bidi="ar"/>
              </w:rPr>
            </w:pPr>
          </w:p>
        </w:tc>
        <w:tc>
          <w:tcPr>
            <w:tcW w:w="1143" w:type="dxa"/>
            <w:tcBorders>
              <w:top w:val="single" w:color="000000" w:sz="4" w:space="0"/>
              <w:left w:val="single" w:color="000000" w:sz="4" w:space="0"/>
              <w:bottom w:val="single" w:color="000000" w:sz="4" w:space="0"/>
              <w:right w:val="single" w:color="000000" w:sz="4" w:space="0"/>
            </w:tcBorders>
            <w:vAlign w:val="center"/>
          </w:tcPr>
          <w:p w14:paraId="39FE5EA1">
            <w:pPr>
              <w:widowControl/>
              <w:jc w:val="center"/>
              <w:textAlignment w:val="center"/>
              <w:rPr>
                <w:rFonts w:hint="eastAsia" w:ascii="宋体" w:hAnsi="宋体" w:cs="宋体"/>
                <w:color w:val="000000"/>
                <w:kern w:val="0"/>
                <w:sz w:val="20"/>
                <w:szCs w:val="20"/>
                <w:lang w:bidi="ar"/>
              </w:rPr>
            </w:pPr>
          </w:p>
        </w:tc>
        <w:tc>
          <w:tcPr>
            <w:tcW w:w="763" w:type="dxa"/>
            <w:tcBorders>
              <w:top w:val="single" w:color="000000" w:sz="4" w:space="0"/>
              <w:left w:val="single" w:color="000000" w:sz="4" w:space="0"/>
              <w:bottom w:val="single" w:color="000000" w:sz="4" w:space="0"/>
              <w:right w:val="single" w:color="000000" w:sz="4" w:space="0"/>
            </w:tcBorders>
            <w:vAlign w:val="center"/>
          </w:tcPr>
          <w:p w14:paraId="7D82479D">
            <w:pPr>
              <w:widowControl/>
              <w:jc w:val="center"/>
              <w:textAlignment w:val="center"/>
              <w:rPr>
                <w:rFonts w:hint="eastAsia" w:ascii="宋体" w:hAnsi="宋体" w:cs="宋体"/>
                <w:color w:val="000000"/>
                <w:kern w:val="0"/>
                <w:sz w:val="20"/>
                <w:szCs w:val="20"/>
                <w:lang w:bidi="ar"/>
              </w:rPr>
            </w:pPr>
          </w:p>
        </w:tc>
        <w:tc>
          <w:tcPr>
            <w:tcW w:w="741" w:type="dxa"/>
            <w:tcBorders>
              <w:top w:val="single" w:color="000000" w:sz="4" w:space="0"/>
              <w:left w:val="single" w:color="000000" w:sz="4" w:space="0"/>
              <w:bottom w:val="single" w:color="000000" w:sz="4" w:space="0"/>
              <w:right w:val="single" w:color="000000" w:sz="4" w:space="0"/>
            </w:tcBorders>
            <w:vAlign w:val="center"/>
          </w:tcPr>
          <w:p w14:paraId="72B63C58">
            <w:pPr>
              <w:widowControl/>
              <w:jc w:val="center"/>
              <w:textAlignment w:val="center"/>
              <w:rPr>
                <w:rFonts w:hint="eastAsia" w:ascii="宋体" w:hAnsi="宋体" w:cs="宋体"/>
                <w:color w:val="000000"/>
                <w:kern w:val="0"/>
                <w:sz w:val="20"/>
                <w:szCs w:val="20"/>
                <w:lang w:bidi="ar"/>
              </w:rPr>
            </w:pPr>
          </w:p>
        </w:tc>
      </w:tr>
      <w:tr w14:paraId="1076D638">
        <w:tblPrEx>
          <w:tblCellMar>
            <w:top w:w="0" w:type="dxa"/>
            <w:left w:w="108" w:type="dxa"/>
            <w:bottom w:w="0" w:type="dxa"/>
            <w:right w:w="108" w:type="dxa"/>
          </w:tblCellMar>
        </w:tblPrEx>
        <w:trPr>
          <w:trHeight w:val="20" w:hRule="atLeast"/>
          <w:jc w:val="center"/>
        </w:trPr>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3993F9">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6</w:t>
            </w:r>
          </w:p>
        </w:tc>
        <w:tc>
          <w:tcPr>
            <w:tcW w:w="2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9D2CF7">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DNA病原微生物捕获建库试剂盒</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1857E8">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16rxn</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95EF59">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盒</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D61868">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41C024">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10000</w:t>
            </w:r>
          </w:p>
        </w:tc>
        <w:tc>
          <w:tcPr>
            <w:tcW w:w="992" w:type="dxa"/>
            <w:tcBorders>
              <w:top w:val="single" w:color="000000" w:sz="4" w:space="0"/>
              <w:left w:val="single" w:color="000000" w:sz="4" w:space="0"/>
              <w:bottom w:val="single" w:color="000000" w:sz="4" w:space="0"/>
              <w:right w:val="single" w:color="000000" w:sz="4" w:space="0"/>
            </w:tcBorders>
            <w:vAlign w:val="center"/>
          </w:tcPr>
          <w:p w14:paraId="6B15DD88">
            <w:pPr>
              <w:widowControl/>
              <w:jc w:val="center"/>
              <w:textAlignment w:val="center"/>
              <w:rPr>
                <w:rFonts w:hint="eastAsia" w:ascii="宋体" w:hAnsi="宋体" w:cs="宋体"/>
                <w:color w:val="000000"/>
                <w:kern w:val="0"/>
                <w:sz w:val="20"/>
                <w:szCs w:val="20"/>
                <w:lang w:bidi="ar"/>
              </w:rPr>
            </w:pPr>
          </w:p>
        </w:tc>
        <w:tc>
          <w:tcPr>
            <w:tcW w:w="1239" w:type="dxa"/>
            <w:tcBorders>
              <w:top w:val="single" w:color="000000" w:sz="4" w:space="0"/>
              <w:left w:val="single" w:color="000000" w:sz="4" w:space="0"/>
              <w:bottom w:val="single" w:color="000000" w:sz="4" w:space="0"/>
              <w:right w:val="single" w:color="000000" w:sz="4" w:space="0"/>
            </w:tcBorders>
            <w:vAlign w:val="center"/>
          </w:tcPr>
          <w:p w14:paraId="7A47E7A6">
            <w:pPr>
              <w:widowControl/>
              <w:jc w:val="center"/>
              <w:textAlignment w:val="center"/>
              <w:rPr>
                <w:rFonts w:hint="eastAsia" w:ascii="宋体" w:hAnsi="宋体" w:cs="宋体"/>
                <w:color w:val="000000"/>
                <w:kern w:val="0"/>
                <w:sz w:val="20"/>
                <w:szCs w:val="20"/>
                <w:lang w:bidi="ar"/>
              </w:rPr>
            </w:pPr>
          </w:p>
        </w:tc>
        <w:tc>
          <w:tcPr>
            <w:tcW w:w="900" w:type="dxa"/>
            <w:tcBorders>
              <w:top w:val="single" w:color="000000" w:sz="4" w:space="0"/>
              <w:left w:val="single" w:color="000000" w:sz="4" w:space="0"/>
              <w:bottom w:val="single" w:color="000000" w:sz="4" w:space="0"/>
              <w:right w:val="single" w:color="000000" w:sz="4" w:space="0"/>
            </w:tcBorders>
            <w:vAlign w:val="center"/>
          </w:tcPr>
          <w:p w14:paraId="39AA6C66">
            <w:pPr>
              <w:widowControl/>
              <w:jc w:val="center"/>
              <w:textAlignment w:val="center"/>
              <w:rPr>
                <w:rFonts w:hint="eastAsia" w:ascii="宋体" w:hAnsi="宋体" w:cs="宋体"/>
                <w:color w:val="000000"/>
                <w:kern w:val="0"/>
                <w:sz w:val="20"/>
                <w:szCs w:val="20"/>
                <w:lang w:bidi="ar"/>
              </w:rPr>
            </w:pPr>
          </w:p>
        </w:tc>
        <w:tc>
          <w:tcPr>
            <w:tcW w:w="832" w:type="dxa"/>
            <w:tcBorders>
              <w:top w:val="single" w:color="000000" w:sz="4" w:space="0"/>
              <w:left w:val="single" w:color="000000" w:sz="4" w:space="0"/>
              <w:bottom w:val="single" w:color="000000" w:sz="4" w:space="0"/>
              <w:right w:val="single" w:color="000000" w:sz="4" w:space="0"/>
            </w:tcBorders>
            <w:vAlign w:val="center"/>
          </w:tcPr>
          <w:p w14:paraId="6A9CB2D1">
            <w:pPr>
              <w:widowControl/>
              <w:jc w:val="center"/>
              <w:textAlignment w:val="center"/>
              <w:rPr>
                <w:rFonts w:hint="eastAsia" w:ascii="宋体" w:hAnsi="宋体" w:cs="宋体"/>
                <w:color w:val="000000"/>
                <w:kern w:val="0"/>
                <w:sz w:val="20"/>
                <w:szCs w:val="20"/>
                <w:lang w:bidi="ar"/>
              </w:rPr>
            </w:pPr>
          </w:p>
        </w:tc>
        <w:tc>
          <w:tcPr>
            <w:tcW w:w="1143" w:type="dxa"/>
            <w:tcBorders>
              <w:top w:val="single" w:color="000000" w:sz="4" w:space="0"/>
              <w:left w:val="single" w:color="000000" w:sz="4" w:space="0"/>
              <w:bottom w:val="single" w:color="000000" w:sz="4" w:space="0"/>
              <w:right w:val="single" w:color="000000" w:sz="4" w:space="0"/>
            </w:tcBorders>
            <w:vAlign w:val="center"/>
          </w:tcPr>
          <w:p w14:paraId="3EE2EB36">
            <w:pPr>
              <w:widowControl/>
              <w:jc w:val="center"/>
              <w:textAlignment w:val="center"/>
              <w:rPr>
                <w:rFonts w:hint="eastAsia" w:ascii="宋体" w:hAnsi="宋体" w:cs="宋体"/>
                <w:color w:val="000000"/>
                <w:kern w:val="0"/>
                <w:sz w:val="20"/>
                <w:szCs w:val="20"/>
                <w:lang w:bidi="ar"/>
              </w:rPr>
            </w:pPr>
          </w:p>
        </w:tc>
        <w:tc>
          <w:tcPr>
            <w:tcW w:w="763" w:type="dxa"/>
            <w:tcBorders>
              <w:top w:val="single" w:color="000000" w:sz="4" w:space="0"/>
              <w:left w:val="single" w:color="000000" w:sz="4" w:space="0"/>
              <w:bottom w:val="single" w:color="000000" w:sz="4" w:space="0"/>
              <w:right w:val="single" w:color="000000" w:sz="4" w:space="0"/>
            </w:tcBorders>
            <w:vAlign w:val="center"/>
          </w:tcPr>
          <w:p w14:paraId="50D4B88C">
            <w:pPr>
              <w:widowControl/>
              <w:jc w:val="center"/>
              <w:textAlignment w:val="center"/>
              <w:rPr>
                <w:rFonts w:hint="eastAsia" w:ascii="宋体" w:hAnsi="宋体" w:cs="宋体"/>
                <w:color w:val="000000"/>
                <w:kern w:val="0"/>
                <w:sz w:val="20"/>
                <w:szCs w:val="20"/>
                <w:lang w:bidi="ar"/>
              </w:rPr>
            </w:pPr>
          </w:p>
        </w:tc>
        <w:tc>
          <w:tcPr>
            <w:tcW w:w="741" w:type="dxa"/>
            <w:tcBorders>
              <w:top w:val="single" w:color="000000" w:sz="4" w:space="0"/>
              <w:left w:val="single" w:color="000000" w:sz="4" w:space="0"/>
              <w:bottom w:val="single" w:color="000000" w:sz="4" w:space="0"/>
              <w:right w:val="single" w:color="000000" w:sz="4" w:space="0"/>
            </w:tcBorders>
            <w:vAlign w:val="center"/>
          </w:tcPr>
          <w:p w14:paraId="79425909">
            <w:pPr>
              <w:widowControl/>
              <w:jc w:val="center"/>
              <w:textAlignment w:val="center"/>
              <w:rPr>
                <w:rFonts w:hint="eastAsia" w:ascii="宋体" w:hAnsi="宋体" w:cs="宋体"/>
                <w:color w:val="000000"/>
                <w:kern w:val="0"/>
                <w:sz w:val="20"/>
                <w:szCs w:val="20"/>
                <w:lang w:bidi="ar"/>
              </w:rPr>
            </w:pPr>
          </w:p>
        </w:tc>
      </w:tr>
      <w:tr w14:paraId="56871532">
        <w:tblPrEx>
          <w:tblCellMar>
            <w:top w:w="0" w:type="dxa"/>
            <w:left w:w="108" w:type="dxa"/>
            <w:bottom w:w="0" w:type="dxa"/>
            <w:right w:w="108" w:type="dxa"/>
          </w:tblCellMar>
        </w:tblPrEx>
        <w:trPr>
          <w:trHeight w:val="20" w:hRule="atLeast"/>
          <w:jc w:val="center"/>
        </w:trPr>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789377">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7</w:t>
            </w:r>
          </w:p>
        </w:tc>
        <w:tc>
          <w:tcPr>
            <w:tcW w:w="2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81F685">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RNA病原微生物捕获建库试剂盒</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F11731">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16rxn</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7EA9ED">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盒</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CACF09">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71C505">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10000</w:t>
            </w:r>
          </w:p>
        </w:tc>
        <w:tc>
          <w:tcPr>
            <w:tcW w:w="992" w:type="dxa"/>
            <w:tcBorders>
              <w:top w:val="single" w:color="000000" w:sz="4" w:space="0"/>
              <w:left w:val="single" w:color="000000" w:sz="4" w:space="0"/>
              <w:bottom w:val="single" w:color="000000" w:sz="4" w:space="0"/>
              <w:right w:val="single" w:color="000000" w:sz="4" w:space="0"/>
            </w:tcBorders>
            <w:vAlign w:val="center"/>
          </w:tcPr>
          <w:p w14:paraId="6790C470">
            <w:pPr>
              <w:widowControl/>
              <w:jc w:val="center"/>
              <w:textAlignment w:val="center"/>
              <w:rPr>
                <w:rFonts w:hint="eastAsia" w:ascii="宋体" w:hAnsi="宋体" w:cs="宋体"/>
                <w:color w:val="000000"/>
                <w:kern w:val="0"/>
                <w:sz w:val="20"/>
                <w:szCs w:val="20"/>
                <w:lang w:bidi="ar"/>
              </w:rPr>
            </w:pPr>
          </w:p>
        </w:tc>
        <w:tc>
          <w:tcPr>
            <w:tcW w:w="1239" w:type="dxa"/>
            <w:tcBorders>
              <w:top w:val="single" w:color="000000" w:sz="4" w:space="0"/>
              <w:left w:val="single" w:color="000000" w:sz="4" w:space="0"/>
              <w:bottom w:val="single" w:color="000000" w:sz="4" w:space="0"/>
              <w:right w:val="single" w:color="000000" w:sz="4" w:space="0"/>
            </w:tcBorders>
            <w:vAlign w:val="center"/>
          </w:tcPr>
          <w:p w14:paraId="63BAB02F">
            <w:pPr>
              <w:widowControl/>
              <w:jc w:val="center"/>
              <w:textAlignment w:val="center"/>
              <w:rPr>
                <w:rFonts w:hint="eastAsia" w:ascii="宋体" w:hAnsi="宋体" w:cs="宋体"/>
                <w:color w:val="000000"/>
                <w:kern w:val="0"/>
                <w:sz w:val="20"/>
                <w:szCs w:val="20"/>
                <w:lang w:bidi="ar"/>
              </w:rPr>
            </w:pPr>
          </w:p>
        </w:tc>
        <w:tc>
          <w:tcPr>
            <w:tcW w:w="900" w:type="dxa"/>
            <w:tcBorders>
              <w:top w:val="single" w:color="000000" w:sz="4" w:space="0"/>
              <w:left w:val="single" w:color="000000" w:sz="4" w:space="0"/>
              <w:bottom w:val="single" w:color="000000" w:sz="4" w:space="0"/>
              <w:right w:val="single" w:color="000000" w:sz="4" w:space="0"/>
            </w:tcBorders>
            <w:vAlign w:val="center"/>
          </w:tcPr>
          <w:p w14:paraId="7DBD844F">
            <w:pPr>
              <w:widowControl/>
              <w:jc w:val="center"/>
              <w:textAlignment w:val="center"/>
              <w:rPr>
                <w:rFonts w:hint="eastAsia" w:ascii="宋体" w:hAnsi="宋体" w:cs="宋体"/>
                <w:color w:val="000000"/>
                <w:kern w:val="0"/>
                <w:sz w:val="20"/>
                <w:szCs w:val="20"/>
                <w:lang w:bidi="ar"/>
              </w:rPr>
            </w:pPr>
          </w:p>
        </w:tc>
        <w:tc>
          <w:tcPr>
            <w:tcW w:w="832" w:type="dxa"/>
            <w:tcBorders>
              <w:top w:val="single" w:color="000000" w:sz="4" w:space="0"/>
              <w:left w:val="single" w:color="000000" w:sz="4" w:space="0"/>
              <w:bottom w:val="single" w:color="000000" w:sz="4" w:space="0"/>
              <w:right w:val="single" w:color="000000" w:sz="4" w:space="0"/>
            </w:tcBorders>
            <w:vAlign w:val="center"/>
          </w:tcPr>
          <w:p w14:paraId="44ECD98E">
            <w:pPr>
              <w:widowControl/>
              <w:jc w:val="center"/>
              <w:textAlignment w:val="center"/>
              <w:rPr>
                <w:rFonts w:hint="eastAsia" w:ascii="宋体" w:hAnsi="宋体" w:cs="宋体"/>
                <w:color w:val="000000"/>
                <w:kern w:val="0"/>
                <w:sz w:val="20"/>
                <w:szCs w:val="20"/>
                <w:lang w:bidi="ar"/>
              </w:rPr>
            </w:pPr>
          </w:p>
        </w:tc>
        <w:tc>
          <w:tcPr>
            <w:tcW w:w="1143" w:type="dxa"/>
            <w:tcBorders>
              <w:top w:val="single" w:color="000000" w:sz="4" w:space="0"/>
              <w:left w:val="single" w:color="000000" w:sz="4" w:space="0"/>
              <w:bottom w:val="single" w:color="000000" w:sz="4" w:space="0"/>
              <w:right w:val="single" w:color="000000" w:sz="4" w:space="0"/>
            </w:tcBorders>
            <w:vAlign w:val="center"/>
          </w:tcPr>
          <w:p w14:paraId="662E6C88">
            <w:pPr>
              <w:widowControl/>
              <w:jc w:val="center"/>
              <w:textAlignment w:val="center"/>
              <w:rPr>
                <w:rFonts w:hint="eastAsia" w:ascii="宋体" w:hAnsi="宋体" w:cs="宋体"/>
                <w:color w:val="000000"/>
                <w:kern w:val="0"/>
                <w:sz w:val="20"/>
                <w:szCs w:val="20"/>
                <w:lang w:bidi="ar"/>
              </w:rPr>
            </w:pPr>
          </w:p>
        </w:tc>
        <w:tc>
          <w:tcPr>
            <w:tcW w:w="763" w:type="dxa"/>
            <w:tcBorders>
              <w:top w:val="single" w:color="000000" w:sz="4" w:space="0"/>
              <w:left w:val="single" w:color="000000" w:sz="4" w:space="0"/>
              <w:bottom w:val="single" w:color="000000" w:sz="4" w:space="0"/>
              <w:right w:val="single" w:color="000000" w:sz="4" w:space="0"/>
            </w:tcBorders>
            <w:vAlign w:val="center"/>
          </w:tcPr>
          <w:p w14:paraId="00D9B92B">
            <w:pPr>
              <w:widowControl/>
              <w:jc w:val="center"/>
              <w:textAlignment w:val="center"/>
              <w:rPr>
                <w:rFonts w:hint="eastAsia" w:ascii="宋体" w:hAnsi="宋体" w:cs="宋体"/>
                <w:color w:val="000000"/>
                <w:kern w:val="0"/>
                <w:sz w:val="20"/>
                <w:szCs w:val="20"/>
                <w:lang w:bidi="ar"/>
              </w:rPr>
            </w:pPr>
          </w:p>
        </w:tc>
        <w:tc>
          <w:tcPr>
            <w:tcW w:w="741" w:type="dxa"/>
            <w:tcBorders>
              <w:top w:val="single" w:color="000000" w:sz="4" w:space="0"/>
              <w:left w:val="single" w:color="000000" w:sz="4" w:space="0"/>
              <w:bottom w:val="single" w:color="000000" w:sz="4" w:space="0"/>
              <w:right w:val="single" w:color="000000" w:sz="4" w:space="0"/>
            </w:tcBorders>
            <w:vAlign w:val="center"/>
          </w:tcPr>
          <w:p w14:paraId="622AF3E6">
            <w:pPr>
              <w:widowControl/>
              <w:jc w:val="center"/>
              <w:textAlignment w:val="center"/>
              <w:rPr>
                <w:rFonts w:hint="eastAsia" w:ascii="宋体" w:hAnsi="宋体" w:cs="宋体"/>
                <w:color w:val="000000"/>
                <w:kern w:val="0"/>
                <w:sz w:val="20"/>
                <w:szCs w:val="20"/>
                <w:lang w:bidi="ar"/>
              </w:rPr>
            </w:pPr>
          </w:p>
        </w:tc>
      </w:tr>
      <w:tr w14:paraId="4AFA06B1">
        <w:tblPrEx>
          <w:tblCellMar>
            <w:top w:w="0" w:type="dxa"/>
            <w:left w:w="108" w:type="dxa"/>
            <w:bottom w:w="0" w:type="dxa"/>
            <w:right w:w="108" w:type="dxa"/>
          </w:tblCellMar>
        </w:tblPrEx>
        <w:trPr>
          <w:trHeight w:val="20" w:hRule="atLeast"/>
          <w:jc w:val="center"/>
        </w:trPr>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ECA6F3">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8</w:t>
            </w:r>
          </w:p>
        </w:tc>
        <w:tc>
          <w:tcPr>
            <w:tcW w:w="2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32A6E9">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快速建库试剂盒（1ng）</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E7AF77">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24rxn</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D08F25">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盒</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D19A9B">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5</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DC0270">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10640</w:t>
            </w:r>
          </w:p>
        </w:tc>
        <w:tc>
          <w:tcPr>
            <w:tcW w:w="992" w:type="dxa"/>
            <w:tcBorders>
              <w:top w:val="single" w:color="000000" w:sz="4" w:space="0"/>
              <w:left w:val="single" w:color="000000" w:sz="4" w:space="0"/>
              <w:bottom w:val="single" w:color="000000" w:sz="4" w:space="0"/>
              <w:right w:val="single" w:color="000000" w:sz="4" w:space="0"/>
            </w:tcBorders>
            <w:vAlign w:val="center"/>
          </w:tcPr>
          <w:p w14:paraId="1F786DAA">
            <w:pPr>
              <w:widowControl/>
              <w:jc w:val="center"/>
              <w:textAlignment w:val="center"/>
              <w:rPr>
                <w:rFonts w:hint="eastAsia" w:ascii="宋体" w:hAnsi="宋体" w:cs="宋体"/>
                <w:color w:val="000000"/>
                <w:kern w:val="0"/>
                <w:sz w:val="20"/>
                <w:szCs w:val="20"/>
                <w:lang w:bidi="ar"/>
              </w:rPr>
            </w:pPr>
          </w:p>
        </w:tc>
        <w:tc>
          <w:tcPr>
            <w:tcW w:w="1239" w:type="dxa"/>
            <w:tcBorders>
              <w:top w:val="single" w:color="000000" w:sz="4" w:space="0"/>
              <w:left w:val="single" w:color="000000" w:sz="4" w:space="0"/>
              <w:bottom w:val="single" w:color="000000" w:sz="4" w:space="0"/>
              <w:right w:val="single" w:color="000000" w:sz="4" w:space="0"/>
            </w:tcBorders>
            <w:vAlign w:val="center"/>
          </w:tcPr>
          <w:p w14:paraId="6A9FAE2D">
            <w:pPr>
              <w:widowControl/>
              <w:jc w:val="center"/>
              <w:textAlignment w:val="center"/>
              <w:rPr>
                <w:rFonts w:hint="eastAsia" w:ascii="宋体" w:hAnsi="宋体" w:cs="宋体"/>
                <w:color w:val="000000"/>
                <w:kern w:val="0"/>
                <w:sz w:val="20"/>
                <w:szCs w:val="20"/>
                <w:lang w:bidi="ar"/>
              </w:rPr>
            </w:pPr>
          </w:p>
        </w:tc>
        <w:tc>
          <w:tcPr>
            <w:tcW w:w="900" w:type="dxa"/>
            <w:tcBorders>
              <w:top w:val="single" w:color="000000" w:sz="4" w:space="0"/>
              <w:left w:val="single" w:color="000000" w:sz="4" w:space="0"/>
              <w:bottom w:val="single" w:color="000000" w:sz="4" w:space="0"/>
              <w:right w:val="single" w:color="000000" w:sz="4" w:space="0"/>
            </w:tcBorders>
            <w:vAlign w:val="center"/>
          </w:tcPr>
          <w:p w14:paraId="252FBE05">
            <w:pPr>
              <w:widowControl/>
              <w:jc w:val="center"/>
              <w:textAlignment w:val="center"/>
              <w:rPr>
                <w:rFonts w:hint="eastAsia" w:ascii="宋体" w:hAnsi="宋体" w:cs="宋体"/>
                <w:color w:val="000000"/>
                <w:kern w:val="0"/>
                <w:sz w:val="20"/>
                <w:szCs w:val="20"/>
                <w:lang w:bidi="ar"/>
              </w:rPr>
            </w:pPr>
          </w:p>
        </w:tc>
        <w:tc>
          <w:tcPr>
            <w:tcW w:w="832" w:type="dxa"/>
            <w:tcBorders>
              <w:top w:val="single" w:color="000000" w:sz="4" w:space="0"/>
              <w:left w:val="single" w:color="000000" w:sz="4" w:space="0"/>
              <w:bottom w:val="single" w:color="000000" w:sz="4" w:space="0"/>
              <w:right w:val="single" w:color="000000" w:sz="4" w:space="0"/>
            </w:tcBorders>
            <w:vAlign w:val="center"/>
          </w:tcPr>
          <w:p w14:paraId="79AEF7FD">
            <w:pPr>
              <w:widowControl/>
              <w:jc w:val="center"/>
              <w:textAlignment w:val="center"/>
              <w:rPr>
                <w:rFonts w:hint="eastAsia" w:ascii="宋体" w:hAnsi="宋体" w:cs="宋体"/>
                <w:color w:val="000000"/>
                <w:kern w:val="0"/>
                <w:sz w:val="20"/>
                <w:szCs w:val="20"/>
                <w:lang w:bidi="ar"/>
              </w:rPr>
            </w:pPr>
          </w:p>
        </w:tc>
        <w:tc>
          <w:tcPr>
            <w:tcW w:w="1143" w:type="dxa"/>
            <w:tcBorders>
              <w:top w:val="single" w:color="000000" w:sz="4" w:space="0"/>
              <w:left w:val="single" w:color="000000" w:sz="4" w:space="0"/>
              <w:bottom w:val="single" w:color="000000" w:sz="4" w:space="0"/>
              <w:right w:val="single" w:color="000000" w:sz="4" w:space="0"/>
            </w:tcBorders>
            <w:vAlign w:val="center"/>
          </w:tcPr>
          <w:p w14:paraId="364B59F7">
            <w:pPr>
              <w:widowControl/>
              <w:jc w:val="center"/>
              <w:textAlignment w:val="center"/>
              <w:rPr>
                <w:rFonts w:hint="eastAsia" w:ascii="宋体" w:hAnsi="宋体" w:cs="宋体"/>
                <w:color w:val="000000"/>
                <w:kern w:val="0"/>
                <w:sz w:val="20"/>
                <w:szCs w:val="20"/>
                <w:lang w:bidi="ar"/>
              </w:rPr>
            </w:pPr>
          </w:p>
        </w:tc>
        <w:tc>
          <w:tcPr>
            <w:tcW w:w="763" w:type="dxa"/>
            <w:tcBorders>
              <w:top w:val="single" w:color="000000" w:sz="4" w:space="0"/>
              <w:left w:val="single" w:color="000000" w:sz="4" w:space="0"/>
              <w:bottom w:val="single" w:color="000000" w:sz="4" w:space="0"/>
              <w:right w:val="single" w:color="000000" w:sz="4" w:space="0"/>
            </w:tcBorders>
            <w:vAlign w:val="center"/>
          </w:tcPr>
          <w:p w14:paraId="3A06074E">
            <w:pPr>
              <w:widowControl/>
              <w:jc w:val="center"/>
              <w:textAlignment w:val="center"/>
              <w:rPr>
                <w:rFonts w:hint="eastAsia" w:ascii="宋体" w:hAnsi="宋体" w:cs="宋体"/>
                <w:color w:val="000000"/>
                <w:kern w:val="0"/>
                <w:sz w:val="20"/>
                <w:szCs w:val="20"/>
                <w:lang w:bidi="ar"/>
              </w:rPr>
            </w:pPr>
          </w:p>
        </w:tc>
        <w:tc>
          <w:tcPr>
            <w:tcW w:w="741" w:type="dxa"/>
            <w:tcBorders>
              <w:top w:val="single" w:color="000000" w:sz="4" w:space="0"/>
              <w:left w:val="single" w:color="000000" w:sz="4" w:space="0"/>
              <w:bottom w:val="single" w:color="000000" w:sz="4" w:space="0"/>
              <w:right w:val="single" w:color="000000" w:sz="4" w:space="0"/>
            </w:tcBorders>
            <w:vAlign w:val="center"/>
          </w:tcPr>
          <w:p w14:paraId="75CA8224">
            <w:pPr>
              <w:widowControl/>
              <w:jc w:val="center"/>
              <w:textAlignment w:val="center"/>
              <w:rPr>
                <w:rFonts w:hint="eastAsia" w:ascii="宋体" w:hAnsi="宋体" w:cs="宋体"/>
                <w:color w:val="000000"/>
                <w:kern w:val="0"/>
                <w:sz w:val="20"/>
                <w:szCs w:val="20"/>
                <w:lang w:bidi="ar"/>
              </w:rPr>
            </w:pPr>
          </w:p>
        </w:tc>
      </w:tr>
      <w:tr w14:paraId="028C91CB">
        <w:tblPrEx>
          <w:tblCellMar>
            <w:top w:w="0" w:type="dxa"/>
            <w:left w:w="108" w:type="dxa"/>
            <w:bottom w:w="0" w:type="dxa"/>
            <w:right w:w="108" w:type="dxa"/>
          </w:tblCellMar>
        </w:tblPrEx>
        <w:trPr>
          <w:trHeight w:val="20" w:hRule="atLeast"/>
          <w:jc w:val="center"/>
        </w:trPr>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EAC6C7">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9</w:t>
            </w:r>
          </w:p>
        </w:tc>
        <w:tc>
          <w:tcPr>
            <w:tcW w:w="2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1AFF6D">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宏基因组DNA文库构建试剂盒</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D617E4">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16rxn</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32660F">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盒</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CD46D0">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6</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F32F67">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15500</w:t>
            </w:r>
          </w:p>
        </w:tc>
        <w:tc>
          <w:tcPr>
            <w:tcW w:w="992" w:type="dxa"/>
            <w:tcBorders>
              <w:top w:val="single" w:color="000000" w:sz="4" w:space="0"/>
              <w:left w:val="single" w:color="000000" w:sz="4" w:space="0"/>
              <w:bottom w:val="single" w:color="000000" w:sz="4" w:space="0"/>
              <w:right w:val="single" w:color="000000" w:sz="4" w:space="0"/>
            </w:tcBorders>
            <w:vAlign w:val="center"/>
          </w:tcPr>
          <w:p w14:paraId="1E0C4091">
            <w:pPr>
              <w:widowControl/>
              <w:jc w:val="center"/>
              <w:textAlignment w:val="center"/>
              <w:rPr>
                <w:rFonts w:hint="eastAsia" w:ascii="宋体" w:hAnsi="宋体" w:cs="宋体"/>
                <w:color w:val="000000"/>
                <w:kern w:val="0"/>
                <w:sz w:val="20"/>
                <w:szCs w:val="20"/>
                <w:lang w:bidi="ar"/>
              </w:rPr>
            </w:pPr>
          </w:p>
        </w:tc>
        <w:tc>
          <w:tcPr>
            <w:tcW w:w="1239" w:type="dxa"/>
            <w:tcBorders>
              <w:top w:val="single" w:color="000000" w:sz="4" w:space="0"/>
              <w:left w:val="single" w:color="000000" w:sz="4" w:space="0"/>
              <w:bottom w:val="single" w:color="000000" w:sz="4" w:space="0"/>
              <w:right w:val="single" w:color="000000" w:sz="4" w:space="0"/>
            </w:tcBorders>
            <w:vAlign w:val="center"/>
          </w:tcPr>
          <w:p w14:paraId="0530ED1A">
            <w:pPr>
              <w:widowControl/>
              <w:jc w:val="center"/>
              <w:textAlignment w:val="center"/>
              <w:rPr>
                <w:rFonts w:hint="eastAsia" w:ascii="宋体" w:hAnsi="宋体" w:cs="宋体"/>
                <w:color w:val="000000"/>
                <w:kern w:val="0"/>
                <w:sz w:val="20"/>
                <w:szCs w:val="20"/>
                <w:lang w:bidi="ar"/>
              </w:rPr>
            </w:pPr>
          </w:p>
        </w:tc>
        <w:tc>
          <w:tcPr>
            <w:tcW w:w="900" w:type="dxa"/>
            <w:tcBorders>
              <w:top w:val="single" w:color="000000" w:sz="4" w:space="0"/>
              <w:left w:val="single" w:color="000000" w:sz="4" w:space="0"/>
              <w:bottom w:val="single" w:color="000000" w:sz="4" w:space="0"/>
              <w:right w:val="single" w:color="000000" w:sz="4" w:space="0"/>
            </w:tcBorders>
            <w:vAlign w:val="center"/>
          </w:tcPr>
          <w:p w14:paraId="3F5F6E54">
            <w:pPr>
              <w:widowControl/>
              <w:jc w:val="center"/>
              <w:textAlignment w:val="center"/>
              <w:rPr>
                <w:rFonts w:hint="eastAsia" w:ascii="宋体" w:hAnsi="宋体" w:cs="宋体"/>
                <w:color w:val="000000"/>
                <w:kern w:val="0"/>
                <w:sz w:val="20"/>
                <w:szCs w:val="20"/>
                <w:lang w:bidi="ar"/>
              </w:rPr>
            </w:pPr>
          </w:p>
        </w:tc>
        <w:tc>
          <w:tcPr>
            <w:tcW w:w="832" w:type="dxa"/>
            <w:tcBorders>
              <w:top w:val="single" w:color="000000" w:sz="4" w:space="0"/>
              <w:left w:val="single" w:color="000000" w:sz="4" w:space="0"/>
              <w:bottom w:val="single" w:color="000000" w:sz="4" w:space="0"/>
              <w:right w:val="single" w:color="000000" w:sz="4" w:space="0"/>
            </w:tcBorders>
            <w:vAlign w:val="center"/>
          </w:tcPr>
          <w:p w14:paraId="2AF73AA1">
            <w:pPr>
              <w:widowControl/>
              <w:jc w:val="center"/>
              <w:textAlignment w:val="center"/>
              <w:rPr>
                <w:rFonts w:hint="eastAsia" w:ascii="宋体" w:hAnsi="宋体" w:cs="宋体"/>
                <w:color w:val="000000"/>
                <w:kern w:val="0"/>
                <w:sz w:val="20"/>
                <w:szCs w:val="20"/>
                <w:lang w:bidi="ar"/>
              </w:rPr>
            </w:pPr>
          </w:p>
        </w:tc>
        <w:tc>
          <w:tcPr>
            <w:tcW w:w="1143" w:type="dxa"/>
            <w:tcBorders>
              <w:top w:val="single" w:color="000000" w:sz="4" w:space="0"/>
              <w:left w:val="single" w:color="000000" w:sz="4" w:space="0"/>
              <w:bottom w:val="single" w:color="000000" w:sz="4" w:space="0"/>
              <w:right w:val="single" w:color="000000" w:sz="4" w:space="0"/>
            </w:tcBorders>
            <w:vAlign w:val="center"/>
          </w:tcPr>
          <w:p w14:paraId="38A32AB1">
            <w:pPr>
              <w:widowControl/>
              <w:jc w:val="center"/>
              <w:textAlignment w:val="center"/>
              <w:rPr>
                <w:rFonts w:hint="eastAsia" w:ascii="宋体" w:hAnsi="宋体" w:cs="宋体"/>
                <w:color w:val="000000"/>
                <w:kern w:val="0"/>
                <w:sz w:val="20"/>
                <w:szCs w:val="20"/>
                <w:lang w:bidi="ar"/>
              </w:rPr>
            </w:pPr>
          </w:p>
        </w:tc>
        <w:tc>
          <w:tcPr>
            <w:tcW w:w="763" w:type="dxa"/>
            <w:tcBorders>
              <w:top w:val="single" w:color="000000" w:sz="4" w:space="0"/>
              <w:left w:val="single" w:color="000000" w:sz="4" w:space="0"/>
              <w:bottom w:val="single" w:color="000000" w:sz="4" w:space="0"/>
              <w:right w:val="single" w:color="000000" w:sz="4" w:space="0"/>
            </w:tcBorders>
            <w:vAlign w:val="center"/>
          </w:tcPr>
          <w:p w14:paraId="630BDE08">
            <w:pPr>
              <w:widowControl/>
              <w:jc w:val="center"/>
              <w:textAlignment w:val="center"/>
              <w:rPr>
                <w:rFonts w:hint="eastAsia" w:ascii="宋体" w:hAnsi="宋体" w:cs="宋体"/>
                <w:color w:val="000000"/>
                <w:kern w:val="0"/>
                <w:sz w:val="20"/>
                <w:szCs w:val="20"/>
                <w:lang w:bidi="ar"/>
              </w:rPr>
            </w:pPr>
          </w:p>
        </w:tc>
        <w:tc>
          <w:tcPr>
            <w:tcW w:w="741" w:type="dxa"/>
            <w:tcBorders>
              <w:top w:val="single" w:color="000000" w:sz="4" w:space="0"/>
              <w:left w:val="single" w:color="000000" w:sz="4" w:space="0"/>
              <w:bottom w:val="single" w:color="000000" w:sz="4" w:space="0"/>
              <w:right w:val="single" w:color="000000" w:sz="4" w:space="0"/>
            </w:tcBorders>
            <w:vAlign w:val="center"/>
          </w:tcPr>
          <w:p w14:paraId="0F3B2C3D">
            <w:pPr>
              <w:widowControl/>
              <w:jc w:val="center"/>
              <w:textAlignment w:val="center"/>
              <w:rPr>
                <w:rFonts w:hint="eastAsia" w:ascii="宋体" w:hAnsi="宋体" w:cs="宋体"/>
                <w:color w:val="000000"/>
                <w:kern w:val="0"/>
                <w:sz w:val="20"/>
                <w:szCs w:val="20"/>
                <w:lang w:bidi="ar"/>
              </w:rPr>
            </w:pPr>
          </w:p>
        </w:tc>
      </w:tr>
      <w:tr w14:paraId="05BCFA9E">
        <w:tblPrEx>
          <w:tblCellMar>
            <w:top w:w="0" w:type="dxa"/>
            <w:left w:w="108" w:type="dxa"/>
            <w:bottom w:w="0" w:type="dxa"/>
            <w:right w:w="108" w:type="dxa"/>
          </w:tblCellMar>
        </w:tblPrEx>
        <w:trPr>
          <w:trHeight w:val="20" w:hRule="atLeast"/>
          <w:jc w:val="center"/>
        </w:trPr>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ABB9FA">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10</w:t>
            </w:r>
          </w:p>
        </w:tc>
        <w:tc>
          <w:tcPr>
            <w:tcW w:w="2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90917A">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宏基因组RNA文库构建试剂盒</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A9041B">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16rxn</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D0FA36">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盒</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9B8B07">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5</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957A47">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17500</w:t>
            </w:r>
          </w:p>
        </w:tc>
        <w:tc>
          <w:tcPr>
            <w:tcW w:w="992" w:type="dxa"/>
            <w:tcBorders>
              <w:top w:val="single" w:color="000000" w:sz="4" w:space="0"/>
              <w:left w:val="single" w:color="000000" w:sz="4" w:space="0"/>
              <w:bottom w:val="single" w:color="000000" w:sz="4" w:space="0"/>
              <w:right w:val="single" w:color="000000" w:sz="4" w:space="0"/>
            </w:tcBorders>
            <w:vAlign w:val="center"/>
          </w:tcPr>
          <w:p w14:paraId="20A099F4">
            <w:pPr>
              <w:widowControl/>
              <w:jc w:val="center"/>
              <w:textAlignment w:val="center"/>
              <w:rPr>
                <w:rFonts w:hint="eastAsia" w:ascii="宋体" w:hAnsi="宋体" w:cs="宋体"/>
                <w:color w:val="000000"/>
                <w:kern w:val="0"/>
                <w:sz w:val="20"/>
                <w:szCs w:val="20"/>
                <w:lang w:bidi="ar"/>
              </w:rPr>
            </w:pPr>
          </w:p>
        </w:tc>
        <w:tc>
          <w:tcPr>
            <w:tcW w:w="1239" w:type="dxa"/>
            <w:tcBorders>
              <w:top w:val="single" w:color="000000" w:sz="4" w:space="0"/>
              <w:left w:val="single" w:color="000000" w:sz="4" w:space="0"/>
              <w:bottom w:val="single" w:color="000000" w:sz="4" w:space="0"/>
              <w:right w:val="single" w:color="000000" w:sz="4" w:space="0"/>
            </w:tcBorders>
            <w:vAlign w:val="center"/>
          </w:tcPr>
          <w:p w14:paraId="6E31182B">
            <w:pPr>
              <w:widowControl/>
              <w:jc w:val="center"/>
              <w:textAlignment w:val="center"/>
              <w:rPr>
                <w:rFonts w:hint="eastAsia" w:ascii="宋体" w:hAnsi="宋体" w:cs="宋体"/>
                <w:color w:val="000000"/>
                <w:kern w:val="0"/>
                <w:sz w:val="20"/>
                <w:szCs w:val="20"/>
                <w:lang w:bidi="ar"/>
              </w:rPr>
            </w:pPr>
          </w:p>
        </w:tc>
        <w:tc>
          <w:tcPr>
            <w:tcW w:w="900" w:type="dxa"/>
            <w:tcBorders>
              <w:top w:val="single" w:color="000000" w:sz="4" w:space="0"/>
              <w:left w:val="single" w:color="000000" w:sz="4" w:space="0"/>
              <w:bottom w:val="single" w:color="000000" w:sz="4" w:space="0"/>
              <w:right w:val="single" w:color="000000" w:sz="4" w:space="0"/>
            </w:tcBorders>
            <w:vAlign w:val="center"/>
          </w:tcPr>
          <w:p w14:paraId="56479087">
            <w:pPr>
              <w:widowControl/>
              <w:jc w:val="center"/>
              <w:textAlignment w:val="center"/>
              <w:rPr>
                <w:rFonts w:hint="eastAsia" w:ascii="宋体" w:hAnsi="宋体" w:cs="宋体"/>
                <w:color w:val="000000"/>
                <w:kern w:val="0"/>
                <w:sz w:val="20"/>
                <w:szCs w:val="20"/>
                <w:lang w:bidi="ar"/>
              </w:rPr>
            </w:pPr>
          </w:p>
        </w:tc>
        <w:tc>
          <w:tcPr>
            <w:tcW w:w="832" w:type="dxa"/>
            <w:tcBorders>
              <w:top w:val="single" w:color="000000" w:sz="4" w:space="0"/>
              <w:left w:val="single" w:color="000000" w:sz="4" w:space="0"/>
              <w:bottom w:val="single" w:color="000000" w:sz="4" w:space="0"/>
              <w:right w:val="single" w:color="000000" w:sz="4" w:space="0"/>
            </w:tcBorders>
            <w:vAlign w:val="center"/>
          </w:tcPr>
          <w:p w14:paraId="6921B0BC">
            <w:pPr>
              <w:widowControl/>
              <w:jc w:val="center"/>
              <w:textAlignment w:val="center"/>
              <w:rPr>
                <w:rFonts w:hint="eastAsia" w:ascii="宋体" w:hAnsi="宋体" w:cs="宋体"/>
                <w:color w:val="000000"/>
                <w:kern w:val="0"/>
                <w:sz w:val="20"/>
                <w:szCs w:val="20"/>
                <w:lang w:bidi="ar"/>
              </w:rPr>
            </w:pPr>
          </w:p>
        </w:tc>
        <w:tc>
          <w:tcPr>
            <w:tcW w:w="1143" w:type="dxa"/>
            <w:tcBorders>
              <w:top w:val="single" w:color="000000" w:sz="4" w:space="0"/>
              <w:left w:val="single" w:color="000000" w:sz="4" w:space="0"/>
              <w:bottom w:val="single" w:color="000000" w:sz="4" w:space="0"/>
              <w:right w:val="single" w:color="000000" w:sz="4" w:space="0"/>
            </w:tcBorders>
            <w:vAlign w:val="center"/>
          </w:tcPr>
          <w:p w14:paraId="592D5261">
            <w:pPr>
              <w:widowControl/>
              <w:jc w:val="center"/>
              <w:textAlignment w:val="center"/>
              <w:rPr>
                <w:rFonts w:hint="eastAsia" w:ascii="宋体" w:hAnsi="宋体" w:cs="宋体"/>
                <w:color w:val="000000"/>
                <w:kern w:val="0"/>
                <w:sz w:val="20"/>
                <w:szCs w:val="20"/>
                <w:lang w:bidi="ar"/>
              </w:rPr>
            </w:pPr>
          </w:p>
        </w:tc>
        <w:tc>
          <w:tcPr>
            <w:tcW w:w="763" w:type="dxa"/>
            <w:tcBorders>
              <w:top w:val="single" w:color="000000" w:sz="4" w:space="0"/>
              <w:left w:val="single" w:color="000000" w:sz="4" w:space="0"/>
              <w:bottom w:val="single" w:color="000000" w:sz="4" w:space="0"/>
              <w:right w:val="single" w:color="000000" w:sz="4" w:space="0"/>
            </w:tcBorders>
            <w:vAlign w:val="center"/>
          </w:tcPr>
          <w:p w14:paraId="1DE7FFB5">
            <w:pPr>
              <w:widowControl/>
              <w:jc w:val="center"/>
              <w:textAlignment w:val="center"/>
              <w:rPr>
                <w:rFonts w:hint="eastAsia" w:ascii="宋体" w:hAnsi="宋体" w:cs="宋体"/>
                <w:color w:val="000000"/>
                <w:kern w:val="0"/>
                <w:sz w:val="20"/>
                <w:szCs w:val="20"/>
                <w:lang w:bidi="ar"/>
              </w:rPr>
            </w:pPr>
          </w:p>
        </w:tc>
        <w:tc>
          <w:tcPr>
            <w:tcW w:w="741" w:type="dxa"/>
            <w:tcBorders>
              <w:top w:val="single" w:color="000000" w:sz="4" w:space="0"/>
              <w:left w:val="single" w:color="000000" w:sz="4" w:space="0"/>
              <w:bottom w:val="single" w:color="000000" w:sz="4" w:space="0"/>
              <w:right w:val="single" w:color="000000" w:sz="4" w:space="0"/>
            </w:tcBorders>
            <w:vAlign w:val="center"/>
          </w:tcPr>
          <w:p w14:paraId="77FABC57">
            <w:pPr>
              <w:widowControl/>
              <w:jc w:val="center"/>
              <w:textAlignment w:val="center"/>
              <w:rPr>
                <w:rFonts w:hint="eastAsia" w:ascii="宋体" w:hAnsi="宋体" w:cs="宋体"/>
                <w:color w:val="000000"/>
                <w:kern w:val="0"/>
                <w:sz w:val="20"/>
                <w:szCs w:val="20"/>
                <w:lang w:bidi="ar"/>
              </w:rPr>
            </w:pPr>
          </w:p>
        </w:tc>
      </w:tr>
      <w:tr w14:paraId="740E5697">
        <w:tblPrEx>
          <w:tblCellMar>
            <w:top w:w="0" w:type="dxa"/>
            <w:left w:w="108" w:type="dxa"/>
            <w:bottom w:w="0" w:type="dxa"/>
            <w:right w:w="108" w:type="dxa"/>
          </w:tblCellMar>
        </w:tblPrEx>
        <w:trPr>
          <w:trHeight w:val="20" w:hRule="atLeast"/>
          <w:jc w:val="center"/>
        </w:trPr>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B00814">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11</w:t>
            </w:r>
          </w:p>
        </w:tc>
        <w:tc>
          <w:tcPr>
            <w:tcW w:w="2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E37C0B">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人腺病毒全基因组探针捕获试剂盒</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979E4B">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16rxn</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1CCDBC">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盒</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54FE41">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138EE2">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16800</w:t>
            </w:r>
          </w:p>
        </w:tc>
        <w:tc>
          <w:tcPr>
            <w:tcW w:w="992" w:type="dxa"/>
            <w:tcBorders>
              <w:top w:val="single" w:color="000000" w:sz="4" w:space="0"/>
              <w:left w:val="single" w:color="000000" w:sz="4" w:space="0"/>
              <w:bottom w:val="single" w:color="000000" w:sz="4" w:space="0"/>
              <w:right w:val="single" w:color="000000" w:sz="4" w:space="0"/>
            </w:tcBorders>
            <w:vAlign w:val="center"/>
          </w:tcPr>
          <w:p w14:paraId="7D6D4372">
            <w:pPr>
              <w:widowControl/>
              <w:jc w:val="center"/>
              <w:textAlignment w:val="center"/>
              <w:rPr>
                <w:rFonts w:hint="eastAsia" w:ascii="宋体" w:hAnsi="宋体" w:cs="宋体"/>
                <w:color w:val="000000"/>
                <w:kern w:val="0"/>
                <w:sz w:val="20"/>
                <w:szCs w:val="20"/>
                <w:lang w:bidi="ar"/>
              </w:rPr>
            </w:pPr>
          </w:p>
        </w:tc>
        <w:tc>
          <w:tcPr>
            <w:tcW w:w="1239" w:type="dxa"/>
            <w:tcBorders>
              <w:top w:val="single" w:color="000000" w:sz="4" w:space="0"/>
              <w:left w:val="single" w:color="000000" w:sz="4" w:space="0"/>
              <w:bottom w:val="single" w:color="000000" w:sz="4" w:space="0"/>
              <w:right w:val="single" w:color="000000" w:sz="4" w:space="0"/>
            </w:tcBorders>
            <w:vAlign w:val="center"/>
          </w:tcPr>
          <w:p w14:paraId="760E1687">
            <w:pPr>
              <w:widowControl/>
              <w:jc w:val="center"/>
              <w:textAlignment w:val="center"/>
              <w:rPr>
                <w:rFonts w:hint="eastAsia" w:ascii="宋体" w:hAnsi="宋体" w:cs="宋体"/>
                <w:color w:val="000000"/>
                <w:kern w:val="0"/>
                <w:sz w:val="20"/>
                <w:szCs w:val="20"/>
                <w:lang w:bidi="ar"/>
              </w:rPr>
            </w:pPr>
          </w:p>
        </w:tc>
        <w:tc>
          <w:tcPr>
            <w:tcW w:w="900" w:type="dxa"/>
            <w:tcBorders>
              <w:top w:val="single" w:color="000000" w:sz="4" w:space="0"/>
              <w:left w:val="single" w:color="000000" w:sz="4" w:space="0"/>
              <w:bottom w:val="single" w:color="000000" w:sz="4" w:space="0"/>
              <w:right w:val="single" w:color="000000" w:sz="4" w:space="0"/>
            </w:tcBorders>
            <w:vAlign w:val="center"/>
          </w:tcPr>
          <w:p w14:paraId="0F24C446">
            <w:pPr>
              <w:widowControl/>
              <w:jc w:val="center"/>
              <w:textAlignment w:val="center"/>
              <w:rPr>
                <w:rFonts w:hint="eastAsia" w:ascii="宋体" w:hAnsi="宋体" w:cs="宋体"/>
                <w:color w:val="000000"/>
                <w:kern w:val="0"/>
                <w:sz w:val="20"/>
                <w:szCs w:val="20"/>
                <w:lang w:bidi="ar"/>
              </w:rPr>
            </w:pPr>
          </w:p>
        </w:tc>
        <w:tc>
          <w:tcPr>
            <w:tcW w:w="832" w:type="dxa"/>
            <w:tcBorders>
              <w:top w:val="single" w:color="000000" w:sz="4" w:space="0"/>
              <w:left w:val="single" w:color="000000" w:sz="4" w:space="0"/>
              <w:bottom w:val="single" w:color="000000" w:sz="4" w:space="0"/>
              <w:right w:val="single" w:color="000000" w:sz="4" w:space="0"/>
            </w:tcBorders>
            <w:vAlign w:val="center"/>
          </w:tcPr>
          <w:p w14:paraId="6A402B24">
            <w:pPr>
              <w:widowControl/>
              <w:jc w:val="center"/>
              <w:textAlignment w:val="center"/>
              <w:rPr>
                <w:rFonts w:hint="eastAsia" w:ascii="宋体" w:hAnsi="宋体" w:cs="宋体"/>
                <w:color w:val="000000"/>
                <w:kern w:val="0"/>
                <w:sz w:val="20"/>
                <w:szCs w:val="20"/>
                <w:lang w:bidi="ar"/>
              </w:rPr>
            </w:pPr>
          </w:p>
        </w:tc>
        <w:tc>
          <w:tcPr>
            <w:tcW w:w="1143" w:type="dxa"/>
            <w:tcBorders>
              <w:top w:val="single" w:color="000000" w:sz="4" w:space="0"/>
              <w:left w:val="single" w:color="000000" w:sz="4" w:space="0"/>
              <w:bottom w:val="single" w:color="000000" w:sz="4" w:space="0"/>
              <w:right w:val="single" w:color="000000" w:sz="4" w:space="0"/>
            </w:tcBorders>
            <w:vAlign w:val="center"/>
          </w:tcPr>
          <w:p w14:paraId="412745F2">
            <w:pPr>
              <w:widowControl/>
              <w:jc w:val="center"/>
              <w:textAlignment w:val="center"/>
              <w:rPr>
                <w:rFonts w:hint="eastAsia" w:ascii="宋体" w:hAnsi="宋体" w:cs="宋体"/>
                <w:color w:val="000000"/>
                <w:kern w:val="0"/>
                <w:sz w:val="20"/>
                <w:szCs w:val="20"/>
                <w:lang w:bidi="ar"/>
              </w:rPr>
            </w:pPr>
          </w:p>
        </w:tc>
        <w:tc>
          <w:tcPr>
            <w:tcW w:w="763" w:type="dxa"/>
            <w:tcBorders>
              <w:top w:val="single" w:color="000000" w:sz="4" w:space="0"/>
              <w:left w:val="single" w:color="000000" w:sz="4" w:space="0"/>
              <w:bottom w:val="single" w:color="000000" w:sz="4" w:space="0"/>
              <w:right w:val="single" w:color="000000" w:sz="4" w:space="0"/>
            </w:tcBorders>
            <w:vAlign w:val="center"/>
          </w:tcPr>
          <w:p w14:paraId="06204A3F">
            <w:pPr>
              <w:widowControl/>
              <w:jc w:val="center"/>
              <w:textAlignment w:val="center"/>
              <w:rPr>
                <w:rFonts w:hint="eastAsia" w:ascii="宋体" w:hAnsi="宋体" w:cs="宋体"/>
                <w:color w:val="000000"/>
                <w:kern w:val="0"/>
                <w:sz w:val="20"/>
                <w:szCs w:val="20"/>
                <w:lang w:bidi="ar"/>
              </w:rPr>
            </w:pPr>
          </w:p>
        </w:tc>
        <w:tc>
          <w:tcPr>
            <w:tcW w:w="741" w:type="dxa"/>
            <w:tcBorders>
              <w:top w:val="single" w:color="000000" w:sz="4" w:space="0"/>
              <w:left w:val="single" w:color="000000" w:sz="4" w:space="0"/>
              <w:bottom w:val="single" w:color="000000" w:sz="4" w:space="0"/>
              <w:right w:val="single" w:color="000000" w:sz="4" w:space="0"/>
            </w:tcBorders>
            <w:vAlign w:val="center"/>
          </w:tcPr>
          <w:p w14:paraId="6F0622B1">
            <w:pPr>
              <w:widowControl/>
              <w:jc w:val="center"/>
              <w:textAlignment w:val="center"/>
              <w:rPr>
                <w:rFonts w:hint="eastAsia" w:ascii="宋体" w:hAnsi="宋体" w:cs="宋体"/>
                <w:color w:val="000000"/>
                <w:kern w:val="0"/>
                <w:sz w:val="20"/>
                <w:szCs w:val="20"/>
                <w:lang w:bidi="ar"/>
              </w:rPr>
            </w:pPr>
          </w:p>
        </w:tc>
      </w:tr>
      <w:tr w14:paraId="5324B89C">
        <w:tblPrEx>
          <w:tblCellMar>
            <w:top w:w="0" w:type="dxa"/>
            <w:left w:w="108" w:type="dxa"/>
            <w:bottom w:w="0" w:type="dxa"/>
            <w:right w:w="108" w:type="dxa"/>
          </w:tblCellMar>
        </w:tblPrEx>
        <w:trPr>
          <w:trHeight w:val="20" w:hRule="atLeast"/>
          <w:jc w:val="center"/>
        </w:trPr>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B6CB3F">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12</w:t>
            </w:r>
          </w:p>
        </w:tc>
        <w:tc>
          <w:tcPr>
            <w:tcW w:w="2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B1D397">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呼吸道合胞病毒全基因组探针捕获试剂盒</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CB191F">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16rxn</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DE2A51">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盒</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74178B">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A70737">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16800</w:t>
            </w:r>
          </w:p>
        </w:tc>
        <w:tc>
          <w:tcPr>
            <w:tcW w:w="992" w:type="dxa"/>
            <w:tcBorders>
              <w:top w:val="single" w:color="000000" w:sz="4" w:space="0"/>
              <w:left w:val="single" w:color="000000" w:sz="4" w:space="0"/>
              <w:bottom w:val="single" w:color="000000" w:sz="4" w:space="0"/>
              <w:right w:val="single" w:color="000000" w:sz="4" w:space="0"/>
            </w:tcBorders>
            <w:vAlign w:val="center"/>
          </w:tcPr>
          <w:p w14:paraId="190C8CE5">
            <w:pPr>
              <w:widowControl/>
              <w:jc w:val="center"/>
              <w:textAlignment w:val="center"/>
              <w:rPr>
                <w:rFonts w:hint="eastAsia" w:ascii="宋体" w:hAnsi="宋体" w:cs="宋体"/>
                <w:color w:val="000000"/>
                <w:kern w:val="0"/>
                <w:sz w:val="20"/>
                <w:szCs w:val="20"/>
                <w:lang w:bidi="ar"/>
              </w:rPr>
            </w:pPr>
          </w:p>
        </w:tc>
        <w:tc>
          <w:tcPr>
            <w:tcW w:w="1239" w:type="dxa"/>
            <w:tcBorders>
              <w:top w:val="single" w:color="000000" w:sz="4" w:space="0"/>
              <w:left w:val="single" w:color="000000" w:sz="4" w:space="0"/>
              <w:bottom w:val="single" w:color="000000" w:sz="4" w:space="0"/>
              <w:right w:val="single" w:color="000000" w:sz="4" w:space="0"/>
            </w:tcBorders>
            <w:vAlign w:val="center"/>
          </w:tcPr>
          <w:p w14:paraId="6E0EFAF8">
            <w:pPr>
              <w:widowControl/>
              <w:jc w:val="center"/>
              <w:textAlignment w:val="center"/>
              <w:rPr>
                <w:rFonts w:hint="eastAsia" w:ascii="宋体" w:hAnsi="宋体" w:cs="宋体"/>
                <w:color w:val="000000"/>
                <w:kern w:val="0"/>
                <w:sz w:val="20"/>
                <w:szCs w:val="20"/>
                <w:lang w:bidi="ar"/>
              </w:rPr>
            </w:pPr>
          </w:p>
        </w:tc>
        <w:tc>
          <w:tcPr>
            <w:tcW w:w="900" w:type="dxa"/>
            <w:tcBorders>
              <w:top w:val="single" w:color="000000" w:sz="4" w:space="0"/>
              <w:left w:val="single" w:color="000000" w:sz="4" w:space="0"/>
              <w:bottom w:val="single" w:color="000000" w:sz="4" w:space="0"/>
              <w:right w:val="single" w:color="000000" w:sz="4" w:space="0"/>
            </w:tcBorders>
            <w:vAlign w:val="center"/>
          </w:tcPr>
          <w:p w14:paraId="6158B898">
            <w:pPr>
              <w:widowControl/>
              <w:jc w:val="center"/>
              <w:textAlignment w:val="center"/>
              <w:rPr>
                <w:rFonts w:hint="eastAsia" w:ascii="宋体" w:hAnsi="宋体" w:cs="宋体"/>
                <w:color w:val="000000"/>
                <w:kern w:val="0"/>
                <w:sz w:val="20"/>
                <w:szCs w:val="20"/>
                <w:lang w:bidi="ar"/>
              </w:rPr>
            </w:pPr>
          </w:p>
        </w:tc>
        <w:tc>
          <w:tcPr>
            <w:tcW w:w="832" w:type="dxa"/>
            <w:tcBorders>
              <w:top w:val="single" w:color="000000" w:sz="4" w:space="0"/>
              <w:left w:val="single" w:color="000000" w:sz="4" w:space="0"/>
              <w:bottom w:val="single" w:color="000000" w:sz="4" w:space="0"/>
              <w:right w:val="single" w:color="000000" w:sz="4" w:space="0"/>
            </w:tcBorders>
            <w:vAlign w:val="center"/>
          </w:tcPr>
          <w:p w14:paraId="5F983210">
            <w:pPr>
              <w:widowControl/>
              <w:jc w:val="center"/>
              <w:textAlignment w:val="center"/>
              <w:rPr>
                <w:rFonts w:hint="eastAsia" w:ascii="宋体" w:hAnsi="宋体" w:cs="宋体"/>
                <w:color w:val="000000"/>
                <w:kern w:val="0"/>
                <w:sz w:val="20"/>
                <w:szCs w:val="20"/>
                <w:lang w:bidi="ar"/>
              </w:rPr>
            </w:pPr>
          </w:p>
        </w:tc>
        <w:tc>
          <w:tcPr>
            <w:tcW w:w="1143" w:type="dxa"/>
            <w:tcBorders>
              <w:top w:val="single" w:color="000000" w:sz="4" w:space="0"/>
              <w:left w:val="single" w:color="000000" w:sz="4" w:space="0"/>
              <w:bottom w:val="single" w:color="000000" w:sz="4" w:space="0"/>
              <w:right w:val="single" w:color="000000" w:sz="4" w:space="0"/>
            </w:tcBorders>
            <w:vAlign w:val="center"/>
          </w:tcPr>
          <w:p w14:paraId="1C36292A">
            <w:pPr>
              <w:widowControl/>
              <w:jc w:val="center"/>
              <w:textAlignment w:val="center"/>
              <w:rPr>
                <w:rFonts w:hint="eastAsia" w:ascii="宋体" w:hAnsi="宋体" w:cs="宋体"/>
                <w:color w:val="000000"/>
                <w:kern w:val="0"/>
                <w:sz w:val="20"/>
                <w:szCs w:val="20"/>
                <w:lang w:bidi="ar"/>
              </w:rPr>
            </w:pPr>
          </w:p>
        </w:tc>
        <w:tc>
          <w:tcPr>
            <w:tcW w:w="763" w:type="dxa"/>
            <w:tcBorders>
              <w:top w:val="single" w:color="000000" w:sz="4" w:space="0"/>
              <w:left w:val="single" w:color="000000" w:sz="4" w:space="0"/>
              <w:bottom w:val="single" w:color="000000" w:sz="4" w:space="0"/>
              <w:right w:val="single" w:color="000000" w:sz="4" w:space="0"/>
            </w:tcBorders>
            <w:vAlign w:val="center"/>
          </w:tcPr>
          <w:p w14:paraId="538F4262">
            <w:pPr>
              <w:widowControl/>
              <w:jc w:val="center"/>
              <w:textAlignment w:val="center"/>
              <w:rPr>
                <w:rFonts w:hint="eastAsia" w:ascii="宋体" w:hAnsi="宋体" w:cs="宋体"/>
                <w:color w:val="000000"/>
                <w:kern w:val="0"/>
                <w:sz w:val="20"/>
                <w:szCs w:val="20"/>
                <w:lang w:bidi="ar"/>
              </w:rPr>
            </w:pPr>
          </w:p>
        </w:tc>
        <w:tc>
          <w:tcPr>
            <w:tcW w:w="741" w:type="dxa"/>
            <w:tcBorders>
              <w:top w:val="single" w:color="000000" w:sz="4" w:space="0"/>
              <w:left w:val="single" w:color="000000" w:sz="4" w:space="0"/>
              <w:bottom w:val="single" w:color="000000" w:sz="4" w:space="0"/>
              <w:right w:val="single" w:color="000000" w:sz="4" w:space="0"/>
            </w:tcBorders>
            <w:vAlign w:val="center"/>
          </w:tcPr>
          <w:p w14:paraId="1479F0F5">
            <w:pPr>
              <w:widowControl/>
              <w:jc w:val="center"/>
              <w:textAlignment w:val="center"/>
              <w:rPr>
                <w:rFonts w:hint="eastAsia" w:ascii="宋体" w:hAnsi="宋体" w:cs="宋体"/>
                <w:color w:val="000000"/>
                <w:kern w:val="0"/>
                <w:sz w:val="20"/>
                <w:szCs w:val="20"/>
                <w:lang w:bidi="ar"/>
              </w:rPr>
            </w:pPr>
          </w:p>
        </w:tc>
      </w:tr>
      <w:tr w14:paraId="202D8EBD">
        <w:tblPrEx>
          <w:tblCellMar>
            <w:top w:w="0" w:type="dxa"/>
            <w:left w:w="108" w:type="dxa"/>
            <w:bottom w:w="0" w:type="dxa"/>
            <w:right w:w="108" w:type="dxa"/>
          </w:tblCellMar>
        </w:tblPrEx>
        <w:trPr>
          <w:trHeight w:val="20" w:hRule="atLeast"/>
          <w:jc w:val="center"/>
        </w:trPr>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187732">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13</w:t>
            </w:r>
          </w:p>
        </w:tc>
        <w:tc>
          <w:tcPr>
            <w:tcW w:w="2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EBD039">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鼻病毒全基因组探针捕获试剂盒</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6591E1">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16rxn</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994FC7">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盒</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C32236">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321B8C">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16800</w:t>
            </w:r>
          </w:p>
        </w:tc>
        <w:tc>
          <w:tcPr>
            <w:tcW w:w="992" w:type="dxa"/>
            <w:tcBorders>
              <w:top w:val="single" w:color="000000" w:sz="4" w:space="0"/>
              <w:left w:val="single" w:color="000000" w:sz="4" w:space="0"/>
              <w:bottom w:val="single" w:color="000000" w:sz="4" w:space="0"/>
              <w:right w:val="single" w:color="000000" w:sz="4" w:space="0"/>
            </w:tcBorders>
            <w:vAlign w:val="center"/>
          </w:tcPr>
          <w:p w14:paraId="130E3D75">
            <w:pPr>
              <w:widowControl/>
              <w:jc w:val="center"/>
              <w:textAlignment w:val="center"/>
              <w:rPr>
                <w:rFonts w:hint="eastAsia" w:ascii="宋体" w:hAnsi="宋体" w:cs="宋体"/>
                <w:color w:val="000000"/>
                <w:kern w:val="0"/>
                <w:sz w:val="20"/>
                <w:szCs w:val="20"/>
                <w:lang w:bidi="ar"/>
              </w:rPr>
            </w:pPr>
          </w:p>
        </w:tc>
        <w:tc>
          <w:tcPr>
            <w:tcW w:w="1239" w:type="dxa"/>
            <w:tcBorders>
              <w:top w:val="single" w:color="000000" w:sz="4" w:space="0"/>
              <w:left w:val="single" w:color="000000" w:sz="4" w:space="0"/>
              <w:bottom w:val="single" w:color="000000" w:sz="4" w:space="0"/>
              <w:right w:val="single" w:color="000000" w:sz="4" w:space="0"/>
            </w:tcBorders>
            <w:vAlign w:val="center"/>
          </w:tcPr>
          <w:p w14:paraId="6554F74B">
            <w:pPr>
              <w:widowControl/>
              <w:jc w:val="center"/>
              <w:textAlignment w:val="center"/>
              <w:rPr>
                <w:rFonts w:hint="eastAsia" w:ascii="宋体" w:hAnsi="宋体" w:cs="宋体"/>
                <w:color w:val="000000"/>
                <w:kern w:val="0"/>
                <w:sz w:val="20"/>
                <w:szCs w:val="20"/>
                <w:lang w:bidi="ar"/>
              </w:rPr>
            </w:pPr>
          </w:p>
        </w:tc>
        <w:tc>
          <w:tcPr>
            <w:tcW w:w="900" w:type="dxa"/>
            <w:tcBorders>
              <w:top w:val="single" w:color="000000" w:sz="4" w:space="0"/>
              <w:left w:val="single" w:color="000000" w:sz="4" w:space="0"/>
              <w:bottom w:val="single" w:color="000000" w:sz="4" w:space="0"/>
              <w:right w:val="single" w:color="000000" w:sz="4" w:space="0"/>
            </w:tcBorders>
            <w:vAlign w:val="center"/>
          </w:tcPr>
          <w:p w14:paraId="64D709BF">
            <w:pPr>
              <w:widowControl/>
              <w:jc w:val="center"/>
              <w:textAlignment w:val="center"/>
              <w:rPr>
                <w:rFonts w:hint="eastAsia" w:ascii="宋体" w:hAnsi="宋体" w:cs="宋体"/>
                <w:color w:val="000000"/>
                <w:kern w:val="0"/>
                <w:sz w:val="20"/>
                <w:szCs w:val="20"/>
                <w:lang w:bidi="ar"/>
              </w:rPr>
            </w:pPr>
          </w:p>
        </w:tc>
        <w:tc>
          <w:tcPr>
            <w:tcW w:w="832" w:type="dxa"/>
            <w:tcBorders>
              <w:top w:val="single" w:color="000000" w:sz="4" w:space="0"/>
              <w:left w:val="single" w:color="000000" w:sz="4" w:space="0"/>
              <w:bottom w:val="single" w:color="000000" w:sz="4" w:space="0"/>
              <w:right w:val="single" w:color="000000" w:sz="4" w:space="0"/>
            </w:tcBorders>
            <w:vAlign w:val="center"/>
          </w:tcPr>
          <w:p w14:paraId="05F00A5F">
            <w:pPr>
              <w:widowControl/>
              <w:jc w:val="center"/>
              <w:textAlignment w:val="center"/>
              <w:rPr>
                <w:rFonts w:hint="eastAsia" w:ascii="宋体" w:hAnsi="宋体" w:cs="宋体"/>
                <w:color w:val="000000"/>
                <w:kern w:val="0"/>
                <w:sz w:val="20"/>
                <w:szCs w:val="20"/>
                <w:lang w:bidi="ar"/>
              </w:rPr>
            </w:pPr>
          </w:p>
        </w:tc>
        <w:tc>
          <w:tcPr>
            <w:tcW w:w="1143" w:type="dxa"/>
            <w:tcBorders>
              <w:top w:val="single" w:color="000000" w:sz="4" w:space="0"/>
              <w:left w:val="single" w:color="000000" w:sz="4" w:space="0"/>
              <w:bottom w:val="single" w:color="000000" w:sz="4" w:space="0"/>
              <w:right w:val="single" w:color="000000" w:sz="4" w:space="0"/>
            </w:tcBorders>
            <w:vAlign w:val="center"/>
          </w:tcPr>
          <w:p w14:paraId="068816ED">
            <w:pPr>
              <w:widowControl/>
              <w:jc w:val="center"/>
              <w:textAlignment w:val="center"/>
              <w:rPr>
                <w:rFonts w:hint="eastAsia" w:ascii="宋体" w:hAnsi="宋体" w:cs="宋体"/>
                <w:color w:val="000000"/>
                <w:kern w:val="0"/>
                <w:sz w:val="20"/>
                <w:szCs w:val="20"/>
                <w:lang w:bidi="ar"/>
              </w:rPr>
            </w:pPr>
          </w:p>
        </w:tc>
        <w:tc>
          <w:tcPr>
            <w:tcW w:w="763" w:type="dxa"/>
            <w:tcBorders>
              <w:top w:val="single" w:color="000000" w:sz="4" w:space="0"/>
              <w:left w:val="single" w:color="000000" w:sz="4" w:space="0"/>
              <w:bottom w:val="single" w:color="000000" w:sz="4" w:space="0"/>
              <w:right w:val="single" w:color="000000" w:sz="4" w:space="0"/>
            </w:tcBorders>
            <w:vAlign w:val="center"/>
          </w:tcPr>
          <w:p w14:paraId="4992B980">
            <w:pPr>
              <w:widowControl/>
              <w:jc w:val="center"/>
              <w:textAlignment w:val="center"/>
              <w:rPr>
                <w:rFonts w:hint="eastAsia" w:ascii="宋体" w:hAnsi="宋体" w:cs="宋体"/>
                <w:color w:val="000000"/>
                <w:kern w:val="0"/>
                <w:sz w:val="20"/>
                <w:szCs w:val="20"/>
                <w:lang w:bidi="ar"/>
              </w:rPr>
            </w:pPr>
          </w:p>
        </w:tc>
        <w:tc>
          <w:tcPr>
            <w:tcW w:w="741" w:type="dxa"/>
            <w:tcBorders>
              <w:top w:val="single" w:color="000000" w:sz="4" w:space="0"/>
              <w:left w:val="single" w:color="000000" w:sz="4" w:space="0"/>
              <w:bottom w:val="single" w:color="000000" w:sz="4" w:space="0"/>
              <w:right w:val="single" w:color="000000" w:sz="4" w:space="0"/>
            </w:tcBorders>
            <w:vAlign w:val="center"/>
          </w:tcPr>
          <w:p w14:paraId="23B2D9ED">
            <w:pPr>
              <w:widowControl/>
              <w:jc w:val="center"/>
              <w:textAlignment w:val="center"/>
              <w:rPr>
                <w:rFonts w:hint="eastAsia" w:ascii="宋体" w:hAnsi="宋体" w:cs="宋体"/>
                <w:color w:val="000000"/>
                <w:kern w:val="0"/>
                <w:sz w:val="20"/>
                <w:szCs w:val="20"/>
                <w:lang w:bidi="ar"/>
              </w:rPr>
            </w:pPr>
          </w:p>
        </w:tc>
      </w:tr>
      <w:tr w14:paraId="64D18C9D">
        <w:tblPrEx>
          <w:tblCellMar>
            <w:top w:w="0" w:type="dxa"/>
            <w:left w:w="108" w:type="dxa"/>
            <w:bottom w:w="0" w:type="dxa"/>
            <w:right w:w="108" w:type="dxa"/>
          </w:tblCellMar>
        </w:tblPrEx>
        <w:trPr>
          <w:trHeight w:val="20" w:hRule="atLeast"/>
          <w:jc w:val="center"/>
        </w:trPr>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717D51">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14</w:t>
            </w:r>
          </w:p>
        </w:tc>
        <w:tc>
          <w:tcPr>
            <w:tcW w:w="2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5E8699">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双抗，青链霉素混合液</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B5473B">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100m1</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3C2527">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盒</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3BC339">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681BF6">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475</w:t>
            </w:r>
          </w:p>
        </w:tc>
        <w:tc>
          <w:tcPr>
            <w:tcW w:w="992" w:type="dxa"/>
            <w:tcBorders>
              <w:top w:val="single" w:color="000000" w:sz="4" w:space="0"/>
              <w:left w:val="single" w:color="000000" w:sz="4" w:space="0"/>
              <w:bottom w:val="single" w:color="000000" w:sz="4" w:space="0"/>
              <w:right w:val="single" w:color="000000" w:sz="4" w:space="0"/>
            </w:tcBorders>
            <w:vAlign w:val="center"/>
          </w:tcPr>
          <w:p w14:paraId="7DBDCADD">
            <w:pPr>
              <w:widowControl/>
              <w:jc w:val="center"/>
              <w:textAlignment w:val="center"/>
              <w:rPr>
                <w:rFonts w:hint="eastAsia" w:ascii="宋体" w:hAnsi="宋体" w:cs="宋体"/>
                <w:color w:val="000000"/>
                <w:kern w:val="0"/>
                <w:sz w:val="20"/>
                <w:szCs w:val="20"/>
                <w:lang w:bidi="ar"/>
              </w:rPr>
            </w:pPr>
          </w:p>
        </w:tc>
        <w:tc>
          <w:tcPr>
            <w:tcW w:w="1239" w:type="dxa"/>
            <w:tcBorders>
              <w:top w:val="single" w:color="000000" w:sz="4" w:space="0"/>
              <w:left w:val="single" w:color="000000" w:sz="4" w:space="0"/>
              <w:bottom w:val="single" w:color="000000" w:sz="4" w:space="0"/>
              <w:right w:val="single" w:color="000000" w:sz="4" w:space="0"/>
            </w:tcBorders>
            <w:vAlign w:val="center"/>
          </w:tcPr>
          <w:p w14:paraId="593F5BC8">
            <w:pPr>
              <w:widowControl/>
              <w:jc w:val="center"/>
              <w:textAlignment w:val="center"/>
              <w:rPr>
                <w:rFonts w:hint="eastAsia" w:ascii="宋体" w:hAnsi="宋体" w:cs="宋体"/>
                <w:color w:val="000000"/>
                <w:kern w:val="0"/>
                <w:sz w:val="20"/>
                <w:szCs w:val="20"/>
                <w:lang w:bidi="ar"/>
              </w:rPr>
            </w:pPr>
          </w:p>
        </w:tc>
        <w:tc>
          <w:tcPr>
            <w:tcW w:w="900" w:type="dxa"/>
            <w:tcBorders>
              <w:top w:val="single" w:color="000000" w:sz="4" w:space="0"/>
              <w:left w:val="single" w:color="000000" w:sz="4" w:space="0"/>
              <w:bottom w:val="single" w:color="000000" w:sz="4" w:space="0"/>
              <w:right w:val="single" w:color="000000" w:sz="4" w:space="0"/>
            </w:tcBorders>
            <w:vAlign w:val="center"/>
          </w:tcPr>
          <w:p w14:paraId="58A18421">
            <w:pPr>
              <w:widowControl/>
              <w:jc w:val="center"/>
              <w:textAlignment w:val="center"/>
              <w:rPr>
                <w:rFonts w:hint="eastAsia" w:ascii="宋体" w:hAnsi="宋体" w:cs="宋体"/>
                <w:color w:val="000000"/>
                <w:kern w:val="0"/>
                <w:sz w:val="20"/>
                <w:szCs w:val="20"/>
                <w:lang w:bidi="ar"/>
              </w:rPr>
            </w:pPr>
          </w:p>
        </w:tc>
        <w:tc>
          <w:tcPr>
            <w:tcW w:w="832" w:type="dxa"/>
            <w:tcBorders>
              <w:top w:val="single" w:color="000000" w:sz="4" w:space="0"/>
              <w:left w:val="single" w:color="000000" w:sz="4" w:space="0"/>
              <w:bottom w:val="single" w:color="000000" w:sz="4" w:space="0"/>
              <w:right w:val="single" w:color="000000" w:sz="4" w:space="0"/>
            </w:tcBorders>
            <w:vAlign w:val="center"/>
          </w:tcPr>
          <w:p w14:paraId="1BB17130">
            <w:pPr>
              <w:widowControl/>
              <w:jc w:val="center"/>
              <w:textAlignment w:val="center"/>
              <w:rPr>
                <w:rFonts w:hint="eastAsia" w:ascii="宋体" w:hAnsi="宋体" w:cs="宋体"/>
                <w:color w:val="000000"/>
                <w:kern w:val="0"/>
                <w:sz w:val="20"/>
                <w:szCs w:val="20"/>
                <w:lang w:bidi="ar"/>
              </w:rPr>
            </w:pPr>
          </w:p>
        </w:tc>
        <w:tc>
          <w:tcPr>
            <w:tcW w:w="1143" w:type="dxa"/>
            <w:tcBorders>
              <w:top w:val="single" w:color="000000" w:sz="4" w:space="0"/>
              <w:left w:val="single" w:color="000000" w:sz="4" w:space="0"/>
              <w:bottom w:val="single" w:color="000000" w:sz="4" w:space="0"/>
              <w:right w:val="single" w:color="000000" w:sz="4" w:space="0"/>
            </w:tcBorders>
            <w:vAlign w:val="center"/>
          </w:tcPr>
          <w:p w14:paraId="6E65B86E">
            <w:pPr>
              <w:widowControl/>
              <w:jc w:val="center"/>
              <w:textAlignment w:val="center"/>
              <w:rPr>
                <w:rFonts w:hint="eastAsia" w:ascii="宋体" w:hAnsi="宋体" w:cs="宋体"/>
                <w:color w:val="000000"/>
                <w:kern w:val="0"/>
                <w:sz w:val="20"/>
                <w:szCs w:val="20"/>
                <w:lang w:bidi="ar"/>
              </w:rPr>
            </w:pPr>
          </w:p>
        </w:tc>
        <w:tc>
          <w:tcPr>
            <w:tcW w:w="763" w:type="dxa"/>
            <w:tcBorders>
              <w:top w:val="single" w:color="000000" w:sz="4" w:space="0"/>
              <w:left w:val="single" w:color="000000" w:sz="4" w:space="0"/>
              <w:bottom w:val="single" w:color="000000" w:sz="4" w:space="0"/>
              <w:right w:val="single" w:color="000000" w:sz="4" w:space="0"/>
            </w:tcBorders>
            <w:vAlign w:val="center"/>
          </w:tcPr>
          <w:p w14:paraId="7DD6520E">
            <w:pPr>
              <w:widowControl/>
              <w:jc w:val="center"/>
              <w:textAlignment w:val="center"/>
              <w:rPr>
                <w:rFonts w:hint="eastAsia" w:ascii="宋体" w:hAnsi="宋体" w:cs="宋体"/>
                <w:color w:val="000000"/>
                <w:kern w:val="0"/>
                <w:sz w:val="20"/>
                <w:szCs w:val="20"/>
                <w:lang w:bidi="ar"/>
              </w:rPr>
            </w:pPr>
          </w:p>
        </w:tc>
        <w:tc>
          <w:tcPr>
            <w:tcW w:w="741" w:type="dxa"/>
            <w:tcBorders>
              <w:top w:val="single" w:color="000000" w:sz="4" w:space="0"/>
              <w:left w:val="single" w:color="000000" w:sz="4" w:space="0"/>
              <w:bottom w:val="single" w:color="000000" w:sz="4" w:space="0"/>
              <w:right w:val="single" w:color="000000" w:sz="4" w:space="0"/>
            </w:tcBorders>
            <w:vAlign w:val="center"/>
          </w:tcPr>
          <w:p w14:paraId="403A4090">
            <w:pPr>
              <w:widowControl/>
              <w:jc w:val="center"/>
              <w:textAlignment w:val="center"/>
              <w:rPr>
                <w:rFonts w:hint="eastAsia" w:ascii="宋体" w:hAnsi="宋体" w:cs="宋体"/>
                <w:color w:val="000000"/>
                <w:kern w:val="0"/>
                <w:sz w:val="20"/>
                <w:szCs w:val="20"/>
                <w:lang w:bidi="ar"/>
              </w:rPr>
            </w:pPr>
          </w:p>
        </w:tc>
      </w:tr>
      <w:tr w14:paraId="243A4F67">
        <w:tblPrEx>
          <w:tblCellMar>
            <w:top w:w="0" w:type="dxa"/>
            <w:left w:w="108" w:type="dxa"/>
            <w:bottom w:w="0" w:type="dxa"/>
            <w:right w:w="108" w:type="dxa"/>
          </w:tblCellMar>
        </w:tblPrEx>
        <w:trPr>
          <w:trHeight w:val="20" w:hRule="atLeast"/>
          <w:jc w:val="center"/>
        </w:trPr>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DA42B1">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15</w:t>
            </w:r>
          </w:p>
        </w:tc>
        <w:tc>
          <w:tcPr>
            <w:tcW w:w="2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7CABD6">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微生物检测白底黑格膜</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EDAF3D">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47mm*0.45um 100片/盒</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734707">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盒</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2B9F28">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3</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B7CF93">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560</w:t>
            </w:r>
          </w:p>
        </w:tc>
        <w:tc>
          <w:tcPr>
            <w:tcW w:w="992" w:type="dxa"/>
            <w:tcBorders>
              <w:top w:val="single" w:color="000000" w:sz="4" w:space="0"/>
              <w:left w:val="single" w:color="000000" w:sz="4" w:space="0"/>
              <w:bottom w:val="single" w:color="000000" w:sz="4" w:space="0"/>
              <w:right w:val="single" w:color="000000" w:sz="4" w:space="0"/>
            </w:tcBorders>
            <w:vAlign w:val="center"/>
          </w:tcPr>
          <w:p w14:paraId="456C0B8E">
            <w:pPr>
              <w:widowControl/>
              <w:jc w:val="center"/>
              <w:textAlignment w:val="center"/>
              <w:rPr>
                <w:rFonts w:hint="eastAsia" w:ascii="宋体" w:hAnsi="宋体" w:cs="宋体"/>
                <w:color w:val="000000"/>
                <w:kern w:val="0"/>
                <w:sz w:val="20"/>
                <w:szCs w:val="20"/>
                <w:lang w:bidi="ar"/>
              </w:rPr>
            </w:pPr>
          </w:p>
        </w:tc>
        <w:tc>
          <w:tcPr>
            <w:tcW w:w="1239" w:type="dxa"/>
            <w:tcBorders>
              <w:top w:val="single" w:color="000000" w:sz="4" w:space="0"/>
              <w:left w:val="single" w:color="000000" w:sz="4" w:space="0"/>
              <w:bottom w:val="single" w:color="000000" w:sz="4" w:space="0"/>
              <w:right w:val="single" w:color="000000" w:sz="4" w:space="0"/>
            </w:tcBorders>
            <w:vAlign w:val="center"/>
          </w:tcPr>
          <w:p w14:paraId="6B2F9648">
            <w:pPr>
              <w:widowControl/>
              <w:jc w:val="center"/>
              <w:textAlignment w:val="center"/>
              <w:rPr>
                <w:rFonts w:hint="eastAsia" w:ascii="宋体" w:hAnsi="宋体" w:cs="宋体"/>
                <w:color w:val="000000"/>
                <w:kern w:val="0"/>
                <w:sz w:val="20"/>
                <w:szCs w:val="20"/>
                <w:lang w:bidi="ar"/>
              </w:rPr>
            </w:pPr>
          </w:p>
        </w:tc>
        <w:tc>
          <w:tcPr>
            <w:tcW w:w="900" w:type="dxa"/>
            <w:tcBorders>
              <w:top w:val="single" w:color="000000" w:sz="4" w:space="0"/>
              <w:left w:val="single" w:color="000000" w:sz="4" w:space="0"/>
              <w:bottom w:val="single" w:color="000000" w:sz="4" w:space="0"/>
              <w:right w:val="single" w:color="000000" w:sz="4" w:space="0"/>
            </w:tcBorders>
            <w:vAlign w:val="center"/>
          </w:tcPr>
          <w:p w14:paraId="37617EA2">
            <w:pPr>
              <w:widowControl/>
              <w:jc w:val="center"/>
              <w:textAlignment w:val="center"/>
              <w:rPr>
                <w:rFonts w:hint="eastAsia" w:ascii="宋体" w:hAnsi="宋体" w:cs="宋体"/>
                <w:color w:val="000000"/>
                <w:kern w:val="0"/>
                <w:sz w:val="20"/>
                <w:szCs w:val="20"/>
                <w:lang w:bidi="ar"/>
              </w:rPr>
            </w:pPr>
          </w:p>
        </w:tc>
        <w:tc>
          <w:tcPr>
            <w:tcW w:w="832" w:type="dxa"/>
            <w:tcBorders>
              <w:top w:val="single" w:color="000000" w:sz="4" w:space="0"/>
              <w:left w:val="single" w:color="000000" w:sz="4" w:space="0"/>
              <w:bottom w:val="single" w:color="000000" w:sz="4" w:space="0"/>
              <w:right w:val="single" w:color="000000" w:sz="4" w:space="0"/>
            </w:tcBorders>
            <w:vAlign w:val="center"/>
          </w:tcPr>
          <w:p w14:paraId="5829A958">
            <w:pPr>
              <w:widowControl/>
              <w:jc w:val="center"/>
              <w:textAlignment w:val="center"/>
              <w:rPr>
                <w:rFonts w:hint="eastAsia" w:ascii="宋体" w:hAnsi="宋体" w:cs="宋体"/>
                <w:color w:val="000000"/>
                <w:kern w:val="0"/>
                <w:sz w:val="20"/>
                <w:szCs w:val="20"/>
                <w:lang w:bidi="ar"/>
              </w:rPr>
            </w:pPr>
          </w:p>
        </w:tc>
        <w:tc>
          <w:tcPr>
            <w:tcW w:w="1143" w:type="dxa"/>
            <w:tcBorders>
              <w:top w:val="single" w:color="000000" w:sz="4" w:space="0"/>
              <w:left w:val="single" w:color="000000" w:sz="4" w:space="0"/>
              <w:bottom w:val="single" w:color="000000" w:sz="4" w:space="0"/>
              <w:right w:val="single" w:color="000000" w:sz="4" w:space="0"/>
            </w:tcBorders>
            <w:vAlign w:val="center"/>
          </w:tcPr>
          <w:p w14:paraId="095D25F1">
            <w:pPr>
              <w:widowControl/>
              <w:jc w:val="center"/>
              <w:textAlignment w:val="center"/>
              <w:rPr>
                <w:rFonts w:hint="eastAsia" w:ascii="宋体" w:hAnsi="宋体" w:cs="宋体"/>
                <w:color w:val="000000"/>
                <w:kern w:val="0"/>
                <w:sz w:val="20"/>
                <w:szCs w:val="20"/>
                <w:lang w:bidi="ar"/>
              </w:rPr>
            </w:pPr>
          </w:p>
        </w:tc>
        <w:tc>
          <w:tcPr>
            <w:tcW w:w="763" w:type="dxa"/>
            <w:tcBorders>
              <w:top w:val="single" w:color="000000" w:sz="4" w:space="0"/>
              <w:left w:val="single" w:color="000000" w:sz="4" w:space="0"/>
              <w:bottom w:val="single" w:color="000000" w:sz="4" w:space="0"/>
              <w:right w:val="single" w:color="000000" w:sz="4" w:space="0"/>
            </w:tcBorders>
            <w:vAlign w:val="center"/>
          </w:tcPr>
          <w:p w14:paraId="48269471">
            <w:pPr>
              <w:widowControl/>
              <w:jc w:val="center"/>
              <w:textAlignment w:val="center"/>
              <w:rPr>
                <w:rFonts w:hint="eastAsia" w:ascii="宋体" w:hAnsi="宋体" w:cs="宋体"/>
                <w:color w:val="000000"/>
                <w:kern w:val="0"/>
                <w:sz w:val="20"/>
                <w:szCs w:val="20"/>
                <w:lang w:bidi="ar"/>
              </w:rPr>
            </w:pPr>
          </w:p>
        </w:tc>
        <w:tc>
          <w:tcPr>
            <w:tcW w:w="741" w:type="dxa"/>
            <w:tcBorders>
              <w:top w:val="single" w:color="000000" w:sz="4" w:space="0"/>
              <w:left w:val="single" w:color="000000" w:sz="4" w:space="0"/>
              <w:bottom w:val="single" w:color="000000" w:sz="4" w:space="0"/>
              <w:right w:val="single" w:color="000000" w:sz="4" w:space="0"/>
            </w:tcBorders>
            <w:vAlign w:val="center"/>
          </w:tcPr>
          <w:p w14:paraId="2C31F4F3">
            <w:pPr>
              <w:widowControl/>
              <w:jc w:val="center"/>
              <w:textAlignment w:val="center"/>
              <w:rPr>
                <w:rFonts w:hint="eastAsia" w:ascii="宋体" w:hAnsi="宋体" w:cs="宋体"/>
                <w:color w:val="000000"/>
                <w:kern w:val="0"/>
                <w:sz w:val="20"/>
                <w:szCs w:val="20"/>
                <w:lang w:bidi="ar"/>
              </w:rPr>
            </w:pPr>
          </w:p>
        </w:tc>
      </w:tr>
      <w:tr w14:paraId="7D476FDC">
        <w:tblPrEx>
          <w:tblCellMar>
            <w:top w:w="0" w:type="dxa"/>
            <w:left w:w="108" w:type="dxa"/>
            <w:bottom w:w="0" w:type="dxa"/>
            <w:right w:w="108" w:type="dxa"/>
          </w:tblCellMar>
        </w:tblPrEx>
        <w:trPr>
          <w:trHeight w:val="20" w:hRule="atLeast"/>
          <w:jc w:val="center"/>
        </w:trPr>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45BFFB">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16</w:t>
            </w:r>
          </w:p>
        </w:tc>
        <w:tc>
          <w:tcPr>
            <w:tcW w:w="2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93547E">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悬浮MDCK细胞（即用型）</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13FD24">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10mL/管，25管/包</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2170BD">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管</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5DF355">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400</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EEECE8">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230</w:t>
            </w:r>
          </w:p>
        </w:tc>
        <w:tc>
          <w:tcPr>
            <w:tcW w:w="992" w:type="dxa"/>
            <w:tcBorders>
              <w:top w:val="single" w:color="000000" w:sz="4" w:space="0"/>
              <w:left w:val="single" w:color="000000" w:sz="4" w:space="0"/>
              <w:bottom w:val="single" w:color="000000" w:sz="4" w:space="0"/>
              <w:right w:val="single" w:color="000000" w:sz="4" w:space="0"/>
            </w:tcBorders>
            <w:vAlign w:val="center"/>
          </w:tcPr>
          <w:p w14:paraId="5EF2B8F5">
            <w:pPr>
              <w:widowControl/>
              <w:jc w:val="center"/>
              <w:textAlignment w:val="center"/>
              <w:rPr>
                <w:rFonts w:hint="eastAsia" w:ascii="宋体" w:hAnsi="宋体" w:cs="宋体"/>
                <w:color w:val="000000"/>
                <w:kern w:val="0"/>
                <w:sz w:val="20"/>
                <w:szCs w:val="20"/>
                <w:lang w:bidi="ar"/>
              </w:rPr>
            </w:pPr>
          </w:p>
        </w:tc>
        <w:tc>
          <w:tcPr>
            <w:tcW w:w="1239" w:type="dxa"/>
            <w:tcBorders>
              <w:top w:val="single" w:color="000000" w:sz="4" w:space="0"/>
              <w:left w:val="single" w:color="000000" w:sz="4" w:space="0"/>
              <w:bottom w:val="single" w:color="000000" w:sz="4" w:space="0"/>
              <w:right w:val="single" w:color="000000" w:sz="4" w:space="0"/>
            </w:tcBorders>
            <w:vAlign w:val="center"/>
          </w:tcPr>
          <w:p w14:paraId="3D41D1BE">
            <w:pPr>
              <w:widowControl/>
              <w:jc w:val="center"/>
              <w:textAlignment w:val="center"/>
              <w:rPr>
                <w:rFonts w:hint="eastAsia" w:ascii="宋体" w:hAnsi="宋体" w:cs="宋体"/>
                <w:color w:val="000000"/>
                <w:kern w:val="0"/>
                <w:sz w:val="20"/>
                <w:szCs w:val="20"/>
                <w:lang w:bidi="ar"/>
              </w:rPr>
            </w:pPr>
          </w:p>
        </w:tc>
        <w:tc>
          <w:tcPr>
            <w:tcW w:w="900" w:type="dxa"/>
            <w:tcBorders>
              <w:top w:val="single" w:color="000000" w:sz="4" w:space="0"/>
              <w:left w:val="single" w:color="000000" w:sz="4" w:space="0"/>
              <w:bottom w:val="single" w:color="000000" w:sz="4" w:space="0"/>
              <w:right w:val="single" w:color="000000" w:sz="4" w:space="0"/>
            </w:tcBorders>
            <w:vAlign w:val="center"/>
          </w:tcPr>
          <w:p w14:paraId="078470CD">
            <w:pPr>
              <w:widowControl/>
              <w:jc w:val="center"/>
              <w:textAlignment w:val="center"/>
              <w:rPr>
                <w:rFonts w:hint="eastAsia" w:ascii="宋体" w:hAnsi="宋体" w:cs="宋体"/>
                <w:color w:val="000000"/>
                <w:kern w:val="0"/>
                <w:sz w:val="20"/>
                <w:szCs w:val="20"/>
                <w:lang w:bidi="ar"/>
              </w:rPr>
            </w:pPr>
          </w:p>
        </w:tc>
        <w:tc>
          <w:tcPr>
            <w:tcW w:w="832" w:type="dxa"/>
            <w:tcBorders>
              <w:top w:val="single" w:color="000000" w:sz="4" w:space="0"/>
              <w:left w:val="single" w:color="000000" w:sz="4" w:space="0"/>
              <w:bottom w:val="single" w:color="000000" w:sz="4" w:space="0"/>
              <w:right w:val="single" w:color="000000" w:sz="4" w:space="0"/>
            </w:tcBorders>
            <w:vAlign w:val="center"/>
          </w:tcPr>
          <w:p w14:paraId="1C6EB02B">
            <w:pPr>
              <w:widowControl/>
              <w:jc w:val="center"/>
              <w:textAlignment w:val="center"/>
              <w:rPr>
                <w:rFonts w:hint="eastAsia" w:ascii="宋体" w:hAnsi="宋体" w:cs="宋体"/>
                <w:color w:val="000000"/>
                <w:kern w:val="0"/>
                <w:sz w:val="20"/>
                <w:szCs w:val="20"/>
                <w:lang w:bidi="ar"/>
              </w:rPr>
            </w:pPr>
          </w:p>
        </w:tc>
        <w:tc>
          <w:tcPr>
            <w:tcW w:w="1143" w:type="dxa"/>
            <w:tcBorders>
              <w:top w:val="single" w:color="000000" w:sz="4" w:space="0"/>
              <w:left w:val="single" w:color="000000" w:sz="4" w:space="0"/>
              <w:bottom w:val="single" w:color="000000" w:sz="4" w:space="0"/>
              <w:right w:val="single" w:color="000000" w:sz="4" w:space="0"/>
            </w:tcBorders>
            <w:vAlign w:val="center"/>
          </w:tcPr>
          <w:p w14:paraId="26FC7112">
            <w:pPr>
              <w:widowControl/>
              <w:jc w:val="center"/>
              <w:textAlignment w:val="center"/>
              <w:rPr>
                <w:rFonts w:hint="eastAsia" w:ascii="宋体" w:hAnsi="宋体" w:cs="宋体"/>
                <w:color w:val="000000"/>
                <w:kern w:val="0"/>
                <w:sz w:val="20"/>
                <w:szCs w:val="20"/>
                <w:lang w:bidi="ar"/>
              </w:rPr>
            </w:pPr>
          </w:p>
        </w:tc>
        <w:tc>
          <w:tcPr>
            <w:tcW w:w="763" w:type="dxa"/>
            <w:tcBorders>
              <w:top w:val="single" w:color="000000" w:sz="4" w:space="0"/>
              <w:left w:val="single" w:color="000000" w:sz="4" w:space="0"/>
              <w:bottom w:val="single" w:color="000000" w:sz="4" w:space="0"/>
              <w:right w:val="single" w:color="000000" w:sz="4" w:space="0"/>
            </w:tcBorders>
            <w:vAlign w:val="center"/>
          </w:tcPr>
          <w:p w14:paraId="320C946C">
            <w:pPr>
              <w:widowControl/>
              <w:jc w:val="center"/>
              <w:textAlignment w:val="center"/>
              <w:rPr>
                <w:rFonts w:hint="eastAsia" w:ascii="宋体" w:hAnsi="宋体" w:cs="宋体"/>
                <w:color w:val="000000"/>
                <w:kern w:val="0"/>
                <w:sz w:val="20"/>
                <w:szCs w:val="20"/>
                <w:lang w:bidi="ar"/>
              </w:rPr>
            </w:pPr>
          </w:p>
        </w:tc>
        <w:tc>
          <w:tcPr>
            <w:tcW w:w="741" w:type="dxa"/>
            <w:tcBorders>
              <w:top w:val="single" w:color="000000" w:sz="4" w:space="0"/>
              <w:left w:val="single" w:color="000000" w:sz="4" w:space="0"/>
              <w:bottom w:val="single" w:color="000000" w:sz="4" w:space="0"/>
              <w:right w:val="single" w:color="000000" w:sz="4" w:space="0"/>
            </w:tcBorders>
            <w:vAlign w:val="center"/>
          </w:tcPr>
          <w:p w14:paraId="66AE5C24">
            <w:pPr>
              <w:widowControl/>
              <w:jc w:val="center"/>
              <w:textAlignment w:val="center"/>
              <w:rPr>
                <w:rFonts w:hint="eastAsia" w:ascii="宋体" w:hAnsi="宋体" w:cs="宋体"/>
                <w:color w:val="000000"/>
                <w:kern w:val="0"/>
                <w:sz w:val="20"/>
                <w:szCs w:val="20"/>
                <w:lang w:bidi="ar"/>
              </w:rPr>
            </w:pPr>
          </w:p>
        </w:tc>
      </w:tr>
      <w:tr w14:paraId="3EE916B1">
        <w:tblPrEx>
          <w:tblCellMar>
            <w:top w:w="0" w:type="dxa"/>
            <w:left w:w="108" w:type="dxa"/>
            <w:bottom w:w="0" w:type="dxa"/>
            <w:right w:w="108" w:type="dxa"/>
          </w:tblCellMar>
        </w:tblPrEx>
        <w:trPr>
          <w:trHeight w:val="20" w:hRule="atLeast"/>
          <w:jc w:val="center"/>
        </w:trPr>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E6FEBB">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17</w:t>
            </w:r>
          </w:p>
        </w:tc>
        <w:tc>
          <w:tcPr>
            <w:tcW w:w="2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813CEF">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鸡胚</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94CB89">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SPF</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EA1422">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个</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BFF7BA">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400</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7BE8A7">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25</w:t>
            </w:r>
          </w:p>
        </w:tc>
        <w:tc>
          <w:tcPr>
            <w:tcW w:w="992" w:type="dxa"/>
            <w:tcBorders>
              <w:top w:val="single" w:color="000000" w:sz="4" w:space="0"/>
              <w:left w:val="single" w:color="000000" w:sz="4" w:space="0"/>
              <w:bottom w:val="single" w:color="000000" w:sz="4" w:space="0"/>
              <w:right w:val="single" w:color="000000" w:sz="4" w:space="0"/>
            </w:tcBorders>
            <w:vAlign w:val="center"/>
          </w:tcPr>
          <w:p w14:paraId="576B115F">
            <w:pPr>
              <w:widowControl/>
              <w:jc w:val="center"/>
              <w:textAlignment w:val="center"/>
              <w:rPr>
                <w:rFonts w:hint="eastAsia" w:ascii="宋体" w:hAnsi="宋体" w:cs="宋体"/>
                <w:color w:val="000000"/>
                <w:kern w:val="0"/>
                <w:sz w:val="20"/>
                <w:szCs w:val="20"/>
                <w:lang w:bidi="ar"/>
              </w:rPr>
            </w:pPr>
          </w:p>
        </w:tc>
        <w:tc>
          <w:tcPr>
            <w:tcW w:w="1239" w:type="dxa"/>
            <w:tcBorders>
              <w:top w:val="single" w:color="000000" w:sz="4" w:space="0"/>
              <w:left w:val="single" w:color="000000" w:sz="4" w:space="0"/>
              <w:bottom w:val="single" w:color="000000" w:sz="4" w:space="0"/>
              <w:right w:val="single" w:color="000000" w:sz="4" w:space="0"/>
            </w:tcBorders>
            <w:vAlign w:val="center"/>
          </w:tcPr>
          <w:p w14:paraId="0A45583A">
            <w:pPr>
              <w:widowControl/>
              <w:jc w:val="center"/>
              <w:textAlignment w:val="center"/>
              <w:rPr>
                <w:rFonts w:hint="eastAsia" w:ascii="宋体" w:hAnsi="宋体" w:cs="宋体"/>
                <w:color w:val="000000"/>
                <w:kern w:val="0"/>
                <w:sz w:val="20"/>
                <w:szCs w:val="20"/>
                <w:lang w:bidi="ar"/>
              </w:rPr>
            </w:pPr>
          </w:p>
        </w:tc>
        <w:tc>
          <w:tcPr>
            <w:tcW w:w="900" w:type="dxa"/>
            <w:tcBorders>
              <w:top w:val="single" w:color="000000" w:sz="4" w:space="0"/>
              <w:left w:val="single" w:color="000000" w:sz="4" w:space="0"/>
              <w:bottom w:val="single" w:color="000000" w:sz="4" w:space="0"/>
              <w:right w:val="single" w:color="000000" w:sz="4" w:space="0"/>
            </w:tcBorders>
            <w:vAlign w:val="center"/>
          </w:tcPr>
          <w:p w14:paraId="00BFCB4C">
            <w:pPr>
              <w:widowControl/>
              <w:jc w:val="center"/>
              <w:textAlignment w:val="center"/>
              <w:rPr>
                <w:rFonts w:hint="eastAsia" w:ascii="宋体" w:hAnsi="宋体" w:cs="宋体"/>
                <w:color w:val="000000"/>
                <w:kern w:val="0"/>
                <w:sz w:val="20"/>
                <w:szCs w:val="20"/>
                <w:lang w:bidi="ar"/>
              </w:rPr>
            </w:pPr>
          </w:p>
        </w:tc>
        <w:tc>
          <w:tcPr>
            <w:tcW w:w="832" w:type="dxa"/>
            <w:tcBorders>
              <w:top w:val="single" w:color="000000" w:sz="4" w:space="0"/>
              <w:left w:val="single" w:color="000000" w:sz="4" w:space="0"/>
              <w:bottom w:val="single" w:color="000000" w:sz="4" w:space="0"/>
              <w:right w:val="single" w:color="000000" w:sz="4" w:space="0"/>
            </w:tcBorders>
            <w:vAlign w:val="center"/>
          </w:tcPr>
          <w:p w14:paraId="01CF2767">
            <w:pPr>
              <w:widowControl/>
              <w:jc w:val="center"/>
              <w:textAlignment w:val="center"/>
              <w:rPr>
                <w:rFonts w:hint="eastAsia" w:ascii="宋体" w:hAnsi="宋体" w:cs="宋体"/>
                <w:color w:val="000000"/>
                <w:kern w:val="0"/>
                <w:sz w:val="20"/>
                <w:szCs w:val="20"/>
                <w:lang w:bidi="ar"/>
              </w:rPr>
            </w:pPr>
          </w:p>
        </w:tc>
        <w:tc>
          <w:tcPr>
            <w:tcW w:w="1143" w:type="dxa"/>
            <w:tcBorders>
              <w:top w:val="single" w:color="000000" w:sz="4" w:space="0"/>
              <w:left w:val="single" w:color="000000" w:sz="4" w:space="0"/>
              <w:bottom w:val="single" w:color="000000" w:sz="4" w:space="0"/>
              <w:right w:val="single" w:color="000000" w:sz="4" w:space="0"/>
            </w:tcBorders>
            <w:vAlign w:val="center"/>
          </w:tcPr>
          <w:p w14:paraId="258F23F1">
            <w:pPr>
              <w:widowControl/>
              <w:jc w:val="center"/>
              <w:textAlignment w:val="center"/>
              <w:rPr>
                <w:rFonts w:hint="eastAsia" w:ascii="宋体" w:hAnsi="宋体" w:cs="宋体"/>
                <w:color w:val="000000"/>
                <w:kern w:val="0"/>
                <w:sz w:val="20"/>
                <w:szCs w:val="20"/>
                <w:lang w:bidi="ar"/>
              </w:rPr>
            </w:pPr>
          </w:p>
        </w:tc>
        <w:tc>
          <w:tcPr>
            <w:tcW w:w="763" w:type="dxa"/>
            <w:tcBorders>
              <w:top w:val="single" w:color="000000" w:sz="4" w:space="0"/>
              <w:left w:val="single" w:color="000000" w:sz="4" w:space="0"/>
              <w:bottom w:val="single" w:color="000000" w:sz="4" w:space="0"/>
              <w:right w:val="single" w:color="000000" w:sz="4" w:space="0"/>
            </w:tcBorders>
            <w:vAlign w:val="center"/>
          </w:tcPr>
          <w:p w14:paraId="0B59BEA0">
            <w:pPr>
              <w:widowControl/>
              <w:jc w:val="center"/>
              <w:textAlignment w:val="center"/>
              <w:rPr>
                <w:rFonts w:hint="eastAsia" w:ascii="宋体" w:hAnsi="宋体" w:cs="宋体"/>
                <w:color w:val="000000"/>
                <w:kern w:val="0"/>
                <w:sz w:val="20"/>
                <w:szCs w:val="20"/>
                <w:lang w:bidi="ar"/>
              </w:rPr>
            </w:pPr>
          </w:p>
        </w:tc>
        <w:tc>
          <w:tcPr>
            <w:tcW w:w="741" w:type="dxa"/>
            <w:tcBorders>
              <w:top w:val="single" w:color="000000" w:sz="4" w:space="0"/>
              <w:left w:val="single" w:color="000000" w:sz="4" w:space="0"/>
              <w:bottom w:val="single" w:color="000000" w:sz="4" w:space="0"/>
              <w:right w:val="single" w:color="000000" w:sz="4" w:space="0"/>
            </w:tcBorders>
            <w:vAlign w:val="center"/>
          </w:tcPr>
          <w:p w14:paraId="1C212E13">
            <w:pPr>
              <w:widowControl/>
              <w:jc w:val="center"/>
              <w:textAlignment w:val="center"/>
              <w:rPr>
                <w:rFonts w:hint="eastAsia" w:ascii="宋体" w:hAnsi="宋体" w:cs="宋体"/>
                <w:color w:val="000000"/>
                <w:kern w:val="0"/>
                <w:sz w:val="20"/>
                <w:szCs w:val="20"/>
                <w:lang w:bidi="ar"/>
              </w:rPr>
            </w:pPr>
          </w:p>
        </w:tc>
      </w:tr>
      <w:tr w14:paraId="4B0BBD0D">
        <w:tblPrEx>
          <w:tblCellMar>
            <w:top w:w="0" w:type="dxa"/>
            <w:left w:w="108" w:type="dxa"/>
            <w:bottom w:w="0" w:type="dxa"/>
            <w:right w:w="108" w:type="dxa"/>
          </w:tblCellMar>
        </w:tblPrEx>
        <w:trPr>
          <w:trHeight w:val="20" w:hRule="atLeast"/>
          <w:jc w:val="center"/>
        </w:trPr>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6C8338">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18</w:t>
            </w:r>
          </w:p>
        </w:tc>
        <w:tc>
          <w:tcPr>
            <w:tcW w:w="2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0630B7">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豚鼠血球</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EEE28A">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7502AE">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支</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608081">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8</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980E55">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800</w:t>
            </w:r>
          </w:p>
        </w:tc>
        <w:tc>
          <w:tcPr>
            <w:tcW w:w="992" w:type="dxa"/>
            <w:tcBorders>
              <w:top w:val="single" w:color="000000" w:sz="4" w:space="0"/>
              <w:left w:val="single" w:color="000000" w:sz="4" w:space="0"/>
              <w:bottom w:val="single" w:color="000000" w:sz="4" w:space="0"/>
              <w:right w:val="single" w:color="000000" w:sz="4" w:space="0"/>
            </w:tcBorders>
            <w:vAlign w:val="center"/>
          </w:tcPr>
          <w:p w14:paraId="0A105BFF">
            <w:pPr>
              <w:widowControl/>
              <w:jc w:val="center"/>
              <w:textAlignment w:val="center"/>
              <w:rPr>
                <w:rFonts w:hint="eastAsia" w:ascii="宋体" w:hAnsi="宋体" w:cs="宋体"/>
                <w:color w:val="000000"/>
                <w:kern w:val="0"/>
                <w:sz w:val="20"/>
                <w:szCs w:val="20"/>
                <w:lang w:bidi="ar"/>
              </w:rPr>
            </w:pPr>
          </w:p>
        </w:tc>
        <w:tc>
          <w:tcPr>
            <w:tcW w:w="1239" w:type="dxa"/>
            <w:tcBorders>
              <w:top w:val="single" w:color="000000" w:sz="4" w:space="0"/>
              <w:left w:val="single" w:color="000000" w:sz="4" w:space="0"/>
              <w:bottom w:val="single" w:color="000000" w:sz="4" w:space="0"/>
              <w:right w:val="single" w:color="000000" w:sz="4" w:space="0"/>
            </w:tcBorders>
            <w:vAlign w:val="center"/>
          </w:tcPr>
          <w:p w14:paraId="3BD16574">
            <w:pPr>
              <w:widowControl/>
              <w:jc w:val="center"/>
              <w:textAlignment w:val="center"/>
              <w:rPr>
                <w:rFonts w:hint="eastAsia" w:ascii="宋体" w:hAnsi="宋体" w:cs="宋体"/>
                <w:color w:val="000000"/>
                <w:kern w:val="0"/>
                <w:sz w:val="20"/>
                <w:szCs w:val="20"/>
                <w:lang w:bidi="ar"/>
              </w:rPr>
            </w:pPr>
          </w:p>
        </w:tc>
        <w:tc>
          <w:tcPr>
            <w:tcW w:w="900" w:type="dxa"/>
            <w:tcBorders>
              <w:top w:val="single" w:color="000000" w:sz="4" w:space="0"/>
              <w:left w:val="single" w:color="000000" w:sz="4" w:space="0"/>
              <w:bottom w:val="single" w:color="000000" w:sz="4" w:space="0"/>
              <w:right w:val="single" w:color="000000" w:sz="4" w:space="0"/>
            </w:tcBorders>
            <w:vAlign w:val="center"/>
          </w:tcPr>
          <w:p w14:paraId="100D84F1">
            <w:pPr>
              <w:widowControl/>
              <w:jc w:val="center"/>
              <w:textAlignment w:val="center"/>
              <w:rPr>
                <w:rFonts w:hint="eastAsia" w:ascii="宋体" w:hAnsi="宋体" w:cs="宋体"/>
                <w:color w:val="000000"/>
                <w:kern w:val="0"/>
                <w:sz w:val="20"/>
                <w:szCs w:val="20"/>
                <w:lang w:bidi="ar"/>
              </w:rPr>
            </w:pPr>
          </w:p>
        </w:tc>
        <w:tc>
          <w:tcPr>
            <w:tcW w:w="832" w:type="dxa"/>
            <w:tcBorders>
              <w:top w:val="single" w:color="000000" w:sz="4" w:space="0"/>
              <w:left w:val="single" w:color="000000" w:sz="4" w:space="0"/>
              <w:bottom w:val="single" w:color="000000" w:sz="4" w:space="0"/>
              <w:right w:val="single" w:color="000000" w:sz="4" w:space="0"/>
            </w:tcBorders>
            <w:vAlign w:val="center"/>
          </w:tcPr>
          <w:p w14:paraId="229E2DD0">
            <w:pPr>
              <w:widowControl/>
              <w:jc w:val="center"/>
              <w:textAlignment w:val="center"/>
              <w:rPr>
                <w:rFonts w:hint="eastAsia" w:ascii="宋体" w:hAnsi="宋体" w:cs="宋体"/>
                <w:color w:val="000000"/>
                <w:kern w:val="0"/>
                <w:sz w:val="20"/>
                <w:szCs w:val="20"/>
                <w:lang w:bidi="ar"/>
              </w:rPr>
            </w:pPr>
          </w:p>
        </w:tc>
        <w:tc>
          <w:tcPr>
            <w:tcW w:w="1143" w:type="dxa"/>
            <w:tcBorders>
              <w:top w:val="single" w:color="000000" w:sz="4" w:space="0"/>
              <w:left w:val="single" w:color="000000" w:sz="4" w:space="0"/>
              <w:bottom w:val="single" w:color="000000" w:sz="4" w:space="0"/>
              <w:right w:val="single" w:color="000000" w:sz="4" w:space="0"/>
            </w:tcBorders>
            <w:vAlign w:val="center"/>
          </w:tcPr>
          <w:p w14:paraId="1892385E">
            <w:pPr>
              <w:widowControl/>
              <w:jc w:val="center"/>
              <w:textAlignment w:val="center"/>
              <w:rPr>
                <w:rFonts w:hint="eastAsia" w:ascii="宋体" w:hAnsi="宋体" w:cs="宋体"/>
                <w:color w:val="000000"/>
                <w:kern w:val="0"/>
                <w:sz w:val="20"/>
                <w:szCs w:val="20"/>
                <w:lang w:bidi="ar"/>
              </w:rPr>
            </w:pPr>
          </w:p>
        </w:tc>
        <w:tc>
          <w:tcPr>
            <w:tcW w:w="763" w:type="dxa"/>
            <w:tcBorders>
              <w:top w:val="single" w:color="000000" w:sz="4" w:space="0"/>
              <w:left w:val="single" w:color="000000" w:sz="4" w:space="0"/>
              <w:bottom w:val="single" w:color="000000" w:sz="4" w:space="0"/>
              <w:right w:val="single" w:color="000000" w:sz="4" w:space="0"/>
            </w:tcBorders>
            <w:vAlign w:val="center"/>
          </w:tcPr>
          <w:p w14:paraId="48D5C811">
            <w:pPr>
              <w:widowControl/>
              <w:jc w:val="center"/>
              <w:textAlignment w:val="center"/>
              <w:rPr>
                <w:rFonts w:hint="eastAsia" w:ascii="宋体" w:hAnsi="宋体" w:cs="宋体"/>
                <w:color w:val="000000"/>
                <w:kern w:val="0"/>
                <w:sz w:val="20"/>
                <w:szCs w:val="20"/>
                <w:lang w:bidi="ar"/>
              </w:rPr>
            </w:pPr>
          </w:p>
        </w:tc>
        <w:tc>
          <w:tcPr>
            <w:tcW w:w="741" w:type="dxa"/>
            <w:tcBorders>
              <w:top w:val="single" w:color="000000" w:sz="4" w:space="0"/>
              <w:left w:val="single" w:color="000000" w:sz="4" w:space="0"/>
              <w:bottom w:val="single" w:color="000000" w:sz="4" w:space="0"/>
              <w:right w:val="single" w:color="000000" w:sz="4" w:space="0"/>
            </w:tcBorders>
            <w:vAlign w:val="center"/>
          </w:tcPr>
          <w:p w14:paraId="59EE24F7">
            <w:pPr>
              <w:widowControl/>
              <w:jc w:val="center"/>
              <w:textAlignment w:val="center"/>
              <w:rPr>
                <w:rFonts w:hint="eastAsia" w:ascii="宋体" w:hAnsi="宋体" w:cs="宋体"/>
                <w:color w:val="000000"/>
                <w:kern w:val="0"/>
                <w:sz w:val="20"/>
                <w:szCs w:val="20"/>
                <w:lang w:bidi="ar"/>
              </w:rPr>
            </w:pPr>
          </w:p>
        </w:tc>
      </w:tr>
      <w:tr w14:paraId="0009AD88">
        <w:tblPrEx>
          <w:tblCellMar>
            <w:top w:w="0" w:type="dxa"/>
            <w:left w:w="108" w:type="dxa"/>
            <w:bottom w:w="0" w:type="dxa"/>
            <w:right w:w="108" w:type="dxa"/>
          </w:tblCellMar>
        </w:tblPrEx>
        <w:trPr>
          <w:trHeight w:val="20" w:hRule="atLeast"/>
          <w:jc w:val="center"/>
        </w:trPr>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016FDC">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19</w:t>
            </w:r>
          </w:p>
        </w:tc>
        <w:tc>
          <w:tcPr>
            <w:tcW w:w="2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B8DF0F">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核酸提取试剂盒1</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6133AF">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16*3/盒  20盒/箱</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D72EC3">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箱</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7BE796">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10</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6C2C6B">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9600</w:t>
            </w:r>
          </w:p>
        </w:tc>
        <w:tc>
          <w:tcPr>
            <w:tcW w:w="992" w:type="dxa"/>
            <w:tcBorders>
              <w:top w:val="single" w:color="000000" w:sz="4" w:space="0"/>
              <w:left w:val="single" w:color="000000" w:sz="4" w:space="0"/>
              <w:bottom w:val="single" w:color="000000" w:sz="4" w:space="0"/>
              <w:right w:val="single" w:color="000000" w:sz="4" w:space="0"/>
            </w:tcBorders>
            <w:vAlign w:val="center"/>
          </w:tcPr>
          <w:p w14:paraId="3C69619E">
            <w:pPr>
              <w:widowControl/>
              <w:jc w:val="center"/>
              <w:textAlignment w:val="center"/>
              <w:rPr>
                <w:rFonts w:hint="eastAsia" w:ascii="宋体" w:hAnsi="宋体" w:cs="宋体"/>
                <w:color w:val="000000"/>
                <w:kern w:val="0"/>
                <w:sz w:val="20"/>
                <w:szCs w:val="20"/>
                <w:lang w:bidi="ar"/>
              </w:rPr>
            </w:pPr>
          </w:p>
        </w:tc>
        <w:tc>
          <w:tcPr>
            <w:tcW w:w="1239" w:type="dxa"/>
            <w:tcBorders>
              <w:top w:val="single" w:color="000000" w:sz="4" w:space="0"/>
              <w:left w:val="single" w:color="000000" w:sz="4" w:space="0"/>
              <w:bottom w:val="single" w:color="000000" w:sz="4" w:space="0"/>
              <w:right w:val="single" w:color="000000" w:sz="4" w:space="0"/>
            </w:tcBorders>
            <w:vAlign w:val="center"/>
          </w:tcPr>
          <w:p w14:paraId="5D6B9448">
            <w:pPr>
              <w:widowControl/>
              <w:jc w:val="center"/>
              <w:textAlignment w:val="center"/>
              <w:rPr>
                <w:rFonts w:hint="eastAsia" w:ascii="宋体" w:hAnsi="宋体" w:cs="宋体"/>
                <w:color w:val="000000"/>
                <w:kern w:val="0"/>
                <w:sz w:val="20"/>
                <w:szCs w:val="20"/>
                <w:lang w:bidi="ar"/>
              </w:rPr>
            </w:pPr>
          </w:p>
        </w:tc>
        <w:tc>
          <w:tcPr>
            <w:tcW w:w="900" w:type="dxa"/>
            <w:tcBorders>
              <w:top w:val="single" w:color="000000" w:sz="4" w:space="0"/>
              <w:left w:val="single" w:color="000000" w:sz="4" w:space="0"/>
              <w:bottom w:val="single" w:color="000000" w:sz="4" w:space="0"/>
              <w:right w:val="single" w:color="000000" w:sz="4" w:space="0"/>
            </w:tcBorders>
            <w:vAlign w:val="center"/>
          </w:tcPr>
          <w:p w14:paraId="15F5BE66">
            <w:pPr>
              <w:widowControl/>
              <w:jc w:val="center"/>
              <w:textAlignment w:val="center"/>
              <w:rPr>
                <w:rFonts w:hint="eastAsia" w:ascii="宋体" w:hAnsi="宋体" w:cs="宋体"/>
                <w:color w:val="000000"/>
                <w:kern w:val="0"/>
                <w:sz w:val="20"/>
                <w:szCs w:val="20"/>
                <w:lang w:bidi="ar"/>
              </w:rPr>
            </w:pPr>
          </w:p>
        </w:tc>
        <w:tc>
          <w:tcPr>
            <w:tcW w:w="832" w:type="dxa"/>
            <w:tcBorders>
              <w:top w:val="single" w:color="000000" w:sz="4" w:space="0"/>
              <w:left w:val="single" w:color="000000" w:sz="4" w:space="0"/>
              <w:bottom w:val="single" w:color="000000" w:sz="4" w:space="0"/>
              <w:right w:val="single" w:color="000000" w:sz="4" w:space="0"/>
            </w:tcBorders>
            <w:vAlign w:val="center"/>
          </w:tcPr>
          <w:p w14:paraId="37B251C3">
            <w:pPr>
              <w:widowControl/>
              <w:jc w:val="center"/>
              <w:textAlignment w:val="center"/>
              <w:rPr>
                <w:rFonts w:hint="eastAsia" w:ascii="宋体" w:hAnsi="宋体" w:cs="宋体"/>
                <w:color w:val="000000"/>
                <w:kern w:val="0"/>
                <w:sz w:val="20"/>
                <w:szCs w:val="20"/>
                <w:lang w:bidi="ar"/>
              </w:rPr>
            </w:pPr>
          </w:p>
        </w:tc>
        <w:tc>
          <w:tcPr>
            <w:tcW w:w="1143" w:type="dxa"/>
            <w:tcBorders>
              <w:top w:val="single" w:color="000000" w:sz="4" w:space="0"/>
              <w:left w:val="single" w:color="000000" w:sz="4" w:space="0"/>
              <w:bottom w:val="single" w:color="000000" w:sz="4" w:space="0"/>
              <w:right w:val="single" w:color="000000" w:sz="4" w:space="0"/>
            </w:tcBorders>
            <w:vAlign w:val="center"/>
          </w:tcPr>
          <w:p w14:paraId="7C86538B">
            <w:pPr>
              <w:widowControl/>
              <w:jc w:val="center"/>
              <w:textAlignment w:val="center"/>
              <w:rPr>
                <w:rFonts w:hint="eastAsia" w:ascii="宋体" w:hAnsi="宋体" w:cs="宋体"/>
                <w:color w:val="000000"/>
                <w:kern w:val="0"/>
                <w:sz w:val="20"/>
                <w:szCs w:val="20"/>
                <w:lang w:bidi="ar"/>
              </w:rPr>
            </w:pPr>
          </w:p>
        </w:tc>
        <w:tc>
          <w:tcPr>
            <w:tcW w:w="763" w:type="dxa"/>
            <w:tcBorders>
              <w:top w:val="single" w:color="000000" w:sz="4" w:space="0"/>
              <w:left w:val="single" w:color="000000" w:sz="4" w:space="0"/>
              <w:bottom w:val="single" w:color="000000" w:sz="4" w:space="0"/>
              <w:right w:val="single" w:color="000000" w:sz="4" w:space="0"/>
            </w:tcBorders>
            <w:vAlign w:val="center"/>
          </w:tcPr>
          <w:p w14:paraId="099EFF90">
            <w:pPr>
              <w:widowControl/>
              <w:jc w:val="center"/>
              <w:textAlignment w:val="center"/>
              <w:rPr>
                <w:rFonts w:hint="eastAsia" w:ascii="宋体" w:hAnsi="宋体" w:cs="宋体"/>
                <w:color w:val="000000"/>
                <w:kern w:val="0"/>
                <w:sz w:val="20"/>
                <w:szCs w:val="20"/>
                <w:lang w:bidi="ar"/>
              </w:rPr>
            </w:pPr>
          </w:p>
        </w:tc>
        <w:tc>
          <w:tcPr>
            <w:tcW w:w="741" w:type="dxa"/>
            <w:tcBorders>
              <w:top w:val="single" w:color="000000" w:sz="4" w:space="0"/>
              <w:left w:val="single" w:color="000000" w:sz="4" w:space="0"/>
              <w:bottom w:val="single" w:color="000000" w:sz="4" w:space="0"/>
              <w:right w:val="single" w:color="000000" w:sz="4" w:space="0"/>
            </w:tcBorders>
            <w:vAlign w:val="center"/>
          </w:tcPr>
          <w:p w14:paraId="522BB552">
            <w:pPr>
              <w:widowControl/>
              <w:jc w:val="center"/>
              <w:textAlignment w:val="center"/>
              <w:rPr>
                <w:rFonts w:hint="eastAsia" w:ascii="宋体" w:hAnsi="宋体" w:cs="宋体"/>
                <w:color w:val="000000"/>
                <w:kern w:val="0"/>
                <w:sz w:val="20"/>
                <w:szCs w:val="20"/>
                <w:lang w:bidi="ar"/>
              </w:rPr>
            </w:pPr>
          </w:p>
        </w:tc>
      </w:tr>
      <w:tr w14:paraId="6A6701D9">
        <w:tblPrEx>
          <w:tblCellMar>
            <w:top w:w="0" w:type="dxa"/>
            <w:left w:w="108" w:type="dxa"/>
            <w:bottom w:w="0" w:type="dxa"/>
            <w:right w:w="108" w:type="dxa"/>
          </w:tblCellMar>
        </w:tblPrEx>
        <w:trPr>
          <w:trHeight w:val="20" w:hRule="atLeast"/>
          <w:jc w:val="center"/>
        </w:trPr>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18AE5C">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20</w:t>
            </w:r>
          </w:p>
        </w:tc>
        <w:tc>
          <w:tcPr>
            <w:tcW w:w="2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708C56">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核酸提取试剂盒2</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31F5EB">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6×8/盒 10盒/箱</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B468DD">
            <w:pPr>
              <w:jc w:val="center"/>
              <w:rPr>
                <w:rFonts w:ascii="宋体" w:hAnsi="宋体" w:cs="宋体"/>
                <w:color w:val="000000"/>
                <w:sz w:val="20"/>
                <w:szCs w:val="20"/>
              </w:rPr>
            </w:pP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5347EB">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5</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A4CBB4">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7200</w:t>
            </w:r>
          </w:p>
        </w:tc>
        <w:tc>
          <w:tcPr>
            <w:tcW w:w="992" w:type="dxa"/>
            <w:tcBorders>
              <w:top w:val="single" w:color="000000" w:sz="4" w:space="0"/>
              <w:left w:val="single" w:color="000000" w:sz="4" w:space="0"/>
              <w:bottom w:val="single" w:color="000000" w:sz="4" w:space="0"/>
              <w:right w:val="single" w:color="000000" w:sz="4" w:space="0"/>
            </w:tcBorders>
            <w:vAlign w:val="center"/>
          </w:tcPr>
          <w:p w14:paraId="14459FD7">
            <w:pPr>
              <w:widowControl/>
              <w:jc w:val="center"/>
              <w:textAlignment w:val="center"/>
              <w:rPr>
                <w:rFonts w:hint="eastAsia" w:ascii="宋体" w:hAnsi="宋体" w:cs="宋体"/>
                <w:color w:val="000000"/>
                <w:kern w:val="0"/>
                <w:sz w:val="20"/>
                <w:szCs w:val="20"/>
                <w:lang w:bidi="ar"/>
              </w:rPr>
            </w:pPr>
          </w:p>
        </w:tc>
        <w:tc>
          <w:tcPr>
            <w:tcW w:w="1239" w:type="dxa"/>
            <w:tcBorders>
              <w:top w:val="single" w:color="000000" w:sz="4" w:space="0"/>
              <w:left w:val="single" w:color="000000" w:sz="4" w:space="0"/>
              <w:bottom w:val="single" w:color="000000" w:sz="4" w:space="0"/>
              <w:right w:val="single" w:color="000000" w:sz="4" w:space="0"/>
            </w:tcBorders>
            <w:vAlign w:val="center"/>
          </w:tcPr>
          <w:p w14:paraId="1E94B4FE">
            <w:pPr>
              <w:widowControl/>
              <w:jc w:val="center"/>
              <w:textAlignment w:val="center"/>
              <w:rPr>
                <w:rFonts w:hint="eastAsia" w:ascii="宋体" w:hAnsi="宋体" w:cs="宋体"/>
                <w:color w:val="000000"/>
                <w:kern w:val="0"/>
                <w:sz w:val="20"/>
                <w:szCs w:val="20"/>
                <w:lang w:bidi="ar"/>
              </w:rPr>
            </w:pPr>
          </w:p>
        </w:tc>
        <w:tc>
          <w:tcPr>
            <w:tcW w:w="900" w:type="dxa"/>
            <w:tcBorders>
              <w:top w:val="single" w:color="000000" w:sz="4" w:space="0"/>
              <w:left w:val="single" w:color="000000" w:sz="4" w:space="0"/>
              <w:bottom w:val="single" w:color="000000" w:sz="4" w:space="0"/>
              <w:right w:val="single" w:color="000000" w:sz="4" w:space="0"/>
            </w:tcBorders>
            <w:vAlign w:val="center"/>
          </w:tcPr>
          <w:p w14:paraId="10635BD8">
            <w:pPr>
              <w:widowControl/>
              <w:jc w:val="center"/>
              <w:textAlignment w:val="center"/>
              <w:rPr>
                <w:rFonts w:hint="eastAsia" w:ascii="宋体" w:hAnsi="宋体" w:cs="宋体"/>
                <w:color w:val="000000"/>
                <w:kern w:val="0"/>
                <w:sz w:val="20"/>
                <w:szCs w:val="20"/>
                <w:lang w:bidi="ar"/>
              </w:rPr>
            </w:pPr>
          </w:p>
        </w:tc>
        <w:tc>
          <w:tcPr>
            <w:tcW w:w="832" w:type="dxa"/>
            <w:tcBorders>
              <w:top w:val="single" w:color="000000" w:sz="4" w:space="0"/>
              <w:left w:val="single" w:color="000000" w:sz="4" w:space="0"/>
              <w:bottom w:val="single" w:color="000000" w:sz="4" w:space="0"/>
              <w:right w:val="single" w:color="000000" w:sz="4" w:space="0"/>
            </w:tcBorders>
            <w:vAlign w:val="center"/>
          </w:tcPr>
          <w:p w14:paraId="380F800D">
            <w:pPr>
              <w:widowControl/>
              <w:jc w:val="center"/>
              <w:textAlignment w:val="center"/>
              <w:rPr>
                <w:rFonts w:hint="eastAsia" w:ascii="宋体" w:hAnsi="宋体" w:cs="宋体"/>
                <w:color w:val="000000"/>
                <w:kern w:val="0"/>
                <w:sz w:val="20"/>
                <w:szCs w:val="20"/>
                <w:lang w:bidi="ar"/>
              </w:rPr>
            </w:pPr>
          </w:p>
        </w:tc>
        <w:tc>
          <w:tcPr>
            <w:tcW w:w="1143" w:type="dxa"/>
            <w:tcBorders>
              <w:top w:val="single" w:color="000000" w:sz="4" w:space="0"/>
              <w:left w:val="single" w:color="000000" w:sz="4" w:space="0"/>
              <w:bottom w:val="single" w:color="000000" w:sz="4" w:space="0"/>
              <w:right w:val="single" w:color="000000" w:sz="4" w:space="0"/>
            </w:tcBorders>
            <w:vAlign w:val="center"/>
          </w:tcPr>
          <w:p w14:paraId="4D6538DC">
            <w:pPr>
              <w:widowControl/>
              <w:jc w:val="center"/>
              <w:textAlignment w:val="center"/>
              <w:rPr>
                <w:rFonts w:hint="eastAsia" w:ascii="宋体" w:hAnsi="宋体" w:cs="宋体"/>
                <w:color w:val="000000"/>
                <w:kern w:val="0"/>
                <w:sz w:val="20"/>
                <w:szCs w:val="20"/>
                <w:lang w:bidi="ar"/>
              </w:rPr>
            </w:pPr>
          </w:p>
        </w:tc>
        <w:tc>
          <w:tcPr>
            <w:tcW w:w="763" w:type="dxa"/>
            <w:tcBorders>
              <w:top w:val="single" w:color="000000" w:sz="4" w:space="0"/>
              <w:left w:val="single" w:color="000000" w:sz="4" w:space="0"/>
              <w:bottom w:val="single" w:color="000000" w:sz="4" w:space="0"/>
              <w:right w:val="single" w:color="000000" w:sz="4" w:space="0"/>
            </w:tcBorders>
            <w:vAlign w:val="center"/>
          </w:tcPr>
          <w:p w14:paraId="0C431F19">
            <w:pPr>
              <w:widowControl/>
              <w:jc w:val="center"/>
              <w:textAlignment w:val="center"/>
              <w:rPr>
                <w:rFonts w:hint="eastAsia" w:ascii="宋体" w:hAnsi="宋体" w:cs="宋体"/>
                <w:color w:val="000000"/>
                <w:kern w:val="0"/>
                <w:sz w:val="20"/>
                <w:szCs w:val="20"/>
                <w:lang w:bidi="ar"/>
              </w:rPr>
            </w:pPr>
          </w:p>
        </w:tc>
        <w:tc>
          <w:tcPr>
            <w:tcW w:w="741" w:type="dxa"/>
            <w:tcBorders>
              <w:top w:val="single" w:color="000000" w:sz="4" w:space="0"/>
              <w:left w:val="single" w:color="000000" w:sz="4" w:space="0"/>
              <w:bottom w:val="single" w:color="000000" w:sz="4" w:space="0"/>
              <w:right w:val="single" w:color="000000" w:sz="4" w:space="0"/>
            </w:tcBorders>
            <w:vAlign w:val="center"/>
          </w:tcPr>
          <w:p w14:paraId="51BEA368">
            <w:pPr>
              <w:widowControl/>
              <w:jc w:val="center"/>
              <w:textAlignment w:val="center"/>
              <w:rPr>
                <w:rFonts w:hint="eastAsia" w:ascii="宋体" w:hAnsi="宋体" w:cs="宋体"/>
                <w:color w:val="000000"/>
                <w:kern w:val="0"/>
                <w:sz w:val="20"/>
                <w:szCs w:val="20"/>
                <w:lang w:bidi="ar"/>
              </w:rPr>
            </w:pPr>
          </w:p>
        </w:tc>
      </w:tr>
      <w:tr w14:paraId="119FD829">
        <w:tblPrEx>
          <w:tblCellMar>
            <w:top w:w="0" w:type="dxa"/>
            <w:left w:w="108" w:type="dxa"/>
            <w:bottom w:w="0" w:type="dxa"/>
            <w:right w:w="108" w:type="dxa"/>
          </w:tblCellMar>
        </w:tblPrEx>
        <w:trPr>
          <w:trHeight w:val="20" w:hRule="atLeast"/>
          <w:jc w:val="center"/>
        </w:trPr>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B797E">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21</w:t>
            </w:r>
          </w:p>
        </w:tc>
        <w:tc>
          <w:tcPr>
            <w:tcW w:w="2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CA443C">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腮腺炎病毒核酸检测试剂盒（荧光PCR法）</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09BAC6">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50T</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A2EBF5">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盒</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F41DEF">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7251C3">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1750</w:t>
            </w:r>
          </w:p>
        </w:tc>
        <w:tc>
          <w:tcPr>
            <w:tcW w:w="992" w:type="dxa"/>
            <w:tcBorders>
              <w:top w:val="single" w:color="000000" w:sz="4" w:space="0"/>
              <w:left w:val="single" w:color="000000" w:sz="4" w:space="0"/>
              <w:bottom w:val="single" w:color="000000" w:sz="4" w:space="0"/>
              <w:right w:val="single" w:color="000000" w:sz="4" w:space="0"/>
            </w:tcBorders>
            <w:vAlign w:val="center"/>
          </w:tcPr>
          <w:p w14:paraId="0F2F5A05">
            <w:pPr>
              <w:widowControl/>
              <w:jc w:val="center"/>
              <w:textAlignment w:val="center"/>
              <w:rPr>
                <w:rFonts w:hint="eastAsia" w:ascii="宋体" w:hAnsi="宋体" w:cs="宋体"/>
                <w:color w:val="000000"/>
                <w:kern w:val="0"/>
                <w:sz w:val="20"/>
                <w:szCs w:val="20"/>
                <w:lang w:bidi="ar"/>
              </w:rPr>
            </w:pPr>
          </w:p>
        </w:tc>
        <w:tc>
          <w:tcPr>
            <w:tcW w:w="1239" w:type="dxa"/>
            <w:tcBorders>
              <w:top w:val="single" w:color="000000" w:sz="4" w:space="0"/>
              <w:left w:val="single" w:color="000000" w:sz="4" w:space="0"/>
              <w:bottom w:val="single" w:color="000000" w:sz="4" w:space="0"/>
              <w:right w:val="single" w:color="000000" w:sz="4" w:space="0"/>
            </w:tcBorders>
            <w:vAlign w:val="center"/>
          </w:tcPr>
          <w:p w14:paraId="02E21C0A">
            <w:pPr>
              <w:widowControl/>
              <w:jc w:val="center"/>
              <w:textAlignment w:val="center"/>
              <w:rPr>
                <w:rFonts w:hint="eastAsia" w:ascii="宋体" w:hAnsi="宋体" w:cs="宋体"/>
                <w:color w:val="000000"/>
                <w:kern w:val="0"/>
                <w:sz w:val="20"/>
                <w:szCs w:val="20"/>
                <w:lang w:bidi="ar"/>
              </w:rPr>
            </w:pPr>
          </w:p>
        </w:tc>
        <w:tc>
          <w:tcPr>
            <w:tcW w:w="900" w:type="dxa"/>
            <w:tcBorders>
              <w:top w:val="single" w:color="000000" w:sz="4" w:space="0"/>
              <w:left w:val="single" w:color="000000" w:sz="4" w:space="0"/>
              <w:bottom w:val="single" w:color="000000" w:sz="4" w:space="0"/>
              <w:right w:val="single" w:color="000000" w:sz="4" w:space="0"/>
            </w:tcBorders>
            <w:vAlign w:val="center"/>
          </w:tcPr>
          <w:p w14:paraId="135F6265">
            <w:pPr>
              <w:widowControl/>
              <w:jc w:val="center"/>
              <w:textAlignment w:val="center"/>
              <w:rPr>
                <w:rFonts w:hint="eastAsia" w:ascii="宋体" w:hAnsi="宋体" w:cs="宋体"/>
                <w:color w:val="000000"/>
                <w:kern w:val="0"/>
                <w:sz w:val="20"/>
                <w:szCs w:val="20"/>
                <w:lang w:bidi="ar"/>
              </w:rPr>
            </w:pPr>
          </w:p>
        </w:tc>
        <w:tc>
          <w:tcPr>
            <w:tcW w:w="832" w:type="dxa"/>
            <w:tcBorders>
              <w:top w:val="single" w:color="000000" w:sz="4" w:space="0"/>
              <w:left w:val="single" w:color="000000" w:sz="4" w:space="0"/>
              <w:bottom w:val="single" w:color="000000" w:sz="4" w:space="0"/>
              <w:right w:val="single" w:color="000000" w:sz="4" w:space="0"/>
            </w:tcBorders>
            <w:vAlign w:val="center"/>
          </w:tcPr>
          <w:p w14:paraId="4A69553C">
            <w:pPr>
              <w:widowControl/>
              <w:jc w:val="center"/>
              <w:textAlignment w:val="center"/>
              <w:rPr>
                <w:rFonts w:hint="eastAsia" w:ascii="宋体" w:hAnsi="宋体" w:cs="宋体"/>
                <w:color w:val="000000"/>
                <w:kern w:val="0"/>
                <w:sz w:val="20"/>
                <w:szCs w:val="20"/>
                <w:lang w:bidi="ar"/>
              </w:rPr>
            </w:pPr>
          </w:p>
        </w:tc>
        <w:tc>
          <w:tcPr>
            <w:tcW w:w="1143" w:type="dxa"/>
            <w:tcBorders>
              <w:top w:val="single" w:color="000000" w:sz="4" w:space="0"/>
              <w:left w:val="single" w:color="000000" w:sz="4" w:space="0"/>
              <w:bottom w:val="single" w:color="000000" w:sz="4" w:space="0"/>
              <w:right w:val="single" w:color="000000" w:sz="4" w:space="0"/>
            </w:tcBorders>
            <w:vAlign w:val="center"/>
          </w:tcPr>
          <w:p w14:paraId="42FEB830">
            <w:pPr>
              <w:widowControl/>
              <w:jc w:val="center"/>
              <w:textAlignment w:val="center"/>
              <w:rPr>
                <w:rFonts w:hint="eastAsia" w:ascii="宋体" w:hAnsi="宋体" w:cs="宋体"/>
                <w:color w:val="000000"/>
                <w:kern w:val="0"/>
                <w:sz w:val="20"/>
                <w:szCs w:val="20"/>
                <w:lang w:bidi="ar"/>
              </w:rPr>
            </w:pPr>
          </w:p>
        </w:tc>
        <w:tc>
          <w:tcPr>
            <w:tcW w:w="763" w:type="dxa"/>
            <w:tcBorders>
              <w:top w:val="single" w:color="000000" w:sz="4" w:space="0"/>
              <w:left w:val="single" w:color="000000" w:sz="4" w:space="0"/>
              <w:bottom w:val="single" w:color="000000" w:sz="4" w:space="0"/>
              <w:right w:val="single" w:color="000000" w:sz="4" w:space="0"/>
            </w:tcBorders>
            <w:vAlign w:val="center"/>
          </w:tcPr>
          <w:p w14:paraId="1D347713">
            <w:pPr>
              <w:widowControl/>
              <w:jc w:val="center"/>
              <w:textAlignment w:val="center"/>
              <w:rPr>
                <w:rFonts w:hint="eastAsia" w:ascii="宋体" w:hAnsi="宋体" w:cs="宋体"/>
                <w:color w:val="000000"/>
                <w:kern w:val="0"/>
                <w:sz w:val="20"/>
                <w:szCs w:val="20"/>
                <w:lang w:bidi="ar"/>
              </w:rPr>
            </w:pPr>
          </w:p>
        </w:tc>
        <w:tc>
          <w:tcPr>
            <w:tcW w:w="741" w:type="dxa"/>
            <w:tcBorders>
              <w:top w:val="single" w:color="000000" w:sz="4" w:space="0"/>
              <w:left w:val="single" w:color="000000" w:sz="4" w:space="0"/>
              <w:bottom w:val="single" w:color="000000" w:sz="4" w:space="0"/>
              <w:right w:val="single" w:color="000000" w:sz="4" w:space="0"/>
            </w:tcBorders>
            <w:vAlign w:val="center"/>
          </w:tcPr>
          <w:p w14:paraId="6F4154CF">
            <w:pPr>
              <w:widowControl/>
              <w:jc w:val="center"/>
              <w:textAlignment w:val="center"/>
              <w:rPr>
                <w:rFonts w:hint="eastAsia" w:ascii="宋体" w:hAnsi="宋体" w:cs="宋体"/>
                <w:color w:val="000000"/>
                <w:kern w:val="0"/>
                <w:sz w:val="20"/>
                <w:szCs w:val="20"/>
                <w:lang w:bidi="ar"/>
              </w:rPr>
            </w:pPr>
          </w:p>
        </w:tc>
      </w:tr>
      <w:tr w14:paraId="47FC1AB4">
        <w:tblPrEx>
          <w:tblCellMar>
            <w:top w:w="0" w:type="dxa"/>
            <w:left w:w="108" w:type="dxa"/>
            <w:bottom w:w="0" w:type="dxa"/>
            <w:right w:w="108" w:type="dxa"/>
          </w:tblCellMar>
        </w:tblPrEx>
        <w:trPr>
          <w:trHeight w:val="20" w:hRule="atLeast"/>
          <w:jc w:val="center"/>
        </w:trPr>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408F41">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22</w:t>
            </w:r>
          </w:p>
        </w:tc>
        <w:tc>
          <w:tcPr>
            <w:tcW w:w="2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2BCF8D">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麻疹病毒、风疹病毒和腮腺炎病毒核酸检测试剂盒（荧光PCR法）</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59B200">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50T</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8455E0">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盒</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0FE2B8">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5481C3">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5250</w:t>
            </w:r>
          </w:p>
        </w:tc>
        <w:tc>
          <w:tcPr>
            <w:tcW w:w="992" w:type="dxa"/>
            <w:tcBorders>
              <w:top w:val="single" w:color="000000" w:sz="4" w:space="0"/>
              <w:left w:val="single" w:color="000000" w:sz="4" w:space="0"/>
              <w:bottom w:val="single" w:color="000000" w:sz="4" w:space="0"/>
              <w:right w:val="single" w:color="000000" w:sz="4" w:space="0"/>
            </w:tcBorders>
            <w:vAlign w:val="center"/>
          </w:tcPr>
          <w:p w14:paraId="7AEC828D">
            <w:pPr>
              <w:widowControl/>
              <w:jc w:val="center"/>
              <w:textAlignment w:val="center"/>
              <w:rPr>
                <w:rFonts w:hint="eastAsia" w:ascii="宋体" w:hAnsi="宋体" w:cs="宋体"/>
                <w:color w:val="000000"/>
                <w:kern w:val="0"/>
                <w:sz w:val="20"/>
                <w:szCs w:val="20"/>
                <w:lang w:bidi="ar"/>
              </w:rPr>
            </w:pPr>
          </w:p>
        </w:tc>
        <w:tc>
          <w:tcPr>
            <w:tcW w:w="1239" w:type="dxa"/>
            <w:tcBorders>
              <w:top w:val="single" w:color="000000" w:sz="4" w:space="0"/>
              <w:left w:val="single" w:color="000000" w:sz="4" w:space="0"/>
              <w:bottom w:val="single" w:color="000000" w:sz="4" w:space="0"/>
              <w:right w:val="single" w:color="000000" w:sz="4" w:space="0"/>
            </w:tcBorders>
            <w:vAlign w:val="center"/>
          </w:tcPr>
          <w:p w14:paraId="0BDC659E">
            <w:pPr>
              <w:widowControl/>
              <w:jc w:val="center"/>
              <w:textAlignment w:val="center"/>
              <w:rPr>
                <w:rFonts w:hint="eastAsia" w:ascii="宋体" w:hAnsi="宋体" w:cs="宋体"/>
                <w:color w:val="000000"/>
                <w:kern w:val="0"/>
                <w:sz w:val="20"/>
                <w:szCs w:val="20"/>
                <w:lang w:bidi="ar"/>
              </w:rPr>
            </w:pPr>
          </w:p>
        </w:tc>
        <w:tc>
          <w:tcPr>
            <w:tcW w:w="900" w:type="dxa"/>
            <w:tcBorders>
              <w:top w:val="single" w:color="000000" w:sz="4" w:space="0"/>
              <w:left w:val="single" w:color="000000" w:sz="4" w:space="0"/>
              <w:bottom w:val="single" w:color="000000" w:sz="4" w:space="0"/>
              <w:right w:val="single" w:color="000000" w:sz="4" w:space="0"/>
            </w:tcBorders>
            <w:vAlign w:val="center"/>
          </w:tcPr>
          <w:p w14:paraId="30883AAA">
            <w:pPr>
              <w:widowControl/>
              <w:jc w:val="center"/>
              <w:textAlignment w:val="center"/>
              <w:rPr>
                <w:rFonts w:hint="eastAsia" w:ascii="宋体" w:hAnsi="宋体" w:cs="宋体"/>
                <w:color w:val="000000"/>
                <w:kern w:val="0"/>
                <w:sz w:val="20"/>
                <w:szCs w:val="20"/>
                <w:lang w:bidi="ar"/>
              </w:rPr>
            </w:pPr>
          </w:p>
        </w:tc>
        <w:tc>
          <w:tcPr>
            <w:tcW w:w="832" w:type="dxa"/>
            <w:tcBorders>
              <w:top w:val="single" w:color="000000" w:sz="4" w:space="0"/>
              <w:left w:val="single" w:color="000000" w:sz="4" w:space="0"/>
              <w:bottom w:val="single" w:color="000000" w:sz="4" w:space="0"/>
              <w:right w:val="single" w:color="000000" w:sz="4" w:space="0"/>
            </w:tcBorders>
            <w:vAlign w:val="center"/>
          </w:tcPr>
          <w:p w14:paraId="40200486">
            <w:pPr>
              <w:widowControl/>
              <w:jc w:val="center"/>
              <w:textAlignment w:val="center"/>
              <w:rPr>
                <w:rFonts w:hint="eastAsia" w:ascii="宋体" w:hAnsi="宋体" w:cs="宋体"/>
                <w:color w:val="000000"/>
                <w:kern w:val="0"/>
                <w:sz w:val="20"/>
                <w:szCs w:val="20"/>
                <w:lang w:bidi="ar"/>
              </w:rPr>
            </w:pPr>
          </w:p>
        </w:tc>
        <w:tc>
          <w:tcPr>
            <w:tcW w:w="1143" w:type="dxa"/>
            <w:tcBorders>
              <w:top w:val="single" w:color="000000" w:sz="4" w:space="0"/>
              <w:left w:val="single" w:color="000000" w:sz="4" w:space="0"/>
              <w:bottom w:val="single" w:color="000000" w:sz="4" w:space="0"/>
              <w:right w:val="single" w:color="000000" w:sz="4" w:space="0"/>
            </w:tcBorders>
            <w:vAlign w:val="center"/>
          </w:tcPr>
          <w:p w14:paraId="50831006">
            <w:pPr>
              <w:widowControl/>
              <w:jc w:val="center"/>
              <w:textAlignment w:val="center"/>
              <w:rPr>
                <w:rFonts w:hint="eastAsia" w:ascii="宋体" w:hAnsi="宋体" w:cs="宋体"/>
                <w:color w:val="000000"/>
                <w:kern w:val="0"/>
                <w:sz w:val="20"/>
                <w:szCs w:val="20"/>
                <w:lang w:bidi="ar"/>
              </w:rPr>
            </w:pPr>
          </w:p>
        </w:tc>
        <w:tc>
          <w:tcPr>
            <w:tcW w:w="763" w:type="dxa"/>
            <w:tcBorders>
              <w:top w:val="single" w:color="000000" w:sz="4" w:space="0"/>
              <w:left w:val="single" w:color="000000" w:sz="4" w:space="0"/>
              <w:bottom w:val="single" w:color="000000" w:sz="4" w:space="0"/>
              <w:right w:val="single" w:color="000000" w:sz="4" w:space="0"/>
            </w:tcBorders>
            <w:vAlign w:val="center"/>
          </w:tcPr>
          <w:p w14:paraId="24FF9D35">
            <w:pPr>
              <w:widowControl/>
              <w:jc w:val="center"/>
              <w:textAlignment w:val="center"/>
              <w:rPr>
                <w:rFonts w:hint="eastAsia" w:ascii="宋体" w:hAnsi="宋体" w:cs="宋体"/>
                <w:color w:val="000000"/>
                <w:kern w:val="0"/>
                <w:sz w:val="20"/>
                <w:szCs w:val="20"/>
                <w:lang w:bidi="ar"/>
              </w:rPr>
            </w:pPr>
          </w:p>
        </w:tc>
        <w:tc>
          <w:tcPr>
            <w:tcW w:w="741" w:type="dxa"/>
            <w:tcBorders>
              <w:top w:val="single" w:color="000000" w:sz="4" w:space="0"/>
              <w:left w:val="single" w:color="000000" w:sz="4" w:space="0"/>
              <w:bottom w:val="single" w:color="000000" w:sz="4" w:space="0"/>
              <w:right w:val="single" w:color="000000" w:sz="4" w:space="0"/>
            </w:tcBorders>
            <w:vAlign w:val="center"/>
          </w:tcPr>
          <w:p w14:paraId="0124C821">
            <w:pPr>
              <w:widowControl/>
              <w:jc w:val="center"/>
              <w:textAlignment w:val="center"/>
              <w:rPr>
                <w:rFonts w:hint="eastAsia" w:ascii="宋体" w:hAnsi="宋体" w:cs="宋体"/>
                <w:color w:val="000000"/>
                <w:kern w:val="0"/>
                <w:sz w:val="20"/>
                <w:szCs w:val="20"/>
                <w:lang w:bidi="ar"/>
              </w:rPr>
            </w:pPr>
          </w:p>
        </w:tc>
      </w:tr>
      <w:tr w14:paraId="40634E55">
        <w:tblPrEx>
          <w:tblCellMar>
            <w:top w:w="0" w:type="dxa"/>
            <w:left w:w="108" w:type="dxa"/>
            <w:bottom w:w="0" w:type="dxa"/>
            <w:right w:w="108" w:type="dxa"/>
          </w:tblCellMar>
        </w:tblPrEx>
        <w:trPr>
          <w:trHeight w:val="20" w:hRule="atLeast"/>
          <w:jc w:val="center"/>
        </w:trPr>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E52AB2">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23</w:t>
            </w:r>
          </w:p>
        </w:tc>
        <w:tc>
          <w:tcPr>
            <w:tcW w:w="2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EF318B">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黄热病、寨卡病毒、基孔肯雅热病毒、登革热病毒、疟原虫荧光定量PCR试剂</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BBAF73">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50T</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A89612">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 xml:space="preserve">盒 </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85E808">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07FF5D">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8750</w:t>
            </w:r>
          </w:p>
        </w:tc>
        <w:tc>
          <w:tcPr>
            <w:tcW w:w="992" w:type="dxa"/>
            <w:tcBorders>
              <w:top w:val="single" w:color="000000" w:sz="4" w:space="0"/>
              <w:left w:val="single" w:color="000000" w:sz="4" w:space="0"/>
              <w:bottom w:val="single" w:color="000000" w:sz="4" w:space="0"/>
              <w:right w:val="single" w:color="000000" w:sz="4" w:space="0"/>
            </w:tcBorders>
            <w:vAlign w:val="center"/>
          </w:tcPr>
          <w:p w14:paraId="2197F0FC">
            <w:pPr>
              <w:widowControl/>
              <w:jc w:val="center"/>
              <w:textAlignment w:val="center"/>
              <w:rPr>
                <w:rFonts w:hint="eastAsia" w:ascii="宋体" w:hAnsi="宋体" w:cs="宋体"/>
                <w:color w:val="000000"/>
                <w:kern w:val="0"/>
                <w:sz w:val="20"/>
                <w:szCs w:val="20"/>
                <w:lang w:bidi="ar"/>
              </w:rPr>
            </w:pPr>
          </w:p>
        </w:tc>
        <w:tc>
          <w:tcPr>
            <w:tcW w:w="1239" w:type="dxa"/>
            <w:tcBorders>
              <w:top w:val="single" w:color="000000" w:sz="4" w:space="0"/>
              <w:left w:val="single" w:color="000000" w:sz="4" w:space="0"/>
              <w:bottom w:val="single" w:color="000000" w:sz="4" w:space="0"/>
              <w:right w:val="single" w:color="000000" w:sz="4" w:space="0"/>
            </w:tcBorders>
            <w:vAlign w:val="center"/>
          </w:tcPr>
          <w:p w14:paraId="57E46076">
            <w:pPr>
              <w:widowControl/>
              <w:jc w:val="center"/>
              <w:textAlignment w:val="center"/>
              <w:rPr>
                <w:rFonts w:hint="eastAsia" w:ascii="宋体" w:hAnsi="宋体" w:cs="宋体"/>
                <w:color w:val="000000"/>
                <w:kern w:val="0"/>
                <w:sz w:val="20"/>
                <w:szCs w:val="20"/>
                <w:lang w:bidi="ar"/>
              </w:rPr>
            </w:pPr>
          </w:p>
        </w:tc>
        <w:tc>
          <w:tcPr>
            <w:tcW w:w="900" w:type="dxa"/>
            <w:tcBorders>
              <w:top w:val="single" w:color="000000" w:sz="4" w:space="0"/>
              <w:left w:val="single" w:color="000000" w:sz="4" w:space="0"/>
              <w:bottom w:val="single" w:color="000000" w:sz="4" w:space="0"/>
              <w:right w:val="single" w:color="000000" w:sz="4" w:space="0"/>
            </w:tcBorders>
            <w:vAlign w:val="center"/>
          </w:tcPr>
          <w:p w14:paraId="1A7A9736">
            <w:pPr>
              <w:widowControl/>
              <w:jc w:val="center"/>
              <w:textAlignment w:val="center"/>
              <w:rPr>
                <w:rFonts w:hint="eastAsia" w:ascii="宋体" w:hAnsi="宋体" w:cs="宋体"/>
                <w:color w:val="000000"/>
                <w:kern w:val="0"/>
                <w:sz w:val="20"/>
                <w:szCs w:val="20"/>
                <w:lang w:bidi="ar"/>
              </w:rPr>
            </w:pPr>
          </w:p>
        </w:tc>
        <w:tc>
          <w:tcPr>
            <w:tcW w:w="832" w:type="dxa"/>
            <w:tcBorders>
              <w:top w:val="single" w:color="000000" w:sz="4" w:space="0"/>
              <w:left w:val="single" w:color="000000" w:sz="4" w:space="0"/>
              <w:bottom w:val="single" w:color="000000" w:sz="4" w:space="0"/>
              <w:right w:val="single" w:color="000000" w:sz="4" w:space="0"/>
            </w:tcBorders>
            <w:vAlign w:val="center"/>
          </w:tcPr>
          <w:p w14:paraId="2CBD577D">
            <w:pPr>
              <w:widowControl/>
              <w:jc w:val="center"/>
              <w:textAlignment w:val="center"/>
              <w:rPr>
                <w:rFonts w:hint="eastAsia" w:ascii="宋体" w:hAnsi="宋体" w:cs="宋体"/>
                <w:color w:val="000000"/>
                <w:kern w:val="0"/>
                <w:sz w:val="20"/>
                <w:szCs w:val="20"/>
                <w:lang w:bidi="ar"/>
              </w:rPr>
            </w:pPr>
          </w:p>
        </w:tc>
        <w:tc>
          <w:tcPr>
            <w:tcW w:w="1143" w:type="dxa"/>
            <w:tcBorders>
              <w:top w:val="single" w:color="000000" w:sz="4" w:space="0"/>
              <w:left w:val="single" w:color="000000" w:sz="4" w:space="0"/>
              <w:bottom w:val="single" w:color="000000" w:sz="4" w:space="0"/>
              <w:right w:val="single" w:color="000000" w:sz="4" w:space="0"/>
            </w:tcBorders>
            <w:vAlign w:val="center"/>
          </w:tcPr>
          <w:p w14:paraId="05C5B23E">
            <w:pPr>
              <w:widowControl/>
              <w:jc w:val="center"/>
              <w:textAlignment w:val="center"/>
              <w:rPr>
                <w:rFonts w:hint="eastAsia" w:ascii="宋体" w:hAnsi="宋体" w:cs="宋体"/>
                <w:color w:val="000000"/>
                <w:kern w:val="0"/>
                <w:sz w:val="20"/>
                <w:szCs w:val="20"/>
                <w:lang w:bidi="ar"/>
              </w:rPr>
            </w:pPr>
          </w:p>
        </w:tc>
        <w:tc>
          <w:tcPr>
            <w:tcW w:w="763" w:type="dxa"/>
            <w:tcBorders>
              <w:top w:val="single" w:color="000000" w:sz="4" w:space="0"/>
              <w:left w:val="single" w:color="000000" w:sz="4" w:space="0"/>
              <w:bottom w:val="single" w:color="000000" w:sz="4" w:space="0"/>
              <w:right w:val="single" w:color="000000" w:sz="4" w:space="0"/>
            </w:tcBorders>
            <w:vAlign w:val="center"/>
          </w:tcPr>
          <w:p w14:paraId="64B36BF3">
            <w:pPr>
              <w:widowControl/>
              <w:jc w:val="center"/>
              <w:textAlignment w:val="center"/>
              <w:rPr>
                <w:rFonts w:hint="eastAsia" w:ascii="宋体" w:hAnsi="宋体" w:cs="宋体"/>
                <w:color w:val="000000"/>
                <w:kern w:val="0"/>
                <w:sz w:val="20"/>
                <w:szCs w:val="20"/>
                <w:lang w:bidi="ar"/>
              </w:rPr>
            </w:pPr>
          </w:p>
        </w:tc>
        <w:tc>
          <w:tcPr>
            <w:tcW w:w="741" w:type="dxa"/>
            <w:tcBorders>
              <w:top w:val="single" w:color="000000" w:sz="4" w:space="0"/>
              <w:left w:val="single" w:color="000000" w:sz="4" w:space="0"/>
              <w:bottom w:val="single" w:color="000000" w:sz="4" w:space="0"/>
              <w:right w:val="single" w:color="000000" w:sz="4" w:space="0"/>
            </w:tcBorders>
            <w:vAlign w:val="center"/>
          </w:tcPr>
          <w:p w14:paraId="694D65D0">
            <w:pPr>
              <w:widowControl/>
              <w:jc w:val="center"/>
              <w:textAlignment w:val="center"/>
              <w:rPr>
                <w:rFonts w:hint="eastAsia" w:ascii="宋体" w:hAnsi="宋体" w:cs="宋体"/>
                <w:color w:val="000000"/>
                <w:kern w:val="0"/>
                <w:sz w:val="20"/>
                <w:szCs w:val="20"/>
                <w:lang w:bidi="ar"/>
              </w:rPr>
            </w:pPr>
          </w:p>
        </w:tc>
      </w:tr>
      <w:tr w14:paraId="425B3E2E">
        <w:tblPrEx>
          <w:tblCellMar>
            <w:top w:w="0" w:type="dxa"/>
            <w:left w:w="108" w:type="dxa"/>
            <w:bottom w:w="0" w:type="dxa"/>
            <w:right w:w="108" w:type="dxa"/>
          </w:tblCellMar>
        </w:tblPrEx>
        <w:trPr>
          <w:trHeight w:val="20" w:hRule="atLeast"/>
          <w:jc w:val="center"/>
        </w:trPr>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47A0FB">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24</w:t>
            </w:r>
          </w:p>
        </w:tc>
        <w:tc>
          <w:tcPr>
            <w:tcW w:w="27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5A2B22">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呼吸道多病原样本核酸提取试剂</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116BB2">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48T</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37059F">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盒</w:t>
            </w:r>
          </w:p>
        </w:tc>
        <w:tc>
          <w:tcPr>
            <w:tcW w:w="7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BFFF8E">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80</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9F8F54">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720</w:t>
            </w:r>
          </w:p>
        </w:tc>
        <w:tc>
          <w:tcPr>
            <w:tcW w:w="992" w:type="dxa"/>
            <w:tcBorders>
              <w:top w:val="single" w:color="000000" w:sz="4" w:space="0"/>
              <w:left w:val="single" w:color="000000" w:sz="4" w:space="0"/>
              <w:bottom w:val="single" w:color="000000" w:sz="4" w:space="0"/>
              <w:right w:val="single" w:color="000000" w:sz="4" w:space="0"/>
            </w:tcBorders>
            <w:vAlign w:val="center"/>
          </w:tcPr>
          <w:p w14:paraId="184C75CB">
            <w:pPr>
              <w:widowControl/>
              <w:jc w:val="center"/>
              <w:textAlignment w:val="center"/>
              <w:rPr>
                <w:rFonts w:hint="eastAsia" w:ascii="宋体" w:hAnsi="宋体" w:cs="宋体"/>
                <w:color w:val="000000"/>
                <w:kern w:val="0"/>
                <w:sz w:val="20"/>
                <w:szCs w:val="20"/>
                <w:lang w:bidi="ar"/>
              </w:rPr>
            </w:pPr>
          </w:p>
        </w:tc>
        <w:tc>
          <w:tcPr>
            <w:tcW w:w="1239" w:type="dxa"/>
            <w:tcBorders>
              <w:top w:val="single" w:color="000000" w:sz="4" w:space="0"/>
              <w:left w:val="single" w:color="000000" w:sz="4" w:space="0"/>
              <w:bottom w:val="single" w:color="000000" w:sz="4" w:space="0"/>
              <w:right w:val="single" w:color="000000" w:sz="4" w:space="0"/>
            </w:tcBorders>
            <w:vAlign w:val="center"/>
          </w:tcPr>
          <w:p w14:paraId="41D81ED4">
            <w:pPr>
              <w:widowControl/>
              <w:jc w:val="center"/>
              <w:textAlignment w:val="center"/>
              <w:rPr>
                <w:rFonts w:hint="eastAsia" w:ascii="宋体" w:hAnsi="宋体" w:cs="宋体"/>
                <w:color w:val="000000"/>
                <w:kern w:val="0"/>
                <w:sz w:val="20"/>
                <w:szCs w:val="20"/>
                <w:lang w:bidi="ar"/>
              </w:rPr>
            </w:pPr>
          </w:p>
        </w:tc>
        <w:tc>
          <w:tcPr>
            <w:tcW w:w="900" w:type="dxa"/>
            <w:tcBorders>
              <w:top w:val="single" w:color="000000" w:sz="4" w:space="0"/>
              <w:left w:val="single" w:color="000000" w:sz="4" w:space="0"/>
              <w:bottom w:val="single" w:color="000000" w:sz="4" w:space="0"/>
              <w:right w:val="single" w:color="000000" w:sz="4" w:space="0"/>
            </w:tcBorders>
            <w:vAlign w:val="center"/>
          </w:tcPr>
          <w:p w14:paraId="0FD96A80">
            <w:pPr>
              <w:widowControl/>
              <w:jc w:val="center"/>
              <w:textAlignment w:val="center"/>
              <w:rPr>
                <w:rFonts w:hint="eastAsia" w:ascii="宋体" w:hAnsi="宋体" w:cs="宋体"/>
                <w:color w:val="000000"/>
                <w:kern w:val="0"/>
                <w:sz w:val="20"/>
                <w:szCs w:val="20"/>
                <w:lang w:bidi="ar"/>
              </w:rPr>
            </w:pPr>
          </w:p>
        </w:tc>
        <w:tc>
          <w:tcPr>
            <w:tcW w:w="832" w:type="dxa"/>
            <w:tcBorders>
              <w:top w:val="single" w:color="000000" w:sz="4" w:space="0"/>
              <w:left w:val="single" w:color="000000" w:sz="4" w:space="0"/>
              <w:bottom w:val="single" w:color="000000" w:sz="4" w:space="0"/>
              <w:right w:val="single" w:color="000000" w:sz="4" w:space="0"/>
            </w:tcBorders>
            <w:vAlign w:val="center"/>
          </w:tcPr>
          <w:p w14:paraId="4CA3EEFB">
            <w:pPr>
              <w:widowControl/>
              <w:jc w:val="center"/>
              <w:textAlignment w:val="center"/>
              <w:rPr>
                <w:rFonts w:hint="eastAsia" w:ascii="宋体" w:hAnsi="宋体" w:cs="宋体"/>
                <w:color w:val="000000"/>
                <w:kern w:val="0"/>
                <w:sz w:val="20"/>
                <w:szCs w:val="20"/>
                <w:lang w:bidi="ar"/>
              </w:rPr>
            </w:pPr>
          </w:p>
        </w:tc>
        <w:tc>
          <w:tcPr>
            <w:tcW w:w="1143" w:type="dxa"/>
            <w:tcBorders>
              <w:top w:val="single" w:color="000000" w:sz="4" w:space="0"/>
              <w:left w:val="single" w:color="000000" w:sz="4" w:space="0"/>
              <w:bottom w:val="single" w:color="000000" w:sz="4" w:space="0"/>
              <w:right w:val="single" w:color="000000" w:sz="4" w:space="0"/>
            </w:tcBorders>
            <w:vAlign w:val="center"/>
          </w:tcPr>
          <w:p w14:paraId="4C86AE8C">
            <w:pPr>
              <w:widowControl/>
              <w:jc w:val="center"/>
              <w:textAlignment w:val="center"/>
              <w:rPr>
                <w:rFonts w:hint="eastAsia" w:ascii="宋体" w:hAnsi="宋体" w:cs="宋体"/>
                <w:color w:val="000000"/>
                <w:kern w:val="0"/>
                <w:sz w:val="20"/>
                <w:szCs w:val="20"/>
                <w:lang w:bidi="ar"/>
              </w:rPr>
            </w:pPr>
          </w:p>
        </w:tc>
        <w:tc>
          <w:tcPr>
            <w:tcW w:w="763" w:type="dxa"/>
            <w:tcBorders>
              <w:top w:val="single" w:color="000000" w:sz="4" w:space="0"/>
              <w:left w:val="single" w:color="000000" w:sz="4" w:space="0"/>
              <w:bottom w:val="single" w:color="000000" w:sz="4" w:space="0"/>
              <w:right w:val="single" w:color="000000" w:sz="4" w:space="0"/>
            </w:tcBorders>
            <w:vAlign w:val="center"/>
          </w:tcPr>
          <w:p w14:paraId="11CF9E03">
            <w:pPr>
              <w:widowControl/>
              <w:jc w:val="center"/>
              <w:textAlignment w:val="center"/>
              <w:rPr>
                <w:rFonts w:hint="eastAsia" w:ascii="宋体" w:hAnsi="宋体" w:cs="宋体"/>
                <w:color w:val="000000"/>
                <w:kern w:val="0"/>
                <w:sz w:val="20"/>
                <w:szCs w:val="20"/>
                <w:lang w:bidi="ar"/>
              </w:rPr>
            </w:pPr>
          </w:p>
        </w:tc>
        <w:tc>
          <w:tcPr>
            <w:tcW w:w="741" w:type="dxa"/>
            <w:tcBorders>
              <w:top w:val="single" w:color="000000" w:sz="4" w:space="0"/>
              <w:left w:val="single" w:color="000000" w:sz="4" w:space="0"/>
              <w:bottom w:val="single" w:color="000000" w:sz="4" w:space="0"/>
              <w:right w:val="single" w:color="000000" w:sz="4" w:space="0"/>
            </w:tcBorders>
            <w:vAlign w:val="center"/>
          </w:tcPr>
          <w:p w14:paraId="366944AB">
            <w:pPr>
              <w:widowControl/>
              <w:jc w:val="center"/>
              <w:textAlignment w:val="center"/>
              <w:rPr>
                <w:rFonts w:hint="eastAsia" w:ascii="宋体" w:hAnsi="宋体" w:cs="宋体"/>
                <w:color w:val="000000"/>
                <w:kern w:val="0"/>
                <w:sz w:val="20"/>
                <w:szCs w:val="20"/>
                <w:lang w:bidi="ar"/>
              </w:rPr>
            </w:pPr>
          </w:p>
        </w:tc>
      </w:tr>
      <w:tr w14:paraId="29F191C6">
        <w:tblPrEx>
          <w:tblCellMar>
            <w:top w:w="0" w:type="dxa"/>
            <w:left w:w="108" w:type="dxa"/>
            <w:bottom w:w="0" w:type="dxa"/>
            <w:right w:w="108" w:type="dxa"/>
          </w:tblCellMar>
        </w:tblPrEx>
        <w:trPr>
          <w:trHeight w:val="20" w:hRule="atLeast"/>
          <w:jc w:val="center"/>
        </w:trPr>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4FE626">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25</w:t>
            </w:r>
          </w:p>
        </w:tc>
        <w:tc>
          <w:tcPr>
            <w:tcW w:w="27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F29E0F">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登革病毒</w:t>
            </w:r>
            <w:r>
              <w:rPr>
                <w:rStyle w:val="67"/>
                <w:rFonts w:hint="default"/>
                <w:lang w:bidi="ar"/>
              </w:rPr>
              <w:t>I</w:t>
            </w:r>
            <w:r>
              <w:rPr>
                <w:rFonts w:hint="eastAsia" w:ascii="宋体" w:hAnsi="宋体" w:cs="宋体"/>
                <w:color w:val="000000"/>
                <w:kern w:val="0"/>
                <w:sz w:val="20"/>
                <w:szCs w:val="20"/>
                <w:lang w:bidi="ar"/>
              </w:rPr>
              <w:t>型</w:t>
            </w:r>
            <w:r>
              <w:rPr>
                <w:rStyle w:val="67"/>
                <w:rFonts w:hint="default"/>
                <w:lang w:bidi="ar"/>
              </w:rPr>
              <w:t>/II</w:t>
            </w:r>
            <w:r>
              <w:rPr>
                <w:rFonts w:hint="eastAsia" w:ascii="宋体" w:hAnsi="宋体" w:cs="宋体"/>
                <w:color w:val="000000"/>
                <w:kern w:val="0"/>
                <w:sz w:val="20"/>
                <w:szCs w:val="20"/>
                <w:lang w:bidi="ar"/>
              </w:rPr>
              <w:t>型</w:t>
            </w:r>
            <w:r>
              <w:rPr>
                <w:rStyle w:val="67"/>
                <w:rFonts w:hint="default"/>
                <w:lang w:bidi="ar"/>
              </w:rPr>
              <w:t>/III</w:t>
            </w:r>
            <w:r>
              <w:rPr>
                <w:rFonts w:hint="eastAsia" w:ascii="宋体" w:hAnsi="宋体" w:cs="宋体"/>
                <w:color w:val="000000"/>
                <w:kern w:val="0"/>
                <w:sz w:val="20"/>
                <w:szCs w:val="20"/>
                <w:lang w:bidi="ar"/>
              </w:rPr>
              <w:t>型</w:t>
            </w:r>
            <w:r>
              <w:rPr>
                <w:rStyle w:val="67"/>
                <w:rFonts w:hint="default"/>
                <w:lang w:bidi="ar"/>
              </w:rPr>
              <w:t>/IV</w:t>
            </w:r>
            <w:r>
              <w:rPr>
                <w:rFonts w:hint="eastAsia" w:ascii="宋体" w:hAnsi="宋体" w:cs="宋体"/>
                <w:color w:val="000000"/>
                <w:kern w:val="0"/>
                <w:sz w:val="20"/>
                <w:szCs w:val="20"/>
                <w:lang w:bidi="ar"/>
              </w:rPr>
              <w:t>型</w:t>
            </w:r>
            <w:r>
              <w:rPr>
                <w:rStyle w:val="67"/>
                <w:rFonts w:hint="default"/>
                <w:lang w:bidi="ar"/>
              </w:rPr>
              <w:t>/</w:t>
            </w:r>
            <w:r>
              <w:rPr>
                <w:rFonts w:hint="eastAsia" w:ascii="宋体" w:hAnsi="宋体" w:cs="宋体"/>
                <w:color w:val="000000"/>
                <w:kern w:val="0"/>
                <w:sz w:val="20"/>
                <w:szCs w:val="20"/>
                <w:lang w:bidi="ar"/>
              </w:rPr>
              <w:t>通用型核酸多重实时荧光</w:t>
            </w:r>
            <w:r>
              <w:rPr>
                <w:rStyle w:val="67"/>
                <w:rFonts w:hint="default"/>
                <w:lang w:bidi="ar"/>
              </w:rPr>
              <w:t>PCR</w:t>
            </w:r>
            <w:r>
              <w:rPr>
                <w:rFonts w:hint="eastAsia" w:ascii="宋体" w:hAnsi="宋体" w:cs="宋体"/>
                <w:color w:val="000000"/>
                <w:kern w:val="0"/>
                <w:sz w:val="20"/>
                <w:szCs w:val="20"/>
                <w:lang w:bidi="ar"/>
              </w:rPr>
              <w:t>检测试剂盒</w:t>
            </w:r>
          </w:p>
        </w:tc>
        <w:tc>
          <w:tcPr>
            <w:tcW w:w="15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E67D25">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50T</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65CA00">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盒</w:t>
            </w:r>
          </w:p>
        </w:tc>
        <w:tc>
          <w:tcPr>
            <w:tcW w:w="7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B759A4">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w:t>
            </w:r>
          </w:p>
        </w:tc>
        <w:tc>
          <w:tcPr>
            <w:tcW w:w="121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2F05EF">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10000</w:t>
            </w:r>
          </w:p>
        </w:tc>
        <w:tc>
          <w:tcPr>
            <w:tcW w:w="9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8DA4D9">
            <w:pPr>
              <w:widowControl/>
              <w:jc w:val="center"/>
              <w:textAlignment w:val="center"/>
              <w:rPr>
                <w:rFonts w:hint="eastAsia" w:ascii="宋体" w:hAnsi="宋体" w:cs="宋体"/>
                <w:color w:val="000000"/>
                <w:kern w:val="0"/>
                <w:sz w:val="20"/>
                <w:szCs w:val="20"/>
                <w:lang w:bidi="ar"/>
              </w:rPr>
            </w:pPr>
          </w:p>
        </w:tc>
        <w:tc>
          <w:tcPr>
            <w:tcW w:w="12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CBB1B2">
            <w:pPr>
              <w:widowControl/>
              <w:jc w:val="center"/>
              <w:textAlignment w:val="center"/>
              <w:rPr>
                <w:rFonts w:hint="eastAsia" w:ascii="宋体" w:hAnsi="宋体" w:cs="宋体"/>
                <w:color w:val="000000"/>
                <w:kern w:val="0"/>
                <w:sz w:val="20"/>
                <w:szCs w:val="20"/>
                <w:lang w:bidi="ar"/>
              </w:rPr>
            </w:pP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BDBE68">
            <w:pPr>
              <w:widowControl/>
              <w:jc w:val="center"/>
              <w:textAlignment w:val="center"/>
              <w:rPr>
                <w:rFonts w:hint="eastAsia" w:ascii="宋体" w:hAnsi="宋体" w:cs="宋体"/>
                <w:color w:val="000000"/>
                <w:kern w:val="0"/>
                <w:sz w:val="20"/>
                <w:szCs w:val="20"/>
                <w:lang w:bidi="ar"/>
              </w:rPr>
            </w:pPr>
          </w:p>
        </w:tc>
        <w:tc>
          <w:tcPr>
            <w:tcW w:w="8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027D87">
            <w:pPr>
              <w:widowControl/>
              <w:jc w:val="center"/>
              <w:textAlignment w:val="center"/>
              <w:rPr>
                <w:rFonts w:hint="eastAsia" w:ascii="宋体" w:hAnsi="宋体" w:cs="宋体"/>
                <w:color w:val="000000"/>
                <w:kern w:val="0"/>
                <w:sz w:val="20"/>
                <w:szCs w:val="20"/>
                <w:lang w:bidi="ar"/>
              </w:rPr>
            </w:pPr>
          </w:p>
        </w:tc>
        <w:tc>
          <w:tcPr>
            <w:tcW w:w="11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079721">
            <w:pPr>
              <w:widowControl/>
              <w:jc w:val="center"/>
              <w:textAlignment w:val="center"/>
              <w:rPr>
                <w:rFonts w:hint="eastAsia" w:ascii="宋体" w:hAnsi="宋体" w:cs="宋体"/>
                <w:color w:val="000000"/>
                <w:kern w:val="0"/>
                <w:sz w:val="20"/>
                <w:szCs w:val="20"/>
                <w:lang w:bidi="ar"/>
              </w:rPr>
            </w:pPr>
          </w:p>
        </w:tc>
        <w:tc>
          <w:tcPr>
            <w:tcW w:w="76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99733B">
            <w:pPr>
              <w:widowControl/>
              <w:jc w:val="center"/>
              <w:textAlignment w:val="center"/>
              <w:rPr>
                <w:rFonts w:hint="eastAsia" w:ascii="宋体" w:hAnsi="宋体" w:cs="宋体"/>
                <w:color w:val="000000"/>
                <w:kern w:val="0"/>
                <w:sz w:val="20"/>
                <w:szCs w:val="20"/>
                <w:lang w:bidi="ar"/>
              </w:rPr>
            </w:pPr>
          </w:p>
        </w:tc>
        <w:tc>
          <w:tcPr>
            <w:tcW w:w="7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A44F29">
            <w:pPr>
              <w:widowControl/>
              <w:jc w:val="center"/>
              <w:textAlignment w:val="center"/>
              <w:rPr>
                <w:rFonts w:hint="eastAsia" w:ascii="宋体" w:hAnsi="宋体" w:cs="宋体"/>
                <w:color w:val="000000"/>
                <w:kern w:val="0"/>
                <w:sz w:val="20"/>
                <w:szCs w:val="20"/>
                <w:lang w:bidi="ar"/>
              </w:rPr>
            </w:pPr>
          </w:p>
        </w:tc>
      </w:tr>
      <w:tr w14:paraId="7D3ECB81">
        <w:tblPrEx>
          <w:tblCellMar>
            <w:top w:w="0" w:type="dxa"/>
            <w:left w:w="108" w:type="dxa"/>
            <w:bottom w:w="0" w:type="dxa"/>
            <w:right w:w="108" w:type="dxa"/>
          </w:tblCellMar>
        </w:tblPrEx>
        <w:trPr>
          <w:trHeight w:val="20" w:hRule="atLeast"/>
          <w:jc w:val="center"/>
        </w:trPr>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E50292">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26</w:t>
            </w:r>
          </w:p>
        </w:tc>
        <w:tc>
          <w:tcPr>
            <w:tcW w:w="27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E0BA1D">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EA-H1N1/禽流感病毒H3/H5/H7/H9/H10亚型核酸多重实时荧光PCR检测试剂盒</w:t>
            </w:r>
          </w:p>
        </w:tc>
        <w:tc>
          <w:tcPr>
            <w:tcW w:w="15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62EA5B">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50T</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69962E">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盒</w:t>
            </w:r>
          </w:p>
        </w:tc>
        <w:tc>
          <w:tcPr>
            <w:tcW w:w="7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0BD6AF">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w:t>
            </w:r>
          </w:p>
        </w:tc>
        <w:tc>
          <w:tcPr>
            <w:tcW w:w="121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7D16D2">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14000</w:t>
            </w:r>
          </w:p>
        </w:tc>
        <w:tc>
          <w:tcPr>
            <w:tcW w:w="9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0A5D82">
            <w:pPr>
              <w:widowControl/>
              <w:jc w:val="center"/>
              <w:textAlignment w:val="center"/>
              <w:rPr>
                <w:rFonts w:hint="eastAsia" w:ascii="宋体" w:hAnsi="宋体" w:cs="宋体"/>
                <w:color w:val="000000"/>
                <w:kern w:val="0"/>
                <w:sz w:val="20"/>
                <w:szCs w:val="20"/>
                <w:lang w:bidi="ar"/>
              </w:rPr>
            </w:pPr>
          </w:p>
        </w:tc>
        <w:tc>
          <w:tcPr>
            <w:tcW w:w="12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C8E460">
            <w:pPr>
              <w:widowControl/>
              <w:jc w:val="center"/>
              <w:textAlignment w:val="center"/>
              <w:rPr>
                <w:rFonts w:hint="eastAsia" w:ascii="宋体" w:hAnsi="宋体" w:cs="宋体"/>
                <w:color w:val="000000"/>
                <w:kern w:val="0"/>
                <w:sz w:val="20"/>
                <w:szCs w:val="20"/>
                <w:lang w:bidi="ar"/>
              </w:rPr>
            </w:pP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FA6A38">
            <w:pPr>
              <w:widowControl/>
              <w:jc w:val="center"/>
              <w:textAlignment w:val="center"/>
              <w:rPr>
                <w:rFonts w:hint="eastAsia" w:ascii="宋体" w:hAnsi="宋体" w:cs="宋体"/>
                <w:color w:val="000000"/>
                <w:kern w:val="0"/>
                <w:sz w:val="20"/>
                <w:szCs w:val="20"/>
                <w:lang w:bidi="ar"/>
              </w:rPr>
            </w:pPr>
          </w:p>
        </w:tc>
        <w:tc>
          <w:tcPr>
            <w:tcW w:w="8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DC70E8">
            <w:pPr>
              <w:widowControl/>
              <w:jc w:val="center"/>
              <w:textAlignment w:val="center"/>
              <w:rPr>
                <w:rFonts w:hint="eastAsia" w:ascii="宋体" w:hAnsi="宋体" w:cs="宋体"/>
                <w:color w:val="000000"/>
                <w:kern w:val="0"/>
                <w:sz w:val="20"/>
                <w:szCs w:val="20"/>
                <w:lang w:bidi="ar"/>
              </w:rPr>
            </w:pPr>
          </w:p>
        </w:tc>
        <w:tc>
          <w:tcPr>
            <w:tcW w:w="11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5BBDCE">
            <w:pPr>
              <w:widowControl/>
              <w:jc w:val="center"/>
              <w:textAlignment w:val="center"/>
              <w:rPr>
                <w:rFonts w:hint="eastAsia" w:ascii="宋体" w:hAnsi="宋体" w:cs="宋体"/>
                <w:color w:val="000000"/>
                <w:kern w:val="0"/>
                <w:sz w:val="20"/>
                <w:szCs w:val="20"/>
                <w:lang w:bidi="ar"/>
              </w:rPr>
            </w:pPr>
          </w:p>
        </w:tc>
        <w:tc>
          <w:tcPr>
            <w:tcW w:w="76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DB8081">
            <w:pPr>
              <w:widowControl/>
              <w:jc w:val="center"/>
              <w:textAlignment w:val="center"/>
              <w:rPr>
                <w:rFonts w:hint="eastAsia" w:ascii="宋体" w:hAnsi="宋体" w:cs="宋体"/>
                <w:color w:val="000000"/>
                <w:kern w:val="0"/>
                <w:sz w:val="20"/>
                <w:szCs w:val="20"/>
                <w:lang w:bidi="ar"/>
              </w:rPr>
            </w:pPr>
          </w:p>
        </w:tc>
        <w:tc>
          <w:tcPr>
            <w:tcW w:w="7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53E789">
            <w:pPr>
              <w:widowControl/>
              <w:jc w:val="center"/>
              <w:textAlignment w:val="center"/>
              <w:rPr>
                <w:rFonts w:hint="eastAsia" w:ascii="宋体" w:hAnsi="宋体" w:cs="宋体"/>
                <w:color w:val="000000"/>
                <w:kern w:val="0"/>
                <w:sz w:val="20"/>
                <w:szCs w:val="20"/>
                <w:lang w:bidi="ar"/>
              </w:rPr>
            </w:pPr>
          </w:p>
        </w:tc>
      </w:tr>
      <w:tr w14:paraId="37E276A6">
        <w:tblPrEx>
          <w:tblCellMar>
            <w:top w:w="0" w:type="dxa"/>
            <w:left w:w="108" w:type="dxa"/>
            <w:bottom w:w="0" w:type="dxa"/>
            <w:right w:w="108" w:type="dxa"/>
          </w:tblCellMar>
        </w:tblPrEx>
        <w:trPr>
          <w:trHeight w:val="20" w:hRule="atLeast"/>
          <w:jc w:val="center"/>
        </w:trPr>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6EFA94">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27</w:t>
            </w:r>
          </w:p>
        </w:tc>
        <w:tc>
          <w:tcPr>
            <w:tcW w:w="27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5DD510">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猴痘病毒分支I/II/Ia/Ib/通用型核酸多重实时荧光PCR检测试剂盒</w:t>
            </w:r>
          </w:p>
        </w:tc>
        <w:tc>
          <w:tcPr>
            <w:tcW w:w="15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D835B6">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50T</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53B9E3">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 xml:space="preserve">盒 </w:t>
            </w:r>
          </w:p>
        </w:tc>
        <w:tc>
          <w:tcPr>
            <w:tcW w:w="7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3F6FFE">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3</w:t>
            </w:r>
          </w:p>
        </w:tc>
        <w:tc>
          <w:tcPr>
            <w:tcW w:w="121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5E6C9E">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10000</w:t>
            </w:r>
          </w:p>
        </w:tc>
        <w:tc>
          <w:tcPr>
            <w:tcW w:w="9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F2EB92">
            <w:pPr>
              <w:widowControl/>
              <w:jc w:val="center"/>
              <w:textAlignment w:val="center"/>
              <w:rPr>
                <w:rFonts w:hint="eastAsia" w:ascii="宋体" w:hAnsi="宋体" w:cs="宋体"/>
                <w:color w:val="000000"/>
                <w:kern w:val="0"/>
                <w:sz w:val="20"/>
                <w:szCs w:val="20"/>
                <w:lang w:bidi="ar"/>
              </w:rPr>
            </w:pPr>
          </w:p>
        </w:tc>
        <w:tc>
          <w:tcPr>
            <w:tcW w:w="12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C12F48">
            <w:pPr>
              <w:widowControl/>
              <w:jc w:val="center"/>
              <w:textAlignment w:val="center"/>
              <w:rPr>
                <w:rFonts w:hint="eastAsia" w:ascii="宋体" w:hAnsi="宋体" w:cs="宋体"/>
                <w:color w:val="000000"/>
                <w:kern w:val="0"/>
                <w:sz w:val="20"/>
                <w:szCs w:val="20"/>
                <w:lang w:bidi="ar"/>
              </w:rPr>
            </w:pP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75A768">
            <w:pPr>
              <w:widowControl/>
              <w:jc w:val="center"/>
              <w:textAlignment w:val="center"/>
              <w:rPr>
                <w:rFonts w:hint="eastAsia" w:ascii="宋体" w:hAnsi="宋体" w:cs="宋体"/>
                <w:color w:val="000000"/>
                <w:kern w:val="0"/>
                <w:sz w:val="20"/>
                <w:szCs w:val="20"/>
                <w:lang w:bidi="ar"/>
              </w:rPr>
            </w:pPr>
          </w:p>
        </w:tc>
        <w:tc>
          <w:tcPr>
            <w:tcW w:w="8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E931B2">
            <w:pPr>
              <w:widowControl/>
              <w:jc w:val="center"/>
              <w:textAlignment w:val="center"/>
              <w:rPr>
                <w:rFonts w:hint="eastAsia" w:ascii="宋体" w:hAnsi="宋体" w:cs="宋体"/>
                <w:color w:val="000000"/>
                <w:kern w:val="0"/>
                <w:sz w:val="20"/>
                <w:szCs w:val="20"/>
                <w:lang w:bidi="ar"/>
              </w:rPr>
            </w:pPr>
          </w:p>
        </w:tc>
        <w:tc>
          <w:tcPr>
            <w:tcW w:w="11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2B98D1">
            <w:pPr>
              <w:widowControl/>
              <w:jc w:val="center"/>
              <w:textAlignment w:val="center"/>
              <w:rPr>
                <w:rFonts w:hint="eastAsia" w:ascii="宋体" w:hAnsi="宋体" w:cs="宋体"/>
                <w:color w:val="000000"/>
                <w:kern w:val="0"/>
                <w:sz w:val="20"/>
                <w:szCs w:val="20"/>
                <w:lang w:bidi="ar"/>
              </w:rPr>
            </w:pPr>
          </w:p>
        </w:tc>
        <w:tc>
          <w:tcPr>
            <w:tcW w:w="76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7843F4">
            <w:pPr>
              <w:widowControl/>
              <w:jc w:val="center"/>
              <w:textAlignment w:val="center"/>
              <w:rPr>
                <w:rFonts w:hint="eastAsia" w:ascii="宋体" w:hAnsi="宋体" w:cs="宋体"/>
                <w:color w:val="000000"/>
                <w:kern w:val="0"/>
                <w:sz w:val="20"/>
                <w:szCs w:val="20"/>
                <w:lang w:bidi="ar"/>
              </w:rPr>
            </w:pPr>
          </w:p>
        </w:tc>
        <w:tc>
          <w:tcPr>
            <w:tcW w:w="7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9F9E07">
            <w:pPr>
              <w:widowControl/>
              <w:jc w:val="center"/>
              <w:textAlignment w:val="center"/>
              <w:rPr>
                <w:rFonts w:hint="eastAsia" w:ascii="宋体" w:hAnsi="宋体" w:cs="宋体"/>
                <w:color w:val="000000"/>
                <w:kern w:val="0"/>
                <w:sz w:val="20"/>
                <w:szCs w:val="20"/>
                <w:lang w:bidi="ar"/>
              </w:rPr>
            </w:pPr>
          </w:p>
        </w:tc>
      </w:tr>
      <w:tr w14:paraId="75B57C22">
        <w:tblPrEx>
          <w:tblCellMar>
            <w:top w:w="0" w:type="dxa"/>
            <w:left w:w="108" w:type="dxa"/>
            <w:bottom w:w="0" w:type="dxa"/>
            <w:right w:w="108" w:type="dxa"/>
          </w:tblCellMar>
        </w:tblPrEx>
        <w:trPr>
          <w:trHeight w:val="20" w:hRule="atLeast"/>
          <w:jc w:val="center"/>
        </w:trPr>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B88822">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28</w:t>
            </w:r>
          </w:p>
        </w:tc>
        <w:tc>
          <w:tcPr>
            <w:tcW w:w="27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BD9F16">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札如病毒/腺病毒/星状病毒，三重荧光PCR试剂盒</w:t>
            </w:r>
          </w:p>
        </w:tc>
        <w:tc>
          <w:tcPr>
            <w:tcW w:w="15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177245">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50T</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9BF867">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盒</w:t>
            </w:r>
          </w:p>
        </w:tc>
        <w:tc>
          <w:tcPr>
            <w:tcW w:w="7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37A71F">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4</w:t>
            </w:r>
          </w:p>
        </w:tc>
        <w:tc>
          <w:tcPr>
            <w:tcW w:w="121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703FB9">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6000</w:t>
            </w:r>
          </w:p>
        </w:tc>
        <w:tc>
          <w:tcPr>
            <w:tcW w:w="9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DC2A47">
            <w:pPr>
              <w:widowControl/>
              <w:jc w:val="center"/>
              <w:textAlignment w:val="center"/>
              <w:rPr>
                <w:rFonts w:hint="eastAsia" w:ascii="宋体" w:hAnsi="宋体" w:cs="宋体"/>
                <w:color w:val="000000"/>
                <w:kern w:val="0"/>
                <w:sz w:val="20"/>
                <w:szCs w:val="20"/>
                <w:lang w:bidi="ar"/>
              </w:rPr>
            </w:pPr>
          </w:p>
        </w:tc>
        <w:tc>
          <w:tcPr>
            <w:tcW w:w="12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73768E">
            <w:pPr>
              <w:widowControl/>
              <w:jc w:val="center"/>
              <w:textAlignment w:val="center"/>
              <w:rPr>
                <w:rFonts w:hint="eastAsia" w:ascii="宋体" w:hAnsi="宋体" w:cs="宋体"/>
                <w:color w:val="000000"/>
                <w:kern w:val="0"/>
                <w:sz w:val="20"/>
                <w:szCs w:val="20"/>
                <w:lang w:bidi="ar"/>
              </w:rPr>
            </w:pP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824DF3">
            <w:pPr>
              <w:widowControl/>
              <w:jc w:val="center"/>
              <w:textAlignment w:val="center"/>
              <w:rPr>
                <w:rFonts w:hint="eastAsia" w:ascii="宋体" w:hAnsi="宋体" w:cs="宋体"/>
                <w:color w:val="000000"/>
                <w:kern w:val="0"/>
                <w:sz w:val="20"/>
                <w:szCs w:val="20"/>
                <w:lang w:bidi="ar"/>
              </w:rPr>
            </w:pPr>
          </w:p>
        </w:tc>
        <w:tc>
          <w:tcPr>
            <w:tcW w:w="8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4F7443">
            <w:pPr>
              <w:widowControl/>
              <w:jc w:val="center"/>
              <w:textAlignment w:val="center"/>
              <w:rPr>
                <w:rFonts w:hint="eastAsia" w:ascii="宋体" w:hAnsi="宋体" w:cs="宋体"/>
                <w:color w:val="000000"/>
                <w:kern w:val="0"/>
                <w:sz w:val="20"/>
                <w:szCs w:val="20"/>
                <w:lang w:bidi="ar"/>
              </w:rPr>
            </w:pPr>
          </w:p>
        </w:tc>
        <w:tc>
          <w:tcPr>
            <w:tcW w:w="11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D98764">
            <w:pPr>
              <w:widowControl/>
              <w:jc w:val="center"/>
              <w:textAlignment w:val="center"/>
              <w:rPr>
                <w:rFonts w:hint="eastAsia" w:ascii="宋体" w:hAnsi="宋体" w:cs="宋体"/>
                <w:color w:val="000000"/>
                <w:kern w:val="0"/>
                <w:sz w:val="20"/>
                <w:szCs w:val="20"/>
                <w:lang w:bidi="ar"/>
              </w:rPr>
            </w:pPr>
          </w:p>
        </w:tc>
        <w:tc>
          <w:tcPr>
            <w:tcW w:w="76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51EB20">
            <w:pPr>
              <w:widowControl/>
              <w:jc w:val="center"/>
              <w:textAlignment w:val="center"/>
              <w:rPr>
                <w:rFonts w:hint="eastAsia" w:ascii="宋体" w:hAnsi="宋体" w:cs="宋体"/>
                <w:color w:val="000000"/>
                <w:kern w:val="0"/>
                <w:sz w:val="20"/>
                <w:szCs w:val="20"/>
                <w:lang w:bidi="ar"/>
              </w:rPr>
            </w:pPr>
          </w:p>
        </w:tc>
        <w:tc>
          <w:tcPr>
            <w:tcW w:w="7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D85CC5">
            <w:pPr>
              <w:widowControl/>
              <w:jc w:val="center"/>
              <w:textAlignment w:val="center"/>
              <w:rPr>
                <w:rFonts w:hint="eastAsia" w:ascii="宋体" w:hAnsi="宋体" w:cs="宋体"/>
                <w:color w:val="000000"/>
                <w:kern w:val="0"/>
                <w:sz w:val="20"/>
                <w:szCs w:val="20"/>
                <w:lang w:bidi="ar"/>
              </w:rPr>
            </w:pPr>
          </w:p>
        </w:tc>
      </w:tr>
      <w:tr w14:paraId="005C6E82">
        <w:tblPrEx>
          <w:tblCellMar>
            <w:top w:w="0" w:type="dxa"/>
            <w:left w:w="108" w:type="dxa"/>
            <w:bottom w:w="0" w:type="dxa"/>
            <w:right w:w="108" w:type="dxa"/>
          </w:tblCellMar>
        </w:tblPrEx>
        <w:trPr>
          <w:trHeight w:val="20" w:hRule="atLeast"/>
          <w:jc w:val="center"/>
        </w:trPr>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A16EFE">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29</w:t>
            </w:r>
          </w:p>
        </w:tc>
        <w:tc>
          <w:tcPr>
            <w:tcW w:w="27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65551C">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A组轮状病毒诺如病毒GⅠ诺如病毒GⅡ核酸三重实时荧光PCR检测试剂盒</w:t>
            </w:r>
          </w:p>
        </w:tc>
        <w:tc>
          <w:tcPr>
            <w:tcW w:w="15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FE4D9E">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50T</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D05666">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盒</w:t>
            </w:r>
          </w:p>
        </w:tc>
        <w:tc>
          <w:tcPr>
            <w:tcW w:w="7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632077">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10</w:t>
            </w:r>
          </w:p>
        </w:tc>
        <w:tc>
          <w:tcPr>
            <w:tcW w:w="121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EAA81C">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6000</w:t>
            </w:r>
          </w:p>
        </w:tc>
        <w:tc>
          <w:tcPr>
            <w:tcW w:w="9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9AF559">
            <w:pPr>
              <w:widowControl/>
              <w:jc w:val="center"/>
              <w:textAlignment w:val="center"/>
              <w:rPr>
                <w:rFonts w:hint="eastAsia" w:ascii="宋体" w:hAnsi="宋体" w:cs="宋体"/>
                <w:color w:val="000000"/>
                <w:kern w:val="0"/>
                <w:sz w:val="20"/>
                <w:szCs w:val="20"/>
                <w:lang w:bidi="ar"/>
              </w:rPr>
            </w:pPr>
          </w:p>
        </w:tc>
        <w:tc>
          <w:tcPr>
            <w:tcW w:w="12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63E492">
            <w:pPr>
              <w:widowControl/>
              <w:jc w:val="center"/>
              <w:textAlignment w:val="center"/>
              <w:rPr>
                <w:rFonts w:hint="eastAsia" w:ascii="宋体" w:hAnsi="宋体" w:cs="宋体"/>
                <w:color w:val="000000"/>
                <w:kern w:val="0"/>
                <w:sz w:val="20"/>
                <w:szCs w:val="20"/>
                <w:lang w:bidi="ar"/>
              </w:rPr>
            </w:pP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CABE02">
            <w:pPr>
              <w:widowControl/>
              <w:jc w:val="center"/>
              <w:textAlignment w:val="center"/>
              <w:rPr>
                <w:rFonts w:hint="eastAsia" w:ascii="宋体" w:hAnsi="宋体" w:cs="宋体"/>
                <w:color w:val="000000"/>
                <w:kern w:val="0"/>
                <w:sz w:val="20"/>
                <w:szCs w:val="20"/>
                <w:lang w:bidi="ar"/>
              </w:rPr>
            </w:pPr>
          </w:p>
        </w:tc>
        <w:tc>
          <w:tcPr>
            <w:tcW w:w="8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0EEE13">
            <w:pPr>
              <w:widowControl/>
              <w:jc w:val="center"/>
              <w:textAlignment w:val="center"/>
              <w:rPr>
                <w:rFonts w:hint="eastAsia" w:ascii="宋体" w:hAnsi="宋体" w:cs="宋体"/>
                <w:color w:val="000000"/>
                <w:kern w:val="0"/>
                <w:sz w:val="20"/>
                <w:szCs w:val="20"/>
                <w:lang w:bidi="ar"/>
              </w:rPr>
            </w:pPr>
          </w:p>
        </w:tc>
        <w:tc>
          <w:tcPr>
            <w:tcW w:w="11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3EC6C5">
            <w:pPr>
              <w:widowControl/>
              <w:jc w:val="center"/>
              <w:textAlignment w:val="center"/>
              <w:rPr>
                <w:rFonts w:hint="eastAsia" w:ascii="宋体" w:hAnsi="宋体" w:cs="宋体"/>
                <w:color w:val="000000"/>
                <w:kern w:val="0"/>
                <w:sz w:val="20"/>
                <w:szCs w:val="20"/>
                <w:lang w:bidi="ar"/>
              </w:rPr>
            </w:pPr>
          </w:p>
        </w:tc>
        <w:tc>
          <w:tcPr>
            <w:tcW w:w="76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A0EA97">
            <w:pPr>
              <w:widowControl/>
              <w:jc w:val="center"/>
              <w:textAlignment w:val="center"/>
              <w:rPr>
                <w:rFonts w:hint="eastAsia" w:ascii="宋体" w:hAnsi="宋体" w:cs="宋体"/>
                <w:color w:val="000000"/>
                <w:kern w:val="0"/>
                <w:sz w:val="20"/>
                <w:szCs w:val="20"/>
                <w:lang w:bidi="ar"/>
              </w:rPr>
            </w:pPr>
          </w:p>
        </w:tc>
        <w:tc>
          <w:tcPr>
            <w:tcW w:w="7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3B9B61">
            <w:pPr>
              <w:widowControl/>
              <w:jc w:val="center"/>
              <w:textAlignment w:val="center"/>
              <w:rPr>
                <w:rFonts w:hint="eastAsia" w:ascii="宋体" w:hAnsi="宋体" w:cs="宋体"/>
                <w:color w:val="000000"/>
                <w:kern w:val="0"/>
                <w:sz w:val="20"/>
                <w:szCs w:val="20"/>
                <w:lang w:bidi="ar"/>
              </w:rPr>
            </w:pPr>
          </w:p>
        </w:tc>
      </w:tr>
      <w:tr w14:paraId="5EA7FFB2">
        <w:trPr>
          <w:trHeight w:val="20" w:hRule="atLeast"/>
          <w:jc w:val="center"/>
        </w:trPr>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12A650">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30</w:t>
            </w:r>
          </w:p>
        </w:tc>
        <w:tc>
          <w:tcPr>
            <w:tcW w:w="27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9ACE2D">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甲型乙型甲型H1N1亚型季节性H3亚型人类流感病毒核酸四重实时荧光PCR检测试剂盒</w:t>
            </w:r>
          </w:p>
        </w:tc>
        <w:tc>
          <w:tcPr>
            <w:tcW w:w="15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3FD5C5">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50T</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8B9B6A">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盒</w:t>
            </w:r>
          </w:p>
        </w:tc>
        <w:tc>
          <w:tcPr>
            <w:tcW w:w="7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1D1F77">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15</w:t>
            </w:r>
          </w:p>
        </w:tc>
        <w:tc>
          <w:tcPr>
            <w:tcW w:w="121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2C92C5">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9600</w:t>
            </w:r>
          </w:p>
        </w:tc>
        <w:tc>
          <w:tcPr>
            <w:tcW w:w="9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94B90A">
            <w:pPr>
              <w:widowControl/>
              <w:jc w:val="center"/>
              <w:textAlignment w:val="center"/>
              <w:rPr>
                <w:rFonts w:hint="eastAsia" w:ascii="宋体" w:hAnsi="宋体" w:cs="宋体"/>
                <w:color w:val="000000"/>
                <w:kern w:val="0"/>
                <w:sz w:val="20"/>
                <w:szCs w:val="20"/>
                <w:lang w:bidi="ar"/>
              </w:rPr>
            </w:pPr>
          </w:p>
        </w:tc>
        <w:tc>
          <w:tcPr>
            <w:tcW w:w="12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083527">
            <w:pPr>
              <w:widowControl/>
              <w:jc w:val="center"/>
              <w:textAlignment w:val="center"/>
              <w:rPr>
                <w:rFonts w:hint="eastAsia" w:ascii="宋体" w:hAnsi="宋体" w:cs="宋体"/>
                <w:color w:val="000000"/>
                <w:kern w:val="0"/>
                <w:sz w:val="20"/>
                <w:szCs w:val="20"/>
                <w:lang w:bidi="ar"/>
              </w:rPr>
            </w:pP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3547DB">
            <w:pPr>
              <w:widowControl/>
              <w:jc w:val="center"/>
              <w:textAlignment w:val="center"/>
              <w:rPr>
                <w:rFonts w:hint="eastAsia" w:ascii="宋体" w:hAnsi="宋体" w:cs="宋体"/>
                <w:color w:val="000000"/>
                <w:kern w:val="0"/>
                <w:sz w:val="20"/>
                <w:szCs w:val="20"/>
                <w:lang w:bidi="ar"/>
              </w:rPr>
            </w:pPr>
          </w:p>
        </w:tc>
        <w:tc>
          <w:tcPr>
            <w:tcW w:w="8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14F85C">
            <w:pPr>
              <w:widowControl/>
              <w:jc w:val="center"/>
              <w:textAlignment w:val="center"/>
              <w:rPr>
                <w:rFonts w:hint="eastAsia" w:ascii="宋体" w:hAnsi="宋体" w:cs="宋体"/>
                <w:color w:val="000000"/>
                <w:kern w:val="0"/>
                <w:sz w:val="20"/>
                <w:szCs w:val="20"/>
                <w:lang w:bidi="ar"/>
              </w:rPr>
            </w:pPr>
          </w:p>
        </w:tc>
        <w:tc>
          <w:tcPr>
            <w:tcW w:w="11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201462">
            <w:pPr>
              <w:widowControl/>
              <w:jc w:val="center"/>
              <w:textAlignment w:val="center"/>
              <w:rPr>
                <w:rFonts w:hint="eastAsia" w:ascii="宋体" w:hAnsi="宋体" w:cs="宋体"/>
                <w:color w:val="000000"/>
                <w:kern w:val="0"/>
                <w:sz w:val="20"/>
                <w:szCs w:val="20"/>
                <w:lang w:bidi="ar"/>
              </w:rPr>
            </w:pPr>
          </w:p>
        </w:tc>
        <w:tc>
          <w:tcPr>
            <w:tcW w:w="76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2550B7">
            <w:pPr>
              <w:widowControl/>
              <w:jc w:val="center"/>
              <w:textAlignment w:val="center"/>
              <w:rPr>
                <w:rFonts w:hint="eastAsia" w:ascii="宋体" w:hAnsi="宋体" w:cs="宋体"/>
                <w:color w:val="000000"/>
                <w:kern w:val="0"/>
                <w:sz w:val="20"/>
                <w:szCs w:val="20"/>
                <w:lang w:bidi="ar"/>
              </w:rPr>
            </w:pPr>
          </w:p>
        </w:tc>
        <w:tc>
          <w:tcPr>
            <w:tcW w:w="7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CFBF1F">
            <w:pPr>
              <w:widowControl/>
              <w:jc w:val="center"/>
              <w:textAlignment w:val="center"/>
              <w:rPr>
                <w:rFonts w:hint="eastAsia" w:ascii="宋体" w:hAnsi="宋体" w:cs="宋体"/>
                <w:color w:val="000000"/>
                <w:kern w:val="0"/>
                <w:sz w:val="20"/>
                <w:szCs w:val="20"/>
                <w:lang w:bidi="ar"/>
              </w:rPr>
            </w:pPr>
          </w:p>
        </w:tc>
      </w:tr>
      <w:tr w14:paraId="59D4C1C9">
        <w:tblPrEx>
          <w:tblCellMar>
            <w:top w:w="0" w:type="dxa"/>
            <w:left w:w="108" w:type="dxa"/>
            <w:bottom w:w="0" w:type="dxa"/>
            <w:right w:w="108" w:type="dxa"/>
          </w:tblCellMar>
        </w:tblPrEx>
        <w:trPr>
          <w:trHeight w:val="20" w:hRule="atLeast"/>
          <w:jc w:val="center"/>
        </w:trPr>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34F785">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31</w:t>
            </w:r>
          </w:p>
        </w:tc>
        <w:tc>
          <w:tcPr>
            <w:tcW w:w="27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A753EE">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四种疟原虫和疟原虫通用型核酸多重实时荧光PCR检测试剂盒</w:t>
            </w:r>
          </w:p>
        </w:tc>
        <w:tc>
          <w:tcPr>
            <w:tcW w:w="15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75AF01">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50T</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0F76CA">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盒</w:t>
            </w:r>
          </w:p>
        </w:tc>
        <w:tc>
          <w:tcPr>
            <w:tcW w:w="7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BDAD06">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w:t>
            </w:r>
          </w:p>
        </w:tc>
        <w:tc>
          <w:tcPr>
            <w:tcW w:w="121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312A77">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10000</w:t>
            </w:r>
          </w:p>
        </w:tc>
        <w:tc>
          <w:tcPr>
            <w:tcW w:w="9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5C3E1F">
            <w:pPr>
              <w:widowControl/>
              <w:jc w:val="center"/>
              <w:textAlignment w:val="center"/>
              <w:rPr>
                <w:rFonts w:hint="eastAsia" w:ascii="宋体" w:hAnsi="宋体" w:cs="宋体"/>
                <w:color w:val="000000"/>
                <w:kern w:val="0"/>
                <w:sz w:val="20"/>
                <w:szCs w:val="20"/>
                <w:lang w:bidi="ar"/>
              </w:rPr>
            </w:pPr>
          </w:p>
        </w:tc>
        <w:tc>
          <w:tcPr>
            <w:tcW w:w="12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577C69">
            <w:pPr>
              <w:widowControl/>
              <w:jc w:val="center"/>
              <w:textAlignment w:val="center"/>
              <w:rPr>
                <w:rFonts w:hint="eastAsia" w:ascii="宋体" w:hAnsi="宋体" w:cs="宋体"/>
                <w:color w:val="000000"/>
                <w:kern w:val="0"/>
                <w:sz w:val="20"/>
                <w:szCs w:val="20"/>
                <w:lang w:bidi="ar"/>
              </w:rPr>
            </w:pP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0AA520">
            <w:pPr>
              <w:widowControl/>
              <w:jc w:val="center"/>
              <w:textAlignment w:val="center"/>
              <w:rPr>
                <w:rFonts w:hint="eastAsia" w:ascii="宋体" w:hAnsi="宋体" w:cs="宋体"/>
                <w:color w:val="000000"/>
                <w:kern w:val="0"/>
                <w:sz w:val="20"/>
                <w:szCs w:val="20"/>
                <w:lang w:bidi="ar"/>
              </w:rPr>
            </w:pPr>
          </w:p>
        </w:tc>
        <w:tc>
          <w:tcPr>
            <w:tcW w:w="8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FA8A4A">
            <w:pPr>
              <w:widowControl/>
              <w:jc w:val="center"/>
              <w:textAlignment w:val="center"/>
              <w:rPr>
                <w:rFonts w:hint="eastAsia" w:ascii="宋体" w:hAnsi="宋体" w:cs="宋体"/>
                <w:color w:val="000000"/>
                <w:kern w:val="0"/>
                <w:sz w:val="20"/>
                <w:szCs w:val="20"/>
                <w:lang w:bidi="ar"/>
              </w:rPr>
            </w:pPr>
          </w:p>
        </w:tc>
        <w:tc>
          <w:tcPr>
            <w:tcW w:w="11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0267A4">
            <w:pPr>
              <w:widowControl/>
              <w:jc w:val="center"/>
              <w:textAlignment w:val="center"/>
              <w:rPr>
                <w:rFonts w:hint="eastAsia" w:ascii="宋体" w:hAnsi="宋体" w:cs="宋体"/>
                <w:color w:val="000000"/>
                <w:kern w:val="0"/>
                <w:sz w:val="20"/>
                <w:szCs w:val="20"/>
                <w:lang w:bidi="ar"/>
              </w:rPr>
            </w:pPr>
          </w:p>
        </w:tc>
        <w:tc>
          <w:tcPr>
            <w:tcW w:w="76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B18407">
            <w:pPr>
              <w:widowControl/>
              <w:jc w:val="center"/>
              <w:textAlignment w:val="center"/>
              <w:rPr>
                <w:rFonts w:hint="eastAsia" w:ascii="宋体" w:hAnsi="宋体" w:cs="宋体"/>
                <w:color w:val="000000"/>
                <w:kern w:val="0"/>
                <w:sz w:val="20"/>
                <w:szCs w:val="20"/>
                <w:lang w:bidi="ar"/>
              </w:rPr>
            </w:pPr>
          </w:p>
        </w:tc>
        <w:tc>
          <w:tcPr>
            <w:tcW w:w="7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65BD01">
            <w:pPr>
              <w:widowControl/>
              <w:jc w:val="center"/>
              <w:textAlignment w:val="center"/>
              <w:rPr>
                <w:rFonts w:hint="eastAsia" w:ascii="宋体" w:hAnsi="宋体" w:cs="宋体"/>
                <w:color w:val="000000"/>
                <w:kern w:val="0"/>
                <w:sz w:val="20"/>
                <w:szCs w:val="20"/>
                <w:lang w:bidi="ar"/>
              </w:rPr>
            </w:pPr>
          </w:p>
        </w:tc>
      </w:tr>
      <w:tr w14:paraId="12B967EA">
        <w:trPr>
          <w:trHeight w:val="20" w:hRule="atLeast"/>
          <w:jc w:val="center"/>
        </w:trPr>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D466CE">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32</w:t>
            </w:r>
          </w:p>
        </w:tc>
        <w:tc>
          <w:tcPr>
            <w:tcW w:w="27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4215FD">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白喉棒状杆菌tox毒力基因双重实时荧光PCR检测试剂盒</w:t>
            </w:r>
          </w:p>
        </w:tc>
        <w:tc>
          <w:tcPr>
            <w:tcW w:w="15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D4CB47">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50T</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7C9C74">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盒</w:t>
            </w:r>
          </w:p>
        </w:tc>
        <w:tc>
          <w:tcPr>
            <w:tcW w:w="7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38482D">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w:t>
            </w:r>
          </w:p>
        </w:tc>
        <w:tc>
          <w:tcPr>
            <w:tcW w:w="121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E3F807">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4000</w:t>
            </w:r>
          </w:p>
        </w:tc>
        <w:tc>
          <w:tcPr>
            <w:tcW w:w="9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758148">
            <w:pPr>
              <w:widowControl/>
              <w:jc w:val="center"/>
              <w:textAlignment w:val="center"/>
              <w:rPr>
                <w:rFonts w:hint="eastAsia" w:ascii="宋体" w:hAnsi="宋体" w:cs="宋体"/>
                <w:color w:val="000000"/>
                <w:kern w:val="0"/>
                <w:sz w:val="20"/>
                <w:szCs w:val="20"/>
                <w:lang w:bidi="ar"/>
              </w:rPr>
            </w:pPr>
          </w:p>
        </w:tc>
        <w:tc>
          <w:tcPr>
            <w:tcW w:w="12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2A0530">
            <w:pPr>
              <w:widowControl/>
              <w:jc w:val="center"/>
              <w:textAlignment w:val="center"/>
              <w:rPr>
                <w:rFonts w:hint="eastAsia" w:ascii="宋体" w:hAnsi="宋体" w:cs="宋体"/>
                <w:color w:val="000000"/>
                <w:kern w:val="0"/>
                <w:sz w:val="20"/>
                <w:szCs w:val="20"/>
                <w:lang w:bidi="ar"/>
              </w:rPr>
            </w:pP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FB45F4">
            <w:pPr>
              <w:widowControl/>
              <w:jc w:val="center"/>
              <w:textAlignment w:val="center"/>
              <w:rPr>
                <w:rFonts w:hint="eastAsia" w:ascii="宋体" w:hAnsi="宋体" w:cs="宋体"/>
                <w:color w:val="000000"/>
                <w:kern w:val="0"/>
                <w:sz w:val="20"/>
                <w:szCs w:val="20"/>
                <w:lang w:bidi="ar"/>
              </w:rPr>
            </w:pPr>
          </w:p>
        </w:tc>
        <w:tc>
          <w:tcPr>
            <w:tcW w:w="8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E9B2AE">
            <w:pPr>
              <w:widowControl/>
              <w:jc w:val="center"/>
              <w:textAlignment w:val="center"/>
              <w:rPr>
                <w:rFonts w:hint="eastAsia" w:ascii="宋体" w:hAnsi="宋体" w:cs="宋体"/>
                <w:color w:val="000000"/>
                <w:kern w:val="0"/>
                <w:sz w:val="20"/>
                <w:szCs w:val="20"/>
                <w:lang w:bidi="ar"/>
              </w:rPr>
            </w:pPr>
          </w:p>
        </w:tc>
        <w:tc>
          <w:tcPr>
            <w:tcW w:w="11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ECB297">
            <w:pPr>
              <w:widowControl/>
              <w:jc w:val="center"/>
              <w:textAlignment w:val="center"/>
              <w:rPr>
                <w:rFonts w:hint="eastAsia" w:ascii="宋体" w:hAnsi="宋体" w:cs="宋体"/>
                <w:color w:val="000000"/>
                <w:kern w:val="0"/>
                <w:sz w:val="20"/>
                <w:szCs w:val="20"/>
                <w:lang w:bidi="ar"/>
              </w:rPr>
            </w:pPr>
          </w:p>
        </w:tc>
        <w:tc>
          <w:tcPr>
            <w:tcW w:w="76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F8EA46">
            <w:pPr>
              <w:widowControl/>
              <w:jc w:val="center"/>
              <w:textAlignment w:val="center"/>
              <w:rPr>
                <w:rFonts w:hint="eastAsia" w:ascii="宋体" w:hAnsi="宋体" w:cs="宋体"/>
                <w:color w:val="000000"/>
                <w:kern w:val="0"/>
                <w:sz w:val="20"/>
                <w:szCs w:val="20"/>
                <w:lang w:bidi="ar"/>
              </w:rPr>
            </w:pPr>
          </w:p>
        </w:tc>
        <w:tc>
          <w:tcPr>
            <w:tcW w:w="7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349396">
            <w:pPr>
              <w:widowControl/>
              <w:jc w:val="center"/>
              <w:textAlignment w:val="center"/>
              <w:rPr>
                <w:rFonts w:hint="eastAsia" w:ascii="宋体" w:hAnsi="宋体" w:cs="宋体"/>
                <w:color w:val="000000"/>
                <w:kern w:val="0"/>
                <w:sz w:val="20"/>
                <w:szCs w:val="20"/>
                <w:lang w:bidi="ar"/>
              </w:rPr>
            </w:pPr>
          </w:p>
        </w:tc>
      </w:tr>
      <w:tr w14:paraId="3156C674">
        <w:tblPrEx>
          <w:tblCellMar>
            <w:top w:w="0" w:type="dxa"/>
            <w:left w:w="108" w:type="dxa"/>
            <w:bottom w:w="0" w:type="dxa"/>
            <w:right w:w="108" w:type="dxa"/>
          </w:tblCellMar>
        </w:tblPrEx>
        <w:trPr>
          <w:trHeight w:val="20" w:hRule="atLeast"/>
          <w:jc w:val="center"/>
        </w:trPr>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A75144">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33</w:t>
            </w:r>
          </w:p>
        </w:tc>
        <w:tc>
          <w:tcPr>
            <w:tcW w:w="27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D31412">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白喉棒状杆菌toxA/toxB毒力基因双重实时荧光PCR检测试剂盒</w:t>
            </w:r>
          </w:p>
        </w:tc>
        <w:tc>
          <w:tcPr>
            <w:tcW w:w="15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D42A84">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50T</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B79789">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盒</w:t>
            </w:r>
          </w:p>
        </w:tc>
        <w:tc>
          <w:tcPr>
            <w:tcW w:w="7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E873FA">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w:t>
            </w:r>
          </w:p>
        </w:tc>
        <w:tc>
          <w:tcPr>
            <w:tcW w:w="121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9780D5">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4000</w:t>
            </w:r>
          </w:p>
        </w:tc>
        <w:tc>
          <w:tcPr>
            <w:tcW w:w="9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D77F99">
            <w:pPr>
              <w:widowControl/>
              <w:jc w:val="center"/>
              <w:textAlignment w:val="center"/>
              <w:rPr>
                <w:rFonts w:hint="eastAsia" w:ascii="宋体" w:hAnsi="宋体" w:cs="宋体"/>
                <w:color w:val="000000"/>
                <w:kern w:val="0"/>
                <w:sz w:val="20"/>
                <w:szCs w:val="20"/>
                <w:lang w:bidi="ar"/>
              </w:rPr>
            </w:pPr>
          </w:p>
        </w:tc>
        <w:tc>
          <w:tcPr>
            <w:tcW w:w="12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B158D8">
            <w:pPr>
              <w:widowControl/>
              <w:jc w:val="center"/>
              <w:textAlignment w:val="center"/>
              <w:rPr>
                <w:rFonts w:hint="eastAsia" w:ascii="宋体" w:hAnsi="宋体" w:cs="宋体"/>
                <w:color w:val="000000"/>
                <w:kern w:val="0"/>
                <w:sz w:val="20"/>
                <w:szCs w:val="20"/>
                <w:lang w:bidi="ar"/>
              </w:rPr>
            </w:pP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D6C7D6">
            <w:pPr>
              <w:widowControl/>
              <w:jc w:val="center"/>
              <w:textAlignment w:val="center"/>
              <w:rPr>
                <w:rFonts w:hint="eastAsia" w:ascii="宋体" w:hAnsi="宋体" w:cs="宋体"/>
                <w:color w:val="000000"/>
                <w:kern w:val="0"/>
                <w:sz w:val="20"/>
                <w:szCs w:val="20"/>
                <w:lang w:bidi="ar"/>
              </w:rPr>
            </w:pPr>
          </w:p>
        </w:tc>
        <w:tc>
          <w:tcPr>
            <w:tcW w:w="8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A11EB6">
            <w:pPr>
              <w:widowControl/>
              <w:jc w:val="center"/>
              <w:textAlignment w:val="center"/>
              <w:rPr>
                <w:rFonts w:hint="eastAsia" w:ascii="宋体" w:hAnsi="宋体" w:cs="宋体"/>
                <w:color w:val="000000"/>
                <w:kern w:val="0"/>
                <w:sz w:val="20"/>
                <w:szCs w:val="20"/>
                <w:lang w:bidi="ar"/>
              </w:rPr>
            </w:pPr>
          </w:p>
        </w:tc>
        <w:tc>
          <w:tcPr>
            <w:tcW w:w="11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05E444">
            <w:pPr>
              <w:widowControl/>
              <w:jc w:val="center"/>
              <w:textAlignment w:val="center"/>
              <w:rPr>
                <w:rFonts w:hint="eastAsia" w:ascii="宋体" w:hAnsi="宋体" w:cs="宋体"/>
                <w:color w:val="000000"/>
                <w:kern w:val="0"/>
                <w:sz w:val="20"/>
                <w:szCs w:val="20"/>
                <w:lang w:bidi="ar"/>
              </w:rPr>
            </w:pPr>
          </w:p>
        </w:tc>
        <w:tc>
          <w:tcPr>
            <w:tcW w:w="76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D7E7F1">
            <w:pPr>
              <w:widowControl/>
              <w:jc w:val="center"/>
              <w:textAlignment w:val="center"/>
              <w:rPr>
                <w:rFonts w:hint="eastAsia" w:ascii="宋体" w:hAnsi="宋体" w:cs="宋体"/>
                <w:color w:val="000000"/>
                <w:kern w:val="0"/>
                <w:sz w:val="20"/>
                <w:szCs w:val="20"/>
                <w:lang w:bidi="ar"/>
              </w:rPr>
            </w:pPr>
          </w:p>
        </w:tc>
        <w:tc>
          <w:tcPr>
            <w:tcW w:w="7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46F68F">
            <w:pPr>
              <w:widowControl/>
              <w:jc w:val="center"/>
              <w:textAlignment w:val="center"/>
              <w:rPr>
                <w:rFonts w:hint="eastAsia" w:ascii="宋体" w:hAnsi="宋体" w:cs="宋体"/>
                <w:color w:val="000000"/>
                <w:kern w:val="0"/>
                <w:sz w:val="20"/>
                <w:szCs w:val="20"/>
                <w:lang w:bidi="ar"/>
              </w:rPr>
            </w:pPr>
          </w:p>
        </w:tc>
      </w:tr>
      <w:tr w14:paraId="4A12ED3C">
        <w:tblPrEx>
          <w:tblCellMar>
            <w:top w:w="0" w:type="dxa"/>
            <w:left w:w="108" w:type="dxa"/>
            <w:bottom w:w="0" w:type="dxa"/>
            <w:right w:w="108" w:type="dxa"/>
          </w:tblCellMar>
        </w:tblPrEx>
        <w:trPr>
          <w:trHeight w:val="20" w:hRule="atLeast"/>
          <w:jc w:val="center"/>
        </w:trPr>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159DEF">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34</w:t>
            </w:r>
          </w:p>
        </w:tc>
        <w:tc>
          <w:tcPr>
            <w:tcW w:w="27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F416E0">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寨卡病毒荧光定量PCR</w:t>
            </w:r>
          </w:p>
        </w:tc>
        <w:tc>
          <w:tcPr>
            <w:tcW w:w="15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C15185">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50T</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7BB135">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盒</w:t>
            </w:r>
          </w:p>
        </w:tc>
        <w:tc>
          <w:tcPr>
            <w:tcW w:w="7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63BAA9">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w:t>
            </w:r>
          </w:p>
        </w:tc>
        <w:tc>
          <w:tcPr>
            <w:tcW w:w="121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9107DD">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2000</w:t>
            </w:r>
          </w:p>
        </w:tc>
        <w:tc>
          <w:tcPr>
            <w:tcW w:w="9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106904">
            <w:pPr>
              <w:widowControl/>
              <w:jc w:val="center"/>
              <w:textAlignment w:val="center"/>
              <w:rPr>
                <w:rFonts w:hint="eastAsia" w:ascii="宋体" w:hAnsi="宋体" w:cs="宋体"/>
                <w:color w:val="000000"/>
                <w:kern w:val="0"/>
                <w:sz w:val="20"/>
                <w:szCs w:val="20"/>
                <w:lang w:bidi="ar"/>
              </w:rPr>
            </w:pPr>
          </w:p>
        </w:tc>
        <w:tc>
          <w:tcPr>
            <w:tcW w:w="12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EA9B74">
            <w:pPr>
              <w:widowControl/>
              <w:jc w:val="center"/>
              <w:textAlignment w:val="center"/>
              <w:rPr>
                <w:rFonts w:hint="eastAsia" w:ascii="宋体" w:hAnsi="宋体" w:cs="宋体"/>
                <w:color w:val="000000"/>
                <w:kern w:val="0"/>
                <w:sz w:val="20"/>
                <w:szCs w:val="20"/>
                <w:lang w:bidi="ar"/>
              </w:rPr>
            </w:pP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C3CDA4">
            <w:pPr>
              <w:widowControl/>
              <w:jc w:val="center"/>
              <w:textAlignment w:val="center"/>
              <w:rPr>
                <w:rFonts w:hint="eastAsia" w:ascii="宋体" w:hAnsi="宋体" w:cs="宋体"/>
                <w:color w:val="000000"/>
                <w:kern w:val="0"/>
                <w:sz w:val="20"/>
                <w:szCs w:val="20"/>
                <w:lang w:bidi="ar"/>
              </w:rPr>
            </w:pPr>
          </w:p>
        </w:tc>
        <w:tc>
          <w:tcPr>
            <w:tcW w:w="8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8E5AAB">
            <w:pPr>
              <w:widowControl/>
              <w:jc w:val="center"/>
              <w:textAlignment w:val="center"/>
              <w:rPr>
                <w:rFonts w:hint="eastAsia" w:ascii="宋体" w:hAnsi="宋体" w:cs="宋体"/>
                <w:color w:val="000000"/>
                <w:kern w:val="0"/>
                <w:sz w:val="20"/>
                <w:szCs w:val="20"/>
                <w:lang w:bidi="ar"/>
              </w:rPr>
            </w:pPr>
          </w:p>
        </w:tc>
        <w:tc>
          <w:tcPr>
            <w:tcW w:w="11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341420">
            <w:pPr>
              <w:widowControl/>
              <w:jc w:val="center"/>
              <w:textAlignment w:val="center"/>
              <w:rPr>
                <w:rFonts w:hint="eastAsia" w:ascii="宋体" w:hAnsi="宋体" w:cs="宋体"/>
                <w:color w:val="000000"/>
                <w:kern w:val="0"/>
                <w:sz w:val="20"/>
                <w:szCs w:val="20"/>
                <w:lang w:bidi="ar"/>
              </w:rPr>
            </w:pPr>
          </w:p>
        </w:tc>
        <w:tc>
          <w:tcPr>
            <w:tcW w:w="76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F5EE4C">
            <w:pPr>
              <w:widowControl/>
              <w:jc w:val="center"/>
              <w:textAlignment w:val="center"/>
              <w:rPr>
                <w:rFonts w:hint="eastAsia" w:ascii="宋体" w:hAnsi="宋体" w:cs="宋体"/>
                <w:color w:val="000000"/>
                <w:kern w:val="0"/>
                <w:sz w:val="20"/>
                <w:szCs w:val="20"/>
                <w:lang w:bidi="ar"/>
              </w:rPr>
            </w:pPr>
          </w:p>
        </w:tc>
        <w:tc>
          <w:tcPr>
            <w:tcW w:w="7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D89779">
            <w:pPr>
              <w:widowControl/>
              <w:jc w:val="center"/>
              <w:textAlignment w:val="center"/>
              <w:rPr>
                <w:rFonts w:hint="eastAsia" w:ascii="宋体" w:hAnsi="宋体" w:cs="宋体"/>
                <w:color w:val="000000"/>
                <w:kern w:val="0"/>
                <w:sz w:val="20"/>
                <w:szCs w:val="20"/>
                <w:lang w:bidi="ar"/>
              </w:rPr>
            </w:pPr>
          </w:p>
        </w:tc>
      </w:tr>
      <w:tr w14:paraId="089CDC55">
        <w:tblPrEx>
          <w:tblCellMar>
            <w:top w:w="0" w:type="dxa"/>
            <w:left w:w="108" w:type="dxa"/>
            <w:bottom w:w="0" w:type="dxa"/>
            <w:right w:w="108" w:type="dxa"/>
          </w:tblCellMar>
        </w:tblPrEx>
        <w:trPr>
          <w:trHeight w:val="20" w:hRule="atLeast"/>
          <w:jc w:val="center"/>
        </w:trPr>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FDDD63">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35</w:t>
            </w:r>
          </w:p>
        </w:tc>
        <w:tc>
          <w:tcPr>
            <w:tcW w:w="27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87FE2B">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登革热病毒荧光定量PCR</w:t>
            </w:r>
          </w:p>
        </w:tc>
        <w:tc>
          <w:tcPr>
            <w:tcW w:w="15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2B1CE6">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50T</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0147EF">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盒</w:t>
            </w:r>
          </w:p>
        </w:tc>
        <w:tc>
          <w:tcPr>
            <w:tcW w:w="7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E17118">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w:t>
            </w:r>
          </w:p>
        </w:tc>
        <w:tc>
          <w:tcPr>
            <w:tcW w:w="121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DD3618">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2000</w:t>
            </w:r>
          </w:p>
        </w:tc>
        <w:tc>
          <w:tcPr>
            <w:tcW w:w="9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C7D5F2">
            <w:pPr>
              <w:widowControl/>
              <w:jc w:val="center"/>
              <w:textAlignment w:val="center"/>
              <w:rPr>
                <w:rFonts w:hint="eastAsia" w:ascii="宋体" w:hAnsi="宋体" w:cs="宋体"/>
                <w:color w:val="000000"/>
                <w:kern w:val="0"/>
                <w:sz w:val="20"/>
                <w:szCs w:val="20"/>
                <w:lang w:bidi="ar"/>
              </w:rPr>
            </w:pPr>
          </w:p>
        </w:tc>
        <w:tc>
          <w:tcPr>
            <w:tcW w:w="12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7DE52E">
            <w:pPr>
              <w:widowControl/>
              <w:jc w:val="center"/>
              <w:textAlignment w:val="center"/>
              <w:rPr>
                <w:rFonts w:hint="eastAsia" w:ascii="宋体" w:hAnsi="宋体" w:cs="宋体"/>
                <w:color w:val="000000"/>
                <w:kern w:val="0"/>
                <w:sz w:val="20"/>
                <w:szCs w:val="20"/>
                <w:lang w:bidi="ar"/>
              </w:rPr>
            </w:pP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7544AB">
            <w:pPr>
              <w:widowControl/>
              <w:jc w:val="center"/>
              <w:textAlignment w:val="center"/>
              <w:rPr>
                <w:rFonts w:hint="eastAsia" w:ascii="宋体" w:hAnsi="宋体" w:cs="宋体"/>
                <w:color w:val="000000"/>
                <w:kern w:val="0"/>
                <w:sz w:val="20"/>
                <w:szCs w:val="20"/>
                <w:lang w:bidi="ar"/>
              </w:rPr>
            </w:pPr>
          </w:p>
        </w:tc>
        <w:tc>
          <w:tcPr>
            <w:tcW w:w="8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5AA416">
            <w:pPr>
              <w:widowControl/>
              <w:jc w:val="center"/>
              <w:textAlignment w:val="center"/>
              <w:rPr>
                <w:rFonts w:hint="eastAsia" w:ascii="宋体" w:hAnsi="宋体" w:cs="宋体"/>
                <w:color w:val="000000"/>
                <w:kern w:val="0"/>
                <w:sz w:val="20"/>
                <w:szCs w:val="20"/>
                <w:lang w:bidi="ar"/>
              </w:rPr>
            </w:pPr>
          </w:p>
        </w:tc>
        <w:tc>
          <w:tcPr>
            <w:tcW w:w="11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70E121">
            <w:pPr>
              <w:widowControl/>
              <w:jc w:val="center"/>
              <w:textAlignment w:val="center"/>
              <w:rPr>
                <w:rFonts w:hint="eastAsia" w:ascii="宋体" w:hAnsi="宋体" w:cs="宋体"/>
                <w:color w:val="000000"/>
                <w:kern w:val="0"/>
                <w:sz w:val="20"/>
                <w:szCs w:val="20"/>
                <w:lang w:bidi="ar"/>
              </w:rPr>
            </w:pPr>
          </w:p>
        </w:tc>
        <w:tc>
          <w:tcPr>
            <w:tcW w:w="76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8DDAD8">
            <w:pPr>
              <w:widowControl/>
              <w:jc w:val="center"/>
              <w:textAlignment w:val="center"/>
              <w:rPr>
                <w:rFonts w:hint="eastAsia" w:ascii="宋体" w:hAnsi="宋体" w:cs="宋体"/>
                <w:color w:val="000000"/>
                <w:kern w:val="0"/>
                <w:sz w:val="20"/>
                <w:szCs w:val="20"/>
                <w:lang w:bidi="ar"/>
              </w:rPr>
            </w:pPr>
          </w:p>
        </w:tc>
        <w:tc>
          <w:tcPr>
            <w:tcW w:w="7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79CFA7">
            <w:pPr>
              <w:widowControl/>
              <w:jc w:val="center"/>
              <w:textAlignment w:val="center"/>
              <w:rPr>
                <w:rFonts w:hint="eastAsia" w:ascii="宋体" w:hAnsi="宋体" w:cs="宋体"/>
                <w:color w:val="000000"/>
                <w:kern w:val="0"/>
                <w:sz w:val="20"/>
                <w:szCs w:val="20"/>
                <w:lang w:bidi="ar"/>
              </w:rPr>
            </w:pPr>
          </w:p>
        </w:tc>
      </w:tr>
      <w:tr w14:paraId="614A6EE1">
        <w:tblPrEx>
          <w:tblCellMar>
            <w:top w:w="0" w:type="dxa"/>
            <w:left w:w="108" w:type="dxa"/>
            <w:bottom w:w="0" w:type="dxa"/>
            <w:right w:w="108" w:type="dxa"/>
          </w:tblCellMar>
        </w:tblPrEx>
        <w:trPr>
          <w:trHeight w:val="20" w:hRule="atLeast"/>
          <w:jc w:val="center"/>
        </w:trPr>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C371F0">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36</w:t>
            </w:r>
          </w:p>
        </w:tc>
        <w:tc>
          <w:tcPr>
            <w:tcW w:w="2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AB215B">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登革病毒</w:t>
            </w:r>
            <w:r>
              <w:rPr>
                <w:rStyle w:val="67"/>
                <w:rFonts w:hint="default"/>
                <w:lang w:bidi="ar"/>
              </w:rPr>
              <w:t>I</w:t>
            </w:r>
            <w:r>
              <w:rPr>
                <w:rFonts w:hint="eastAsia" w:ascii="宋体" w:hAnsi="宋体" w:cs="宋体"/>
                <w:color w:val="000000"/>
                <w:kern w:val="0"/>
                <w:sz w:val="20"/>
                <w:szCs w:val="20"/>
                <w:lang w:bidi="ar"/>
              </w:rPr>
              <w:t>型</w:t>
            </w:r>
            <w:r>
              <w:rPr>
                <w:rStyle w:val="67"/>
                <w:rFonts w:hint="default"/>
                <w:lang w:bidi="ar"/>
              </w:rPr>
              <w:t>/II</w:t>
            </w:r>
            <w:r>
              <w:rPr>
                <w:rFonts w:hint="eastAsia" w:ascii="宋体" w:hAnsi="宋体" w:cs="宋体"/>
                <w:color w:val="000000"/>
                <w:kern w:val="0"/>
                <w:sz w:val="20"/>
                <w:szCs w:val="20"/>
                <w:lang w:bidi="ar"/>
              </w:rPr>
              <w:t>型</w:t>
            </w:r>
            <w:r>
              <w:rPr>
                <w:rStyle w:val="67"/>
                <w:rFonts w:hint="default"/>
                <w:lang w:bidi="ar"/>
              </w:rPr>
              <w:t>/III</w:t>
            </w:r>
            <w:r>
              <w:rPr>
                <w:rFonts w:hint="eastAsia" w:ascii="宋体" w:hAnsi="宋体" w:cs="宋体"/>
                <w:color w:val="000000"/>
                <w:kern w:val="0"/>
                <w:sz w:val="20"/>
                <w:szCs w:val="20"/>
                <w:lang w:bidi="ar"/>
              </w:rPr>
              <w:t>型</w:t>
            </w:r>
            <w:r>
              <w:rPr>
                <w:rStyle w:val="67"/>
                <w:rFonts w:hint="default"/>
                <w:lang w:bidi="ar"/>
              </w:rPr>
              <w:t>/IV</w:t>
            </w:r>
            <w:r>
              <w:rPr>
                <w:rFonts w:hint="eastAsia" w:ascii="宋体" w:hAnsi="宋体" w:cs="宋体"/>
                <w:color w:val="000000"/>
                <w:kern w:val="0"/>
                <w:sz w:val="20"/>
                <w:szCs w:val="20"/>
                <w:lang w:bidi="ar"/>
              </w:rPr>
              <w:t>型</w:t>
            </w:r>
            <w:r>
              <w:rPr>
                <w:rStyle w:val="67"/>
                <w:rFonts w:hint="default"/>
                <w:lang w:bidi="ar"/>
              </w:rPr>
              <w:t>/</w:t>
            </w:r>
            <w:r>
              <w:rPr>
                <w:rFonts w:hint="eastAsia" w:ascii="宋体" w:hAnsi="宋体" w:cs="宋体"/>
                <w:color w:val="000000"/>
                <w:kern w:val="0"/>
                <w:sz w:val="20"/>
                <w:szCs w:val="20"/>
                <w:lang w:bidi="ar"/>
              </w:rPr>
              <w:t>通用型核酸多重实时荧光</w:t>
            </w:r>
            <w:r>
              <w:rPr>
                <w:rStyle w:val="67"/>
                <w:rFonts w:hint="default"/>
                <w:lang w:bidi="ar"/>
              </w:rPr>
              <w:t>PCR</w:t>
            </w:r>
            <w:r>
              <w:rPr>
                <w:rFonts w:hint="eastAsia" w:ascii="宋体" w:hAnsi="宋体" w:cs="宋体"/>
                <w:color w:val="000000"/>
                <w:kern w:val="0"/>
                <w:sz w:val="20"/>
                <w:szCs w:val="20"/>
                <w:lang w:bidi="ar"/>
              </w:rPr>
              <w:t>检测试剂盒</w:t>
            </w:r>
          </w:p>
        </w:tc>
        <w:tc>
          <w:tcPr>
            <w:tcW w:w="15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01E352">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50T</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B4276C">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 xml:space="preserve">盒 </w:t>
            </w:r>
          </w:p>
        </w:tc>
        <w:tc>
          <w:tcPr>
            <w:tcW w:w="7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C8A68B">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w:t>
            </w:r>
          </w:p>
        </w:tc>
        <w:tc>
          <w:tcPr>
            <w:tcW w:w="121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45AC2C">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10000</w:t>
            </w:r>
          </w:p>
        </w:tc>
        <w:tc>
          <w:tcPr>
            <w:tcW w:w="9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1E10F3">
            <w:pPr>
              <w:widowControl/>
              <w:jc w:val="center"/>
              <w:textAlignment w:val="center"/>
              <w:rPr>
                <w:rFonts w:hint="eastAsia" w:ascii="宋体" w:hAnsi="宋体" w:cs="宋体"/>
                <w:color w:val="000000"/>
                <w:kern w:val="0"/>
                <w:sz w:val="20"/>
                <w:szCs w:val="20"/>
                <w:lang w:bidi="ar"/>
              </w:rPr>
            </w:pPr>
          </w:p>
        </w:tc>
        <w:tc>
          <w:tcPr>
            <w:tcW w:w="123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708E47">
            <w:pPr>
              <w:widowControl/>
              <w:jc w:val="center"/>
              <w:textAlignment w:val="center"/>
              <w:rPr>
                <w:rFonts w:hint="eastAsia" w:ascii="宋体" w:hAnsi="宋体" w:cs="宋体"/>
                <w:color w:val="000000"/>
                <w:kern w:val="0"/>
                <w:sz w:val="20"/>
                <w:szCs w:val="20"/>
                <w:lang w:bidi="ar"/>
              </w:rPr>
            </w:pP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0D11CF">
            <w:pPr>
              <w:widowControl/>
              <w:jc w:val="center"/>
              <w:textAlignment w:val="center"/>
              <w:rPr>
                <w:rFonts w:hint="eastAsia" w:ascii="宋体" w:hAnsi="宋体" w:cs="宋体"/>
                <w:color w:val="000000"/>
                <w:kern w:val="0"/>
                <w:sz w:val="20"/>
                <w:szCs w:val="20"/>
                <w:lang w:bidi="ar"/>
              </w:rPr>
            </w:pPr>
          </w:p>
        </w:tc>
        <w:tc>
          <w:tcPr>
            <w:tcW w:w="8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2E6626">
            <w:pPr>
              <w:widowControl/>
              <w:jc w:val="center"/>
              <w:textAlignment w:val="center"/>
              <w:rPr>
                <w:rFonts w:hint="eastAsia" w:ascii="宋体" w:hAnsi="宋体" w:cs="宋体"/>
                <w:color w:val="000000"/>
                <w:kern w:val="0"/>
                <w:sz w:val="20"/>
                <w:szCs w:val="20"/>
                <w:lang w:bidi="ar"/>
              </w:rPr>
            </w:pPr>
          </w:p>
        </w:tc>
        <w:tc>
          <w:tcPr>
            <w:tcW w:w="11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9EB296">
            <w:pPr>
              <w:widowControl/>
              <w:jc w:val="center"/>
              <w:textAlignment w:val="center"/>
              <w:rPr>
                <w:rFonts w:hint="eastAsia" w:ascii="宋体" w:hAnsi="宋体" w:cs="宋体"/>
                <w:color w:val="000000"/>
                <w:kern w:val="0"/>
                <w:sz w:val="20"/>
                <w:szCs w:val="20"/>
                <w:lang w:bidi="ar"/>
              </w:rPr>
            </w:pPr>
          </w:p>
        </w:tc>
        <w:tc>
          <w:tcPr>
            <w:tcW w:w="76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169319">
            <w:pPr>
              <w:widowControl/>
              <w:jc w:val="center"/>
              <w:textAlignment w:val="center"/>
              <w:rPr>
                <w:rFonts w:hint="eastAsia" w:ascii="宋体" w:hAnsi="宋体" w:cs="宋体"/>
                <w:color w:val="000000"/>
                <w:kern w:val="0"/>
                <w:sz w:val="20"/>
                <w:szCs w:val="20"/>
                <w:lang w:bidi="ar"/>
              </w:rPr>
            </w:pPr>
          </w:p>
        </w:tc>
        <w:tc>
          <w:tcPr>
            <w:tcW w:w="7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E7EE35">
            <w:pPr>
              <w:widowControl/>
              <w:jc w:val="center"/>
              <w:textAlignment w:val="center"/>
              <w:rPr>
                <w:rFonts w:hint="eastAsia" w:ascii="宋体" w:hAnsi="宋体" w:cs="宋体"/>
                <w:color w:val="000000"/>
                <w:kern w:val="0"/>
                <w:sz w:val="20"/>
                <w:szCs w:val="20"/>
                <w:lang w:bidi="ar"/>
              </w:rPr>
            </w:pPr>
          </w:p>
        </w:tc>
      </w:tr>
      <w:tr w14:paraId="4EF376FC">
        <w:tblPrEx>
          <w:tblCellMar>
            <w:top w:w="0" w:type="dxa"/>
            <w:left w:w="108" w:type="dxa"/>
            <w:bottom w:w="0" w:type="dxa"/>
            <w:right w:w="108" w:type="dxa"/>
          </w:tblCellMar>
        </w:tblPrEx>
        <w:trPr>
          <w:trHeight w:val="20" w:hRule="atLeast"/>
          <w:jc w:val="center"/>
        </w:trPr>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2E0E48">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37</w:t>
            </w:r>
          </w:p>
        </w:tc>
        <w:tc>
          <w:tcPr>
            <w:tcW w:w="2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62D5D8">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水痘</w:t>
            </w:r>
            <w:r>
              <w:rPr>
                <w:rStyle w:val="67"/>
                <w:rFonts w:hint="default"/>
                <w:lang w:bidi="ar"/>
              </w:rPr>
              <w:t>-</w:t>
            </w:r>
            <w:r>
              <w:rPr>
                <w:rFonts w:hint="eastAsia" w:ascii="宋体" w:hAnsi="宋体" w:cs="宋体"/>
                <w:color w:val="000000"/>
                <w:kern w:val="0"/>
                <w:sz w:val="20"/>
                <w:szCs w:val="20"/>
                <w:lang w:bidi="ar"/>
              </w:rPr>
              <w:t>带状疱疹病毒核酸实时荧光</w:t>
            </w:r>
            <w:r>
              <w:rPr>
                <w:rStyle w:val="67"/>
                <w:rFonts w:hint="default"/>
                <w:lang w:bidi="ar"/>
              </w:rPr>
              <w:t>PCR</w:t>
            </w:r>
            <w:r>
              <w:rPr>
                <w:rFonts w:hint="eastAsia" w:ascii="宋体" w:hAnsi="宋体" w:cs="宋体"/>
                <w:color w:val="000000"/>
                <w:kern w:val="0"/>
                <w:sz w:val="20"/>
                <w:szCs w:val="20"/>
                <w:lang w:bidi="ar"/>
              </w:rPr>
              <w:t>检测试剂盒</w:t>
            </w:r>
          </w:p>
        </w:tc>
        <w:tc>
          <w:tcPr>
            <w:tcW w:w="15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AE885F">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50T</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402E2E">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 xml:space="preserve">盒 </w:t>
            </w:r>
          </w:p>
        </w:tc>
        <w:tc>
          <w:tcPr>
            <w:tcW w:w="7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DA934C">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A22820">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2000</w:t>
            </w:r>
          </w:p>
        </w:tc>
        <w:tc>
          <w:tcPr>
            <w:tcW w:w="992" w:type="dxa"/>
            <w:tcBorders>
              <w:top w:val="single" w:color="000000" w:sz="4" w:space="0"/>
              <w:left w:val="single" w:color="000000" w:sz="4" w:space="0"/>
              <w:bottom w:val="single" w:color="000000" w:sz="4" w:space="0"/>
              <w:right w:val="single" w:color="000000" w:sz="4" w:space="0"/>
            </w:tcBorders>
            <w:vAlign w:val="center"/>
          </w:tcPr>
          <w:p w14:paraId="69DE4F3D">
            <w:pPr>
              <w:widowControl/>
              <w:jc w:val="center"/>
              <w:textAlignment w:val="center"/>
              <w:rPr>
                <w:rFonts w:hint="eastAsia" w:ascii="宋体" w:hAnsi="宋体" w:cs="宋体"/>
                <w:color w:val="000000"/>
                <w:kern w:val="0"/>
                <w:sz w:val="20"/>
                <w:szCs w:val="20"/>
                <w:lang w:bidi="ar"/>
              </w:rPr>
            </w:pPr>
          </w:p>
        </w:tc>
        <w:tc>
          <w:tcPr>
            <w:tcW w:w="1239" w:type="dxa"/>
            <w:tcBorders>
              <w:top w:val="single" w:color="000000" w:sz="4" w:space="0"/>
              <w:left w:val="single" w:color="000000" w:sz="4" w:space="0"/>
              <w:bottom w:val="single" w:color="000000" w:sz="4" w:space="0"/>
              <w:right w:val="single" w:color="000000" w:sz="4" w:space="0"/>
            </w:tcBorders>
            <w:vAlign w:val="center"/>
          </w:tcPr>
          <w:p w14:paraId="0CFDF9AF">
            <w:pPr>
              <w:widowControl/>
              <w:jc w:val="center"/>
              <w:textAlignment w:val="center"/>
              <w:rPr>
                <w:rFonts w:hint="eastAsia" w:ascii="宋体" w:hAnsi="宋体" w:cs="宋体"/>
                <w:color w:val="000000"/>
                <w:kern w:val="0"/>
                <w:sz w:val="20"/>
                <w:szCs w:val="20"/>
                <w:lang w:bidi="ar"/>
              </w:rPr>
            </w:pPr>
          </w:p>
        </w:tc>
        <w:tc>
          <w:tcPr>
            <w:tcW w:w="900" w:type="dxa"/>
            <w:tcBorders>
              <w:top w:val="single" w:color="000000" w:sz="4" w:space="0"/>
              <w:left w:val="single" w:color="000000" w:sz="4" w:space="0"/>
              <w:bottom w:val="single" w:color="000000" w:sz="4" w:space="0"/>
              <w:right w:val="single" w:color="000000" w:sz="4" w:space="0"/>
            </w:tcBorders>
            <w:vAlign w:val="center"/>
          </w:tcPr>
          <w:p w14:paraId="466F3B43">
            <w:pPr>
              <w:widowControl/>
              <w:jc w:val="center"/>
              <w:textAlignment w:val="center"/>
              <w:rPr>
                <w:rFonts w:hint="eastAsia" w:ascii="宋体" w:hAnsi="宋体" w:cs="宋体"/>
                <w:color w:val="000000"/>
                <w:kern w:val="0"/>
                <w:sz w:val="20"/>
                <w:szCs w:val="20"/>
                <w:lang w:bidi="ar"/>
              </w:rPr>
            </w:pPr>
          </w:p>
        </w:tc>
        <w:tc>
          <w:tcPr>
            <w:tcW w:w="832" w:type="dxa"/>
            <w:tcBorders>
              <w:top w:val="single" w:color="000000" w:sz="4" w:space="0"/>
              <w:left w:val="single" w:color="000000" w:sz="4" w:space="0"/>
              <w:bottom w:val="single" w:color="000000" w:sz="4" w:space="0"/>
              <w:right w:val="single" w:color="000000" w:sz="4" w:space="0"/>
            </w:tcBorders>
            <w:vAlign w:val="center"/>
          </w:tcPr>
          <w:p w14:paraId="64EB0481">
            <w:pPr>
              <w:widowControl/>
              <w:jc w:val="center"/>
              <w:textAlignment w:val="center"/>
              <w:rPr>
                <w:rFonts w:hint="eastAsia" w:ascii="宋体" w:hAnsi="宋体" w:cs="宋体"/>
                <w:color w:val="000000"/>
                <w:kern w:val="0"/>
                <w:sz w:val="20"/>
                <w:szCs w:val="20"/>
                <w:lang w:bidi="ar"/>
              </w:rPr>
            </w:pPr>
          </w:p>
        </w:tc>
        <w:tc>
          <w:tcPr>
            <w:tcW w:w="1143" w:type="dxa"/>
            <w:tcBorders>
              <w:top w:val="single" w:color="000000" w:sz="4" w:space="0"/>
              <w:left w:val="single" w:color="000000" w:sz="4" w:space="0"/>
              <w:bottom w:val="single" w:color="000000" w:sz="4" w:space="0"/>
              <w:right w:val="single" w:color="000000" w:sz="4" w:space="0"/>
            </w:tcBorders>
            <w:vAlign w:val="center"/>
          </w:tcPr>
          <w:p w14:paraId="594EA18D">
            <w:pPr>
              <w:widowControl/>
              <w:jc w:val="center"/>
              <w:textAlignment w:val="center"/>
              <w:rPr>
                <w:rFonts w:hint="eastAsia" w:ascii="宋体" w:hAnsi="宋体" w:cs="宋体"/>
                <w:color w:val="000000"/>
                <w:kern w:val="0"/>
                <w:sz w:val="20"/>
                <w:szCs w:val="20"/>
                <w:lang w:bidi="ar"/>
              </w:rPr>
            </w:pPr>
          </w:p>
        </w:tc>
        <w:tc>
          <w:tcPr>
            <w:tcW w:w="763" w:type="dxa"/>
            <w:tcBorders>
              <w:top w:val="single" w:color="000000" w:sz="4" w:space="0"/>
              <w:left w:val="single" w:color="000000" w:sz="4" w:space="0"/>
              <w:bottom w:val="single" w:color="000000" w:sz="4" w:space="0"/>
              <w:right w:val="single" w:color="000000" w:sz="4" w:space="0"/>
            </w:tcBorders>
            <w:vAlign w:val="center"/>
          </w:tcPr>
          <w:p w14:paraId="192357C4">
            <w:pPr>
              <w:widowControl/>
              <w:jc w:val="center"/>
              <w:textAlignment w:val="center"/>
              <w:rPr>
                <w:rFonts w:hint="eastAsia" w:ascii="宋体" w:hAnsi="宋体" w:cs="宋体"/>
                <w:color w:val="000000"/>
                <w:kern w:val="0"/>
                <w:sz w:val="20"/>
                <w:szCs w:val="20"/>
                <w:lang w:bidi="ar"/>
              </w:rPr>
            </w:pPr>
          </w:p>
        </w:tc>
        <w:tc>
          <w:tcPr>
            <w:tcW w:w="741" w:type="dxa"/>
            <w:tcBorders>
              <w:top w:val="single" w:color="000000" w:sz="4" w:space="0"/>
              <w:left w:val="single" w:color="000000" w:sz="4" w:space="0"/>
              <w:bottom w:val="single" w:color="000000" w:sz="4" w:space="0"/>
              <w:right w:val="single" w:color="000000" w:sz="4" w:space="0"/>
            </w:tcBorders>
            <w:vAlign w:val="center"/>
          </w:tcPr>
          <w:p w14:paraId="7F8275B5">
            <w:pPr>
              <w:widowControl/>
              <w:jc w:val="center"/>
              <w:textAlignment w:val="center"/>
              <w:rPr>
                <w:rFonts w:hint="eastAsia" w:ascii="宋体" w:hAnsi="宋体" w:cs="宋体"/>
                <w:color w:val="000000"/>
                <w:kern w:val="0"/>
                <w:sz w:val="20"/>
                <w:szCs w:val="20"/>
                <w:lang w:bidi="ar"/>
              </w:rPr>
            </w:pPr>
          </w:p>
        </w:tc>
      </w:tr>
      <w:tr w14:paraId="27F0A238">
        <w:tblPrEx>
          <w:tblCellMar>
            <w:top w:w="0" w:type="dxa"/>
            <w:left w:w="108" w:type="dxa"/>
            <w:bottom w:w="0" w:type="dxa"/>
            <w:right w:w="108" w:type="dxa"/>
          </w:tblCellMar>
        </w:tblPrEx>
        <w:trPr>
          <w:trHeight w:val="20" w:hRule="atLeast"/>
          <w:jc w:val="center"/>
        </w:trPr>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B7485E">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38</w:t>
            </w:r>
          </w:p>
        </w:tc>
        <w:tc>
          <w:tcPr>
            <w:tcW w:w="2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55C4C4">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炭疽芽孢杆菌核酸实时荧光</w:t>
            </w:r>
            <w:r>
              <w:rPr>
                <w:rStyle w:val="67"/>
                <w:rFonts w:hint="default"/>
                <w:lang w:bidi="ar"/>
              </w:rPr>
              <w:t>PCR</w:t>
            </w:r>
            <w:r>
              <w:rPr>
                <w:rFonts w:hint="eastAsia" w:ascii="宋体" w:hAnsi="宋体" w:cs="宋体"/>
                <w:color w:val="000000"/>
                <w:kern w:val="0"/>
                <w:sz w:val="20"/>
                <w:szCs w:val="20"/>
                <w:lang w:bidi="ar"/>
              </w:rPr>
              <w:t>检测试剂盒</w:t>
            </w:r>
          </w:p>
        </w:tc>
        <w:tc>
          <w:tcPr>
            <w:tcW w:w="15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A63587">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50T</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9CB8C4">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 xml:space="preserve">盒 </w:t>
            </w:r>
          </w:p>
        </w:tc>
        <w:tc>
          <w:tcPr>
            <w:tcW w:w="7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E34A4C">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7580D2">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2000</w:t>
            </w:r>
          </w:p>
        </w:tc>
        <w:tc>
          <w:tcPr>
            <w:tcW w:w="992" w:type="dxa"/>
            <w:tcBorders>
              <w:top w:val="single" w:color="000000" w:sz="4" w:space="0"/>
              <w:left w:val="single" w:color="000000" w:sz="4" w:space="0"/>
              <w:bottom w:val="single" w:color="000000" w:sz="4" w:space="0"/>
              <w:right w:val="single" w:color="000000" w:sz="4" w:space="0"/>
            </w:tcBorders>
            <w:vAlign w:val="center"/>
          </w:tcPr>
          <w:p w14:paraId="2ADADC18">
            <w:pPr>
              <w:widowControl/>
              <w:jc w:val="center"/>
              <w:textAlignment w:val="center"/>
              <w:rPr>
                <w:rFonts w:hint="eastAsia" w:ascii="宋体" w:hAnsi="宋体" w:cs="宋体"/>
                <w:color w:val="000000"/>
                <w:kern w:val="0"/>
                <w:sz w:val="20"/>
                <w:szCs w:val="20"/>
                <w:lang w:bidi="ar"/>
              </w:rPr>
            </w:pPr>
          </w:p>
        </w:tc>
        <w:tc>
          <w:tcPr>
            <w:tcW w:w="1239" w:type="dxa"/>
            <w:tcBorders>
              <w:top w:val="single" w:color="000000" w:sz="4" w:space="0"/>
              <w:left w:val="single" w:color="000000" w:sz="4" w:space="0"/>
              <w:bottom w:val="single" w:color="000000" w:sz="4" w:space="0"/>
              <w:right w:val="single" w:color="000000" w:sz="4" w:space="0"/>
            </w:tcBorders>
            <w:vAlign w:val="center"/>
          </w:tcPr>
          <w:p w14:paraId="2EA33E9C">
            <w:pPr>
              <w:widowControl/>
              <w:jc w:val="center"/>
              <w:textAlignment w:val="center"/>
              <w:rPr>
                <w:rFonts w:hint="eastAsia" w:ascii="宋体" w:hAnsi="宋体" w:cs="宋体"/>
                <w:color w:val="000000"/>
                <w:kern w:val="0"/>
                <w:sz w:val="20"/>
                <w:szCs w:val="20"/>
                <w:lang w:bidi="ar"/>
              </w:rPr>
            </w:pPr>
          </w:p>
        </w:tc>
        <w:tc>
          <w:tcPr>
            <w:tcW w:w="900" w:type="dxa"/>
            <w:tcBorders>
              <w:top w:val="single" w:color="000000" w:sz="4" w:space="0"/>
              <w:left w:val="single" w:color="000000" w:sz="4" w:space="0"/>
              <w:bottom w:val="single" w:color="000000" w:sz="4" w:space="0"/>
              <w:right w:val="single" w:color="000000" w:sz="4" w:space="0"/>
            </w:tcBorders>
            <w:vAlign w:val="center"/>
          </w:tcPr>
          <w:p w14:paraId="3880F77D">
            <w:pPr>
              <w:widowControl/>
              <w:jc w:val="center"/>
              <w:textAlignment w:val="center"/>
              <w:rPr>
                <w:rFonts w:hint="eastAsia" w:ascii="宋体" w:hAnsi="宋体" w:cs="宋体"/>
                <w:color w:val="000000"/>
                <w:kern w:val="0"/>
                <w:sz w:val="20"/>
                <w:szCs w:val="20"/>
                <w:lang w:bidi="ar"/>
              </w:rPr>
            </w:pPr>
          </w:p>
        </w:tc>
        <w:tc>
          <w:tcPr>
            <w:tcW w:w="832" w:type="dxa"/>
            <w:tcBorders>
              <w:top w:val="single" w:color="000000" w:sz="4" w:space="0"/>
              <w:left w:val="single" w:color="000000" w:sz="4" w:space="0"/>
              <w:bottom w:val="single" w:color="000000" w:sz="4" w:space="0"/>
              <w:right w:val="single" w:color="000000" w:sz="4" w:space="0"/>
            </w:tcBorders>
            <w:vAlign w:val="center"/>
          </w:tcPr>
          <w:p w14:paraId="2E4B0088">
            <w:pPr>
              <w:widowControl/>
              <w:jc w:val="center"/>
              <w:textAlignment w:val="center"/>
              <w:rPr>
                <w:rFonts w:hint="eastAsia" w:ascii="宋体" w:hAnsi="宋体" w:cs="宋体"/>
                <w:color w:val="000000"/>
                <w:kern w:val="0"/>
                <w:sz w:val="20"/>
                <w:szCs w:val="20"/>
                <w:lang w:bidi="ar"/>
              </w:rPr>
            </w:pPr>
          </w:p>
        </w:tc>
        <w:tc>
          <w:tcPr>
            <w:tcW w:w="1143" w:type="dxa"/>
            <w:tcBorders>
              <w:top w:val="single" w:color="000000" w:sz="4" w:space="0"/>
              <w:left w:val="single" w:color="000000" w:sz="4" w:space="0"/>
              <w:bottom w:val="single" w:color="000000" w:sz="4" w:space="0"/>
              <w:right w:val="single" w:color="000000" w:sz="4" w:space="0"/>
            </w:tcBorders>
            <w:vAlign w:val="center"/>
          </w:tcPr>
          <w:p w14:paraId="7B967EC2">
            <w:pPr>
              <w:widowControl/>
              <w:jc w:val="center"/>
              <w:textAlignment w:val="center"/>
              <w:rPr>
                <w:rFonts w:hint="eastAsia" w:ascii="宋体" w:hAnsi="宋体" w:cs="宋体"/>
                <w:color w:val="000000"/>
                <w:kern w:val="0"/>
                <w:sz w:val="20"/>
                <w:szCs w:val="20"/>
                <w:lang w:bidi="ar"/>
              </w:rPr>
            </w:pPr>
          </w:p>
        </w:tc>
        <w:tc>
          <w:tcPr>
            <w:tcW w:w="763" w:type="dxa"/>
            <w:tcBorders>
              <w:top w:val="single" w:color="000000" w:sz="4" w:space="0"/>
              <w:left w:val="single" w:color="000000" w:sz="4" w:space="0"/>
              <w:bottom w:val="single" w:color="000000" w:sz="4" w:space="0"/>
              <w:right w:val="single" w:color="000000" w:sz="4" w:space="0"/>
            </w:tcBorders>
            <w:vAlign w:val="center"/>
          </w:tcPr>
          <w:p w14:paraId="1E815C35">
            <w:pPr>
              <w:widowControl/>
              <w:jc w:val="center"/>
              <w:textAlignment w:val="center"/>
              <w:rPr>
                <w:rFonts w:hint="eastAsia" w:ascii="宋体" w:hAnsi="宋体" w:cs="宋体"/>
                <w:color w:val="000000"/>
                <w:kern w:val="0"/>
                <w:sz w:val="20"/>
                <w:szCs w:val="20"/>
                <w:lang w:bidi="ar"/>
              </w:rPr>
            </w:pPr>
          </w:p>
        </w:tc>
        <w:tc>
          <w:tcPr>
            <w:tcW w:w="741" w:type="dxa"/>
            <w:tcBorders>
              <w:top w:val="single" w:color="000000" w:sz="4" w:space="0"/>
              <w:left w:val="single" w:color="000000" w:sz="4" w:space="0"/>
              <w:bottom w:val="single" w:color="000000" w:sz="4" w:space="0"/>
              <w:right w:val="single" w:color="000000" w:sz="4" w:space="0"/>
            </w:tcBorders>
            <w:vAlign w:val="center"/>
          </w:tcPr>
          <w:p w14:paraId="1D254A51">
            <w:pPr>
              <w:widowControl/>
              <w:jc w:val="center"/>
              <w:textAlignment w:val="center"/>
              <w:rPr>
                <w:rFonts w:hint="eastAsia" w:ascii="宋体" w:hAnsi="宋体" w:cs="宋体"/>
                <w:color w:val="000000"/>
                <w:kern w:val="0"/>
                <w:sz w:val="20"/>
                <w:szCs w:val="20"/>
                <w:lang w:bidi="ar"/>
              </w:rPr>
            </w:pPr>
          </w:p>
        </w:tc>
      </w:tr>
      <w:tr w14:paraId="2702A7BE">
        <w:tblPrEx>
          <w:tblCellMar>
            <w:top w:w="0" w:type="dxa"/>
            <w:left w:w="108" w:type="dxa"/>
            <w:bottom w:w="0" w:type="dxa"/>
            <w:right w:w="108" w:type="dxa"/>
          </w:tblCellMar>
        </w:tblPrEx>
        <w:trPr>
          <w:trHeight w:val="20" w:hRule="atLeast"/>
          <w:jc w:val="center"/>
        </w:trPr>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C17425">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39</w:t>
            </w:r>
          </w:p>
        </w:tc>
        <w:tc>
          <w:tcPr>
            <w:tcW w:w="2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2E0668">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炭疽芽胞杆菌</w:t>
            </w:r>
            <w:r>
              <w:rPr>
                <w:rStyle w:val="67"/>
                <w:rFonts w:hint="default"/>
                <w:lang w:bidi="ar"/>
              </w:rPr>
              <w:t>pagA</w:t>
            </w:r>
            <w:r>
              <w:rPr>
                <w:rFonts w:hint="eastAsia" w:ascii="宋体" w:hAnsi="宋体" w:cs="宋体"/>
                <w:color w:val="000000"/>
                <w:kern w:val="0"/>
                <w:sz w:val="20"/>
                <w:szCs w:val="20"/>
                <w:lang w:bidi="ar"/>
              </w:rPr>
              <w:t>基因</w:t>
            </w:r>
            <w:r>
              <w:rPr>
                <w:rStyle w:val="67"/>
                <w:rFonts w:hint="default"/>
                <w:lang w:bidi="ar"/>
              </w:rPr>
              <w:t>cap</w:t>
            </w:r>
            <w:r>
              <w:rPr>
                <w:rFonts w:hint="eastAsia" w:ascii="宋体" w:hAnsi="宋体" w:cs="宋体"/>
                <w:color w:val="000000"/>
                <w:kern w:val="0"/>
                <w:sz w:val="20"/>
                <w:szCs w:val="20"/>
                <w:lang w:bidi="ar"/>
              </w:rPr>
              <w:t>基因</w:t>
            </w:r>
            <w:r>
              <w:rPr>
                <w:rStyle w:val="67"/>
                <w:rFonts w:hint="default"/>
                <w:lang w:bidi="ar"/>
              </w:rPr>
              <w:t>rpoB</w:t>
            </w:r>
            <w:r>
              <w:rPr>
                <w:rFonts w:hint="eastAsia" w:ascii="宋体" w:hAnsi="宋体" w:cs="宋体"/>
                <w:color w:val="000000"/>
                <w:kern w:val="0"/>
                <w:sz w:val="20"/>
                <w:szCs w:val="20"/>
                <w:lang w:bidi="ar"/>
              </w:rPr>
              <w:t>基因三重实时荧光</w:t>
            </w:r>
            <w:r>
              <w:rPr>
                <w:rStyle w:val="67"/>
                <w:rFonts w:hint="default"/>
                <w:lang w:bidi="ar"/>
              </w:rPr>
              <w:t>PCR</w:t>
            </w:r>
            <w:r>
              <w:rPr>
                <w:rFonts w:hint="eastAsia" w:ascii="宋体" w:hAnsi="宋体" w:cs="宋体"/>
                <w:color w:val="000000"/>
                <w:kern w:val="0"/>
                <w:sz w:val="20"/>
                <w:szCs w:val="20"/>
                <w:lang w:bidi="ar"/>
              </w:rPr>
              <w:t>检测试剂盒</w:t>
            </w:r>
          </w:p>
        </w:tc>
        <w:tc>
          <w:tcPr>
            <w:tcW w:w="15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F32D0B">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50T</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C9A493">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 xml:space="preserve">盒 </w:t>
            </w:r>
          </w:p>
        </w:tc>
        <w:tc>
          <w:tcPr>
            <w:tcW w:w="7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3EB8C4">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7D6EFA">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6000</w:t>
            </w:r>
          </w:p>
        </w:tc>
        <w:tc>
          <w:tcPr>
            <w:tcW w:w="992" w:type="dxa"/>
            <w:tcBorders>
              <w:top w:val="single" w:color="000000" w:sz="4" w:space="0"/>
              <w:left w:val="single" w:color="000000" w:sz="4" w:space="0"/>
              <w:bottom w:val="single" w:color="000000" w:sz="4" w:space="0"/>
              <w:right w:val="single" w:color="000000" w:sz="4" w:space="0"/>
            </w:tcBorders>
            <w:vAlign w:val="center"/>
          </w:tcPr>
          <w:p w14:paraId="51DDA691">
            <w:pPr>
              <w:widowControl/>
              <w:jc w:val="center"/>
              <w:textAlignment w:val="center"/>
              <w:rPr>
                <w:rFonts w:hint="eastAsia" w:ascii="宋体" w:hAnsi="宋体" w:cs="宋体"/>
                <w:color w:val="000000"/>
                <w:kern w:val="0"/>
                <w:sz w:val="20"/>
                <w:szCs w:val="20"/>
                <w:lang w:bidi="ar"/>
              </w:rPr>
            </w:pPr>
          </w:p>
        </w:tc>
        <w:tc>
          <w:tcPr>
            <w:tcW w:w="1239" w:type="dxa"/>
            <w:tcBorders>
              <w:top w:val="single" w:color="000000" w:sz="4" w:space="0"/>
              <w:left w:val="single" w:color="000000" w:sz="4" w:space="0"/>
              <w:bottom w:val="single" w:color="000000" w:sz="4" w:space="0"/>
              <w:right w:val="single" w:color="000000" w:sz="4" w:space="0"/>
            </w:tcBorders>
            <w:vAlign w:val="center"/>
          </w:tcPr>
          <w:p w14:paraId="22F64AFA">
            <w:pPr>
              <w:widowControl/>
              <w:jc w:val="center"/>
              <w:textAlignment w:val="center"/>
              <w:rPr>
                <w:rFonts w:hint="eastAsia" w:ascii="宋体" w:hAnsi="宋体" w:cs="宋体"/>
                <w:color w:val="000000"/>
                <w:kern w:val="0"/>
                <w:sz w:val="20"/>
                <w:szCs w:val="20"/>
                <w:lang w:bidi="ar"/>
              </w:rPr>
            </w:pPr>
          </w:p>
        </w:tc>
        <w:tc>
          <w:tcPr>
            <w:tcW w:w="900" w:type="dxa"/>
            <w:tcBorders>
              <w:top w:val="single" w:color="000000" w:sz="4" w:space="0"/>
              <w:left w:val="single" w:color="000000" w:sz="4" w:space="0"/>
              <w:bottom w:val="single" w:color="000000" w:sz="4" w:space="0"/>
              <w:right w:val="single" w:color="000000" w:sz="4" w:space="0"/>
            </w:tcBorders>
            <w:vAlign w:val="center"/>
          </w:tcPr>
          <w:p w14:paraId="16EC8C53">
            <w:pPr>
              <w:widowControl/>
              <w:jc w:val="center"/>
              <w:textAlignment w:val="center"/>
              <w:rPr>
                <w:rFonts w:hint="eastAsia" w:ascii="宋体" w:hAnsi="宋体" w:cs="宋体"/>
                <w:color w:val="000000"/>
                <w:kern w:val="0"/>
                <w:sz w:val="20"/>
                <w:szCs w:val="20"/>
                <w:lang w:bidi="ar"/>
              </w:rPr>
            </w:pPr>
          </w:p>
        </w:tc>
        <w:tc>
          <w:tcPr>
            <w:tcW w:w="832" w:type="dxa"/>
            <w:tcBorders>
              <w:top w:val="single" w:color="000000" w:sz="4" w:space="0"/>
              <w:left w:val="single" w:color="000000" w:sz="4" w:space="0"/>
              <w:bottom w:val="single" w:color="000000" w:sz="4" w:space="0"/>
              <w:right w:val="single" w:color="000000" w:sz="4" w:space="0"/>
            </w:tcBorders>
            <w:vAlign w:val="center"/>
          </w:tcPr>
          <w:p w14:paraId="7E2A07D1">
            <w:pPr>
              <w:widowControl/>
              <w:jc w:val="center"/>
              <w:textAlignment w:val="center"/>
              <w:rPr>
                <w:rFonts w:hint="eastAsia" w:ascii="宋体" w:hAnsi="宋体" w:cs="宋体"/>
                <w:color w:val="000000"/>
                <w:kern w:val="0"/>
                <w:sz w:val="20"/>
                <w:szCs w:val="20"/>
                <w:lang w:bidi="ar"/>
              </w:rPr>
            </w:pPr>
          </w:p>
        </w:tc>
        <w:tc>
          <w:tcPr>
            <w:tcW w:w="1143" w:type="dxa"/>
            <w:tcBorders>
              <w:top w:val="single" w:color="000000" w:sz="4" w:space="0"/>
              <w:left w:val="single" w:color="000000" w:sz="4" w:space="0"/>
              <w:bottom w:val="single" w:color="000000" w:sz="4" w:space="0"/>
              <w:right w:val="single" w:color="000000" w:sz="4" w:space="0"/>
            </w:tcBorders>
            <w:vAlign w:val="center"/>
          </w:tcPr>
          <w:p w14:paraId="43F741C5">
            <w:pPr>
              <w:widowControl/>
              <w:jc w:val="center"/>
              <w:textAlignment w:val="center"/>
              <w:rPr>
                <w:rFonts w:hint="eastAsia" w:ascii="宋体" w:hAnsi="宋体" w:cs="宋体"/>
                <w:color w:val="000000"/>
                <w:kern w:val="0"/>
                <w:sz w:val="20"/>
                <w:szCs w:val="20"/>
                <w:lang w:bidi="ar"/>
              </w:rPr>
            </w:pPr>
          </w:p>
        </w:tc>
        <w:tc>
          <w:tcPr>
            <w:tcW w:w="763" w:type="dxa"/>
            <w:tcBorders>
              <w:top w:val="single" w:color="000000" w:sz="4" w:space="0"/>
              <w:left w:val="single" w:color="000000" w:sz="4" w:space="0"/>
              <w:bottom w:val="single" w:color="000000" w:sz="4" w:space="0"/>
              <w:right w:val="single" w:color="000000" w:sz="4" w:space="0"/>
            </w:tcBorders>
            <w:vAlign w:val="center"/>
          </w:tcPr>
          <w:p w14:paraId="117F5743">
            <w:pPr>
              <w:widowControl/>
              <w:jc w:val="center"/>
              <w:textAlignment w:val="center"/>
              <w:rPr>
                <w:rFonts w:hint="eastAsia" w:ascii="宋体" w:hAnsi="宋体" w:cs="宋体"/>
                <w:color w:val="000000"/>
                <w:kern w:val="0"/>
                <w:sz w:val="20"/>
                <w:szCs w:val="20"/>
                <w:lang w:bidi="ar"/>
              </w:rPr>
            </w:pPr>
          </w:p>
        </w:tc>
        <w:tc>
          <w:tcPr>
            <w:tcW w:w="741" w:type="dxa"/>
            <w:tcBorders>
              <w:top w:val="single" w:color="000000" w:sz="4" w:space="0"/>
              <w:left w:val="single" w:color="000000" w:sz="4" w:space="0"/>
              <w:bottom w:val="single" w:color="000000" w:sz="4" w:space="0"/>
              <w:right w:val="single" w:color="000000" w:sz="4" w:space="0"/>
            </w:tcBorders>
            <w:vAlign w:val="center"/>
          </w:tcPr>
          <w:p w14:paraId="3A1DF6FF">
            <w:pPr>
              <w:widowControl/>
              <w:jc w:val="center"/>
              <w:textAlignment w:val="center"/>
              <w:rPr>
                <w:rFonts w:hint="eastAsia" w:ascii="宋体" w:hAnsi="宋体" w:cs="宋体"/>
                <w:color w:val="000000"/>
                <w:kern w:val="0"/>
                <w:sz w:val="20"/>
                <w:szCs w:val="20"/>
                <w:lang w:bidi="ar"/>
              </w:rPr>
            </w:pPr>
          </w:p>
        </w:tc>
      </w:tr>
      <w:tr w14:paraId="593B91A4">
        <w:tblPrEx>
          <w:tblCellMar>
            <w:top w:w="0" w:type="dxa"/>
            <w:left w:w="108" w:type="dxa"/>
            <w:bottom w:w="0" w:type="dxa"/>
            <w:right w:w="108" w:type="dxa"/>
          </w:tblCellMar>
        </w:tblPrEx>
        <w:trPr>
          <w:trHeight w:val="20" w:hRule="atLeast"/>
          <w:jc w:val="center"/>
        </w:trPr>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EB8AC4">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40</w:t>
            </w:r>
          </w:p>
        </w:tc>
        <w:tc>
          <w:tcPr>
            <w:tcW w:w="2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CF92E2">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17种发热伴出疹病原体核酸多重联检试剂盒[全预混版]（实时荧光PCR法）</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244387">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50T</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084F74">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盒</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9294D9">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20</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EF785C">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13600</w:t>
            </w:r>
          </w:p>
        </w:tc>
        <w:tc>
          <w:tcPr>
            <w:tcW w:w="992" w:type="dxa"/>
            <w:tcBorders>
              <w:top w:val="single" w:color="000000" w:sz="4" w:space="0"/>
              <w:left w:val="single" w:color="000000" w:sz="4" w:space="0"/>
              <w:bottom w:val="single" w:color="000000" w:sz="4" w:space="0"/>
              <w:right w:val="single" w:color="000000" w:sz="4" w:space="0"/>
            </w:tcBorders>
            <w:vAlign w:val="center"/>
          </w:tcPr>
          <w:p w14:paraId="3EF36605">
            <w:pPr>
              <w:widowControl/>
              <w:jc w:val="center"/>
              <w:textAlignment w:val="center"/>
              <w:rPr>
                <w:rFonts w:hint="eastAsia" w:ascii="宋体" w:hAnsi="宋体" w:cs="宋体"/>
                <w:color w:val="000000"/>
                <w:kern w:val="0"/>
                <w:sz w:val="20"/>
                <w:szCs w:val="20"/>
                <w:lang w:bidi="ar"/>
              </w:rPr>
            </w:pPr>
          </w:p>
        </w:tc>
        <w:tc>
          <w:tcPr>
            <w:tcW w:w="1239" w:type="dxa"/>
            <w:tcBorders>
              <w:top w:val="single" w:color="000000" w:sz="4" w:space="0"/>
              <w:left w:val="single" w:color="000000" w:sz="4" w:space="0"/>
              <w:bottom w:val="single" w:color="000000" w:sz="4" w:space="0"/>
              <w:right w:val="single" w:color="000000" w:sz="4" w:space="0"/>
            </w:tcBorders>
            <w:vAlign w:val="center"/>
          </w:tcPr>
          <w:p w14:paraId="273539AA">
            <w:pPr>
              <w:widowControl/>
              <w:jc w:val="center"/>
              <w:textAlignment w:val="center"/>
              <w:rPr>
                <w:rFonts w:hint="eastAsia" w:ascii="宋体" w:hAnsi="宋体" w:cs="宋体"/>
                <w:color w:val="000000"/>
                <w:kern w:val="0"/>
                <w:sz w:val="20"/>
                <w:szCs w:val="20"/>
                <w:lang w:bidi="ar"/>
              </w:rPr>
            </w:pPr>
          </w:p>
        </w:tc>
        <w:tc>
          <w:tcPr>
            <w:tcW w:w="900" w:type="dxa"/>
            <w:tcBorders>
              <w:top w:val="single" w:color="000000" w:sz="4" w:space="0"/>
              <w:left w:val="single" w:color="000000" w:sz="4" w:space="0"/>
              <w:bottom w:val="single" w:color="000000" w:sz="4" w:space="0"/>
              <w:right w:val="single" w:color="000000" w:sz="4" w:space="0"/>
            </w:tcBorders>
            <w:vAlign w:val="center"/>
          </w:tcPr>
          <w:p w14:paraId="69E53141">
            <w:pPr>
              <w:widowControl/>
              <w:jc w:val="center"/>
              <w:textAlignment w:val="center"/>
              <w:rPr>
                <w:rFonts w:hint="eastAsia" w:ascii="宋体" w:hAnsi="宋体" w:cs="宋体"/>
                <w:color w:val="000000"/>
                <w:kern w:val="0"/>
                <w:sz w:val="20"/>
                <w:szCs w:val="20"/>
                <w:lang w:bidi="ar"/>
              </w:rPr>
            </w:pPr>
          </w:p>
        </w:tc>
        <w:tc>
          <w:tcPr>
            <w:tcW w:w="832" w:type="dxa"/>
            <w:tcBorders>
              <w:top w:val="single" w:color="000000" w:sz="4" w:space="0"/>
              <w:left w:val="single" w:color="000000" w:sz="4" w:space="0"/>
              <w:bottom w:val="single" w:color="000000" w:sz="4" w:space="0"/>
              <w:right w:val="single" w:color="000000" w:sz="4" w:space="0"/>
            </w:tcBorders>
            <w:vAlign w:val="center"/>
          </w:tcPr>
          <w:p w14:paraId="0FB8C709">
            <w:pPr>
              <w:widowControl/>
              <w:jc w:val="center"/>
              <w:textAlignment w:val="center"/>
              <w:rPr>
                <w:rFonts w:hint="eastAsia" w:ascii="宋体" w:hAnsi="宋体" w:cs="宋体"/>
                <w:color w:val="000000"/>
                <w:kern w:val="0"/>
                <w:sz w:val="20"/>
                <w:szCs w:val="20"/>
                <w:lang w:bidi="ar"/>
              </w:rPr>
            </w:pPr>
          </w:p>
        </w:tc>
        <w:tc>
          <w:tcPr>
            <w:tcW w:w="1143" w:type="dxa"/>
            <w:tcBorders>
              <w:top w:val="single" w:color="000000" w:sz="4" w:space="0"/>
              <w:left w:val="single" w:color="000000" w:sz="4" w:space="0"/>
              <w:bottom w:val="single" w:color="000000" w:sz="4" w:space="0"/>
              <w:right w:val="single" w:color="000000" w:sz="4" w:space="0"/>
            </w:tcBorders>
            <w:vAlign w:val="center"/>
          </w:tcPr>
          <w:p w14:paraId="3F22ECF2">
            <w:pPr>
              <w:widowControl/>
              <w:jc w:val="center"/>
              <w:textAlignment w:val="center"/>
              <w:rPr>
                <w:rFonts w:hint="eastAsia" w:ascii="宋体" w:hAnsi="宋体" w:cs="宋体"/>
                <w:color w:val="000000"/>
                <w:kern w:val="0"/>
                <w:sz w:val="20"/>
                <w:szCs w:val="20"/>
                <w:lang w:bidi="ar"/>
              </w:rPr>
            </w:pPr>
          </w:p>
        </w:tc>
        <w:tc>
          <w:tcPr>
            <w:tcW w:w="763" w:type="dxa"/>
            <w:tcBorders>
              <w:top w:val="single" w:color="000000" w:sz="4" w:space="0"/>
              <w:left w:val="single" w:color="000000" w:sz="4" w:space="0"/>
              <w:bottom w:val="single" w:color="000000" w:sz="4" w:space="0"/>
              <w:right w:val="single" w:color="000000" w:sz="4" w:space="0"/>
            </w:tcBorders>
            <w:vAlign w:val="center"/>
          </w:tcPr>
          <w:p w14:paraId="043438C4">
            <w:pPr>
              <w:widowControl/>
              <w:jc w:val="center"/>
              <w:textAlignment w:val="center"/>
              <w:rPr>
                <w:rFonts w:hint="eastAsia" w:ascii="宋体" w:hAnsi="宋体" w:cs="宋体"/>
                <w:color w:val="000000"/>
                <w:kern w:val="0"/>
                <w:sz w:val="20"/>
                <w:szCs w:val="20"/>
                <w:lang w:bidi="ar"/>
              </w:rPr>
            </w:pPr>
          </w:p>
        </w:tc>
        <w:tc>
          <w:tcPr>
            <w:tcW w:w="741" w:type="dxa"/>
            <w:tcBorders>
              <w:top w:val="single" w:color="000000" w:sz="4" w:space="0"/>
              <w:left w:val="single" w:color="000000" w:sz="4" w:space="0"/>
              <w:bottom w:val="single" w:color="000000" w:sz="4" w:space="0"/>
              <w:right w:val="single" w:color="000000" w:sz="4" w:space="0"/>
            </w:tcBorders>
            <w:vAlign w:val="center"/>
          </w:tcPr>
          <w:p w14:paraId="1117ACC1">
            <w:pPr>
              <w:widowControl/>
              <w:jc w:val="center"/>
              <w:textAlignment w:val="center"/>
              <w:rPr>
                <w:rFonts w:hint="eastAsia" w:ascii="宋体" w:hAnsi="宋体" w:cs="宋体"/>
                <w:color w:val="000000"/>
                <w:kern w:val="0"/>
                <w:sz w:val="20"/>
                <w:szCs w:val="20"/>
                <w:lang w:bidi="ar"/>
              </w:rPr>
            </w:pPr>
          </w:p>
        </w:tc>
      </w:tr>
      <w:tr w14:paraId="59339B3D">
        <w:tblPrEx>
          <w:tblCellMar>
            <w:top w:w="0" w:type="dxa"/>
            <w:left w:w="108" w:type="dxa"/>
            <w:bottom w:w="0" w:type="dxa"/>
            <w:right w:w="108" w:type="dxa"/>
          </w:tblCellMar>
        </w:tblPrEx>
        <w:trPr>
          <w:trHeight w:val="20" w:hRule="atLeast"/>
          <w:jc w:val="center"/>
        </w:trPr>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EF1CB6">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41</w:t>
            </w:r>
          </w:p>
        </w:tc>
        <w:tc>
          <w:tcPr>
            <w:tcW w:w="2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5760EC">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22种发热伴出血病原体核酸联检试剂盒[全预混版]（实时荧光PCR法）</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E9DE71">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50T</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DC7251">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盒</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FFEC5D">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217DD7">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17600</w:t>
            </w:r>
          </w:p>
        </w:tc>
        <w:tc>
          <w:tcPr>
            <w:tcW w:w="992" w:type="dxa"/>
            <w:tcBorders>
              <w:top w:val="single" w:color="000000" w:sz="4" w:space="0"/>
              <w:left w:val="single" w:color="000000" w:sz="4" w:space="0"/>
              <w:bottom w:val="single" w:color="000000" w:sz="4" w:space="0"/>
              <w:right w:val="single" w:color="000000" w:sz="4" w:space="0"/>
            </w:tcBorders>
            <w:vAlign w:val="center"/>
          </w:tcPr>
          <w:p w14:paraId="634EA14F">
            <w:pPr>
              <w:widowControl/>
              <w:jc w:val="center"/>
              <w:textAlignment w:val="center"/>
              <w:rPr>
                <w:rFonts w:hint="eastAsia" w:ascii="宋体" w:hAnsi="宋体" w:cs="宋体"/>
                <w:color w:val="000000"/>
                <w:kern w:val="0"/>
                <w:sz w:val="20"/>
                <w:szCs w:val="20"/>
                <w:lang w:bidi="ar"/>
              </w:rPr>
            </w:pPr>
          </w:p>
        </w:tc>
        <w:tc>
          <w:tcPr>
            <w:tcW w:w="1239" w:type="dxa"/>
            <w:tcBorders>
              <w:top w:val="single" w:color="000000" w:sz="4" w:space="0"/>
              <w:left w:val="single" w:color="000000" w:sz="4" w:space="0"/>
              <w:bottom w:val="single" w:color="000000" w:sz="4" w:space="0"/>
              <w:right w:val="single" w:color="000000" w:sz="4" w:space="0"/>
            </w:tcBorders>
            <w:vAlign w:val="center"/>
          </w:tcPr>
          <w:p w14:paraId="220AA779">
            <w:pPr>
              <w:widowControl/>
              <w:jc w:val="center"/>
              <w:textAlignment w:val="center"/>
              <w:rPr>
                <w:rFonts w:hint="eastAsia" w:ascii="宋体" w:hAnsi="宋体" w:cs="宋体"/>
                <w:color w:val="000000"/>
                <w:kern w:val="0"/>
                <w:sz w:val="20"/>
                <w:szCs w:val="20"/>
                <w:lang w:bidi="ar"/>
              </w:rPr>
            </w:pPr>
          </w:p>
        </w:tc>
        <w:tc>
          <w:tcPr>
            <w:tcW w:w="900" w:type="dxa"/>
            <w:tcBorders>
              <w:top w:val="single" w:color="000000" w:sz="4" w:space="0"/>
              <w:left w:val="single" w:color="000000" w:sz="4" w:space="0"/>
              <w:bottom w:val="single" w:color="000000" w:sz="4" w:space="0"/>
              <w:right w:val="single" w:color="000000" w:sz="4" w:space="0"/>
            </w:tcBorders>
            <w:vAlign w:val="center"/>
          </w:tcPr>
          <w:p w14:paraId="6EA5734D">
            <w:pPr>
              <w:widowControl/>
              <w:jc w:val="center"/>
              <w:textAlignment w:val="center"/>
              <w:rPr>
                <w:rFonts w:hint="eastAsia" w:ascii="宋体" w:hAnsi="宋体" w:cs="宋体"/>
                <w:color w:val="000000"/>
                <w:kern w:val="0"/>
                <w:sz w:val="20"/>
                <w:szCs w:val="20"/>
                <w:lang w:bidi="ar"/>
              </w:rPr>
            </w:pPr>
          </w:p>
        </w:tc>
        <w:tc>
          <w:tcPr>
            <w:tcW w:w="832" w:type="dxa"/>
            <w:tcBorders>
              <w:top w:val="single" w:color="000000" w:sz="4" w:space="0"/>
              <w:left w:val="single" w:color="000000" w:sz="4" w:space="0"/>
              <w:bottom w:val="single" w:color="000000" w:sz="4" w:space="0"/>
              <w:right w:val="single" w:color="000000" w:sz="4" w:space="0"/>
            </w:tcBorders>
            <w:vAlign w:val="center"/>
          </w:tcPr>
          <w:p w14:paraId="4186FC47">
            <w:pPr>
              <w:widowControl/>
              <w:jc w:val="center"/>
              <w:textAlignment w:val="center"/>
              <w:rPr>
                <w:rFonts w:hint="eastAsia" w:ascii="宋体" w:hAnsi="宋体" w:cs="宋体"/>
                <w:color w:val="000000"/>
                <w:kern w:val="0"/>
                <w:sz w:val="20"/>
                <w:szCs w:val="20"/>
                <w:lang w:bidi="ar"/>
              </w:rPr>
            </w:pPr>
          </w:p>
        </w:tc>
        <w:tc>
          <w:tcPr>
            <w:tcW w:w="1143" w:type="dxa"/>
            <w:tcBorders>
              <w:top w:val="single" w:color="000000" w:sz="4" w:space="0"/>
              <w:left w:val="single" w:color="000000" w:sz="4" w:space="0"/>
              <w:bottom w:val="single" w:color="000000" w:sz="4" w:space="0"/>
              <w:right w:val="single" w:color="000000" w:sz="4" w:space="0"/>
            </w:tcBorders>
            <w:vAlign w:val="center"/>
          </w:tcPr>
          <w:p w14:paraId="59A12F30">
            <w:pPr>
              <w:widowControl/>
              <w:jc w:val="center"/>
              <w:textAlignment w:val="center"/>
              <w:rPr>
                <w:rFonts w:hint="eastAsia" w:ascii="宋体" w:hAnsi="宋体" w:cs="宋体"/>
                <w:color w:val="000000"/>
                <w:kern w:val="0"/>
                <w:sz w:val="20"/>
                <w:szCs w:val="20"/>
                <w:lang w:bidi="ar"/>
              </w:rPr>
            </w:pPr>
          </w:p>
        </w:tc>
        <w:tc>
          <w:tcPr>
            <w:tcW w:w="763" w:type="dxa"/>
            <w:tcBorders>
              <w:top w:val="single" w:color="000000" w:sz="4" w:space="0"/>
              <w:left w:val="single" w:color="000000" w:sz="4" w:space="0"/>
              <w:bottom w:val="single" w:color="000000" w:sz="4" w:space="0"/>
              <w:right w:val="single" w:color="000000" w:sz="4" w:space="0"/>
            </w:tcBorders>
            <w:vAlign w:val="center"/>
          </w:tcPr>
          <w:p w14:paraId="20C93A7E">
            <w:pPr>
              <w:widowControl/>
              <w:jc w:val="center"/>
              <w:textAlignment w:val="center"/>
              <w:rPr>
                <w:rFonts w:hint="eastAsia" w:ascii="宋体" w:hAnsi="宋体" w:cs="宋体"/>
                <w:color w:val="000000"/>
                <w:kern w:val="0"/>
                <w:sz w:val="20"/>
                <w:szCs w:val="20"/>
                <w:lang w:bidi="ar"/>
              </w:rPr>
            </w:pPr>
          </w:p>
        </w:tc>
        <w:tc>
          <w:tcPr>
            <w:tcW w:w="741" w:type="dxa"/>
            <w:tcBorders>
              <w:top w:val="single" w:color="000000" w:sz="4" w:space="0"/>
              <w:left w:val="single" w:color="000000" w:sz="4" w:space="0"/>
              <w:bottom w:val="single" w:color="000000" w:sz="4" w:space="0"/>
              <w:right w:val="single" w:color="000000" w:sz="4" w:space="0"/>
            </w:tcBorders>
            <w:vAlign w:val="center"/>
          </w:tcPr>
          <w:p w14:paraId="587AC642">
            <w:pPr>
              <w:widowControl/>
              <w:jc w:val="center"/>
              <w:textAlignment w:val="center"/>
              <w:rPr>
                <w:rFonts w:hint="eastAsia" w:ascii="宋体" w:hAnsi="宋体" w:cs="宋体"/>
                <w:color w:val="000000"/>
                <w:kern w:val="0"/>
                <w:sz w:val="20"/>
                <w:szCs w:val="20"/>
                <w:lang w:bidi="ar"/>
              </w:rPr>
            </w:pPr>
          </w:p>
        </w:tc>
      </w:tr>
      <w:tr w14:paraId="4F86D187">
        <w:tblPrEx>
          <w:tblCellMar>
            <w:top w:w="0" w:type="dxa"/>
            <w:left w:w="108" w:type="dxa"/>
            <w:bottom w:w="0" w:type="dxa"/>
            <w:right w:w="108" w:type="dxa"/>
          </w:tblCellMar>
        </w:tblPrEx>
        <w:trPr>
          <w:trHeight w:val="20" w:hRule="atLeast"/>
          <w:jc w:val="center"/>
        </w:trPr>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8242F7">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42</w:t>
            </w:r>
          </w:p>
        </w:tc>
        <w:tc>
          <w:tcPr>
            <w:tcW w:w="2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E40D51">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22种脑炎/脑膜炎病原体核酸联检试剂盒[全预混版]（实时荧光PCR法）</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8A2DFA">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50T</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469554">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盒</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1D9C9E">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7A9A9B">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17600</w:t>
            </w:r>
          </w:p>
        </w:tc>
        <w:tc>
          <w:tcPr>
            <w:tcW w:w="992" w:type="dxa"/>
            <w:tcBorders>
              <w:top w:val="single" w:color="000000" w:sz="4" w:space="0"/>
              <w:left w:val="single" w:color="000000" w:sz="4" w:space="0"/>
              <w:bottom w:val="single" w:color="000000" w:sz="4" w:space="0"/>
              <w:right w:val="single" w:color="000000" w:sz="4" w:space="0"/>
            </w:tcBorders>
            <w:vAlign w:val="center"/>
          </w:tcPr>
          <w:p w14:paraId="629C6E4E">
            <w:pPr>
              <w:widowControl/>
              <w:jc w:val="center"/>
              <w:textAlignment w:val="center"/>
              <w:rPr>
                <w:rFonts w:hint="eastAsia" w:ascii="宋体" w:hAnsi="宋体" w:cs="宋体"/>
                <w:color w:val="000000"/>
                <w:kern w:val="0"/>
                <w:sz w:val="20"/>
                <w:szCs w:val="20"/>
                <w:lang w:bidi="ar"/>
              </w:rPr>
            </w:pPr>
          </w:p>
        </w:tc>
        <w:tc>
          <w:tcPr>
            <w:tcW w:w="1239" w:type="dxa"/>
            <w:tcBorders>
              <w:top w:val="single" w:color="000000" w:sz="4" w:space="0"/>
              <w:left w:val="single" w:color="000000" w:sz="4" w:space="0"/>
              <w:bottom w:val="single" w:color="000000" w:sz="4" w:space="0"/>
              <w:right w:val="single" w:color="000000" w:sz="4" w:space="0"/>
            </w:tcBorders>
            <w:vAlign w:val="center"/>
          </w:tcPr>
          <w:p w14:paraId="17C447FB">
            <w:pPr>
              <w:widowControl/>
              <w:jc w:val="center"/>
              <w:textAlignment w:val="center"/>
              <w:rPr>
                <w:rFonts w:hint="eastAsia" w:ascii="宋体" w:hAnsi="宋体" w:cs="宋体"/>
                <w:color w:val="000000"/>
                <w:kern w:val="0"/>
                <w:sz w:val="20"/>
                <w:szCs w:val="20"/>
                <w:lang w:bidi="ar"/>
              </w:rPr>
            </w:pPr>
          </w:p>
        </w:tc>
        <w:tc>
          <w:tcPr>
            <w:tcW w:w="900" w:type="dxa"/>
            <w:tcBorders>
              <w:top w:val="single" w:color="000000" w:sz="4" w:space="0"/>
              <w:left w:val="single" w:color="000000" w:sz="4" w:space="0"/>
              <w:bottom w:val="single" w:color="000000" w:sz="4" w:space="0"/>
              <w:right w:val="single" w:color="000000" w:sz="4" w:space="0"/>
            </w:tcBorders>
            <w:vAlign w:val="center"/>
          </w:tcPr>
          <w:p w14:paraId="5D2542E7">
            <w:pPr>
              <w:widowControl/>
              <w:jc w:val="center"/>
              <w:textAlignment w:val="center"/>
              <w:rPr>
                <w:rFonts w:hint="eastAsia" w:ascii="宋体" w:hAnsi="宋体" w:cs="宋体"/>
                <w:color w:val="000000"/>
                <w:kern w:val="0"/>
                <w:sz w:val="20"/>
                <w:szCs w:val="20"/>
                <w:lang w:bidi="ar"/>
              </w:rPr>
            </w:pPr>
          </w:p>
        </w:tc>
        <w:tc>
          <w:tcPr>
            <w:tcW w:w="832" w:type="dxa"/>
            <w:tcBorders>
              <w:top w:val="single" w:color="000000" w:sz="4" w:space="0"/>
              <w:left w:val="single" w:color="000000" w:sz="4" w:space="0"/>
              <w:bottom w:val="single" w:color="000000" w:sz="4" w:space="0"/>
              <w:right w:val="single" w:color="000000" w:sz="4" w:space="0"/>
            </w:tcBorders>
            <w:vAlign w:val="center"/>
          </w:tcPr>
          <w:p w14:paraId="46D001C4">
            <w:pPr>
              <w:widowControl/>
              <w:jc w:val="center"/>
              <w:textAlignment w:val="center"/>
              <w:rPr>
                <w:rFonts w:hint="eastAsia" w:ascii="宋体" w:hAnsi="宋体" w:cs="宋体"/>
                <w:color w:val="000000"/>
                <w:kern w:val="0"/>
                <w:sz w:val="20"/>
                <w:szCs w:val="20"/>
                <w:lang w:bidi="ar"/>
              </w:rPr>
            </w:pPr>
          </w:p>
        </w:tc>
        <w:tc>
          <w:tcPr>
            <w:tcW w:w="1143" w:type="dxa"/>
            <w:tcBorders>
              <w:top w:val="single" w:color="000000" w:sz="4" w:space="0"/>
              <w:left w:val="single" w:color="000000" w:sz="4" w:space="0"/>
              <w:bottom w:val="single" w:color="000000" w:sz="4" w:space="0"/>
              <w:right w:val="single" w:color="000000" w:sz="4" w:space="0"/>
            </w:tcBorders>
            <w:vAlign w:val="center"/>
          </w:tcPr>
          <w:p w14:paraId="1E6BD3C9">
            <w:pPr>
              <w:widowControl/>
              <w:jc w:val="center"/>
              <w:textAlignment w:val="center"/>
              <w:rPr>
                <w:rFonts w:hint="eastAsia" w:ascii="宋体" w:hAnsi="宋体" w:cs="宋体"/>
                <w:color w:val="000000"/>
                <w:kern w:val="0"/>
                <w:sz w:val="20"/>
                <w:szCs w:val="20"/>
                <w:lang w:bidi="ar"/>
              </w:rPr>
            </w:pPr>
          </w:p>
        </w:tc>
        <w:tc>
          <w:tcPr>
            <w:tcW w:w="763" w:type="dxa"/>
            <w:tcBorders>
              <w:top w:val="single" w:color="000000" w:sz="4" w:space="0"/>
              <w:left w:val="single" w:color="000000" w:sz="4" w:space="0"/>
              <w:bottom w:val="single" w:color="000000" w:sz="4" w:space="0"/>
              <w:right w:val="single" w:color="000000" w:sz="4" w:space="0"/>
            </w:tcBorders>
            <w:vAlign w:val="center"/>
          </w:tcPr>
          <w:p w14:paraId="3BEC5DD0">
            <w:pPr>
              <w:widowControl/>
              <w:jc w:val="center"/>
              <w:textAlignment w:val="center"/>
              <w:rPr>
                <w:rFonts w:hint="eastAsia" w:ascii="宋体" w:hAnsi="宋体" w:cs="宋体"/>
                <w:color w:val="000000"/>
                <w:kern w:val="0"/>
                <w:sz w:val="20"/>
                <w:szCs w:val="20"/>
                <w:lang w:bidi="ar"/>
              </w:rPr>
            </w:pPr>
          </w:p>
        </w:tc>
        <w:tc>
          <w:tcPr>
            <w:tcW w:w="741" w:type="dxa"/>
            <w:tcBorders>
              <w:top w:val="single" w:color="000000" w:sz="4" w:space="0"/>
              <w:left w:val="single" w:color="000000" w:sz="4" w:space="0"/>
              <w:bottom w:val="single" w:color="000000" w:sz="4" w:space="0"/>
              <w:right w:val="single" w:color="000000" w:sz="4" w:space="0"/>
            </w:tcBorders>
            <w:vAlign w:val="center"/>
          </w:tcPr>
          <w:p w14:paraId="1F03FF77">
            <w:pPr>
              <w:widowControl/>
              <w:jc w:val="center"/>
              <w:textAlignment w:val="center"/>
              <w:rPr>
                <w:rFonts w:hint="eastAsia" w:ascii="宋体" w:hAnsi="宋体" w:cs="宋体"/>
                <w:color w:val="000000"/>
                <w:kern w:val="0"/>
                <w:sz w:val="20"/>
                <w:szCs w:val="20"/>
                <w:lang w:bidi="ar"/>
              </w:rPr>
            </w:pPr>
          </w:p>
        </w:tc>
      </w:tr>
      <w:tr w14:paraId="4AA0A8E6">
        <w:tblPrEx>
          <w:tblCellMar>
            <w:top w:w="0" w:type="dxa"/>
            <w:left w:w="108" w:type="dxa"/>
            <w:bottom w:w="0" w:type="dxa"/>
            <w:right w:w="108" w:type="dxa"/>
          </w:tblCellMar>
        </w:tblPrEx>
        <w:trPr>
          <w:trHeight w:val="20" w:hRule="atLeast"/>
          <w:jc w:val="center"/>
        </w:trPr>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B7B2A0">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43</w:t>
            </w:r>
          </w:p>
        </w:tc>
        <w:tc>
          <w:tcPr>
            <w:tcW w:w="2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9BE2F8">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革兰氏阳性菌药敏板链球菌</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E21F2A">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10人份/盒</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F74E24">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盒</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71B07B">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4BBE42">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1360</w:t>
            </w:r>
          </w:p>
        </w:tc>
        <w:tc>
          <w:tcPr>
            <w:tcW w:w="992" w:type="dxa"/>
            <w:tcBorders>
              <w:top w:val="single" w:color="000000" w:sz="4" w:space="0"/>
              <w:left w:val="single" w:color="000000" w:sz="4" w:space="0"/>
              <w:bottom w:val="single" w:color="000000" w:sz="4" w:space="0"/>
              <w:right w:val="single" w:color="000000" w:sz="4" w:space="0"/>
            </w:tcBorders>
            <w:vAlign w:val="center"/>
          </w:tcPr>
          <w:p w14:paraId="64F47B07">
            <w:pPr>
              <w:widowControl/>
              <w:jc w:val="center"/>
              <w:textAlignment w:val="center"/>
              <w:rPr>
                <w:rFonts w:hint="eastAsia" w:ascii="宋体" w:hAnsi="宋体" w:cs="宋体"/>
                <w:color w:val="000000"/>
                <w:kern w:val="0"/>
                <w:sz w:val="20"/>
                <w:szCs w:val="20"/>
                <w:lang w:bidi="ar"/>
              </w:rPr>
            </w:pPr>
          </w:p>
        </w:tc>
        <w:tc>
          <w:tcPr>
            <w:tcW w:w="1239" w:type="dxa"/>
            <w:tcBorders>
              <w:top w:val="single" w:color="000000" w:sz="4" w:space="0"/>
              <w:left w:val="single" w:color="000000" w:sz="4" w:space="0"/>
              <w:bottom w:val="single" w:color="000000" w:sz="4" w:space="0"/>
              <w:right w:val="single" w:color="000000" w:sz="4" w:space="0"/>
            </w:tcBorders>
            <w:vAlign w:val="center"/>
          </w:tcPr>
          <w:p w14:paraId="54000A25">
            <w:pPr>
              <w:widowControl/>
              <w:jc w:val="center"/>
              <w:textAlignment w:val="center"/>
              <w:rPr>
                <w:rFonts w:hint="eastAsia" w:ascii="宋体" w:hAnsi="宋体" w:cs="宋体"/>
                <w:color w:val="000000"/>
                <w:kern w:val="0"/>
                <w:sz w:val="20"/>
                <w:szCs w:val="20"/>
                <w:lang w:bidi="ar"/>
              </w:rPr>
            </w:pPr>
          </w:p>
        </w:tc>
        <w:tc>
          <w:tcPr>
            <w:tcW w:w="900" w:type="dxa"/>
            <w:tcBorders>
              <w:top w:val="single" w:color="000000" w:sz="4" w:space="0"/>
              <w:left w:val="single" w:color="000000" w:sz="4" w:space="0"/>
              <w:bottom w:val="single" w:color="000000" w:sz="4" w:space="0"/>
              <w:right w:val="single" w:color="000000" w:sz="4" w:space="0"/>
            </w:tcBorders>
            <w:vAlign w:val="center"/>
          </w:tcPr>
          <w:p w14:paraId="4FB5802A">
            <w:pPr>
              <w:widowControl/>
              <w:jc w:val="center"/>
              <w:textAlignment w:val="center"/>
              <w:rPr>
                <w:rFonts w:hint="eastAsia" w:ascii="宋体" w:hAnsi="宋体" w:cs="宋体"/>
                <w:color w:val="000000"/>
                <w:kern w:val="0"/>
                <w:sz w:val="20"/>
                <w:szCs w:val="20"/>
                <w:lang w:bidi="ar"/>
              </w:rPr>
            </w:pPr>
          </w:p>
        </w:tc>
        <w:tc>
          <w:tcPr>
            <w:tcW w:w="832" w:type="dxa"/>
            <w:tcBorders>
              <w:top w:val="single" w:color="000000" w:sz="4" w:space="0"/>
              <w:left w:val="single" w:color="000000" w:sz="4" w:space="0"/>
              <w:bottom w:val="single" w:color="000000" w:sz="4" w:space="0"/>
              <w:right w:val="single" w:color="000000" w:sz="4" w:space="0"/>
            </w:tcBorders>
            <w:vAlign w:val="center"/>
          </w:tcPr>
          <w:p w14:paraId="3BAC9780">
            <w:pPr>
              <w:widowControl/>
              <w:jc w:val="center"/>
              <w:textAlignment w:val="center"/>
              <w:rPr>
                <w:rFonts w:hint="eastAsia" w:ascii="宋体" w:hAnsi="宋体" w:cs="宋体"/>
                <w:color w:val="000000"/>
                <w:kern w:val="0"/>
                <w:sz w:val="20"/>
                <w:szCs w:val="20"/>
                <w:lang w:bidi="ar"/>
              </w:rPr>
            </w:pPr>
          </w:p>
        </w:tc>
        <w:tc>
          <w:tcPr>
            <w:tcW w:w="1143" w:type="dxa"/>
            <w:tcBorders>
              <w:top w:val="single" w:color="000000" w:sz="4" w:space="0"/>
              <w:left w:val="single" w:color="000000" w:sz="4" w:space="0"/>
              <w:bottom w:val="single" w:color="000000" w:sz="4" w:space="0"/>
              <w:right w:val="single" w:color="000000" w:sz="4" w:space="0"/>
            </w:tcBorders>
            <w:vAlign w:val="center"/>
          </w:tcPr>
          <w:p w14:paraId="1F81AFEC">
            <w:pPr>
              <w:widowControl/>
              <w:jc w:val="center"/>
              <w:textAlignment w:val="center"/>
              <w:rPr>
                <w:rFonts w:hint="eastAsia" w:ascii="宋体" w:hAnsi="宋体" w:cs="宋体"/>
                <w:color w:val="000000"/>
                <w:kern w:val="0"/>
                <w:sz w:val="20"/>
                <w:szCs w:val="20"/>
                <w:lang w:bidi="ar"/>
              </w:rPr>
            </w:pPr>
          </w:p>
        </w:tc>
        <w:tc>
          <w:tcPr>
            <w:tcW w:w="763" w:type="dxa"/>
            <w:tcBorders>
              <w:top w:val="single" w:color="000000" w:sz="4" w:space="0"/>
              <w:left w:val="single" w:color="000000" w:sz="4" w:space="0"/>
              <w:bottom w:val="single" w:color="000000" w:sz="4" w:space="0"/>
              <w:right w:val="single" w:color="000000" w:sz="4" w:space="0"/>
            </w:tcBorders>
            <w:vAlign w:val="center"/>
          </w:tcPr>
          <w:p w14:paraId="57C7AEC1">
            <w:pPr>
              <w:widowControl/>
              <w:jc w:val="center"/>
              <w:textAlignment w:val="center"/>
              <w:rPr>
                <w:rFonts w:hint="eastAsia" w:ascii="宋体" w:hAnsi="宋体" w:cs="宋体"/>
                <w:color w:val="000000"/>
                <w:kern w:val="0"/>
                <w:sz w:val="20"/>
                <w:szCs w:val="20"/>
                <w:lang w:bidi="ar"/>
              </w:rPr>
            </w:pPr>
          </w:p>
        </w:tc>
        <w:tc>
          <w:tcPr>
            <w:tcW w:w="741" w:type="dxa"/>
            <w:tcBorders>
              <w:top w:val="single" w:color="000000" w:sz="4" w:space="0"/>
              <w:left w:val="single" w:color="000000" w:sz="4" w:space="0"/>
              <w:bottom w:val="single" w:color="000000" w:sz="4" w:space="0"/>
              <w:right w:val="single" w:color="000000" w:sz="4" w:space="0"/>
            </w:tcBorders>
            <w:vAlign w:val="center"/>
          </w:tcPr>
          <w:p w14:paraId="7768A3FB">
            <w:pPr>
              <w:widowControl/>
              <w:jc w:val="center"/>
              <w:textAlignment w:val="center"/>
              <w:rPr>
                <w:rFonts w:hint="eastAsia" w:ascii="宋体" w:hAnsi="宋体" w:cs="宋体"/>
                <w:color w:val="000000"/>
                <w:kern w:val="0"/>
                <w:sz w:val="20"/>
                <w:szCs w:val="20"/>
                <w:lang w:bidi="ar"/>
              </w:rPr>
            </w:pPr>
          </w:p>
        </w:tc>
      </w:tr>
      <w:tr w14:paraId="1726207D">
        <w:tblPrEx>
          <w:tblCellMar>
            <w:top w:w="0" w:type="dxa"/>
            <w:left w:w="108" w:type="dxa"/>
            <w:bottom w:w="0" w:type="dxa"/>
            <w:right w:w="108" w:type="dxa"/>
          </w:tblCellMar>
        </w:tblPrEx>
        <w:trPr>
          <w:trHeight w:val="20" w:hRule="atLeast"/>
          <w:jc w:val="center"/>
        </w:trPr>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56E567">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44</w:t>
            </w:r>
          </w:p>
        </w:tc>
        <w:tc>
          <w:tcPr>
            <w:tcW w:w="2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D15D7B">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急救包</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D58354">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500ML</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AC8A30">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包</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B6963D">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50</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DA5BE9">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12.9</w:t>
            </w:r>
          </w:p>
        </w:tc>
        <w:tc>
          <w:tcPr>
            <w:tcW w:w="992" w:type="dxa"/>
            <w:tcBorders>
              <w:top w:val="single" w:color="000000" w:sz="4" w:space="0"/>
              <w:left w:val="single" w:color="000000" w:sz="4" w:space="0"/>
              <w:bottom w:val="single" w:color="000000" w:sz="4" w:space="0"/>
              <w:right w:val="single" w:color="000000" w:sz="4" w:space="0"/>
            </w:tcBorders>
            <w:vAlign w:val="center"/>
          </w:tcPr>
          <w:p w14:paraId="2A98B1E8">
            <w:pPr>
              <w:widowControl/>
              <w:jc w:val="center"/>
              <w:textAlignment w:val="center"/>
              <w:rPr>
                <w:rFonts w:hint="eastAsia" w:ascii="宋体" w:hAnsi="宋体" w:cs="宋体"/>
                <w:color w:val="000000"/>
                <w:kern w:val="0"/>
                <w:sz w:val="20"/>
                <w:szCs w:val="20"/>
                <w:lang w:bidi="ar"/>
              </w:rPr>
            </w:pPr>
          </w:p>
        </w:tc>
        <w:tc>
          <w:tcPr>
            <w:tcW w:w="1239" w:type="dxa"/>
            <w:tcBorders>
              <w:top w:val="single" w:color="000000" w:sz="4" w:space="0"/>
              <w:left w:val="single" w:color="000000" w:sz="4" w:space="0"/>
              <w:bottom w:val="single" w:color="000000" w:sz="4" w:space="0"/>
              <w:right w:val="single" w:color="000000" w:sz="4" w:space="0"/>
            </w:tcBorders>
            <w:vAlign w:val="center"/>
          </w:tcPr>
          <w:p w14:paraId="15E2AE60">
            <w:pPr>
              <w:widowControl/>
              <w:jc w:val="center"/>
              <w:textAlignment w:val="center"/>
              <w:rPr>
                <w:rFonts w:hint="eastAsia" w:ascii="宋体" w:hAnsi="宋体" w:cs="宋体"/>
                <w:color w:val="000000"/>
                <w:kern w:val="0"/>
                <w:sz w:val="20"/>
                <w:szCs w:val="20"/>
                <w:lang w:bidi="ar"/>
              </w:rPr>
            </w:pPr>
          </w:p>
        </w:tc>
        <w:tc>
          <w:tcPr>
            <w:tcW w:w="900" w:type="dxa"/>
            <w:tcBorders>
              <w:top w:val="single" w:color="000000" w:sz="4" w:space="0"/>
              <w:left w:val="single" w:color="000000" w:sz="4" w:space="0"/>
              <w:bottom w:val="single" w:color="000000" w:sz="4" w:space="0"/>
              <w:right w:val="single" w:color="000000" w:sz="4" w:space="0"/>
            </w:tcBorders>
            <w:vAlign w:val="center"/>
          </w:tcPr>
          <w:p w14:paraId="6BF33B71">
            <w:pPr>
              <w:widowControl/>
              <w:jc w:val="center"/>
              <w:textAlignment w:val="center"/>
              <w:rPr>
                <w:rFonts w:hint="eastAsia" w:ascii="宋体" w:hAnsi="宋体" w:cs="宋体"/>
                <w:color w:val="000000"/>
                <w:kern w:val="0"/>
                <w:sz w:val="20"/>
                <w:szCs w:val="20"/>
                <w:lang w:bidi="ar"/>
              </w:rPr>
            </w:pPr>
          </w:p>
        </w:tc>
        <w:tc>
          <w:tcPr>
            <w:tcW w:w="832" w:type="dxa"/>
            <w:tcBorders>
              <w:top w:val="single" w:color="000000" w:sz="4" w:space="0"/>
              <w:left w:val="single" w:color="000000" w:sz="4" w:space="0"/>
              <w:bottom w:val="single" w:color="000000" w:sz="4" w:space="0"/>
              <w:right w:val="single" w:color="000000" w:sz="4" w:space="0"/>
            </w:tcBorders>
            <w:vAlign w:val="center"/>
          </w:tcPr>
          <w:p w14:paraId="4FF8B3C3">
            <w:pPr>
              <w:widowControl/>
              <w:jc w:val="center"/>
              <w:textAlignment w:val="center"/>
              <w:rPr>
                <w:rFonts w:hint="eastAsia" w:ascii="宋体" w:hAnsi="宋体" w:cs="宋体"/>
                <w:color w:val="000000"/>
                <w:kern w:val="0"/>
                <w:sz w:val="20"/>
                <w:szCs w:val="20"/>
                <w:lang w:bidi="ar"/>
              </w:rPr>
            </w:pPr>
          </w:p>
        </w:tc>
        <w:tc>
          <w:tcPr>
            <w:tcW w:w="1143" w:type="dxa"/>
            <w:tcBorders>
              <w:top w:val="single" w:color="000000" w:sz="4" w:space="0"/>
              <w:left w:val="single" w:color="000000" w:sz="4" w:space="0"/>
              <w:bottom w:val="single" w:color="000000" w:sz="4" w:space="0"/>
              <w:right w:val="single" w:color="000000" w:sz="4" w:space="0"/>
            </w:tcBorders>
            <w:vAlign w:val="center"/>
          </w:tcPr>
          <w:p w14:paraId="4CEBA544">
            <w:pPr>
              <w:widowControl/>
              <w:jc w:val="center"/>
              <w:textAlignment w:val="center"/>
              <w:rPr>
                <w:rFonts w:hint="eastAsia" w:ascii="宋体" w:hAnsi="宋体" w:cs="宋体"/>
                <w:color w:val="000000"/>
                <w:kern w:val="0"/>
                <w:sz w:val="20"/>
                <w:szCs w:val="20"/>
                <w:lang w:bidi="ar"/>
              </w:rPr>
            </w:pPr>
          </w:p>
        </w:tc>
        <w:tc>
          <w:tcPr>
            <w:tcW w:w="763" w:type="dxa"/>
            <w:tcBorders>
              <w:top w:val="single" w:color="000000" w:sz="4" w:space="0"/>
              <w:left w:val="single" w:color="000000" w:sz="4" w:space="0"/>
              <w:bottom w:val="single" w:color="000000" w:sz="4" w:space="0"/>
              <w:right w:val="single" w:color="000000" w:sz="4" w:space="0"/>
            </w:tcBorders>
            <w:vAlign w:val="center"/>
          </w:tcPr>
          <w:p w14:paraId="4BD7885B">
            <w:pPr>
              <w:widowControl/>
              <w:jc w:val="center"/>
              <w:textAlignment w:val="center"/>
              <w:rPr>
                <w:rFonts w:hint="eastAsia" w:ascii="宋体" w:hAnsi="宋体" w:cs="宋体"/>
                <w:color w:val="000000"/>
                <w:kern w:val="0"/>
                <w:sz w:val="20"/>
                <w:szCs w:val="20"/>
                <w:lang w:bidi="ar"/>
              </w:rPr>
            </w:pPr>
          </w:p>
        </w:tc>
        <w:tc>
          <w:tcPr>
            <w:tcW w:w="741" w:type="dxa"/>
            <w:tcBorders>
              <w:top w:val="single" w:color="000000" w:sz="4" w:space="0"/>
              <w:left w:val="single" w:color="000000" w:sz="4" w:space="0"/>
              <w:bottom w:val="single" w:color="000000" w:sz="4" w:space="0"/>
              <w:right w:val="single" w:color="000000" w:sz="4" w:space="0"/>
            </w:tcBorders>
            <w:vAlign w:val="center"/>
          </w:tcPr>
          <w:p w14:paraId="73F6F062">
            <w:pPr>
              <w:widowControl/>
              <w:jc w:val="center"/>
              <w:textAlignment w:val="center"/>
              <w:rPr>
                <w:rFonts w:hint="eastAsia" w:ascii="宋体" w:hAnsi="宋体" w:cs="宋体"/>
                <w:color w:val="000000"/>
                <w:kern w:val="0"/>
                <w:sz w:val="20"/>
                <w:szCs w:val="20"/>
                <w:lang w:bidi="ar"/>
              </w:rPr>
            </w:pPr>
          </w:p>
        </w:tc>
      </w:tr>
      <w:tr w14:paraId="73928A0B">
        <w:tblPrEx>
          <w:tblCellMar>
            <w:top w:w="0" w:type="dxa"/>
            <w:left w:w="108" w:type="dxa"/>
            <w:bottom w:w="0" w:type="dxa"/>
            <w:right w:w="108" w:type="dxa"/>
          </w:tblCellMar>
        </w:tblPrEx>
        <w:trPr>
          <w:trHeight w:val="20" w:hRule="atLeast"/>
          <w:jc w:val="center"/>
        </w:trPr>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A8310E">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45</w:t>
            </w:r>
          </w:p>
        </w:tc>
        <w:tc>
          <w:tcPr>
            <w:tcW w:w="2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369F88">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一次性接种环（10ul）</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C63830">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20*50</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B9CE69">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盒</w:t>
            </w:r>
          </w:p>
        </w:tc>
        <w:tc>
          <w:tcPr>
            <w:tcW w:w="7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DCB65A">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20</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6189CE">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750</w:t>
            </w:r>
          </w:p>
        </w:tc>
        <w:tc>
          <w:tcPr>
            <w:tcW w:w="992" w:type="dxa"/>
            <w:tcBorders>
              <w:top w:val="single" w:color="000000" w:sz="4" w:space="0"/>
              <w:left w:val="single" w:color="000000" w:sz="4" w:space="0"/>
              <w:bottom w:val="single" w:color="000000" w:sz="4" w:space="0"/>
              <w:right w:val="single" w:color="000000" w:sz="4" w:space="0"/>
            </w:tcBorders>
            <w:vAlign w:val="center"/>
          </w:tcPr>
          <w:p w14:paraId="2755C0AC">
            <w:pPr>
              <w:widowControl/>
              <w:jc w:val="center"/>
              <w:textAlignment w:val="center"/>
              <w:rPr>
                <w:rFonts w:hint="eastAsia" w:ascii="宋体" w:hAnsi="宋体" w:cs="宋体"/>
                <w:color w:val="000000"/>
                <w:kern w:val="0"/>
                <w:sz w:val="20"/>
                <w:szCs w:val="20"/>
                <w:lang w:bidi="ar"/>
              </w:rPr>
            </w:pPr>
          </w:p>
        </w:tc>
        <w:tc>
          <w:tcPr>
            <w:tcW w:w="1239" w:type="dxa"/>
            <w:tcBorders>
              <w:top w:val="single" w:color="000000" w:sz="4" w:space="0"/>
              <w:left w:val="single" w:color="000000" w:sz="4" w:space="0"/>
              <w:bottom w:val="single" w:color="000000" w:sz="4" w:space="0"/>
              <w:right w:val="single" w:color="000000" w:sz="4" w:space="0"/>
            </w:tcBorders>
            <w:vAlign w:val="center"/>
          </w:tcPr>
          <w:p w14:paraId="7E5014FD">
            <w:pPr>
              <w:widowControl/>
              <w:jc w:val="center"/>
              <w:textAlignment w:val="center"/>
              <w:rPr>
                <w:rFonts w:hint="eastAsia" w:ascii="宋体" w:hAnsi="宋体" w:cs="宋体"/>
                <w:color w:val="000000"/>
                <w:kern w:val="0"/>
                <w:sz w:val="20"/>
                <w:szCs w:val="20"/>
                <w:lang w:bidi="ar"/>
              </w:rPr>
            </w:pPr>
          </w:p>
        </w:tc>
        <w:tc>
          <w:tcPr>
            <w:tcW w:w="900" w:type="dxa"/>
            <w:tcBorders>
              <w:top w:val="single" w:color="000000" w:sz="4" w:space="0"/>
              <w:left w:val="single" w:color="000000" w:sz="4" w:space="0"/>
              <w:bottom w:val="single" w:color="000000" w:sz="4" w:space="0"/>
              <w:right w:val="single" w:color="000000" w:sz="4" w:space="0"/>
            </w:tcBorders>
            <w:vAlign w:val="center"/>
          </w:tcPr>
          <w:p w14:paraId="7104AB7F">
            <w:pPr>
              <w:widowControl/>
              <w:jc w:val="center"/>
              <w:textAlignment w:val="center"/>
              <w:rPr>
                <w:rFonts w:hint="eastAsia" w:ascii="宋体" w:hAnsi="宋体" w:cs="宋体"/>
                <w:color w:val="000000"/>
                <w:kern w:val="0"/>
                <w:sz w:val="20"/>
                <w:szCs w:val="20"/>
                <w:lang w:bidi="ar"/>
              </w:rPr>
            </w:pPr>
          </w:p>
        </w:tc>
        <w:tc>
          <w:tcPr>
            <w:tcW w:w="832" w:type="dxa"/>
            <w:tcBorders>
              <w:top w:val="single" w:color="000000" w:sz="4" w:space="0"/>
              <w:left w:val="single" w:color="000000" w:sz="4" w:space="0"/>
              <w:bottom w:val="single" w:color="000000" w:sz="4" w:space="0"/>
              <w:right w:val="single" w:color="000000" w:sz="4" w:space="0"/>
            </w:tcBorders>
            <w:vAlign w:val="center"/>
          </w:tcPr>
          <w:p w14:paraId="3F7E11D8">
            <w:pPr>
              <w:widowControl/>
              <w:jc w:val="center"/>
              <w:textAlignment w:val="center"/>
              <w:rPr>
                <w:rFonts w:hint="eastAsia" w:ascii="宋体" w:hAnsi="宋体" w:cs="宋体"/>
                <w:color w:val="000000"/>
                <w:kern w:val="0"/>
                <w:sz w:val="20"/>
                <w:szCs w:val="20"/>
                <w:lang w:bidi="ar"/>
              </w:rPr>
            </w:pPr>
          </w:p>
        </w:tc>
        <w:tc>
          <w:tcPr>
            <w:tcW w:w="1143" w:type="dxa"/>
            <w:tcBorders>
              <w:top w:val="single" w:color="000000" w:sz="4" w:space="0"/>
              <w:left w:val="single" w:color="000000" w:sz="4" w:space="0"/>
              <w:bottom w:val="single" w:color="000000" w:sz="4" w:space="0"/>
              <w:right w:val="single" w:color="000000" w:sz="4" w:space="0"/>
            </w:tcBorders>
            <w:vAlign w:val="center"/>
          </w:tcPr>
          <w:p w14:paraId="36124EFB">
            <w:pPr>
              <w:widowControl/>
              <w:jc w:val="center"/>
              <w:textAlignment w:val="center"/>
              <w:rPr>
                <w:rFonts w:hint="eastAsia" w:ascii="宋体" w:hAnsi="宋体" w:cs="宋体"/>
                <w:color w:val="000000"/>
                <w:kern w:val="0"/>
                <w:sz w:val="20"/>
                <w:szCs w:val="20"/>
                <w:lang w:bidi="ar"/>
              </w:rPr>
            </w:pPr>
          </w:p>
        </w:tc>
        <w:tc>
          <w:tcPr>
            <w:tcW w:w="763" w:type="dxa"/>
            <w:tcBorders>
              <w:top w:val="single" w:color="000000" w:sz="4" w:space="0"/>
              <w:left w:val="single" w:color="000000" w:sz="4" w:space="0"/>
              <w:bottom w:val="single" w:color="000000" w:sz="4" w:space="0"/>
              <w:right w:val="single" w:color="000000" w:sz="4" w:space="0"/>
            </w:tcBorders>
            <w:vAlign w:val="center"/>
          </w:tcPr>
          <w:p w14:paraId="1BB74729">
            <w:pPr>
              <w:widowControl/>
              <w:jc w:val="center"/>
              <w:textAlignment w:val="center"/>
              <w:rPr>
                <w:rFonts w:hint="eastAsia" w:ascii="宋体" w:hAnsi="宋体" w:cs="宋体"/>
                <w:color w:val="000000"/>
                <w:kern w:val="0"/>
                <w:sz w:val="20"/>
                <w:szCs w:val="20"/>
                <w:lang w:bidi="ar"/>
              </w:rPr>
            </w:pPr>
          </w:p>
        </w:tc>
        <w:tc>
          <w:tcPr>
            <w:tcW w:w="741" w:type="dxa"/>
            <w:tcBorders>
              <w:top w:val="single" w:color="000000" w:sz="4" w:space="0"/>
              <w:left w:val="single" w:color="000000" w:sz="4" w:space="0"/>
              <w:bottom w:val="single" w:color="000000" w:sz="4" w:space="0"/>
              <w:right w:val="single" w:color="000000" w:sz="4" w:space="0"/>
            </w:tcBorders>
            <w:vAlign w:val="center"/>
          </w:tcPr>
          <w:p w14:paraId="59FA9FC8">
            <w:pPr>
              <w:widowControl/>
              <w:jc w:val="center"/>
              <w:textAlignment w:val="center"/>
              <w:rPr>
                <w:rFonts w:hint="eastAsia" w:ascii="宋体" w:hAnsi="宋体" w:cs="宋体"/>
                <w:color w:val="000000"/>
                <w:kern w:val="0"/>
                <w:sz w:val="20"/>
                <w:szCs w:val="20"/>
                <w:lang w:bidi="ar"/>
              </w:rPr>
            </w:pPr>
          </w:p>
        </w:tc>
      </w:tr>
      <w:tr w14:paraId="27610195">
        <w:tblPrEx>
          <w:tblCellMar>
            <w:top w:w="0" w:type="dxa"/>
            <w:left w:w="108" w:type="dxa"/>
            <w:bottom w:w="0" w:type="dxa"/>
            <w:right w:w="108" w:type="dxa"/>
          </w:tblCellMar>
        </w:tblPrEx>
        <w:trPr>
          <w:trHeight w:val="20" w:hRule="atLeast"/>
          <w:jc w:val="center"/>
        </w:trPr>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0C4A0D">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46</w:t>
            </w:r>
          </w:p>
        </w:tc>
        <w:tc>
          <w:tcPr>
            <w:tcW w:w="2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50D4B3">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一次性接种环（1ul）</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823983">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20*50</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77F687">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盒</w:t>
            </w:r>
          </w:p>
        </w:tc>
        <w:tc>
          <w:tcPr>
            <w:tcW w:w="7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5E1D33">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5</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93DF29">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600</w:t>
            </w:r>
          </w:p>
        </w:tc>
        <w:tc>
          <w:tcPr>
            <w:tcW w:w="992" w:type="dxa"/>
            <w:tcBorders>
              <w:top w:val="single" w:color="000000" w:sz="4" w:space="0"/>
              <w:left w:val="single" w:color="000000" w:sz="4" w:space="0"/>
              <w:bottom w:val="single" w:color="000000" w:sz="4" w:space="0"/>
              <w:right w:val="single" w:color="000000" w:sz="4" w:space="0"/>
            </w:tcBorders>
            <w:vAlign w:val="center"/>
          </w:tcPr>
          <w:p w14:paraId="07D827F8">
            <w:pPr>
              <w:widowControl/>
              <w:jc w:val="center"/>
              <w:textAlignment w:val="center"/>
              <w:rPr>
                <w:rFonts w:hint="eastAsia" w:ascii="宋体" w:hAnsi="宋体" w:cs="宋体"/>
                <w:color w:val="000000"/>
                <w:kern w:val="0"/>
                <w:sz w:val="20"/>
                <w:szCs w:val="20"/>
                <w:lang w:bidi="ar"/>
              </w:rPr>
            </w:pPr>
          </w:p>
        </w:tc>
        <w:tc>
          <w:tcPr>
            <w:tcW w:w="1239" w:type="dxa"/>
            <w:tcBorders>
              <w:top w:val="single" w:color="000000" w:sz="4" w:space="0"/>
              <w:left w:val="single" w:color="000000" w:sz="4" w:space="0"/>
              <w:bottom w:val="single" w:color="000000" w:sz="4" w:space="0"/>
              <w:right w:val="single" w:color="000000" w:sz="4" w:space="0"/>
            </w:tcBorders>
            <w:vAlign w:val="center"/>
          </w:tcPr>
          <w:p w14:paraId="0D28FC58">
            <w:pPr>
              <w:widowControl/>
              <w:jc w:val="center"/>
              <w:textAlignment w:val="center"/>
              <w:rPr>
                <w:rFonts w:hint="eastAsia" w:ascii="宋体" w:hAnsi="宋体" w:cs="宋体"/>
                <w:color w:val="000000"/>
                <w:kern w:val="0"/>
                <w:sz w:val="20"/>
                <w:szCs w:val="20"/>
                <w:lang w:bidi="ar"/>
              </w:rPr>
            </w:pPr>
          </w:p>
        </w:tc>
        <w:tc>
          <w:tcPr>
            <w:tcW w:w="900" w:type="dxa"/>
            <w:tcBorders>
              <w:top w:val="single" w:color="000000" w:sz="4" w:space="0"/>
              <w:left w:val="single" w:color="000000" w:sz="4" w:space="0"/>
              <w:bottom w:val="single" w:color="000000" w:sz="4" w:space="0"/>
              <w:right w:val="single" w:color="000000" w:sz="4" w:space="0"/>
            </w:tcBorders>
            <w:vAlign w:val="center"/>
          </w:tcPr>
          <w:p w14:paraId="676DB12D">
            <w:pPr>
              <w:widowControl/>
              <w:jc w:val="center"/>
              <w:textAlignment w:val="center"/>
              <w:rPr>
                <w:rFonts w:hint="eastAsia" w:ascii="宋体" w:hAnsi="宋体" w:cs="宋体"/>
                <w:color w:val="000000"/>
                <w:kern w:val="0"/>
                <w:sz w:val="20"/>
                <w:szCs w:val="20"/>
                <w:lang w:bidi="ar"/>
              </w:rPr>
            </w:pPr>
          </w:p>
        </w:tc>
        <w:tc>
          <w:tcPr>
            <w:tcW w:w="832" w:type="dxa"/>
            <w:tcBorders>
              <w:top w:val="single" w:color="000000" w:sz="4" w:space="0"/>
              <w:left w:val="single" w:color="000000" w:sz="4" w:space="0"/>
              <w:bottom w:val="single" w:color="000000" w:sz="4" w:space="0"/>
              <w:right w:val="single" w:color="000000" w:sz="4" w:space="0"/>
            </w:tcBorders>
            <w:vAlign w:val="center"/>
          </w:tcPr>
          <w:p w14:paraId="286CA99B">
            <w:pPr>
              <w:widowControl/>
              <w:jc w:val="center"/>
              <w:textAlignment w:val="center"/>
              <w:rPr>
                <w:rFonts w:hint="eastAsia" w:ascii="宋体" w:hAnsi="宋体" w:cs="宋体"/>
                <w:color w:val="000000"/>
                <w:kern w:val="0"/>
                <w:sz w:val="20"/>
                <w:szCs w:val="20"/>
                <w:lang w:bidi="ar"/>
              </w:rPr>
            </w:pPr>
          </w:p>
        </w:tc>
        <w:tc>
          <w:tcPr>
            <w:tcW w:w="1143" w:type="dxa"/>
            <w:tcBorders>
              <w:top w:val="single" w:color="000000" w:sz="4" w:space="0"/>
              <w:left w:val="single" w:color="000000" w:sz="4" w:space="0"/>
              <w:bottom w:val="single" w:color="000000" w:sz="4" w:space="0"/>
              <w:right w:val="single" w:color="000000" w:sz="4" w:space="0"/>
            </w:tcBorders>
            <w:vAlign w:val="center"/>
          </w:tcPr>
          <w:p w14:paraId="22F57A76">
            <w:pPr>
              <w:widowControl/>
              <w:jc w:val="center"/>
              <w:textAlignment w:val="center"/>
              <w:rPr>
                <w:rFonts w:hint="eastAsia" w:ascii="宋体" w:hAnsi="宋体" w:cs="宋体"/>
                <w:color w:val="000000"/>
                <w:kern w:val="0"/>
                <w:sz w:val="20"/>
                <w:szCs w:val="20"/>
                <w:lang w:bidi="ar"/>
              </w:rPr>
            </w:pPr>
          </w:p>
        </w:tc>
        <w:tc>
          <w:tcPr>
            <w:tcW w:w="763" w:type="dxa"/>
            <w:tcBorders>
              <w:top w:val="single" w:color="000000" w:sz="4" w:space="0"/>
              <w:left w:val="single" w:color="000000" w:sz="4" w:space="0"/>
              <w:bottom w:val="single" w:color="000000" w:sz="4" w:space="0"/>
              <w:right w:val="single" w:color="000000" w:sz="4" w:space="0"/>
            </w:tcBorders>
            <w:vAlign w:val="center"/>
          </w:tcPr>
          <w:p w14:paraId="171F4BEF">
            <w:pPr>
              <w:widowControl/>
              <w:jc w:val="center"/>
              <w:textAlignment w:val="center"/>
              <w:rPr>
                <w:rFonts w:hint="eastAsia" w:ascii="宋体" w:hAnsi="宋体" w:cs="宋体"/>
                <w:color w:val="000000"/>
                <w:kern w:val="0"/>
                <w:sz w:val="20"/>
                <w:szCs w:val="20"/>
                <w:lang w:bidi="ar"/>
              </w:rPr>
            </w:pPr>
          </w:p>
        </w:tc>
        <w:tc>
          <w:tcPr>
            <w:tcW w:w="741" w:type="dxa"/>
            <w:tcBorders>
              <w:top w:val="single" w:color="000000" w:sz="4" w:space="0"/>
              <w:left w:val="single" w:color="000000" w:sz="4" w:space="0"/>
              <w:bottom w:val="single" w:color="000000" w:sz="4" w:space="0"/>
              <w:right w:val="single" w:color="000000" w:sz="4" w:space="0"/>
            </w:tcBorders>
            <w:vAlign w:val="center"/>
          </w:tcPr>
          <w:p w14:paraId="5222492D">
            <w:pPr>
              <w:widowControl/>
              <w:jc w:val="center"/>
              <w:textAlignment w:val="center"/>
              <w:rPr>
                <w:rFonts w:hint="eastAsia" w:ascii="宋体" w:hAnsi="宋体" w:cs="宋体"/>
                <w:color w:val="000000"/>
                <w:kern w:val="0"/>
                <w:sz w:val="20"/>
                <w:szCs w:val="20"/>
                <w:lang w:bidi="ar"/>
              </w:rPr>
            </w:pPr>
          </w:p>
        </w:tc>
      </w:tr>
      <w:tr w14:paraId="528F9215">
        <w:tblPrEx>
          <w:tblCellMar>
            <w:top w:w="0" w:type="dxa"/>
            <w:left w:w="108" w:type="dxa"/>
            <w:bottom w:w="0" w:type="dxa"/>
            <w:right w:w="108" w:type="dxa"/>
          </w:tblCellMar>
        </w:tblPrEx>
        <w:trPr>
          <w:trHeight w:val="20" w:hRule="atLeast"/>
          <w:jc w:val="center"/>
        </w:trPr>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4B9851">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47</w:t>
            </w:r>
          </w:p>
        </w:tc>
        <w:tc>
          <w:tcPr>
            <w:tcW w:w="2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6A046C">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一次性接种针</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65A952">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20*50</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217D73">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盒</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9C4454">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3</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CFFF41">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800</w:t>
            </w:r>
          </w:p>
        </w:tc>
        <w:tc>
          <w:tcPr>
            <w:tcW w:w="992" w:type="dxa"/>
            <w:tcBorders>
              <w:top w:val="single" w:color="000000" w:sz="4" w:space="0"/>
              <w:left w:val="single" w:color="000000" w:sz="4" w:space="0"/>
              <w:bottom w:val="single" w:color="000000" w:sz="4" w:space="0"/>
              <w:right w:val="single" w:color="000000" w:sz="4" w:space="0"/>
            </w:tcBorders>
            <w:vAlign w:val="center"/>
          </w:tcPr>
          <w:p w14:paraId="5F865A54">
            <w:pPr>
              <w:widowControl/>
              <w:jc w:val="center"/>
              <w:textAlignment w:val="center"/>
              <w:rPr>
                <w:rFonts w:hint="eastAsia" w:ascii="宋体" w:hAnsi="宋体" w:cs="宋体"/>
                <w:color w:val="000000"/>
                <w:kern w:val="0"/>
                <w:sz w:val="20"/>
                <w:szCs w:val="20"/>
                <w:lang w:bidi="ar"/>
              </w:rPr>
            </w:pPr>
          </w:p>
        </w:tc>
        <w:tc>
          <w:tcPr>
            <w:tcW w:w="1239" w:type="dxa"/>
            <w:tcBorders>
              <w:top w:val="single" w:color="000000" w:sz="4" w:space="0"/>
              <w:left w:val="single" w:color="000000" w:sz="4" w:space="0"/>
              <w:bottom w:val="single" w:color="000000" w:sz="4" w:space="0"/>
              <w:right w:val="single" w:color="000000" w:sz="4" w:space="0"/>
            </w:tcBorders>
            <w:vAlign w:val="center"/>
          </w:tcPr>
          <w:p w14:paraId="4CBE8A83">
            <w:pPr>
              <w:widowControl/>
              <w:jc w:val="center"/>
              <w:textAlignment w:val="center"/>
              <w:rPr>
                <w:rFonts w:hint="eastAsia" w:ascii="宋体" w:hAnsi="宋体" w:cs="宋体"/>
                <w:color w:val="000000"/>
                <w:kern w:val="0"/>
                <w:sz w:val="20"/>
                <w:szCs w:val="20"/>
                <w:lang w:bidi="ar"/>
              </w:rPr>
            </w:pPr>
          </w:p>
        </w:tc>
        <w:tc>
          <w:tcPr>
            <w:tcW w:w="900" w:type="dxa"/>
            <w:tcBorders>
              <w:top w:val="single" w:color="000000" w:sz="4" w:space="0"/>
              <w:left w:val="single" w:color="000000" w:sz="4" w:space="0"/>
              <w:bottom w:val="single" w:color="000000" w:sz="4" w:space="0"/>
              <w:right w:val="single" w:color="000000" w:sz="4" w:space="0"/>
            </w:tcBorders>
            <w:vAlign w:val="center"/>
          </w:tcPr>
          <w:p w14:paraId="193991CE">
            <w:pPr>
              <w:widowControl/>
              <w:jc w:val="center"/>
              <w:textAlignment w:val="center"/>
              <w:rPr>
                <w:rFonts w:hint="eastAsia" w:ascii="宋体" w:hAnsi="宋体" w:cs="宋体"/>
                <w:color w:val="000000"/>
                <w:kern w:val="0"/>
                <w:sz w:val="20"/>
                <w:szCs w:val="20"/>
                <w:lang w:bidi="ar"/>
              </w:rPr>
            </w:pPr>
          </w:p>
        </w:tc>
        <w:tc>
          <w:tcPr>
            <w:tcW w:w="832" w:type="dxa"/>
            <w:tcBorders>
              <w:top w:val="single" w:color="000000" w:sz="4" w:space="0"/>
              <w:left w:val="single" w:color="000000" w:sz="4" w:space="0"/>
              <w:bottom w:val="single" w:color="000000" w:sz="4" w:space="0"/>
              <w:right w:val="single" w:color="000000" w:sz="4" w:space="0"/>
            </w:tcBorders>
            <w:vAlign w:val="center"/>
          </w:tcPr>
          <w:p w14:paraId="083C7E27">
            <w:pPr>
              <w:widowControl/>
              <w:jc w:val="center"/>
              <w:textAlignment w:val="center"/>
              <w:rPr>
                <w:rFonts w:hint="eastAsia" w:ascii="宋体" w:hAnsi="宋体" w:cs="宋体"/>
                <w:color w:val="000000"/>
                <w:kern w:val="0"/>
                <w:sz w:val="20"/>
                <w:szCs w:val="20"/>
                <w:lang w:bidi="ar"/>
              </w:rPr>
            </w:pPr>
          </w:p>
        </w:tc>
        <w:tc>
          <w:tcPr>
            <w:tcW w:w="1143" w:type="dxa"/>
            <w:tcBorders>
              <w:top w:val="single" w:color="000000" w:sz="4" w:space="0"/>
              <w:left w:val="single" w:color="000000" w:sz="4" w:space="0"/>
              <w:bottom w:val="single" w:color="000000" w:sz="4" w:space="0"/>
              <w:right w:val="single" w:color="000000" w:sz="4" w:space="0"/>
            </w:tcBorders>
            <w:vAlign w:val="center"/>
          </w:tcPr>
          <w:p w14:paraId="07C558AA">
            <w:pPr>
              <w:widowControl/>
              <w:jc w:val="center"/>
              <w:textAlignment w:val="center"/>
              <w:rPr>
                <w:rFonts w:hint="eastAsia" w:ascii="宋体" w:hAnsi="宋体" w:cs="宋体"/>
                <w:color w:val="000000"/>
                <w:kern w:val="0"/>
                <w:sz w:val="20"/>
                <w:szCs w:val="20"/>
                <w:lang w:bidi="ar"/>
              </w:rPr>
            </w:pPr>
          </w:p>
        </w:tc>
        <w:tc>
          <w:tcPr>
            <w:tcW w:w="763" w:type="dxa"/>
            <w:tcBorders>
              <w:top w:val="single" w:color="000000" w:sz="4" w:space="0"/>
              <w:left w:val="single" w:color="000000" w:sz="4" w:space="0"/>
              <w:bottom w:val="single" w:color="000000" w:sz="4" w:space="0"/>
              <w:right w:val="single" w:color="000000" w:sz="4" w:space="0"/>
            </w:tcBorders>
            <w:vAlign w:val="center"/>
          </w:tcPr>
          <w:p w14:paraId="0C4CB3A8">
            <w:pPr>
              <w:widowControl/>
              <w:jc w:val="center"/>
              <w:textAlignment w:val="center"/>
              <w:rPr>
                <w:rFonts w:hint="eastAsia" w:ascii="宋体" w:hAnsi="宋体" w:cs="宋体"/>
                <w:color w:val="000000"/>
                <w:kern w:val="0"/>
                <w:sz w:val="20"/>
                <w:szCs w:val="20"/>
                <w:lang w:bidi="ar"/>
              </w:rPr>
            </w:pPr>
          </w:p>
        </w:tc>
        <w:tc>
          <w:tcPr>
            <w:tcW w:w="741" w:type="dxa"/>
            <w:tcBorders>
              <w:top w:val="single" w:color="000000" w:sz="4" w:space="0"/>
              <w:left w:val="single" w:color="000000" w:sz="4" w:space="0"/>
              <w:bottom w:val="single" w:color="000000" w:sz="4" w:space="0"/>
              <w:right w:val="single" w:color="000000" w:sz="4" w:space="0"/>
            </w:tcBorders>
            <w:vAlign w:val="center"/>
          </w:tcPr>
          <w:p w14:paraId="0BA25F2F">
            <w:pPr>
              <w:widowControl/>
              <w:jc w:val="center"/>
              <w:textAlignment w:val="center"/>
              <w:rPr>
                <w:rFonts w:hint="eastAsia" w:ascii="宋体" w:hAnsi="宋体" w:cs="宋体"/>
                <w:color w:val="000000"/>
                <w:kern w:val="0"/>
                <w:sz w:val="20"/>
                <w:szCs w:val="20"/>
                <w:lang w:bidi="ar"/>
              </w:rPr>
            </w:pPr>
          </w:p>
        </w:tc>
      </w:tr>
      <w:tr w14:paraId="330B22CC">
        <w:tblPrEx>
          <w:tblCellMar>
            <w:top w:w="0" w:type="dxa"/>
            <w:left w:w="108" w:type="dxa"/>
            <w:bottom w:w="0" w:type="dxa"/>
            <w:right w:w="108" w:type="dxa"/>
          </w:tblCellMar>
        </w:tblPrEx>
        <w:trPr>
          <w:trHeight w:val="20" w:hRule="atLeast"/>
          <w:jc w:val="center"/>
        </w:trPr>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3E859B">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48</w:t>
            </w:r>
          </w:p>
        </w:tc>
        <w:tc>
          <w:tcPr>
            <w:tcW w:w="2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084505">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吸头20µL</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023C12">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96</w:t>
            </w:r>
            <w:r>
              <w:rPr>
                <w:rStyle w:val="67"/>
                <w:rFonts w:hint="default"/>
                <w:lang w:bidi="ar"/>
              </w:rPr>
              <w:t>个/盒;50盒/箱; 带滤芯; 预消毒</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6BA9EC">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箱</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14465C">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40</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79A7CE">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1250</w:t>
            </w:r>
          </w:p>
        </w:tc>
        <w:tc>
          <w:tcPr>
            <w:tcW w:w="992" w:type="dxa"/>
            <w:tcBorders>
              <w:top w:val="single" w:color="000000" w:sz="4" w:space="0"/>
              <w:left w:val="single" w:color="000000" w:sz="4" w:space="0"/>
              <w:bottom w:val="single" w:color="000000" w:sz="4" w:space="0"/>
              <w:right w:val="single" w:color="000000" w:sz="4" w:space="0"/>
            </w:tcBorders>
            <w:vAlign w:val="center"/>
          </w:tcPr>
          <w:p w14:paraId="38E844B1">
            <w:pPr>
              <w:widowControl/>
              <w:jc w:val="center"/>
              <w:textAlignment w:val="center"/>
              <w:rPr>
                <w:rFonts w:hint="eastAsia" w:ascii="宋体" w:hAnsi="宋体" w:cs="宋体"/>
                <w:color w:val="000000"/>
                <w:kern w:val="0"/>
                <w:sz w:val="20"/>
                <w:szCs w:val="20"/>
                <w:lang w:bidi="ar"/>
              </w:rPr>
            </w:pPr>
          </w:p>
        </w:tc>
        <w:tc>
          <w:tcPr>
            <w:tcW w:w="1239" w:type="dxa"/>
            <w:tcBorders>
              <w:top w:val="single" w:color="000000" w:sz="4" w:space="0"/>
              <w:left w:val="single" w:color="000000" w:sz="4" w:space="0"/>
              <w:bottom w:val="single" w:color="000000" w:sz="4" w:space="0"/>
              <w:right w:val="single" w:color="000000" w:sz="4" w:space="0"/>
            </w:tcBorders>
            <w:vAlign w:val="center"/>
          </w:tcPr>
          <w:p w14:paraId="5B7EA457">
            <w:pPr>
              <w:widowControl/>
              <w:jc w:val="center"/>
              <w:textAlignment w:val="center"/>
              <w:rPr>
                <w:rFonts w:hint="eastAsia" w:ascii="宋体" w:hAnsi="宋体" w:cs="宋体"/>
                <w:color w:val="000000"/>
                <w:kern w:val="0"/>
                <w:sz w:val="20"/>
                <w:szCs w:val="20"/>
                <w:lang w:bidi="ar"/>
              </w:rPr>
            </w:pPr>
          </w:p>
        </w:tc>
        <w:tc>
          <w:tcPr>
            <w:tcW w:w="900" w:type="dxa"/>
            <w:tcBorders>
              <w:top w:val="single" w:color="000000" w:sz="4" w:space="0"/>
              <w:left w:val="single" w:color="000000" w:sz="4" w:space="0"/>
              <w:bottom w:val="single" w:color="000000" w:sz="4" w:space="0"/>
              <w:right w:val="single" w:color="000000" w:sz="4" w:space="0"/>
            </w:tcBorders>
            <w:vAlign w:val="center"/>
          </w:tcPr>
          <w:p w14:paraId="3D701EB3">
            <w:pPr>
              <w:widowControl/>
              <w:jc w:val="center"/>
              <w:textAlignment w:val="center"/>
              <w:rPr>
                <w:rFonts w:hint="eastAsia" w:ascii="宋体" w:hAnsi="宋体" w:cs="宋体"/>
                <w:color w:val="000000"/>
                <w:kern w:val="0"/>
                <w:sz w:val="20"/>
                <w:szCs w:val="20"/>
                <w:lang w:bidi="ar"/>
              </w:rPr>
            </w:pPr>
          </w:p>
        </w:tc>
        <w:tc>
          <w:tcPr>
            <w:tcW w:w="832" w:type="dxa"/>
            <w:tcBorders>
              <w:top w:val="single" w:color="000000" w:sz="4" w:space="0"/>
              <w:left w:val="single" w:color="000000" w:sz="4" w:space="0"/>
              <w:bottom w:val="single" w:color="000000" w:sz="4" w:space="0"/>
              <w:right w:val="single" w:color="000000" w:sz="4" w:space="0"/>
            </w:tcBorders>
            <w:vAlign w:val="center"/>
          </w:tcPr>
          <w:p w14:paraId="2C7DDAFC">
            <w:pPr>
              <w:widowControl/>
              <w:jc w:val="center"/>
              <w:textAlignment w:val="center"/>
              <w:rPr>
                <w:rFonts w:hint="eastAsia" w:ascii="宋体" w:hAnsi="宋体" w:cs="宋体"/>
                <w:color w:val="000000"/>
                <w:kern w:val="0"/>
                <w:sz w:val="20"/>
                <w:szCs w:val="20"/>
                <w:lang w:bidi="ar"/>
              </w:rPr>
            </w:pPr>
          </w:p>
        </w:tc>
        <w:tc>
          <w:tcPr>
            <w:tcW w:w="1143" w:type="dxa"/>
            <w:tcBorders>
              <w:top w:val="single" w:color="000000" w:sz="4" w:space="0"/>
              <w:left w:val="single" w:color="000000" w:sz="4" w:space="0"/>
              <w:bottom w:val="single" w:color="000000" w:sz="4" w:space="0"/>
              <w:right w:val="single" w:color="000000" w:sz="4" w:space="0"/>
            </w:tcBorders>
            <w:vAlign w:val="center"/>
          </w:tcPr>
          <w:p w14:paraId="0CEE49E5">
            <w:pPr>
              <w:widowControl/>
              <w:jc w:val="center"/>
              <w:textAlignment w:val="center"/>
              <w:rPr>
                <w:rFonts w:hint="eastAsia" w:ascii="宋体" w:hAnsi="宋体" w:cs="宋体"/>
                <w:color w:val="000000"/>
                <w:kern w:val="0"/>
                <w:sz w:val="20"/>
                <w:szCs w:val="20"/>
                <w:lang w:bidi="ar"/>
              </w:rPr>
            </w:pPr>
          </w:p>
        </w:tc>
        <w:tc>
          <w:tcPr>
            <w:tcW w:w="763" w:type="dxa"/>
            <w:tcBorders>
              <w:top w:val="single" w:color="000000" w:sz="4" w:space="0"/>
              <w:left w:val="single" w:color="000000" w:sz="4" w:space="0"/>
              <w:bottom w:val="single" w:color="000000" w:sz="4" w:space="0"/>
              <w:right w:val="single" w:color="000000" w:sz="4" w:space="0"/>
            </w:tcBorders>
            <w:vAlign w:val="center"/>
          </w:tcPr>
          <w:p w14:paraId="3560A61B">
            <w:pPr>
              <w:widowControl/>
              <w:jc w:val="center"/>
              <w:textAlignment w:val="center"/>
              <w:rPr>
                <w:rFonts w:hint="eastAsia" w:ascii="宋体" w:hAnsi="宋体" w:cs="宋体"/>
                <w:color w:val="000000"/>
                <w:kern w:val="0"/>
                <w:sz w:val="20"/>
                <w:szCs w:val="20"/>
                <w:lang w:bidi="ar"/>
              </w:rPr>
            </w:pPr>
          </w:p>
        </w:tc>
        <w:tc>
          <w:tcPr>
            <w:tcW w:w="741" w:type="dxa"/>
            <w:tcBorders>
              <w:top w:val="single" w:color="000000" w:sz="4" w:space="0"/>
              <w:left w:val="single" w:color="000000" w:sz="4" w:space="0"/>
              <w:bottom w:val="single" w:color="000000" w:sz="4" w:space="0"/>
              <w:right w:val="single" w:color="000000" w:sz="4" w:space="0"/>
            </w:tcBorders>
            <w:vAlign w:val="center"/>
          </w:tcPr>
          <w:p w14:paraId="63B84DC3">
            <w:pPr>
              <w:widowControl/>
              <w:jc w:val="center"/>
              <w:textAlignment w:val="center"/>
              <w:rPr>
                <w:rFonts w:hint="eastAsia" w:ascii="宋体" w:hAnsi="宋体" w:cs="宋体"/>
                <w:color w:val="000000"/>
                <w:kern w:val="0"/>
                <w:sz w:val="20"/>
                <w:szCs w:val="20"/>
                <w:lang w:bidi="ar"/>
              </w:rPr>
            </w:pPr>
          </w:p>
        </w:tc>
      </w:tr>
      <w:tr w14:paraId="297FAFC9">
        <w:tblPrEx>
          <w:tblCellMar>
            <w:top w:w="0" w:type="dxa"/>
            <w:left w:w="108" w:type="dxa"/>
            <w:bottom w:w="0" w:type="dxa"/>
            <w:right w:w="108" w:type="dxa"/>
          </w:tblCellMar>
        </w:tblPrEx>
        <w:trPr>
          <w:trHeight w:val="20" w:hRule="atLeast"/>
          <w:jc w:val="center"/>
        </w:trPr>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2FD1BC">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49</w:t>
            </w:r>
          </w:p>
        </w:tc>
        <w:tc>
          <w:tcPr>
            <w:tcW w:w="2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20F2C5">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压敏型封板膜</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20A98D">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100片/包，1包/盒</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74A585">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盒</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C9959C">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50</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F57CDF">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2400</w:t>
            </w:r>
          </w:p>
        </w:tc>
        <w:tc>
          <w:tcPr>
            <w:tcW w:w="992" w:type="dxa"/>
            <w:tcBorders>
              <w:top w:val="single" w:color="000000" w:sz="4" w:space="0"/>
              <w:left w:val="single" w:color="000000" w:sz="4" w:space="0"/>
              <w:bottom w:val="single" w:color="000000" w:sz="4" w:space="0"/>
              <w:right w:val="single" w:color="000000" w:sz="4" w:space="0"/>
            </w:tcBorders>
            <w:vAlign w:val="center"/>
          </w:tcPr>
          <w:p w14:paraId="125B3F26">
            <w:pPr>
              <w:widowControl/>
              <w:jc w:val="center"/>
              <w:textAlignment w:val="center"/>
              <w:rPr>
                <w:rFonts w:hint="eastAsia" w:ascii="宋体" w:hAnsi="宋体" w:cs="宋体"/>
                <w:color w:val="000000"/>
                <w:kern w:val="0"/>
                <w:sz w:val="20"/>
                <w:szCs w:val="20"/>
                <w:lang w:bidi="ar"/>
              </w:rPr>
            </w:pPr>
          </w:p>
        </w:tc>
        <w:tc>
          <w:tcPr>
            <w:tcW w:w="1239" w:type="dxa"/>
            <w:tcBorders>
              <w:top w:val="single" w:color="000000" w:sz="4" w:space="0"/>
              <w:left w:val="single" w:color="000000" w:sz="4" w:space="0"/>
              <w:bottom w:val="single" w:color="000000" w:sz="4" w:space="0"/>
              <w:right w:val="single" w:color="000000" w:sz="4" w:space="0"/>
            </w:tcBorders>
            <w:vAlign w:val="center"/>
          </w:tcPr>
          <w:p w14:paraId="267202A5">
            <w:pPr>
              <w:widowControl/>
              <w:jc w:val="center"/>
              <w:textAlignment w:val="center"/>
              <w:rPr>
                <w:rFonts w:hint="eastAsia" w:ascii="宋体" w:hAnsi="宋体" w:cs="宋体"/>
                <w:color w:val="000000"/>
                <w:kern w:val="0"/>
                <w:sz w:val="20"/>
                <w:szCs w:val="20"/>
                <w:lang w:bidi="ar"/>
              </w:rPr>
            </w:pPr>
          </w:p>
        </w:tc>
        <w:tc>
          <w:tcPr>
            <w:tcW w:w="900" w:type="dxa"/>
            <w:tcBorders>
              <w:top w:val="single" w:color="000000" w:sz="4" w:space="0"/>
              <w:left w:val="single" w:color="000000" w:sz="4" w:space="0"/>
              <w:bottom w:val="single" w:color="000000" w:sz="4" w:space="0"/>
              <w:right w:val="single" w:color="000000" w:sz="4" w:space="0"/>
            </w:tcBorders>
            <w:vAlign w:val="center"/>
          </w:tcPr>
          <w:p w14:paraId="50F44A1B">
            <w:pPr>
              <w:widowControl/>
              <w:jc w:val="center"/>
              <w:textAlignment w:val="center"/>
              <w:rPr>
                <w:rFonts w:hint="eastAsia" w:ascii="宋体" w:hAnsi="宋体" w:cs="宋体"/>
                <w:color w:val="000000"/>
                <w:kern w:val="0"/>
                <w:sz w:val="20"/>
                <w:szCs w:val="20"/>
                <w:lang w:bidi="ar"/>
              </w:rPr>
            </w:pPr>
          </w:p>
        </w:tc>
        <w:tc>
          <w:tcPr>
            <w:tcW w:w="832" w:type="dxa"/>
            <w:tcBorders>
              <w:top w:val="single" w:color="000000" w:sz="4" w:space="0"/>
              <w:left w:val="single" w:color="000000" w:sz="4" w:space="0"/>
              <w:bottom w:val="single" w:color="000000" w:sz="4" w:space="0"/>
              <w:right w:val="single" w:color="000000" w:sz="4" w:space="0"/>
            </w:tcBorders>
            <w:vAlign w:val="center"/>
          </w:tcPr>
          <w:p w14:paraId="336F7BDD">
            <w:pPr>
              <w:widowControl/>
              <w:jc w:val="center"/>
              <w:textAlignment w:val="center"/>
              <w:rPr>
                <w:rFonts w:hint="eastAsia" w:ascii="宋体" w:hAnsi="宋体" w:cs="宋体"/>
                <w:color w:val="000000"/>
                <w:kern w:val="0"/>
                <w:sz w:val="20"/>
                <w:szCs w:val="20"/>
                <w:lang w:bidi="ar"/>
              </w:rPr>
            </w:pPr>
          </w:p>
        </w:tc>
        <w:tc>
          <w:tcPr>
            <w:tcW w:w="1143" w:type="dxa"/>
            <w:tcBorders>
              <w:top w:val="single" w:color="000000" w:sz="4" w:space="0"/>
              <w:left w:val="single" w:color="000000" w:sz="4" w:space="0"/>
              <w:bottom w:val="single" w:color="000000" w:sz="4" w:space="0"/>
              <w:right w:val="single" w:color="000000" w:sz="4" w:space="0"/>
            </w:tcBorders>
            <w:vAlign w:val="center"/>
          </w:tcPr>
          <w:p w14:paraId="586487C0">
            <w:pPr>
              <w:widowControl/>
              <w:jc w:val="center"/>
              <w:textAlignment w:val="center"/>
              <w:rPr>
                <w:rFonts w:hint="eastAsia" w:ascii="宋体" w:hAnsi="宋体" w:cs="宋体"/>
                <w:color w:val="000000"/>
                <w:kern w:val="0"/>
                <w:sz w:val="20"/>
                <w:szCs w:val="20"/>
                <w:lang w:bidi="ar"/>
              </w:rPr>
            </w:pPr>
          </w:p>
        </w:tc>
        <w:tc>
          <w:tcPr>
            <w:tcW w:w="763" w:type="dxa"/>
            <w:tcBorders>
              <w:top w:val="single" w:color="000000" w:sz="4" w:space="0"/>
              <w:left w:val="single" w:color="000000" w:sz="4" w:space="0"/>
              <w:bottom w:val="single" w:color="000000" w:sz="4" w:space="0"/>
              <w:right w:val="single" w:color="000000" w:sz="4" w:space="0"/>
            </w:tcBorders>
            <w:vAlign w:val="center"/>
          </w:tcPr>
          <w:p w14:paraId="0FAC91DC">
            <w:pPr>
              <w:widowControl/>
              <w:jc w:val="center"/>
              <w:textAlignment w:val="center"/>
              <w:rPr>
                <w:rFonts w:hint="eastAsia" w:ascii="宋体" w:hAnsi="宋体" w:cs="宋体"/>
                <w:color w:val="000000"/>
                <w:kern w:val="0"/>
                <w:sz w:val="20"/>
                <w:szCs w:val="20"/>
                <w:lang w:bidi="ar"/>
              </w:rPr>
            </w:pPr>
          </w:p>
        </w:tc>
        <w:tc>
          <w:tcPr>
            <w:tcW w:w="741" w:type="dxa"/>
            <w:tcBorders>
              <w:top w:val="single" w:color="000000" w:sz="4" w:space="0"/>
              <w:left w:val="single" w:color="000000" w:sz="4" w:space="0"/>
              <w:bottom w:val="single" w:color="000000" w:sz="4" w:space="0"/>
              <w:right w:val="single" w:color="000000" w:sz="4" w:space="0"/>
            </w:tcBorders>
            <w:vAlign w:val="center"/>
          </w:tcPr>
          <w:p w14:paraId="0A15FECF">
            <w:pPr>
              <w:widowControl/>
              <w:jc w:val="center"/>
              <w:textAlignment w:val="center"/>
              <w:rPr>
                <w:rFonts w:hint="eastAsia" w:ascii="宋体" w:hAnsi="宋体" w:cs="宋体"/>
                <w:color w:val="000000"/>
                <w:kern w:val="0"/>
                <w:sz w:val="20"/>
                <w:szCs w:val="20"/>
                <w:lang w:bidi="ar"/>
              </w:rPr>
            </w:pPr>
          </w:p>
        </w:tc>
      </w:tr>
      <w:tr w14:paraId="5B4D9C8E">
        <w:tblPrEx>
          <w:tblCellMar>
            <w:top w:w="0" w:type="dxa"/>
            <w:left w:w="108" w:type="dxa"/>
            <w:bottom w:w="0" w:type="dxa"/>
            <w:right w:w="108" w:type="dxa"/>
          </w:tblCellMar>
        </w:tblPrEx>
        <w:trPr>
          <w:trHeight w:val="20" w:hRule="atLeast"/>
          <w:jc w:val="center"/>
        </w:trPr>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3B842C">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50</w:t>
            </w:r>
          </w:p>
        </w:tc>
        <w:tc>
          <w:tcPr>
            <w:tcW w:w="2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17BC77">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0.2ml半96孔PCR板</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81466A">
            <w:pPr>
              <w:widowControl/>
              <w:jc w:val="center"/>
              <w:textAlignment w:val="center"/>
              <w:rPr>
                <w:rFonts w:ascii="宋体" w:hAnsi="宋体" w:cs="宋体"/>
                <w:color w:val="000000"/>
                <w:kern w:val="0"/>
                <w:sz w:val="20"/>
                <w:szCs w:val="20"/>
                <w:lang w:bidi="ar"/>
              </w:rPr>
            </w:pPr>
            <w:r>
              <w:rPr>
                <w:rFonts w:hint="eastAsia" w:ascii="宋体" w:hAnsi="宋体" w:cs="宋体"/>
                <w:color w:val="000000"/>
                <w:kern w:val="0"/>
                <w:sz w:val="20"/>
                <w:szCs w:val="20"/>
                <w:lang w:bidi="ar"/>
              </w:rPr>
              <w:t>10块/包，2包/盒</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391BB8">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盒</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17A0C3">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100</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6A34A2">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672</w:t>
            </w:r>
          </w:p>
        </w:tc>
        <w:tc>
          <w:tcPr>
            <w:tcW w:w="992" w:type="dxa"/>
            <w:tcBorders>
              <w:top w:val="single" w:color="000000" w:sz="4" w:space="0"/>
              <w:left w:val="single" w:color="000000" w:sz="4" w:space="0"/>
              <w:bottom w:val="single" w:color="000000" w:sz="4" w:space="0"/>
              <w:right w:val="single" w:color="000000" w:sz="4" w:space="0"/>
            </w:tcBorders>
            <w:vAlign w:val="center"/>
          </w:tcPr>
          <w:p w14:paraId="4F914FB5">
            <w:pPr>
              <w:widowControl/>
              <w:jc w:val="center"/>
              <w:textAlignment w:val="center"/>
              <w:rPr>
                <w:rFonts w:hint="eastAsia" w:ascii="宋体" w:hAnsi="宋体" w:cs="宋体"/>
                <w:color w:val="000000"/>
                <w:kern w:val="0"/>
                <w:sz w:val="20"/>
                <w:szCs w:val="20"/>
                <w:lang w:bidi="ar"/>
              </w:rPr>
            </w:pPr>
          </w:p>
        </w:tc>
        <w:tc>
          <w:tcPr>
            <w:tcW w:w="1239" w:type="dxa"/>
            <w:tcBorders>
              <w:top w:val="single" w:color="000000" w:sz="4" w:space="0"/>
              <w:left w:val="single" w:color="000000" w:sz="4" w:space="0"/>
              <w:bottom w:val="single" w:color="000000" w:sz="4" w:space="0"/>
              <w:right w:val="single" w:color="000000" w:sz="4" w:space="0"/>
            </w:tcBorders>
            <w:vAlign w:val="center"/>
          </w:tcPr>
          <w:p w14:paraId="5EE63339">
            <w:pPr>
              <w:widowControl/>
              <w:jc w:val="center"/>
              <w:textAlignment w:val="center"/>
              <w:rPr>
                <w:rFonts w:hint="eastAsia" w:ascii="宋体" w:hAnsi="宋体" w:cs="宋体"/>
                <w:color w:val="000000"/>
                <w:kern w:val="0"/>
                <w:sz w:val="20"/>
                <w:szCs w:val="20"/>
                <w:lang w:bidi="ar"/>
              </w:rPr>
            </w:pPr>
          </w:p>
        </w:tc>
        <w:tc>
          <w:tcPr>
            <w:tcW w:w="900" w:type="dxa"/>
            <w:tcBorders>
              <w:top w:val="single" w:color="000000" w:sz="4" w:space="0"/>
              <w:left w:val="single" w:color="000000" w:sz="4" w:space="0"/>
              <w:bottom w:val="single" w:color="000000" w:sz="4" w:space="0"/>
              <w:right w:val="single" w:color="000000" w:sz="4" w:space="0"/>
            </w:tcBorders>
            <w:vAlign w:val="center"/>
          </w:tcPr>
          <w:p w14:paraId="63A1E92C">
            <w:pPr>
              <w:widowControl/>
              <w:jc w:val="center"/>
              <w:textAlignment w:val="center"/>
              <w:rPr>
                <w:rFonts w:hint="eastAsia" w:ascii="宋体" w:hAnsi="宋体" w:cs="宋体"/>
                <w:color w:val="000000"/>
                <w:kern w:val="0"/>
                <w:sz w:val="20"/>
                <w:szCs w:val="20"/>
                <w:lang w:bidi="ar"/>
              </w:rPr>
            </w:pPr>
          </w:p>
        </w:tc>
        <w:tc>
          <w:tcPr>
            <w:tcW w:w="832" w:type="dxa"/>
            <w:tcBorders>
              <w:top w:val="single" w:color="000000" w:sz="4" w:space="0"/>
              <w:left w:val="single" w:color="000000" w:sz="4" w:space="0"/>
              <w:bottom w:val="single" w:color="000000" w:sz="4" w:space="0"/>
              <w:right w:val="single" w:color="000000" w:sz="4" w:space="0"/>
            </w:tcBorders>
            <w:vAlign w:val="center"/>
          </w:tcPr>
          <w:p w14:paraId="28CF99B6">
            <w:pPr>
              <w:widowControl/>
              <w:jc w:val="center"/>
              <w:textAlignment w:val="center"/>
              <w:rPr>
                <w:rFonts w:hint="eastAsia" w:ascii="宋体" w:hAnsi="宋体" w:cs="宋体"/>
                <w:color w:val="000000"/>
                <w:kern w:val="0"/>
                <w:sz w:val="20"/>
                <w:szCs w:val="20"/>
                <w:lang w:bidi="ar"/>
              </w:rPr>
            </w:pPr>
          </w:p>
        </w:tc>
        <w:tc>
          <w:tcPr>
            <w:tcW w:w="1143" w:type="dxa"/>
            <w:tcBorders>
              <w:top w:val="single" w:color="000000" w:sz="4" w:space="0"/>
              <w:left w:val="single" w:color="000000" w:sz="4" w:space="0"/>
              <w:bottom w:val="single" w:color="000000" w:sz="4" w:space="0"/>
              <w:right w:val="single" w:color="000000" w:sz="4" w:space="0"/>
            </w:tcBorders>
            <w:vAlign w:val="center"/>
          </w:tcPr>
          <w:p w14:paraId="3834464C">
            <w:pPr>
              <w:widowControl/>
              <w:jc w:val="center"/>
              <w:textAlignment w:val="center"/>
              <w:rPr>
                <w:rFonts w:hint="eastAsia" w:ascii="宋体" w:hAnsi="宋体" w:cs="宋体"/>
                <w:color w:val="000000"/>
                <w:kern w:val="0"/>
                <w:sz w:val="20"/>
                <w:szCs w:val="20"/>
                <w:lang w:bidi="ar"/>
              </w:rPr>
            </w:pPr>
          </w:p>
        </w:tc>
        <w:tc>
          <w:tcPr>
            <w:tcW w:w="763" w:type="dxa"/>
            <w:tcBorders>
              <w:top w:val="single" w:color="000000" w:sz="4" w:space="0"/>
              <w:left w:val="single" w:color="000000" w:sz="4" w:space="0"/>
              <w:bottom w:val="single" w:color="000000" w:sz="4" w:space="0"/>
              <w:right w:val="single" w:color="000000" w:sz="4" w:space="0"/>
            </w:tcBorders>
            <w:vAlign w:val="center"/>
          </w:tcPr>
          <w:p w14:paraId="33983434">
            <w:pPr>
              <w:widowControl/>
              <w:jc w:val="center"/>
              <w:textAlignment w:val="center"/>
              <w:rPr>
                <w:rFonts w:hint="eastAsia" w:ascii="宋体" w:hAnsi="宋体" w:cs="宋体"/>
                <w:color w:val="000000"/>
                <w:kern w:val="0"/>
                <w:sz w:val="20"/>
                <w:szCs w:val="20"/>
                <w:lang w:bidi="ar"/>
              </w:rPr>
            </w:pPr>
          </w:p>
        </w:tc>
        <w:tc>
          <w:tcPr>
            <w:tcW w:w="741" w:type="dxa"/>
            <w:tcBorders>
              <w:top w:val="single" w:color="000000" w:sz="4" w:space="0"/>
              <w:left w:val="single" w:color="000000" w:sz="4" w:space="0"/>
              <w:bottom w:val="single" w:color="000000" w:sz="4" w:space="0"/>
              <w:right w:val="single" w:color="000000" w:sz="4" w:space="0"/>
            </w:tcBorders>
            <w:vAlign w:val="center"/>
          </w:tcPr>
          <w:p w14:paraId="2D4579FE">
            <w:pPr>
              <w:widowControl/>
              <w:jc w:val="center"/>
              <w:textAlignment w:val="center"/>
              <w:rPr>
                <w:rFonts w:hint="eastAsia" w:ascii="宋体" w:hAnsi="宋体" w:cs="宋体"/>
                <w:color w:val="000000"/>
                <w:kern w:val="0"/>
                <w:sz w:val="20"/>
                <w:szCs w:val="20"/>
                <w:lang w:bidi="ar"/>
              </w:rPr>
            </w:pPr>
          </w:p>
        </w:tc>
      </w:tr>
      <w:tr w14:paraId="3898F00C">
        <w:tblPrEx>
          <w:tblCellMar>
            <w:top w:w="0" w:type="dxa"/>
            <w:left w:w="108" w:type="dxa"/>
            <w:bottom w:w="0" w:type="dxa"/>
            <w:right w:w="108" w:type="dxa"/>
          </w:tblCellMar>
        </w:tblPrEx>
        <w:trPr>
          <w:trHeight w:val="20" w:hRule="atLeast"/>
          <w:jc w:val="center"/>
        </w:trPr>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58220E">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51</w:t>
            </w:r>
          </w:p>
        </w:tc>
        <w:tc>
          <w:tcPr>
            <w:tcW w:w="2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04B2EB">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六价铬单元素溶液标准物质</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F6D391">
            <w:pPr>
              <w:widowControl/>
              <w:jc w:val="center"/>
              <w:textAlignment w:val="center"/>
              <w:rPr>
                <w:rFonts w:ascii="宋体" w:hAnsi="宋体" w:cs="宋体"/>
                <w:color w:val="000000"/>
                <w:kern w:val="0"/>
                <w:sz w:val="20"/>
                <w:szCs w:val="20"/>
                <w:lang w:bidi="ar"/>
              </w:rPr>
            </w:pPr>
            <w:r>
              <w:rPr>
                <w:rFonts w:hint="eastAsia" w:ascii="宋体" w:hAnsi="宋体" w:cs="宋体"/>
                <w:color w:val="000000"/>
                <w:kern w:val="0"/>
                <w:sz w:val="20"/>
                <w:szCs w:val="20"/>
                <w:lang w:bidi="ar"/>
              </w:rPr>
              <w:t>20mL/支</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EEC51A">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支</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EB3AE3">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3</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56A109">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36</w:t>
            </w:r>
          </w:p>
        </w:tc>
        <w:tc>
          <w:tcPr>
            <w:tcW w:w="992" w:type="dxa"/>
            <w:tcBorders>
              <w:top w:val="single" w:color="000000" w:sz="4" w:space="0"/>
              <w:left w:val="single" w:color="000000" w:sz="4" w:space="0"/>
              <w:bottom w:val="single" w:color="000000" w:sz="4" w:space="0"/>
              <w:right w:val="single" w:color="000000" w:sz="4" w:space="0"/>
            </w:tcBorders>
            <w:vAlign w:val="center"/>
          </w:tcPr>
          <w:p w14:paraId="570D813E">
            <w:pPr>
              <w:widowControl/>
              <w:jc w:val="center"/>
              <w:textAlignment w:val="center"/>
              <w:rPr>
                <w:rFonts w:hint="eastAsia" w:ascii="宋体" w:hAnsi="宋体" w:cs="宋体"/>
                <w:color w:val="000000"/>
                <w:kern w:val="0"/>
                <w:sz w:val="20"/>
                <w:szCs w:val="20"/>
                <w:lang w:bidi="ar"/>
              </w:rPr>
            </w:pPr>
          </w:p>
        </w:tc>
        <w:tc>
          <w:tcPr>
            <w:tcW w:w="1239" w:type="dxa"/>
            <w:tcBorders>
              <w:top w:val="single" w:color="000000" w:sz="4" w:space="0"/>
              <w:left w:val="single" w:color="000000" w:sz="4" w:space="0"/>
              <w:bottom w:val="single" w:color="000000" w:sz="4" w:space="0"/>
              <w:right w:val="single" w:color="000000" w:sz="4" w:space="0"/>
            </w:tcBorders>
            <w:vAlign w:val="center"/>
          </w:tcPr>
          <w:p w14:paraId="48E0106B">
            <w:pPr>
              <w:widowControl/>
              <w:jc w:val="center"/>
              <w:textAlignment w:val="center"/>
              <w:rPr>
                <w:rFonts w:hint="eastAsia" w:ascii="宋体" w:hAnsi="宋体" w:cs="宋体"/>
                <w:color w:val="000000"/>
                <w:kern w:val="0"/>
                <w:sz w:val="20"/>
                <w:szCs w:val="20"/>
                <w:lang w:bidi="ar"/>
              </w:rPr>
            </w:pPr>
          </w:p>
        </w:tc>
        <w:tc>
          <w:tcPr>
            <w:tcW w:w="900" w:type="dxa"/>
            <w:tcBorders>
              <w:top w:val="single" w:color="000000" w:sz="4" w:space="0"/>
              <w:left w:val="single" w:color="000000" w:sz="4" w:space="0"/>
              <w:bottom w:val="single" w:color="000000" w:sz="4" w:space="0"/>
              <w:right w:val="single" w:color="000000" w:sz="4" w:space="0"/>
            </w:tcBorders>
            <w:vAlign w:val="center"/>
          </w:tcPr>
          <w:p w14:paraId="43C35A0B">
            <w:pPr>
              <w:widowControl/>
              <w:jc w:val="center"/>
              <w:textAlignment w:val="center"/>
              <w:rPr>
                <w:rFonts w:hint="eastAsia" w:ascii="宋体" w:hAnsi="宋体" w:cs="宋体"/>
                <w:color w:val="000000"/>
                <w:kern w:val="0"/>
                <w:sz w:val="20"/>
                <w:szCs w:val="20"/>
                <w:lang w:bidi="ar"/>
              </w:rPr>
            </w:pPr>
          </w:p>
        </w:tc>
        <w:tc>
          <w:tcPr>
            <w:tcW w:w="832" w:type="dxa"/>
            <w:tcBorders>
              <w:top w:val="single" w:color="000000" w:sz="4" w:space="0"/>
              <w:left w:val="single" w:color="000000" w:sz="4" w:space="0"/>
              <w:bottom w:val="single" w:color="000000" w:sz="4" w:space="0"/>
              <w:right w:val="single" w:color="000000" w:sz="4" w:space="0"/>
            </w:tcBorders>
            <w:vAlign w:val="center"/>
          </w:tcPr>
          <w:p w14:paraId="229DE7B2">
            <w:pPr>
              <w:widowControl/>
              <w:jc w:val="center"/>
              <w:textAlignment w:val="center"/>
              <w:rPr>
                <w:rFonts w:hint="eastAsia" w:ascii="宋体" w:hAnsi="宋体" w:cs="宋体"/>
                <w:color w:val="000000"/>
                <w:kern w:val="0"/>
                <w:sz w:val="20"/>
                <w:szCs w:val="20"/>
                <w:lang w:bidi="ar"/>
              </w:rPr>
            </w:pPr>
          </w:p>
        </w:tc>
        <w:tc>
          <w:tcPr>
            <w:tcW w:w="1143" w:type="dxa"/>
            <w:tcBorders>
              <w:top w:val="single" w:color="000000" w:sz="4" w:space="0"/>
              <w:left w:val="single" w:color="000000" w:sz="4" w:space="0"/>
              <w:bottom w:val="single" w:color="000000" w:sz="4" w:space="0"/>
              <w:right w:val="single" w:color="000000" w:sz="4" w:space="0"/>
            </w:tcBorders>
            <w:vAlign w:val="center"/>
          </w:tcPr>
          <w:p w14:paraId="027589B2">
            <w:pPr>
              <w:widowControl/>
              <w:jc w:val="center"/>
              <w:textAlignment w:val="center"/>
              <w:rPr>
                <w:rFonts w:hint="eastAsia" w:ascii="宋体" w:hAnsi="宋体" w:cs="宋体"/>
                <w:color w:val="000000"/>
                <w:kern w:val="0"/>
                <w:sz w:val="20"/>
                <w:szCs w:val="20"/>
                <w:lang w:bidi="ar"/>
              </w:rPr>
            </w:pPr>
          </w:p>
        </w:tc>
        <w:tc>
          <w:tcPr>
            <w:tcW w:w="763" w:type="dxa"/>
            <w:tcBorders>
              <w:top w:val="single" w:color="000000" w:sz="4" w:space="0"/>
              <w:left w:val="single" w:color="000000" w:sz="4" w:space="0"/>
              <w:bottom w:val="single" w:color="000000" w:sz="4" w:space="0"/>
              <w:right w:val="single" w:color="000000" w:sz="4" w:space="0"/>
            </w:tcBorders>
            <w:vAlign w:val="center"/>
          </w:tcPr>
          <w:p w14:paraId="3D3417B2">
            <w:pPr>
              <w:widowControl/>
              <w:jc w:val="center"/>
              <w:textAlignment w:val="center"/>
              <w:rPr>
                <w:rFonts w:hint="eastAsia" w:ascii="宋体" w:hAnsi="宋体" w:cs="宋体"/>
                <w:color w:val="000000"/>
                <w:kern w:val="0"/>
                <w:sz w:val="20"/>
                <w:szCs w:val="20"/>
                <w:lang w:bidi="ar"/>
              </w:rPr>
            </w:pPr>
          </w:p>
        </w:tc>
        <w:tc>
          <w:tcPr>
            <w:tcW w:w="741" w:type="dxa"/>
            <w:tcBorders>
              <w:top w:val="single" w:color="000000" w:sz="4" w:space="0"/>
              <w:left w:val="single" w:color="000000" w:sz="4" w:space="0"/>
              <w:bottom w:val="single" w:color="000000" w:sz="4" w:space="0"/>
              <w:right w:val="single" w:color="000000" w:sz="4" w:space="0"/>
            </w:tcBorders>
            <w:vAlign w:val="center"/>
          </w:tcPr>
          <w:p w14:paraId="70EB83AC">
            <w:pPr>
              <w:widowControl/>
              <w:jc w:val="center"/>
              <w:textAlignment w:val="center"/>
              <w:rPr>
                <w:rFonts w:hint="eastAsia" w:ascii="宋体" w:hAnsi="宋体" w:cs="宋体"/>
                <w:color w:val="000000"/>
                <w:kern w:val="0"/>
                <w:sz w:val="20"/>
                <w:szCs w:val="20"/>
                <w:lang w:bidi="ar"/>
              </w:rPr>
            </w:pPr>
          </w:p>
        </w:tc>
      </w:tr>
      <w:tr w14:paraId="45386544">
        <w:tblPrEx>
          <w:tblCellMar>
            <w:top w:w="0" w:type="dxa"/>
            <w:left w:w="108" w:type="dxa"/>
            <w:bottom w:w="0" w:type="dxa"/>
            <w:right w:w="108" w:type="dxa"/>
          </w:tblCellMar>
        </w:tblPrEx>
        <w:trPr>
          <w:trHeight w:val="20" w:hRule="atLeast"/>
          <w:jc w:val="center"/>
        </w:trPr>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E3BB1F">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52</w:t>
            </w:r>
          </w:p>
        </w:tc>
        <w:tc>
          <w:tcPr>
            <w:tcW w:w="2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64D3F5">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紫外分光光度计溶液标准物质</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72A8C3">
            <w:pPr>
              <w:widowControl/>
              <w:jc w:val="center"/>
              <w:textAlignment w:val="center"/>
              <w:rPr>
                <w:rFonts w:ascii="宋体" w:hAnsi="宋体" w:cs="宋体"/>
                <w:color w:val="000000"/>
                <w:kern w:val="0"/>
                <w:sz w:val="20"/>
                <w:szCs w:val="20"/>
                <w:lang w:bidi="ar"/>
              </w:rPr>
            </w:pPr>
            <w:r>
              <w:rPr>
                <w:rFonts w:hint="eastAsia" w:ascii="宋体" w:hAnsi="宋体" w:cs="宋体"/>
                <w:color w:val="000000"/>
                <w:kern w:val="0"/>
                <w:sz w:val="20"/>
                <w:szCs w:val="20"/>
                <w:lang w:bidi="ar"/>
              </w:rPr>
              <w:t>20mL/支</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E35670">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支</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3D2284">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D2EC56">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81</w:t>
            </w:r>
          </w:p>
        </w:tc>
        <w:tc>
          <w:tcPr>
            <w:tcW w:w="992" w:type="dxa"/>
            <w:tcBorders>
              <w:top w:val="single" w:color="000000" w:sz="4" w:space="0"/>
              <w:left w:val="single" w:color="000000" w:sz="4" w:space="0"/>
              <w:bottom w:val="single" w:color="000000" w:sz="4" w:space="0"/>
              <w:right w:val="single" w:color="000000" w:sz="4" w:space="0"/>
            </w:tcBorders>
            <w:vAlign w:val="center"/>
          </w:tcPr>
          <w:p w14:paraId="615A1349">
            <w:pPr>
              <w:widowControl/>
              <w:jc w:val="center"/>
              <w:textAlignment w:val="center"/>
              <w:rPr>
                <w:rFonts w:hint="eastAsia" w:ascii="宋体" w:hAnsi="宋体" w:cs="宋体"/>
                <w:color w:val="000000"/>
                <w:kern w:val="0"/>
                <w:sz w:val="20"/>
                <w:szCs w:val="20"/>
                <w:lang w:bidi="ar"/>
              </w:rPr>
            </w:pPr>
          </w:p>
        </w:tc>
        <w:tc>
          <w:tcPr>
            <w:tcW w:w="1239" w:type="dxa"/>
            <w:tcBorders>
              <w:top w:val="single" w:color="000000" w:sz="4" w:space="0"/>
              <w:left w:val="single" w:color="000000" w:sz="4" w:space="0"/>
              <w:bottom w:val="single" w:color="000000" w:sz="4" w:space="0"/>
              <w:right w:val="single" w:color="000000" w:sz="4" w:space="0"/>
            </w:tcBorders>
            <w:vAlign w:val="center"/>
          </w:tcPr>
          <w:p w14:paraId="7A6A0B1B">
            <w:pPr>
              <w:widowControl/>
              <w:jc w:val="center"/>
              <w:textAlignment w:val="center"/>
              <w:rPr>
                <w:rFonts w:hint="eastAsia" w:ascii="宋体" w:hAnsi="宋体" w:cs="宋体"/>
                <w:color w:val="000000"/>
                <w:kern w:val="0"/>
                <w:sz w:val="20"/>
                <w:szCs w:val="20"/>
                <w:lang w:bidi="ar"/>
              </w:rPr>
            </w:pPr>
          </w:p>
        </w:tc>
        <w:tc>
          <w:tcPr>
            <w:tcW w:w="900" w:type="dxa"/>
            <w:tcBorders>
              <w:top w:val="single" w:color="000000" w:sz="4" w:space="0"/>
              <w:left w:val="single" w:color="000000" w:sz="4" w:space="0"/>
              <w:bottom w:val="single" w:color="000000" w:sz="4" w:space="0"/>
              <w:right w:val="single" w:color="000000" w:sz="4" w:space="0"/>
            </w:tcBorders>
            <w:vAlign w:val="center"/>
          </w:tcPr>
          <w:p w14:paraId="67621A13">
            <w:pPr>
              <w:widowControl/>
              <w:jc w:val="center"/>
              <w:textAlignment w:val="center"/>
              <w:rPr>
                <w:rFonts w:hint="eastAsia" w:ascii="宋体" w:hAnsi="宋体" w:cs="宋体"/>
                <w:color w:val="000000"/>
                <w:kern w:val="0"/>
                <w:sz w:val="20"/>
                <w:szCs w:val="20"/>
                <w:lang w:bidi="ar"/>
              </w:rPr>
            </w:pPr>
          </w:p>
        </w:tc>
        <w:tc>
          <w:tcPr>
            <w:tcW w:w="832" w:type="dxa"/>
            <w:tcBorders>
              <w:top w:val="single" w:color="000000" w:sz="4" w:space="0"/>
              <w:left w:val="single" w:color="000000" w:sz="4" w:space="0"/>
              <w:bottom w:val="single" w:color="000000" w:sz="4" w:space="0"/>
              <w:right w:val="single" w:color="000000" w:sz="4" w:space="0"/>
            </w:tcBorders>
            <w:vAlign w:val="center"/>
          </w:tcPr>
          <w:p w14:paraId="77B75D9A">
            <w:pPr>
              <w:widowControl/>
              <w:jc w:val="center"/>
              <w:textAlignment w:val="center"/>
              <w:rPr>
                <w:rFonts w:hint="eastAsia" w:ascii="宋体" w:hAnsi="宋体" w:cs="宋体"/>
                <w:color w:val="000000"/>
                <w:kern w:val="0"/>
                <w:sz w:val="20"/>
                <w:szCs w:val="20"/>
                <w:lang w:bidi="ar"/>
              </w:rPr>
            </w:pPr>
          </w:p>
        </w:tc>
        <w:tc>
          <w:tcPr>
            <w:tcW w:w="1143" w:type="dxa"/>
            <w:tcBorders>
              <w:top w:val="single" w:color="000000" w:sz="4" w:space="0"/>
              <w:left w:val="single" w:color="000000" w:sz="4" w:space="0"/>
              <w:bottom w:val="single" w:color="000000" w:sz="4" w:space="0"/>
              <w:right w:val="single" w:color="000000" w:sz="4" w:space="0"/>
            </w:tcBorders>
            <w:vAlign w:val="center"/>
          </w:tcPr>
          <w:p w14:paraId="607BCB93">
            <w:pPr>
              <w:widowControl/>
              <w:jc w:val="center"/>
              <w:textAlignment w:val="center"/>
              <w:rPr>
                <w:rFonts w:hint="eastAsia" w:ascii="宋体" w:hAnsi="宋体" w:cs="宋体"/>
                <w:color w:val="000000"/>
                <w:kern w:val="0"/>
                <w:sz w:val="20"/>
                <w:szCs w:val="20"/>
                <w:lang w:bidi="ar"/>
              </w:rPr>
            </w:pPr>
          </w:p>
        </w:tc>
        <w:tc>
          <w:tcPr>
            <w:tcW w:w="763" w:type="dxa"/>
            <w:tcBorders>
              <w:top w:val="single" w:color="000000" w:sz="4" w:space="0"/>
              <w:left w:val="single" w:color="000000" w:sz="4" w:space="0"/>
              <w:bottom w:val="single" w:color="000000" w:sz="4" w:space="0"/>
              <w:right w:val="single" w:color="000000" w:sz="4" w:space="0"/>
            </w:tcBorders>
            <w:vAlign w:val="center"/>
          </w:tcPr>
          <w:p w14:paraId="0D325EB8">
            <w:pPr>
              <w:widowControl/>
              <w:jc w:val="center"/>
              <w:textAlignment w:val="center"/>
              <w:rPr>
                <w:rFonts w:hint="eastAsia" w:ascii="宋体" w:hAnsi="宋体" w:cs="宋体"/>
                <w:color w:val="000000"/>
                <w:kern w:val="0"/>
                <w:sz w:val="20"/>
                <w:szCs w:val="20"/>
                <w:lang w:bidi="ar"/>
              </w:rPr>
            </w:pPr>
          </w:p>
        </w:tc>
        <w:tc>
          <w:tcPr>
            <w:tcW w:w="741" w:type="dxa"/>
            <w:tcBorders>
              <w:top w:val="single" w:color="000000" w:sz="4" w:space="0"/>
              <w:left w:val="single" w:color="000000" w:sz="4" w:space="0"/>
              <w:bottom w:val="single" w:color="000000" w:sz="4" w:space="0"/>
              <w:right w:val="single" w:color="000000" w:sz="4" w:space="0"/>
            </w:tcBorders>
            <w:vAlign w:val="center"/>
          </w:tcPr>
          <w:p w14:paraId="3CD61C3C">
            <w:pPr>
              <w:widowControl/>
              <w:jc w:val="center"/>
              <w:textAlignment w:val="center"/>
              <w:rPr>
                <w:rFonts w:hint="eastAsia" w:ascii="宋体" w:hAnsi="宋体" w:cs="宋体"/>
                <w:color w:val="000000"/>
                <w:kern w:val="0"/>
                <w:sz w:val="20"/>
                <w:szCs w:val="20"/>
                <w:lang w:bidi="ar"/>
              </w:rPr>
            </w:pPr>
          </w:p>
        </w:tc>
      </w:tr>
      <w:tr w14:paraId="6E1C7134">
        <w:tblPrEx>
          <w:tblCellMar>
            <w:top w:w="0" w:type="dxa"/>
            <w:left w:w="108" w:type="dxa"/>
            <w:bottom w:w="0" w:type="dxa"/>
            <w:right w:w="108" w:type="dxa"/>
          </w:tblCellMar>
        </w:tblPrEx>
        <w:trPr>
          <w:trHeight w:val="20" w:hRule="atLeast"/>
          <w:jc w:val="center"/>
        </w:trPr>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C3397F">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53</w:t>
            </w:r>
          </w:p>
        </w:tc>
        <w:tc>
          <w:tcPr>
            <w:tcW w:w="2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375B19">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粉尘中游离二氧化硅质量控制样品（焦磷酸法）</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E1D614">
            <w:pPr>
              <w:widowControl/>
              <w:jc w:val="center"/>
              <w:textAlignment w:val="center"/>
              <w:rPr>
                <w:rFonts w:ascii="宋体" w:hAnsi="宋体" w:cs="宋体"/>
                <w:color w:val="000000"/>
                <w:kern w:val="0"/>
                <w:sz w:val="20"/>
                <w:szCs w:val="20"/>
                <w:lang w:bidi="ar"/>
              </w:rPr>
            </w:pPr>
            <w:r>
              <w:fldChar w:fldCharType="begin"/>
            </w:r>
            <w:r>
              <w:instrText xml:space="preserve"> HYPERLINK "https://www.ncrm.org.cn/Web/Ordering/MaterialDetail?autoID=3054" </w:instrText>
            </w:r>
            <w:r>
              <w:fldChar w:fldCharType="separate"/>
            </w:r>
            <w:r>
              <w:rPr>
                <w:rFonts w:hint="eastAsia" w:ascii="宋体" w:hAnsi="宋体" w:cs="宋体"/>
                <w:color w:val="000000"/>
                <w:kern w:val="0"/>
                <w:sz w:val="20"/>
                <w:szCs w:val="20"/>
                <w:lang w:bidi="ar"/>
              </w:rPr>
              <w:t>粉末</w:t>
            </w:r>
            <w:r>
              <w:rPr>
                <w:rFonts w:hint="eastAsia" w:ascii="宋体" w:hAnsi="宋体" w:cs="宋体"/>
                <w:color w:val="000000"/>
                <w:kern w:val="0"/>
                <w:sz w:val="20"/>
                <w:szCs w:val="20"/>
                <w:lang w:bidi="ar"/>
              </w:rPr>
              <w:fldChar w:fldCharType="end"/>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B9DB12">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盒</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B3221A">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1A2080">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900</w:t>
            </w:r>
          </w:p>
        </w:tc>
        <w:tc>
          <w:tcPr>
            <w:tcW w:w="992" w:type="dxa"/>
            <w:tcBorders>
              <w:top w:val="single" w:color="000000" w:sz="4" w:space="0"/>
              <w:left w:val="single" w:color="000000" w:sz="4" w:space="0"/>
              <w:bottom w:val="single" w:color="000000" w:sz="4" w:space="0"/>
              <w:right w:val="single" w:color="000000" w:sz="4" w:space="0"/>
            </w:tcBorders>
            <w:vAlign w:val="center"/>
          </w:tcPr>
          <w:p w14:paraId="44770644">
            <w:pPr>
              <w:widowControl/>
              <w:jc w:val="center"/>
              <w:textAlignment w:val="center"/>
              <w:rPr>
                <w:rFonts w:hint="eastAsia" w:ascii="宋体" w:hAnsi="宋体" w:cs="宋体"/>
                <w:color w:val="000000"/>
                <w:kern w:val="0"/>
                <w:sz w:val="20"/>
                <w:szCs w:val="20"/>
                <w:lang w:bidi="ar"/>
              </w:rPr>
            </w:pPr>
          </w:p>
        </w:tc>
        <w:tc>
          <w:tcPr>
            <w:tcW w:w="1239" w:type="dxa"/>
            <w:tcBorders>
              <w:top w:val="single" w:color="000000" w:sz="4" w:space="0"/>
              <w:left w:val="single" w:color="000000" w:sz="4" w:space="0"/>
              <w:bottom w:val="single" w:color="000000" w:sz="4" w:space="0"/>
              <w:right w:val="single" w:color="000000" w:sz="4" w:space="0"/>
            </w:tcBorders>
            <w:vAlign w:val="center"/>
          </w:tcPr>
          <w:p w14:paraId="6DE06D93">
            <w:pPr>
              <w:widowControl/>
              <w:jc w:val="center"/>
              <w:textAlignment w:val="center"/>
              <w:rPr>
                <w:rFonts w:hint="eastAsia" w:ascii="宋体" w:hAnsi="宋体" w:cs="宋体"/>
                <w:color w:val="000000"/>
                <w:kern w:val="0"/>
                <w:sz w:val="20"/>
                <w:szCs w:val="20"/>
                <w:lang w:bidi="ar"/>
              </w:rPr>
            </w:pPr>
          </w:p>
        </w:tc>
        <w:tc>
          <w:tcPr>
            <w:tcW w:w="900" w:type="dxa"/>
            <w:tcBorders>
              <w:top w:val="single" w:color="000000" w:sz="4" w:space="0"/>
              <w:left w:val="single" w:color="000000" w:sz="4" w:space="0"/>
              <w:bottom w:val="single" w:color="000000" w:sz="4" w:space="0"/>
              <w:right w:val="single" w:color="000000" w:sz="4" w:space="0"/>
            </w:tcBorders>
            <w:vAlign w:val="center"/>
          </w:tcPr>
          <w:p w14:paraId="16735943">
            <w:pPr>
              <w:widowControl/>
              <w:jc w:val="center"/>
              <w:textAlignment w:val="center"/>
              <w:rPr>
                <w:rFonts w:hint="eastAsia" w:ascii="宋体" w:hAnsi="宋体" w:cs="宋体"/>
                <w:color w:val="000000"/>
                <w:kern w:val="0"/>
                <w:sz w:val="20"/>
                <w:szCs w:val="20"/>
                <w:lang w:bidi="ar"/>
              </w:rPr>
            </w:pPr>
          </w:p>
        </w:tc>
        <w:tc>
          <w:tcPr>
            <w:tcW w:w="832" w:type="dxa"/>
            <w:tcBorders>
              <w:top w:val="single" w:color="000000" w:sz="4" w:space="0"/>
              <w:left w:val="single" w:color="000000" w:sz="4" w:space="0"/>
              <w:bottom w:val="single" w:color="000000" w:sz="4" w:space="0"/>
              <w:right w:val="single" w:color="000000" w:sz="4" w:space="0"/>
            </w:tcBorders>
            <w:vAlign w:val="center"/>
          </w:tcPr>
          <w:p w14:paraId="44D424EF">
            <w:pPr>
              <w:widowControl/>
              <w:jc w:val="center"/>
              <w:textAlignment w:val="center"/>
              <w:rPr>
                <w:rFonts w:hint="eastAsia" w:ascii="宋体" w:hAnsi="宋体" w:cs="宋体"/>
                <w:color w:val="000000"/>
                <w:kern w:val="0"/>
                <w:sz w:val="20"/>
                <w:szCs w:val="20"/>
                <w:lang w:bidi="ar"/>
              </w:rPr>
            </w:pPr>
          </w:p>
        </w:tc>
        <w:tc>
          <w:tcPr>
            <w:tcW w:w="1143" w:type="dxa"/>
            <w:tcBorders>
              <w:top w:val="single" w:color="000000" w:sz="4" w:space="0"/>
              <w:left w:val="single" w:color="000000" w:sz="4" w:space="0"/>
              <w:bottom w:val="single" w:color="000000" w:sz="4" w:space="0"/>
              <w:right w:val="single" w:color="000000" w:sz="4" w:space="0"/>
            </w:tcBorders>
            <w:vAlign w:val="center"/>
          </w:tcPr>
          <w:p w14:paraId="324FB77B">
            <w:pPr>
              <w:widowControl/>
              <w:jc w:val="center"/>
              <w:textAlignment w:val="center"/>
              <w:rPr>
                <w:rFonts w:hint="eastAsia" w:ascii="宋体" w:hAnsi="宋体" w:cs="宋体"/>
                <w:color w:val="000000"/>
                <w:kern w:val="0"/>
                <w:sz w:val="20"/>
                <w:szCs w:val="20"/>
                <w:lang w:bidi="ar"/>
              </w:rPr>
            </w:pPr>
          </w:p>
        </w:tc>
        <w:tc>
          <w:tcPr>
            <w:tcW w:w="763" w:type="dxa"/>
            <w:tcBorders>
              <w:top w:val="single" w:color="000000" w:sz="4" w:space="0"/>
              <w:left w:val="single" w:color="000000" w:sz="4" w:space="0"/>
              <w:bottom w:val="single" w:color="000000" w:sz="4" w:space="0"/>
              <w:right w:val="single" w:color="000000" w:sz="4" w:space="0"/>
            </w:tcBorders>
            <w:vAlign w:val="center"/>
          </w:tcPr>
          <w:p w14:paraId="459EE8A2">
            <w:pPr>
              <w:widowControl/>
              <w:jc w:val="center"/>
              <w:textAlignment w:val="center"/>
              <w:rPr>
                <w:rFonts w:hint="eastAsia" w:ascii="宋体" w:hAnsi="宋体" w:cs="宋体"/>
                <w:color w:val="000000"/>
                <w:kern w:val="0"/>
                <w:sz w:val="20"/>
                <w:szCs w:val="20"/>
                <w:lang w:bidi="ar"/>
              </w:rPr>
            </w:pPr>
          </w:p>
        </w:tc>
        <w:tc>
          <w:tcPr>
            <w:tcW w:w="741" w:type="dxa"/>
            <w:tcBorders>
              <w:top w:val="single" w:color="000000" w:sz="4" w:space="0"/>
              <w:left w:val="single" w:color="000000" w:sz="4" w:space="0"/>
              <w:bottom w:val="single" w:color="000000" w:sz="4" w:space="0"/>
              <w:right w:val="single" w:color="000000" w:sz="4" w:space="0"/>
            </w:tcBorders>
            <w:vAlign w:val="center"/>
          </w:tcPr>
          <w:p w14:paraId="366914E2">
            <w:pPr>
              <w:widowControl/>
              <w:jc w:val="center"/>
              <w:textAlignment w:val="center"/>
              <w:rPr>
                <w:rFonts w:hint="eastAsia" w:ascii="宋体" w:hAnsi="宋体" w:cs="宋体"/>
                <w:color w:val="000000"/>
                <w:kern w:val="0"/>
                <w:sz w:val="20"/>
                <w:szCs w:val="20"/>
                <w:lang w:bidi="ar"/>
              </w:rPr>
            </w:pPr>
          </w:p>
        </w:tc>
      </w:tr>
      <w:tr w14:paraId="4F54FC12">
        <w:tblPrEx>
          <w:tblCellMar>
            <w:top w:w="0" w:type="dxa"/>
            <w:left w:w="108" w:type="dxa"/>
            <w:bottom w:w="0" w:type="dxa"/>
            <w:right w:w="108" w:type="dxa"/>
          </w:tblCellMar>
        </w:tblPrEx>
        <w:trPr>
          <w:trHeight w:val="20" w:hRule="atLeast"/>
          <w:jc w:val="center"/>
        </w:trPr>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92E0B6">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54</w:t>
            </w:r>
          </w:p>
        </w:tc>
        <w:tc>
          <w:tcPr>
            <w:tcW w:w="2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FB3FF8">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碘盐含碘量速测液</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F46FE1">
            <w:pPr>
              <w:widowControl/>
              <w:jc w:val="center"/>
              <w:textAlignment w:val="center"/>
              <w:rPr>
                <w:rFonts w:ascii="宋体" w:hAnsi="宋体" w:cs="宋体"/>
                <w:color w:val="000000"/>
                <w:kern w:val="0"/>
                <w:sz w:val="20"/>
                <w:szCs w:val="20"/>
                <w:lang w:bidi="ar"/>
              </w:rPr>
            </w:pPr>
            <w:r>
              <w:rPr>
                <w:rFonts w:hint="eastAsia" w:ascii="宋体" w:hAnsi="宋体" w:cs="宋体"/>
                <w:color w:val="000000"/>
                <w:kern w:val="0"/>
                <w:sz w:val="20"/>
                <w:szCs w:val="20"/>
                <w:lang w:bidi="ar"/>
              </w:rPr>
              <w:t>每盒可测200份样品</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7FF641">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盒（或包）</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470F19">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ED4599">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80</w:t>
            </w:r>
          </w:p>
        </w:tc>
        <w:tc>
          <w:tcPr>
            <w:tcW w:w="992" w:type="dxa"/>
            <w:tcBorders>
              <w:top w:val="single" w:color="000000" w:sz="4" w:space="0"/>
              <w:left w:val="single" w:color="000000" w:sz="4" w:space="0"/>
              <w:bottom w:val="single" w:color="000000" w:sz="4" w:space="0"/>
              <w:right w:val="single" w:color="000000" w:sz="4" w:space="0"/>
            </w:tcBorders>
            <w:vAlign w:val="center"/>
          </w:tcPr>
          <w:p w14:paraId="17C1570B">
            <w:pPr>
              <w:widowControl/>
              <w:jc w:val="center"/>
              <w:textAlignment w:val="center"/>
              <w:rPr>
                <w:rFonts w:hint="eastAsia" w:ascii="宋体" w:hAnsi="宋体" w:cs="宋体"/>
                <w:color w:val="000000"/>
                <w:kern w:val="0"/>
                <w:sz w:val="20"/>
                <w:szCs w:val="20"/>
                <w:lang w:bidi="ar"/>
              </w:rPr>
            </w:pPr>
          </w:p>
        </w:tc>
        <w:tc>
          <w:tcPr>
            <w:tcW w:w="1239" w:type="dxa"/>
            <w:tcBorders>
              <w:top w:val="single" w:color="000000" w:sz="4" w:space="0"/>
              <w:left w:val="single" w:color="000000" w:sz="4" w:space="0"/>
              <w:bottom w:val="single" w:color="000000" w:sz="4" w:space="0"/>
              <w:right w:val="single" w:color="000000" w:sz="4" w:space="0"/>
            </w:tcBorders>
            <w:vAlign w:val="center"/>
          </w:tcPr>
          <w:p w14:paraId="718817C2">
            <w:pPr>
              <w:widowControl/>
              <w:jc w:val="center"/>
              <w:textAlignment w:val="center"/>
              <w:rPr>
                <w:rFonts w:hint="eastAsia" w:ascii="宋体" w:hAnsi="宋体" w:cs="宋体"/>
                <w:color w:val="000000"/>
                <w:kern w:val="0"/>
                <w:sz w:val="20"/>
                <w:szCs w:val="20"/>
                <w:lang w:bidi="ar"/>
              </w:rPr>
            </w:pPr>
          </w:p>
        </w:tc>
        <w:tc>
          <w:tcPr>
            <w:tcW w:w="900" w:type="dxa"/>
            <w:tcBorders>
              <w:top w:val="single" w:color="000000" w:sz="4" w:space="0"/>
              <w:left w:val="single" w:color="000000" w:sz="4" w:space="0"/>
              <w:bottom w:val="single" w:color="000000" w:sz="4" w:space="0"/>
              <w:right w:val="single" w:color="000000" w:sz="4" w:space="0"/>
            </w:tcBorders>
            <w:vAlign w:val="center"/>
          </w:tcPr>
          <w:p w14:paraId="22B81954">
            <w:pPr>
              <w:widowControl/>
              <w:jc w:val="center"/>
              <w:textAlignment w:val="center"/>
              <w:rPr>
                <w:rFonts w:hint="eastAsia" w:ascii="宋体" w:hAnsi="宋体" w:cs="宋体"/>
                <w:color w:val="000000"/>
                <w:kern w:val="0"/>
                <w:sz w:val="20"/>
                <w:szCs w:val="20"/>
                <w:lang w:bidi="ar"/>
              </w:rPr>
            </w:pPr>
          </w:p>
        </w:tc>
        <w:tc>
          <w:tcPr>
            <w:tcW w:w="832" w:type="dxa"/>
            <w:tcBorders>
              <w:top w:val="single" w:color="000000" w:sz="4" w:space="0"/>
              <w:left w:val="single" w:color="000000" w:sz="4" w:space="0"/>
              <w:bottom w:val="single" w:color="000000" w:sz="4" w:space="0"/>
              <w:right w:val="single" w:color="000000" w:sz="4" w:space="0"/>
            </w:tcBorders>
            <w:vAlign w:val="center"/>
          </w:tcPr>
          <w:p w14:paraId="103318D6">
            <w:pPr>
              <w:widowControl/>
              <w:jc w:val="center"/>
              <w:textAlignment w:val="center"/>
              <w:rPr>
                <w:rFonts w:hint="eastAsia" w:ascii="宋体" w:hAnsi="宋体" w:cs="宋体"/>
                <w:color w:val="000000"/>
                <w:kern w:val="0"/>
                <w:sz w:val="20"/>
                <w:szCs w:val="20"/>
                <w:lang w:bidi="ar"/>
              </w:rPr>
            </w:pPr>
          </w:p>
        </w:tc>
        <w:tc>
          <w:tcPr>
            <w:tcW w:w="1143" w:type="dxa"/>
            <w:tcBorders>
              <w:top w:val="single" w:color="000000" w:sz="4" w:space="0"/>
              <w:left w:val="single" w:color="000000" w:sz="4" w:space="0"/>
              <w:bottom w:val="single" w:color="000000" w:sz="4" w:space="0"/>
              <w:right w:val="single" w:color="000000" w:sz="4" w:space="0"/>
            </w:tcBorders>
            <w:vAlign w:val="center"/>
          </w:tcPr>
          <w:p w14:paraId="1ADAA390">
            <w:pPr>
              <w:widowControl/>
              <w:jc w:val="center"/>
              <w:textAlignment w:val="center"/>
              <w:rPr>
                <w:rFonts w:hint="eastAsia" w:ascii="宋体" w:hAnsi="宋体" w:cs="宋体"/>
                <w:color w:val="000000"/>
                <w:kern w:val="0"/>
                <w:sz w:val="20"/>
                <w:szCs w:val="20"/>
                <w:lang w:bidi="ar"/>
              </w:rPr>
            </w:pPr>
          </w:p>
        </w:tc>
        <w:tc>
          <w:tcPr>
            <w:tcW w:w="763" w:type="dxa"/>
            <w:tcBorders>
              <w:top w:val="single" w:color="000000" w:sz="4" w:space="0"/>
              <w:left w:val="single" w:color="000000" w:sz="4" w:space="0"/>
              <w:bottom w:val="single" w:color="000000" w:sz="4" w:space="0"/>
              <w:right w:val="single" w:color="000000" w:sz="4" w:space="0"/>
            </w:tcBorders>
            <w:vAlign w:val="center"/>
          </w:tcPr>
          <w:p w14:paraId="3015D320">
            <w:pPr>
              <w:widowControl/>
              <w:jc w:val="center"/>
              <w:textAlignment w:val="center"/>
              <w:rPr>
                <w:rFonts w:hint="eastAsia" w:ascii="宋体" w:hAnsi="宋体" w:cs="宋体"/>
                <w:color w:val="000000"/>
                <w:kern w:val="0"/>
                <w:sz w:val="20"/>
                <w:szCs w:val="20"/>
                <w:lang w:bidi="ar"/>
              </w:rPr>
            </w:pPr>
          </w:p>
        </w:tc>
        <w:tc>
          <w:tcPr>
            <w:tcW w:w="741" w:type="dxa"/>
            <w:tcBorders>
              <w:top w:val="single" w:color="000000" w:sz="4" w:space="0"/>
              <w:left w:val="single" w:color="000000" w:sz="4" w:space="0"/>
              <w:bottom w:val="single" w:color="000000" w:sz="4" w:space="0"/>
              <w:right w:val="single" w:color="000000" w:sz="4" w:space="0"/>
            </w:tcBorders>
            <w:vAlign w:val="center"/>
          </w:tcPr>
          <w:p w14:paraId="0ED5DFA1">
            <w:pPr>
              <w:widowControl/>
              <w:jc w:val="center"/>
              <w:textAlignment w:val="center"/>
              <w:rPr>
                <w:rFonts w:hint="eastAsia" w:ascii="宋体" w:hAnsi="宋体" w:cs="宋体"/>
                <w:color w:val="000000"/>
                <w:kern w:val="0"/>
                <w:sz w:val="20"/>
                <w:szCs w:val="20"/>
                <w:lang w:bidi="ar"/>
              </w:rPr>
            </w:pPr>
          </w:p>
        </w:tc>
      </w:tr>
      <w:tr w14:paraId="34D67E74">
        <w:tblPrEx>
          <w:tblCellMar>
            <w:top w:w="0" w:type="dxa"/>
            <w:left w:w="108" w:type="dxa"/>
            <w:bottom w:w="0" w:type="dxa"/>
            <w:right w:w="108" w:type="dxa"/>
          </w:tblCellMar>
        </w:tblPrEx>
        <w:trPr>
          <w:trHeight w:val="20" w:hRule="atLeast"/>
          <w:jc w:val="center"/>
        </w:trPr>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1B59B5">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55</w:t>
            </w:r>
          </w:p>
        </w:tc>
        <w:tc>
          <w:tcPr>
            <w:tcW w:w="2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CFA88F">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水溶性非食用色素快速筛查盒</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26BE32">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每盒可测50份样品</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B93241">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盒（或包）</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FB8AF7">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FBA150">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100</w:t>
            </w:r>
          </w:p>
        </w:tc>
        <w:tc>
          <w:tcPr>
            <w:tcW w:w="992" w:type="dxa"/>
            <w:tcBorders>
              <w:top w:val="single" w:color="000000" w:sz="4" w:space="0"/>
              <w:left w:val="single" w:color="000000" w:sz="4" w:space="0"/>
              <w:bottom w:val="single" w:color="000000" w:sz="4" w:space="0"/>
              <w:right w:val="single" w:color="000000" w:sz="4" w:space="0"/>
            </w:tcBorders>
            <w:vAlign w:val="center"/>
          </w:tcPr>
          <w:p w14:paraId="1AF27F49">
            <w:pPr>
              <w:widowControl/>
              <w:jc w:val="center"/>
              <w:textAlignment w:val="center"/>
              <w:rPr>
                <w:rFonts w:hint="eastAsia" w:ascii="宋体" w:hAnsi="宋体" w:cs="宋体"/>
                <w:color w:val="000000"/>
                <w:kern w:val="0"/>
                <w:sz w:val="20"/>
                <w:szCs w:val="20"/>
                <w:lang w:bidi="ar"/>
              </w:rPr>
            </w:pPr>
          </w:p>
        </w:tc>
        <w:tc>
          <w:tcPr>
            <w:tcW w:w="1239" w:type="dxa"/>
            <w:tcBorders>
              <w:top w:val="single" w:color="000000" w:sz="4" w:space="0"/>
              <w:left w:val="single" w:color="000000" w:sz="4" w:space="0"/>
              <w:bottom w:val="single" w:color="000000" w:sz="4" w:space="0"/>
              <w:right w:val="single" w:color="000000" w:sz="4" w:space="0"/>
            </w:tcBorders>
            <w:vAlign w:val="center"/>
          </w:tcPr>
          <w:p w14:paraId="4986084D">
            <w:pPr>
              <w:widowControl/>
              <w:jc w:val="center"/>
              <w:textAlignment w:val="center"/>
              <w:rPr>
                <w:rFonts w:hint="eastAsia" w:ascii="宋体" w:hAnsi="宋体" w:cs="宋体"/>
                <w:color w:val="000000"/>
                <w:kern w:val="0"/>
                <w:sz w:val="20"/>
                <w:szCs w:val="20"/>
                <w:lang w:bidi="ar"/>
              </w:rPr>
            </w:pPr>
          </w:p>
        </w:tc>
        <w:tc>
          <w:tcPr>
            <w:tcW w:w="900" w:type="dxa"/>
            <w:tcBorders>
              <w:top w:val="single" w:color="000000" w:sz="4" w:space="0"/>
              <w:left w:val="single" w:color="000000" w:sz="4" w:space="0"/>
              <w:bottom w:val="single" w:color="000000" w:sz="4" w:space="0"/>
              <w:right w:val="single" w:color="000000" w:sz="4" w:space="0"/>
            </w:tcBorders>
            <w:vAlign w:val="center"/>
          </w:tcPr>
          <w:p w14:paraId="37F1B550">
            <w:pPr>
              <w:widowControl/>
              <w:jc w:val="center"/>
              <w:textAlignment w:val="center"/>
              <w:rPr>
                <w:rFonts w:hint="eastAsia" w:ascii="宋体" w:hAnsi="宋体" w:cs="宋体"/>
                <w:color w:val="000000"/>
                <w:kern w:val="0"/>
                <w:sz w:val="20"/>
                <w:szCs w:val="20"/>
                <w:lang w:bidi="ar"/>
              </w:rPr>
            </w:pPr>
          </w:p>
        </w:tc>
        <w:tc>
          <w:tcPr>
            <w:tcW w:w="832" w:type="dxa"/>
            <w:tcBorders>
              <w:top w:val="single" w:color="000000" w:sz="4" w:space="0"/>
              <w:left w:val="single" w:color="000000" w:sz="4" w:space="0"/>
              <w:bottom w:val="single" w:color="000000" w:sz="4" w:space="0"/>
              <w:right w:val="single" w:color="000000" w:sz="4" w:space="0"/>
            </w:tcBorders>
            <w:vAlign w:val="center"/>
          </w:tcPr>
          <w:p w14:paraId="1B420748">
            <w:pPr>
              <w:widowControl/>
              <w:jc w:val="center"/>
              <w:textAlignment w:val="center"/>
              <w:rPr>
                <w:rFonts w:hint="eastAsia" w:ascii="宋体" w:hAnsi="宋体" w:cs="宋体"/>
                <w:color w:val="000000"/>
                <w:kern w:val="0"/>
                <w:sz w:val="20"/>
                <w:szCs w:val="20"/>
                <w:lang w:bidi="ar"/>
              </w:rPr>
            </w:pPr>
          </w:p>
        </w:tc>
        <w:tc>
          <w:tcPr>
            <w:tcW w:w="1143" w:type="dxa"/>
            <w:tcBorders>
              <w:top w:val="single" w:color="000000" w:sz="4" w:space="0"/>
              <w:left w:val="single" w:color="000000" w:sz="4" w:space="0"/>
              <w:bottom w:val="single" w:color="000000" w:sz="4" w:space="0"/>
              <w:right w:val="single" w:color="000000" w:sz="4" w:space="0"/>
            </w:tcBorders>
            <w:vAlign w:val="center"/>
          </w:tcPr>
          <w:p w14:paraId="0BD884C5">
            <w:pPr>
              <w:widowControl/>
              <w:jc w:val="center"/>
              <w:textAlignment w:val="center"/>
              <w:rPr>
                <w:rFonts w:hint="eastAsia" w:ascii="宋体" w:hAnsi="宋体" w:cs="宋体"/>
                <w:color w:val="000000"/>
                <w:kern w:val="0"/>
                <w:sz w:val="20"/>
                <w:szCs w:val="20"/>
                <w:lang w:bidi="ar"/>
              </w:rPr>
            </w:pPr>
          </w:p>
        </w:tc>
        <w:tc>
          <w:tcPr>
            <w:tcW w:w="763" w:type="dxa"/>
            <w:tcBorders>
              <w:top w:val="single" w:color="000000" w:sz="4" w:space="0"/>
              <w:left w:val="single" w:color="000000" w:sz="4" w:space="0"/>
              <w:bottom w:val="single" w:color="000000" w:sz="4" w:space="0"/>
              <w:right w:val="single" w:color="000000" w:sz="4" w:space="0"/>
            </w:tcBorders>
            <w:vAlign w:val="center"/>
          </w:tcPr>
          <w:p w14:paraId="753A1680">
            <w:pPr>
              <w:widowControl/>
              <w:jc w:val="center"/>
              <w:textAlignment w:val="center"/>
              <w:rPr>
                <w:rFonts w:hint="eastAsia" w:ascii="宋体" w:hAnsi="宋体" w:cs="宋体"/>
                <w:color w:val="000000"/>
                <w:kern w:val="0"/>
                <w:sz w:val="20"/>
                <w:szCs w:val="20"/>
                <w:lang w:bidi="ar"/>
              </w:rPr>
            </w:pPr>
          </w:p>
        </w:tc>
        <w:tc>
          <w:tcPr>
            <w:tcW w:w="741" w:type="dxa"/>
            <w:tcBorders>
              <w:top w:val="single" w:color="000000" w:sz="4" w:space="0"/>
              <w:left w:val="single" w:color="000000" w:sz="4" w:space="0"/>
              <w:bottom w:val="single" w:color="000000" w:sz="4" w:space="0"/>
              <w:right w:val="single" w:color="000000" w:sz="4" w:space="0"/>
            </w:tcBorders>
            <w:vAlign w:val="center"/>
          </w:tcPr>
          <w:p w14:paraId="78233999">
            <w:pPr>
              <w:widowControl/>
              <w:jc w:val="center"/>
              <w:textAlignment w:val="center"/>
              <w:rPr>
                <w:rFonts w:hint="eastAsia" w:ascii="宋体" w:hAnsi="宋体" w:cs="宋体"/>
                <w:color w:val="000000"/>
                <w:kern w:val="0"/>
                <w:sz w:val="20"/>
                <w:szCs w:val="20"/>
                <w:lang w:bidi="ar"/>
              </w:rPr>
            </w:pPr>
          </w:p>
        </w:tc>
      </w:tr>
      <w:tr w14:paraId="331AAB7A">
        <w:tblPrEx>
          <w:tblCellMar>
            <w:top w:w="0" w:type="dxa"/>
            <w:left w:w="108" w:type="dxa"/>
            <w:bottom w:w="0" w:type="dxa"/>
            <w:right w:w="108" w:type="dxa"/>
          </w:tblCellMar>
        </w:tblPrEx>
        <w:trPr>
          <w:trHeight w:val="20" w:hRule="atLeast"/>
          <w:jc w:val="center"/>
        </w:trPr>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707E47">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56</w:t>
            </w:r>
          </w:p>
        </w:tc>
        <w:tc>
          <w:tcPr>
            <w:tcW w:w="2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757D96">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吊白块速测管</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1691E7">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每盒可测50份样品</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2FAE9A">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盒（或包）</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D11D0B">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198A3C">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120</w:t>
            </w:r>
          </w:p>
        </w:tc>
        <w:tc>
          <w:tcPr>
            <w:tcW w:w="992" w:type="dxa"/>
            <w:tcBorders>
              <w:top w:val="single" w:color="000000" w:sz="4" w:space="0"/>
              <w:left w:val="single" w:color="000000" w:sz="4" w:space="0"/>
              <w:bottom w:val="single" w:color="000000" w:sz="4" w:space="0"/>
              <w:right w:val="single" w:color="000000" w:sz="4" w:space="0"/>
            </w:tcBorders>
            <w:vAlign w:val="center"/>
          </w:tcPr>
          <w:p w14:paraId="1B4F567E">
            <w:pPr>
              <w:widowControl/>
              <w:jc w:val="center"/>
              <w:textAlignment w:val="center"/>
              <w:rPr>
                <w:rFonts w:hint="eastAsia" w:ascii="宋体" w:hAnsi="宋体" w:cs="宋体"/>
                <w:color w:val="000000"/>
                <w:kern w:val="0"/>
                <w:sz w:val="20"/>
                <w:szCs w:val="20"/>
                <w:lang w:bidi="ar"/>
              </w:rPr>
            </w:pPr>
          </w:p>
        </w:tc>
        <w:tc>
          <w:tcPr>
            <w:tcW w:w="1239" w:type="dxa"/>
            <w:tcBorders>
              <w:top w:val="single" w:color="000000" w:sz="4" w:space="0"/>
              <w:left w:val="single" w:color="000000" w:sz="4" w:space="0"/>
              <w:bottom w:val="single" w:color="000000" w:sz="4" w:space="0"/>
              <w:right w:val="single" w:color="000000" w:sz="4" w:space="0"/>
            </w:tcBorders>
            <w:vAlign w:val="center"/>
          </w:tcPr>
          <w:p w14:paraId="22438E44">
            <w:pPr>
              <w:widowControl/>
              <w:jc w:val="center"/>
              <w:textAlignment w:val="center"/>
              <w:rPr>
                <w:rFonts w:hint="eastAsia" w:ascii="宋体" w:hAnsi="宋体" w:cs="宋体"/>
                <w:color w:val="000000"/>
                <w:kern w:val="0"/>
                <w:sz w:val="20"/>
                <w:szCs w:val="20"/>
                <w:lang w:bidi="ar"/>
              </w:rPr>
            </w:pPr>
          </w:p>
        </w:tc>
        <w:tc>
          <w:tcPr>
            <w:tcW w:w="900" w:type="dxa"/>
            <w:tcBorders>
              <w:top w:val="single" w:color="000000" w:sz="4" w:space="0"/>
              <w:left w:val="single" w:color="000000" w:sz="4" w:space="0"/>
              <w:bottom w:val="single" w:color="000000" w:sz="4" w:space="0"/>
              <w:right w:val="single" w:color="000000" w:sz="4" w:space="0"/>
            </w:tcBorders>
            <w:vAlign w:val="center"/>
          </w:tcPr>
          <w:p w14:paraId="5346962A">
            <w:pPr>
              <w:widowControl/>
              <w:jc w:val="center"/>
              <w:textAlignment w:val="center"/>
              <w:rPr>
                <w:rFonts w:hint="eastAsia" w:ascii="宋体" w:hAnsi="宋体" w:cs="宋体"/>
                <w:color w:val="000000"/>
                <w:kern w:val="0"/>
                <w:sz w:val="20"/>
                <w:szCs w:val="20"/>
                <w:lang w:bidi="ar"/>
              </w:rPr>
            </w:pPr>
          </w:p>
        </w:tc>
        <w:tc>
          <w:tcPr>
            <w:tcW w:w="832" w:type="dxa"/>
            <w:tcBorders>
              <w:top w:val="single" w:color="000000" w:sz="4" w:space="0"/>
              <w:left w:val="single" w:color="000000" w:sz="4" w:space="0"/>
              <w:bottom w:val="single" w:color="000000" w:sz="4" w:space="0"/>
              <w:right w:val="single" w:color="000000" w:sz="4" w:space="0"/>
            </w:tcBorders>
            <w:vAlign w:val="center"/>
          </w:tcPr>
          <w:p w14:paraId="6794D00A">
            <w:pPr>
              <w:widowControl/>
              <w:jc w:val="center"/>
              <w:textAlignment w:val="center"/>
              <w:rPr>
                <w:rFonts w:hint="eastAsia" w:ascii="宋体" w:hAnsi="宋体" w:cs="宋体"/>
                <w:color w:val="000000"/>
                <w:kern w:val="0"/>
                <w:sz w:val="20"/>
                <w:szCs w:val="20"/>
                <w:lang w:bidi="ar"/>
              </w:rPr>
            </w:pPr>
          </w:p>
        </w:tc>
        <w:tc>
          <w:tcPr>
            <w:tcW w:w="1143" w:type="dxa"/>
            <w:tcBorders>
              <w:top w:val="single" w:color="000000" w:sz="4" w:space="0"/>
              <w:left w:val="single" w:color="000000" w:sz="4" w:space="0"/>
              <w:bottom w:val="single" w:color="000000" w:sz="4" w:space="0"/>
              <w:right w:val="single" w:color="000000" w:sz="4" w:space="0"/>
            </w:tcBorders>
            <w:vAlign w:val="center"/>
          </w:tcPr>
          <w:p w14:paraId="2AD88427">
            <w:pPr>
              <w:widowControl/>
              <w:jc w:val="center"/>
              <w:textAlignment w:val="center"/>
              <w:rPr>
                <w:rFonts w:hint="eastAsia" w:ascii="宋体" w:hAnsi="宋体" w:cs="宋体"/>
                <w:color w:val="000000"/>
                <w:kern w:val="0"/>
                <w:sz w:val="20"/>
                <w:szCs w:val="20"/>
                <w:lang w:bidi="ar"/>
              </w:rPr>
            </w:pPr>
          </w:p>
        </w:tc>
        <w:tc>
          <w:tcPr>
            <w:tcW w:w="763" w:type="dxa"/>
            <w:tcBorders>
              <w:top w:val="single" w:color="000000" w:sz="4" w:space="0"/>
              <w:left w:val="single" w:color="000000" w:sz="4" w:space="0"/>
              <w:bottom w:val="single" w:color="000000" w:sz="4" w:space="0"/>
              <w:right w:val="single" w:color="000000" w:sz="4" w:space="0"/>
            </w:tcBorders>
            <w:vAlign w:val="center"/>
          </w:tcPr>
          <w:p w14:paraId="273CABA2">
            <w:pPr>
              <w:widowControl/>
              <w:jc w:val="center"/>
              <w:textAlignment w:val="center"/>
              <w:rPr>
                <w:rFonts w:hint="eastAsia" w:ascii="宋体" w:hAnsi="宋体" w:cs="宋体"/>
                <w:color w:val="000000"/>
                <w:kern w:val="0"/>
                <w:sz w:val="20"/>
                <w:szCs w:val="20"/>
                <w:lang w:bidi="ar"/>
              </w:rPr>
            </w:pPr>
          </w:p>
        </w:tc>
        <w:tc>
          <w:tcPr>
            <w:tcW w:w="741" w:type="dxa"/>
            <w:tcBorders>
              <w:top w:val="single" w:color="000000" w:sz="4" w:space="0"/>
              <w:left w:val="single" w:color="000000" w:sz="4" w:space="0"/>
              <w:bottom w:val="single" w:color="000000" w:sz="4" w:space="0"/>
              <w:right w:val="single" w:color="000000" w:sz="4" w:space="0"/>
            </w:tcBorders>
            <w:vAlign w:val="center"/>
          </w:tcPr>
          <w:p w14:paraId="7A474F4B">
            <w:pPr>
              <w:widowControl/>
              <w:jc w:val="center"/>
              <w:textAlignment w:val="center"/>
              <w:rPr>
                <w:rFonts w:hint="eastAsia" w:ascii="宋体" w:hAnsi="宋体" w:cs="宋体"/>
                <w:color w:val="000000"/>
                <w:kern w:val="0"/>
                <w:sz w:val="20"/>
                <w:szCs w:val="20"/>
                <w:lang w:bidi="ar"/>
              </w:rPr>
            </w:pPr>
          </w:p>
        </w:tc>
      </w:tr>
      <w:tr w14:paraId="4ED4FF18">
        <w:tblPrEx>
          <w:tblCellMar>
            <w:top w:w="0" w:type="dxa"/>
            <w:left w:w="108" w:type="dxa"/>
            <w:bottom w:w="0" w:type="dxa"/>
            <w:right w:w="108" w:type="dxa"/>
          </w:tblCellMar>
        </w:tblPrEx>
        <w:trPr>
          <w:trHeight w:val="20" w:hRule="atLeast"/>
          <w:jc w:val="center"/>
        </w:trPr>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2C5099">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57</w:t>
            </w:r>
          </w:p>
        </w:tc>
        <w:tc>
          <w:tcPr>
            <w:tcW w:w="2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413775">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农药浸提液(固体)</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CF9550">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可配300mL</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9D45AF">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盒（或包）</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1C11DC">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B6B827">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10</w:t>
            </w:r>
          </w:p>
        </w:tc>
        <w:tc>
          <w:tcPr>
            <w:tcW w:w="992" w:type="dxa"/>
            <w:tcBorders>
              <w:top w:val="single" w:color="000000" w:sz="4" w:space="0"/>
              <w:left w:val="single" w:color="000000" w:sz="4" w:space="0"/>
              <w:bottom w:val="single" w:color="000000" w:sz="4" w:space="0"/>
              <w:right w:val="single" w:color="000000" w:sz="4" w:space="0"/>
            </w:tcBorders>
            <w:vAlign w:val="center"/>
          </w:tcPr>
          <w:p w14:paraId="29940FF1">
            <w:pPr>
              <w:widowControl/>
              <w:jc w:val="center"/>
              <w:textAlignment w:val="center"/>
              <w:rPr>
                <w:rFonts w:hint="eastAsia" w:ascii="宋体" w:hAnsi="宋体" w:cs="宋体"/>
                <w:color w:val="000000"/>
                <w:kern w:val="0"/>
                <w:sz w:val="20"/>
                <w:szCs w:val="20"/>
                <w:lang w:bidi="ar"/>
              </w:rPr>
            </w:pPr>
          </w:p>
        </w:tc>
        <w:tc>
          <w:tcPr>
            <w:tcW w:w="1239" w:type="dxa"/>
            <w:tcBorders>
              <w:top w:val="single" w:color="000000" w:sz="4" w:space="0"/>
              <w:left w:val="single" w:color="000000" w:sz="4" w:space="0"/>
              <w:bottom w:val="single" w:color="000000" w:sz="4" w:space="0"/>
              <w:right w:val="single" w:color="000000" w:sz="4" w:space="0"/>
            </w:tcBorders>
            <w:vAlign w:val="center"/>
          </w:tcPr>
          <w:p w14:paraId="6A72B0BA">
            <w:pPr>
              <w:widowControl/>
              <w:jc w:val="center"/>
              <w:textAlignment w:val="center"/>
              <w:rPr>
                <w:rFonts w:hint="eastAsia" w:ascii="宋体" w:hAnsi="宋体" w:cs="宋体"/>
                <w:color w:val="000000"/>
                <w:kern w:val="0"/>
                <w:sz w:val="20"/>
                <w:szCs w:val="20"/>
                <w:lang w:bidi="ar"/>
              </w:rPr>
            </w:pPr>
          </w:p>
        </w:tc>
        <w:tc>
          <w:tcPr>
            <w:tcW w:w="900" w:type="dxa"/>
            <w:tcBorders>
              <w:top w:val="single" w:color="000000" w:sz="4" w:space="0"/>
              <w:left w:val="single" w:color="000000" w:sz="4" w:space="0"/>
              <w:bottom w:val="single" w:color="000000" w:sz="4" w:space="0"/>
              <w:right w:val="single" w:color="000000" w:sz="4" w:space="0"/>
            </w:tcBorders>
            <w:vAlign w:val="center"/>
          </w:tcPr>
          <w:p w14:paraId="2845EF18">
            <w:pPr>
              <w:widowControl/>
              <w:jc w:val="center"/>
              <w:textAlignment w:val="center"/>
              <w:rPr>
                <w:rFonts w:hint="eastAsia" w:ascii="宋体" w:hAnsi="宋体" w:cs="宋体"/>
                <w:color w:val="000000"/>
                <w:kern w:val="0"/>
                <w:sz w:val="20"/>
                <w:szCs w:val="20"/>
                <w:lang w:bidi="ar"/>
              </w:rPr>
            </w:pPr>
          </w:p>
        </w:tc>
        <w:tc>
          <w:tcPr>
            <w:tcW w:w="832" w:type="dxa"/>
            <w:tcBorders>
              <w:top w:val="single" w:color="000000" w:sz="4" w:space="0"/>
              <w:left w:val="single" w:color="000000" w:sz="4" w:space="0"/>
              <w:bottom w:val="single" w:color="000000" w:sz="4" w:space="0"/>
              <w:right w:val="single" w:color="000000" w:sz="4" w:space="0"/>
            </w:tcBorders>
            <w:vAlign w:val="center"/>
          </w:tcPr>
          <w:p w14:paraId="5EAB1D5C">
            <w:pPr>
              <w:widowControl/>
              <w:jc w:val="center"/>
              <w:textAlignment w:val="center"/>
              <w:rPr>
                <w:rFonts w:hint="eastAsia" w:ascii="宋体" w:hAnsi="宋体" w:cs="宋体"/>
                <w:color w:val="000000"/>
                <w:kern w:val="0"/>
                <w:sz w:val="20"/>
                <w:szCs w:val="20"/>
                <w:lang w:bidi="ar"/>
              </w:rPr>
            </w:pPr>
          </w:p>
        </w:tc>
        <w:tc>
          <w:tcPr>
            <w:tcW w:w="1143" w:type="dxa"/>
            <w:tcBorders>
              <w:top w:val="single" w:color="000000" w:sz="4" w:space="0"/>
              <w:left w:val="single" w:color="000000" w:sz="4" w:space="0"/>
              <w:bottom w:val="single" w:color="000000" w:sz="4" w:space="0"/>
              <w:right w:val="single" w:color="000000" w:sz="4" w:space="0"/>
            </w:tcBorders>
            <w:vAlign w:val="center"/>
          </w:tcPr>
          <w:p w14:paraId="7CD44437">
            <w:pPr>
              <w:widowControl/>
              <w:jc w:val="center"/>
              <w:textAlignment w:val="center"/>
              <w:rPr>
                <w:rFonts w:hint="eastAsia" w:ascii="宋体" w:hAnsi="宋体" w:cs="宋体"/>
                <w:color w:val="000000"/>
                <w:kern w:val="0"/>
                <w:sz w:val="20"/>
                <w:szCs w:val="20"/>
                <w:lang w:bidi="ar"/>
              </w:rPr>
            </w:pPr>
          </w:p>
        </w:tc>
        <w:tc>
          <w:tcPr>
            <w:tcW w:w="763" w:type="dxa"/>
            <w:tcBorders>
              <w:top w:val="single" w:color="000000" w:sz="4" w:space="0"/>
              <w:left w:val="single" w:color="000000" w:sz="4" w:space="0"/>
              <w:bottom w:val="single" w:color="000000" w:sz="4" w:space="0"/>
              <w:right w:val="single" w:color="000000" w:sz="4" w:space="0"/>
            </w:tcBorders>
            <w:vAlign w:val="center"/>
          </w:tcPr>
          <w:p w14:paraId="12FDC365">
            <w:pPr>
              <w:widowControl/>
              <w:jc w:val="center"/>
              <w:textAlignment w:val="center"/>
              <w:rPr>
                <w:rFonts w:hint="eastAsia" w:ascii="宋体" w:hAnsi="宋体" w:cs="宋体"/>
                <w:color w:val="000000"/>
                <w:kern w:val="0"/>
                <w:sz w:val="20"/>
                <w:szCs w:val="20"/>
                <w:lang w:bidi="ar"/>
              </w:rPr>
            </w:pPr>
          </w:p>
        </w:tc>
        <w:tc>
          <w:tcPr>
            <w:tcW w:w="741" w:type="dxa"/>
            <w:tcBorders>
              <w:top w:val="single" w:color="000000" w:sz="4" w:space="0"/>
              <w:left w:val="single" w:color="000000" w:sz="4" w:space="0"/>
              <w:bottom w:val="single" w:color="000000" w:sz="4" w:space="0"/>
              <w:right w:val="single" w:color="000000" w:sz="4" w:space="0"/>
            </w:tcBorders>
            <w:vAlign w:val="center"/>
          </w:tcPr>
          <w:p w14:paraId="0219B38A">
            <w:pPr>
              <w:widowControl/>
              <w:jc w:val="center"/>
              <w:textAlignment w:val="center"/>
              <w:rPr>
                <w:rFonts w:hint="eastAsia" w:ascii="宋体" w:hAnsi="宋体" w:cs="宋体"/>
                <w:color w:val="000000"/>
                <w:kern w:val="0"/>
                <w:sz w:val="20"/>
                <w:szCs w:val="20"/>
                <w:lang w:bidi="ar"/>
              </w:rPr>
            </w:pPr>
          </w:p>
        </w:tc>
      </w:tr>
      <w:tr w14:paraId="231AC785">
        <w:tblPrEx>
          <w:tblCellMar>
            <w:top w:w="0" w:type="dxa"/>
            <w:left w:w="108" w:type="dxa"/>
            <w:bottom w:w="0" w:type="dxa"/>
            <w:right w:w="108" w:type="dxa"/>
          </w:tblCellMar>
        </w:tblPrEx>
        <w:trPr>
          <w:trHeight w:val="20" w:hRule="atLeast"/>
          <w:jc w:val="center"/>
        </w:trPr>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76B8A2">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58</w:t>
            </w:r>
          </w:p>
        </w:tc>
        <w:tc>
          <w:tcPr>
            <w:tcW w:w="2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3D1B80">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农药速测卡</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5477CF">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每盒可测多份样品</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7703F4">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盒（或包）</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DB515C">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C9F94E">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100</w:t>
            </w:r>
          </w:p>
        </w:tc>
        <w:tc>
          <w:tcPr>
            <w:tcW w:w="992" w:type="dxa"/>
            <w:tcBorders>
              <w:top w:val="single" w:color="000000" w:sz="4" w:space="0"/>
              <w:left w:val="single" w:color="000000" w:sz="4" w:space="0"/>
              <w:bottom w:val="single" w:color="000000" w:sz="4" w:space="0"/>
              <w:right w:val="single" w:color="000000" w:sz="4" w:space="0"/>
            </w:tcBorders>
            <w:vAlign w:val="center"/>
          </w:tcPr>
          <w:p w14:paraId="2274159C">
            <w:pPr>
              <w:widowControl/>
              <w:jc w:val="center"/>
              <w:textAlignment w:val="center"/>
              <w:rPr>
                <w:rFonts w:hint="eastAsia" w:ascii="宋体" w:hAnsi="宋体" w:cs="宋体"/>
                <w:color w:val="000000"/>
                <w:kern w:val="0"/>
                <w:sz w:val="20"/>
                <w:szCs w:val="20"/>
                <w:lang w:bidi="ar"/>
              </w:rPr>
            </w:pPr>
          </w:p>
        </w:tc>
        <w:tc>
          <w:tcPr>
            <w:tcW w:w="1239" w:type="dxa"/>
            <w:tcBorders>
              <w:top w:val="single" w:color="000000" w:sz="4" w:space="0"/>
              <w:left w:val="single" w:color="000000" w:sz="4" w:space="0"/>
              <w:bottom w:val="single" w:color="000000" w:sz="4" w:space="0"/>
              <w:right w:val="single" w:color="000000" w:sz="4" w:space="0"/>
            </w:tcBorders>
            <w:vAlign w:val="center"/>
          </w:tcPr>
          <w:p w14:paraId="3F893F2F">
            <w:pPr>
              <w:widowControl/>
              <w:jc w:val="center"/>
              <w:textAlignment w:val="center"/>
              <w:rPr>
                <w:rFonts w:hint="eastAsia" w:ascii="宋体" w:hAnsi="宋体" w:cs="宋体"/>
                <w:color w:val="000000"/>
                <w:kern w:val="0"/>
                <w:sz w:val="20"/>
                <w:szCs w:val="20"/>
                <w:lang w:bidi="ar"/>
              </w:rPr>
            </w:pPr>
          </w:p>
        </w:tc>
        <w:tc>
          <w:tcPr>
            <w:tcW w:w="900" w:type="dxa"/>
            <w:tcBorders>
              <w:top w:val="single" w:color="000000" w:sz="4" w:space="0"/>
              <w:left w:val="single" w:color="000000" w:sz="4" w:space="0"/>
              <w:bottom w:val="single" w:color="000000" w:sz="4" w:space="0"/>
              <w:right w:val="single" w:color="000000" w:sz="4" w:space="0"/>
            </w:tcBorders>
            <w:vAlign w:val="center"/>
          </w:tcPr>
          <w:p w14:paraId="23035958">
            <w:pPr>
              <w:widowControl/>
              <w:jc w:val="center"/>
              <w:textAlignment w:val="center"/>
              <w:rPr>
                <w:rFonts w:hint="eastAsia" w:ascii="宋体" w:hAnsi="宋体" w:cs="宋体"/>
                <w:color w:val="000000"/>
                <w:kern w:val="0"/>
                <w:sz w:val="20"/>
                <w:szCs w:val="20"/>
                <w:lang w:bidi="ar"/>
              </w:rPr>
            </w:pPr>
          </w:p>
        </w:tc>
        <w:tc>
          <w:tcPr>
            <w:tcW w:w="832" w:type="dxa"/>
            <w:tcBorders>
              <w:top w:val="single" w:color="000000" w:sz="4" w:space="0"/>
              <w:left w:val="single" w:color="000000" w:sz="4" w:space="0"/>
              <w:bottom w:val="single" w:color="000000" w:sz="4" w:space="0"/>
              <w:right w:val="single" w:color="000000" w:sz="4" w:space="0"/>
            </w:tcBorders>
            <w:vAlign w:val="center"/>
          </w:tcPr>
          <w:p w14:paraId="0A507BCA">
            <w:pPr>
              <w:widowControl/>
              <w:jc w:val="center"/>
              <w:textAlignment w:val="center"/>
              <w:rPr>
                <w:rFonts w:hint="eastAsia" w:ascii="宋体" w:hAnsi="宋体" w:cs="宋体"/>
                <w:color w:val="000000"/>
                <w:kern w:val="0"/>
                <w:sz w:val="20"/>
                <w:szCs w:val="20"/>
                <w:lang w:bidi="ar"/>
              </w:rPr>
            </w:pPr>
          </w:p>
        </w:tc>
        <w:tc>
          <w:tcPr>
            <w:tcW w:w="1143" w:type="dxa"/>
            <w:tcBorders>
              <w:top w:val="single" w:color="000000" w:sz="4" w:space="0"/>
              <w:left w:val="single" w:color="000000" w:sz="4" w:space="0"/>
              <w:bottom w:val="single" w:color="000000" w:sz="4" w:space="0"/>
              <w:right w:val="single" w:color="000000" w:sz="4" w:space="0"/>
            </w:tcBorders>
            <w:vAlign w:val="center"/>
          </w:tcPr>
          <w:p w14:paraId="45781F3A">
            <w:pPr>
              <w:widowControl/>
              <w:jc w:val="center"/>
              <w:textAlignment w:val="center"/>
              <w:rPr>
                <w:rFonts w:hint="eastAsia" w:ascii="宋体" w:hAnsi="宋体" w:cs="宋体"/>
                <w:color w:val="000000"/>
                <w:kern w:val="0"/>
                <w:sz w:val="20"/>
                <w:szCs w:val="20"/>
                <w:lang w:bidi="ar"/>
              </w:rPr>
            </w:pPr>
          </w:p>
        </w:tc>
        <w:tc>
          <w:tcPr>
            <w:tcW w:w="763" w:type="dxa"/>
            <w:tcBorders>
              <w:top w:val="single" w:color="000000" w:sz="4" w:space="0"/>
              <w:left w:val="single" w:color="000000" w:sz="4" w:space="0"/>
              <w:bottom w:val="single" w:color="000000" w:sz="4" w:space="0"/>
              <w:right w:val="single" w:color="000000" w:sz="4" w:space="0"/>
            </w:tcBorders>
            <w:vAlign w:val="center"/>
          </w:tcPr>
          <w:p w14:paraId="7893CA82">
            <w:pPr>
              <w:widowControl/>
              <w:jc w:val="center"/>
              <w:textAlignment w:val="center"/>
              <w:rPr>
                <w:rFonts w:hint="eastAsia" w:ascii="宋体" w:hAnsi="宋体" w:cs="宋体"/>
                <w:color w:val="000000"/>
                <w:kern w:val="0"/>
                <w:sz w:val="20"/>
                <w:szCs w:val="20"/>
                <w:lang w:bidi="ar"/>
              </w:rPr>
            </w:pPr>
          </w:p>
        </w:tc>
        <w:tc>
          <w:tcPr>
            <w:tcW w:w="741" w:type="dxa"/>
            <w:tcBorders>
              <w:top w:val="single" w:color="000000" w:sz="4" w:space="0"/>
              <w:left w:val="single" w:color="000000" w:sz="4" w:space="0"/>
              <w:bottom w:val="single" w:color="000000" w:sz="4" w:space="0"/>
              <w:right w:val="single" w:color="000000" w:sz="4" w:space="0"/>
            </w:tcBorders>
            <w:vAlign w:val="center"/>
          </w:tcPr>
          <w:p w14:paraId="4CAA1F18">
            <w:pPr>
              <w:widowControl/>
              <w:jc w:val="center"/>
              <w:textAlignment w:val="center"/>
              <w:rPr>
                <w:rFonts w:hint="eastAsia" w:ascii="宋体" w:hAnsi="宋体" w:cs="宋体"/>
                <w:color w:val="000000"/>
                <w:kern w:val="0"/>
                <w:sz w:val="20"/>
                <w:szCs w:val="20"/>
                <w:lang w:bidi="ar"/>
              </w:rPr>
            </w:pPr>
          </w:p>
        </w:tc>
      </w:tr>
      <w:tr w14:paraId="45FF1D50">
        <w:tblPrEx>
          <w:tblCellMar>
            <w:top w:w="0" w:type="dxa"/>
            <w:left w:w="108" w:type="dxa"/>
            <w:bottom w:w="0" w:type="dxa"/>
            <w:right w:w="108" w:type="dxa"/>
          </w:tblCellMar>
        </w:tblPrEx>
        <w:trPr>
          <w:trHeight w:val="20" w:hRule="atLeast"/>
          <w:jc w:val="center"/>
        </w:trPr>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2B0224">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59</w:t>
            </w:r>
          </w:p>
        </w:tc>
        <w:tc>
          <w:tcPr>
            <w:tcW w:w="2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D06C4F">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溴敌隆等鼠药速测盒</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617628">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每盒可测多份样品</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58C820">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盒（或包）</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01CE68">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2D04FC">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100</w:t>
            </w:r>
          </w:p>
        </w:tc>
        <w:tc>
          <w:tcPr>
            <w:tcW w:w="992" w:type="dxa"/>
            <w:tcBorders>
              <w:top w:val="single" w:color="000000" w:sz="4" w:space="0"/>
              <w:left w:val="single" w:color="000000" w:sz="4" w:space="0"/>
              <w:bottom w:val="single" w:color="000000" w:sz="4" w:space="0"/>
              <w:right w:val="single" w:color="000000" w:sz="4" w:space="0"/>
            </w:tcBorders>
            <w:vAlign w:val="center"/>
          </w:tcPr>
          <w:p w14:paraId="3DC9B06E">
            <w:pPr>
              <w:widowControl/>
              <w:jc w:val="center"/>
              <w:textAlignment w:val="center"/>
              <w:rPr>
                <w:rFonts w:hint="eastAsia" w:ascii="宋体" w:hAnsi="宋体" w:cs="宋体"/>
                <w:color w:val="000000"/>
                <w:kern w:val="0"/>
                <w:sz w:val="20"/>
                <w:szCs w:val="20"/>
                <w:lang w:bidi="ar"/>
              </w:rPr>
            </w:pPr>
          </w:p>
        </w:tc>
        <w:tc>
          <w:tcPr>
            <w:tcW w:w="1239" w:type="dxa"/>
            <w:tcBorders>
              <w:top w:val="single" w:color="000000" w:sz="4" w:space="0"/>
              <w:left w:val="single" w:color="000000" w:sz="4" w:space="0"/>
              <w:bottom w:val="single" w:color="000000" w:sz="4" w:space="0"/>
              <w:right w:val="single" w:color="000000" w:sz="4" w:space="0"/>
            </w:tcBorders>
            <w:vAlign w:val="center"/>
          </w:tcPr>
          <w:p w14:paraId="3D252E9B">
            <w:pPr>
              <w:widowControl/>
              <w:jc w:val="center"/>
              <w:textAlignment w:val="center"/>
              <w:rPr>
                <w:rFonts w:hint="eastAsia" w:ascii="宋体" w:hAnsi="宋体" w:cs="宋体"/>
                <w:color w:val="000000"/>
                <w:kern w:val="0"/>
                <w:sz w:val="20"/>
                <w:szCs w:val="20"/>
                <w:lang w:bidi="ar"/>
              </w:rPr>
            </w:pPr>
          </w:p>
        </w:tc>
        <w:tc>
          <w:tcPr>
            <w:tcW w:w="900" w:type="dxa"/>
            <w:tcBorders>
              <w:top w:val="single" w:color="000000" w:sz="4" w:space="0"/>
              <w:left w:val="single" w:color="000000" w:sz="4" w:space="0"/>
              <w:bottom w:val="single" w:color="000000" w:sz="4" w:space="0"/>
              <w:right w:val="single" w:color="000000" w:sz="4" w:space="0"/>
            </w:tcBorders>
            <w:vAlign w:val="center"/>
          </w:tcPr>
          <w:p w14:paraId="698F6630">
            <w:pPr>
              <w:widowControl/>
              <w:jc w:val="center"/>
              <w:textAlignment w:val="center"/>
              <w:rPr>
                <w:rFonts w:hint="eastAsia" w:ascii="宋体" w:hAnsi="宋体" w:cs="宋体"/>
                <w:color w:val="000000"/>
                <w:kern w:val="0"/>
                <w:sz w:val="20"/>
                <w:szCs w:val="20"/>
                <w:lang w:bidi="ar"/>
              </w:rPr>
            </w:pPr>
          </w:p>
        </w:tc>
        <w:tc>
          <w:tcPr>
            <w:tcW w:w="832" w:type="dxa"/>
            <w:tcBorders>
              <w:top w:val="single" w:color="000000" w:sz="4" w:space="0"/>
              <w:left w:val="single" w:color="000000" w:sz="4" w:space="0"/>
              <w:bottom w:val="single" w:color="000000" w:sz="4" w:space="0"/>
              <w:right w:val="single" w:color="000000" w:sz="4" w:space="0"/>
            </w:tcBorders>
            <w:vAlign w:val="center"/>
          </w:tcPr>
          <w:p w14:paraId="704231D2">
            <w:pPr>
              <w:widowControl/>
              <w:jc w:val="center"/>
              <w:textAlignment w:val="center"/>
              <w:rPr>
                <w:rFonts w:hint="eastAsia" w:ascii="宋体" w:hAnsi="宋体" w:cs="宋体"/>
                <w:color w:val="000000"/>
                <w:kern w:val="0"/>
                <w:sz w:val="20"/>
                <w:szCs w:val="20"/>
                <w:lang w:bidi="ar"/>
              </w:rPr>
            </w:pPr>
          </w:p>
        </w:tc>
        <w:tc>
          <w:tcPr>
            <w:tcW w:w="1143" w:type="dxa"/>
            <w:tcBorders>
              <w:top w:val="single" w:color="000000" w:sz="4" w:space="0"/>
              <w:left w:val="single" w:color="000000" w:sz="4" w:space="0"/>
              <w:bottom w:val="single" w:color="000000" w:sz="4" w:space="0"/>
              <w:right w:val="single" w:color="000000" w:sz="4" w:space="0"/>
            </w:tcBorders>
            <w:vAlign w:val="center"/>
          </w:tcPr>
          <w:p w14:paraId="20AD545F">
            <w:pPr>
              <w:widowControl/>
              <w:jc w:val="center"/>
              <w:textAlignment w:val="center"/>
              <w:rPr>
                <w:rFonts w:hint="eastAsia" w:ascii="宋体" w:hAnsi="宋体" w:cs="宋体"/>
                <w:color w:val="000000"/>
                <w:kern w:val="0"/>
                <w:sz w:val="20"/>
                <w:szCs w:val="20"/>
                <w:lang w:bidi="ar"/>
              </w:rPr>
            </w:pPr>
          </w:p>
        </w:tc>
        <w:tc>
          <w:tcPr>
            <w:tcW w:w="763" w:type="dxa"/>
            <w:tcBorders>
              <w:top w:val="single" w:color="000000" w:sz="4" w:space="0"/>
              <w:left w:val="single" w:color="000000" w:sz="4" w:space="0"/>
              <w:bottom w:val="single" w:color="000000" w:sz="4" w:space="0"/>
              <w:right w:val="single" w:color="000000" w:sz="4" w:space="0"/>
            </w:tcBorders>
            <w:vAlign w:val="center"/>
          </w:tcPr>
          <w:p w14:paraId="4A53E795">
            <w:pPr>
              <w:widowControl/>
              <w:jc w:val="center"/>
              <w:textAlignment w:val="center"/>
              <w:rPr>
                <w:rFonts w:hint="eastAsia" w:ascii="宋体" w:hAnsi="宋体" w:cs="宋体"/>
                <w:color w:val="000000"/>
                <w:kern w:val="0"/>
                <w:sz w:val="20"/>
                <w:szCs w:val="20"/>
                <w:lang w:bidi="ar"/>
              </w:rPr>
            </w:pPr>
          </w:p>
        </w:tc>
        <w:tc>
          <w:tcPr>
            <w:tcW w:w="741" w:type="dxa"/>
            <w:tcBorders>
              <w:top w:val="single" w:color="000000" w:sz="4" w:space="0"/>
              <w:left w:val="single" w:color="000000" w:sz="4" w:space="0"/>
              <w:bottom w:val="single" w:color="000000" w:sz="4" w:space="0"/>
              <w:right w:val="single" w:color="000000" w:sz="4" w:space="0"/>
            </w:tcBorders>
            <w:vAlign w:val="center"/>
          </w:tcPr>
          <w:p w14:paraId="64C5B16D">
            <w:pPr>
              <w:widowControl/>
              <w:jc w:val="center"/>
              <w:textAlignment w:val="center"/>
              <w:rPr>
                <w:rFonts w:hint="eastAsia" w:ascii="宋体" w:hAnsi="宋体" w:cs="宋体"/>
                <w:color w:val="000000"/>
                <w:kern w:val="0"/>
                <w:sz w:val="20"/>
                <w:szCs w:val="20"/>
                <w:lang w:bidi="ar"/>
              </w:rPr>
            </w:pPr>
          </w:p>
        </w:tc>
      </w:tr>
      <w:tr w14:paraId="33FD1651">
        <w:tblPrEx>
          <w:tblCellMar>
            <w:top w:w="0" w:type="dxa"/>
            <w:left w:w="108" w:type="dxa"/>
            <w:bottom w:w="0" w:type="dxa"/>
            <w:right w:w="108" w:type="dxa"/>
          </w:tblCellMar>
        </w:tblPrEx>
        <w:trPr>
          <w:trHeight w:val="20" w:hRule="atLeast"/>
          <w:jc w:val="center"/>
        </w:trPr>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1B8941">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60</w:t>
            </w:r>
          </w:p>
        </w:tc>
        <w:tc>
          <w:tcPr>
            <w:tcW w:w="2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E18123">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苏丹红速测盒</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86EE7C">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每盒可测多份样品</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C06D23">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盒（或包）</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5CFDD1">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B48282">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100</w:t>
            </w:r>
          </w:p>
        </w:tc>
        <w:tc>
          <w:tcPr>
            <w:tcW w:w="992" w:type="dxa"/>
            <w:tcBorders>
              <w:top w:val="single" w:color="000000" w:sz="4" w:space="0"/>
              <w:left w:val="single" w:color="000000" w:sz="4" w:space="0"/>
              <w:bottom w:val="single" w:color="000000" w:sz="4" w:space="0"/>
              <w:right w:val="single" w:color="000000" w:sz="4" w:space="0"/>
            </w:tcBorders>
            <w:vAlign w:val="center"/>
          </w:tcPr>
          <w:p w14:paraId="62573B01">
            <w:pPr>
              <w:widowControl/>
              <w:jc w:val="center"/>
              <w:textAlignment w:val="center"/>
              <w:rPr>
                <w:rFonts w:hint="eastAsia" w:ascii="宋体" w:hAnsi="宋体" w:cs="宋体"/>
                <w:color w:val="000000"/>
                <w:kern w:val="0"/>
                <w:sz w:val="20"/>
                <w:szCs w:val="20"/>
                <w:lang w:bidi="ar"/>
              </w:rPr>
            </w:pPr>
          </w:p>
        </w:tc>
        <w:tc>
          <w:tcPr>
            <w:tcW w:w="1239" w:type="dxa"/>
            <w:tcBorders>
              <w:top w:val="single" w:color="000000" w:sz="4" w:space="0"/>
              <w:left w:val="single" w:color="000000" w:sz="4" w:space="0"/>
              <w:bottom w:val="single" w:color="000000" w:sz="4" w:space="0"/>
              <w:right w:val="single" w:color="000000" w:sz="4" w:space="0"/>
            </w:tcBorders>
            <w:vAlign w:val="center"/>
          </w:tcPr>
          <w:p w14:paraId="3E26F06B">
            <w:pPr>
              <w:widowControl/>
              <w:jc w:val="center"/>
              <w:textAlignment w:val="center"/>
              <w:rPr>
                <w:rFonts w:hint="eastAsia" w:ascii="宋体" w:hAnsi="宋体" w:cs="宋体"/>
                <w:color w:val="000000"/>
                <w:kern w:val="0"/>
                <w:sz w:val="20"/>
                <w:szCs w:val="20"/>
                <w:lang w:bidi="ar"/>
              </w:rPr>
            </w:pPr>
          </w:p>
        </w:tc>
        <w:tc>
          <w:tcPr>
            <w:tcW w:w="900" w:type="dxa"/>
            <w:tcBorders>
              <w:top w:val="single" w:color="000000" w:sz="4" w:space="0"/>
              <w:left w:val="single" w:color="000000" w:sz="4" w:space="0"/>
              <w:bottom w:val="single" w:color="000000" w:sz="4" w:space="0"/>
              <w:right w:val="single" w:color="000000" w:sz="4" w:space="0"/>
            </w:tcBorders>
            <w:vAlign w:val="center"/>
          </w:tcPr>
          <w:p w14:paraId="43C2ECF3">
            <w:pPr>
              <w:widowControl/>
              <w:jc w:val="center"/>
              <w:textAlignment w:val="center"/>
              <w:rPr>
                <w:rFonts w:hint="eastAsia" w:ascii="宋体" w:hAnsi="宋体" w:cs="宋体"/>
                <w:color w:val="000000"/>
                <w:kern w:val="0"/>
                <w:sz w:val="20"/>
                <w:szCs w:val="20"/>
                <w:lang w:bidi="ar"/>
              </w:rPr>
            </w:pPr>
          </w:p>
        </w:tc>
        <w:tc>
          <w:tcPr>
            <w:tcW w:w="832" w:type="dxa"/>
            <w:tcBorders>
              <w:top w:val="single" w:color="000000" w:sz="4" w:space="0"/>
              <w:left w:val="single" w:color="000000" w:sz="4" w:space="0"/>
              <w:bottom w:val="single" w:color="000000" w:sz="4" w:space="0"/>
              <w:right w:val="single" w:color="000000" w:sz="4" w:space="0"/>
            </w:tcBorders>
            <w:vAlign w:val="center"/>
          </w:tcPr>
          <w:p w14:paraId="1BE36909">
            <w:pPr>
              <w:widowControl/>
              <w:jc w:val="center"/>
              <w:textAlignment w:val="center"/>
              <w:rPr>
                <w:rFonts w:hint="eastAsia" w:ascii="宋体" w:hAnsi="宋体" w:cs="宋体"/>
                <w:color w:val="000000"/>
                <w:kern w:val="0"/>
                <w:sz w:val="20"/>
                <w:szCs w:val="20"/>
                <w:lang w:bidi="ar"/>
              </w:rPr>
            </w:pPr>
          </w:p>
        </w:tc>
        <w:tc>
          <w:tcPr>
            <w:tcW w:w="1143" w:type="dxa"/>
            <w:tcBorders>
              <w:top w:val="single" w:color="000000" w:sz="4" w:space="0"/>
              <w:left w:val="single" w:color="000000" w:sz="4" w:space="0"/>
              <w:bottom w:val="single" w:color="000000" w:sz="4" w:space="0"/>
              <w:right w:val="single" w:color="000000" w:sz="4" w:space="0"/>
            </w:tcBorders>
            <w:vAlign w:val="center"/>
          </w:tcPr>
          <w:p w14:paraId="61942892">
            <w:pPr>
              <w:widowControl/>
              <w:jc w:val="center"/>
              <w:textAlignment w:val="center"/>
              <w:rPr>
                <w:rFonts w:hint="eastAsia" w:ascii="宋体" w:hAnsi="宋体" w:cs="宋体"/>
                <w:color w:val="000000"/>
                <w:kern w:val="0"/>
                <w:sz w:val="20"/>
                <w:szCs w:val="20"/>
                <w:lang w:bidi="ar"/>
              </w:rPr>
            </w:pPr>
          </w:p>
        </w:tc>
        <w:tc>
          <w:tcPr>
            <w:tcW w:w="763" w:type="dxa"/>
            <w:tcBorders>
              <w:top w:val="single" w:color="000000" w:sz="4" w:space="0"/>
              <w:left w:val="single" w:color="000000" w:sz="4" w:space="0"/>
              <w:bottom w:val="single" w:color="000000" w:sz="4" w:space="0"/>
              <w:right w:val="single" w:color="000000" w:sz="4" w:space="0"/>
            </w:tcBorders>
            <w:vAlign w:val="center"/>
          </w:tcPr>
          <w:p w14:paraId="74E254CD">
            <w:pPr>
              <w:widowControl/>
              <w:jc w:val="center"/>
              <w:textAlignment w:val="center"/>
              <w:rPr>
                <w:rFonts w:hint="eastAsia" w:ascii="宋体" w:hAnsi="宋体" w:cs="宋体"/>
                <w:color w:val="000000"/>
                <w:kern w:val="0"/>
                <w:sz w:val="20"/>
                <w:szCs w:val="20"/>
                <w:lang w:bidi="ar"/>
              </w:rPr>
            </w:pPr>
          </w:p>
        </w:tc>
        <w:tc>
          <w:tcPr>
            <w:tcW w:w="741" w:type="dxa"/>
            <w:tcBorders>
              <w:top w:val="single" w:color="000000" w:sz="4" w:space="0"/>
              <w:left w:val="single" w:color="000000" w:sz="4" w:space="0"/>
              <w:bottom w:val="single" w:color="000000" w:sz="4" w:space="0"/>
              <w:right w:val="single" w:color="000000" w:sz="4" w:space="0"/>
            </w:tcBorders>
            <w:vAlign w:val="center"/>
          </w:tcPr>
          <w:p w14:paraId="463909D7">
            <w:pPr>
              <w:widowControl/>
              <w:jc w:val="center"/>
              <w:textAlignment w:val="center"/>
              <w:rPr>
                <w:rFonts w:hint="eastAsia" w:ascii="宋体" w:hAnsi="宋体" w:cs="宋体"/>
                <w:color w:val="000000"/>
                <w:kern w:val="0"/>
                <w:sz w:val="20"/>
                <w:szCs w:val="20"/>
                <w:lang w:bidi="ar"/>
              </w:rPr>
            </w:pPr>
          </w:p>
        </w:tc>
      </w:tr>
      <w:tr w14:paraId="45AD48F6">
        <w:trPr>
          <w:trHeight w:val="20" w:hRule="atLeast"/>
          <w:jc w:val="center"/>
        </w:trPr>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C0B716">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61</w:t>
            </w:r>
          </w:p>
        </w:tc>
        <w:tc>
          <w:tcPr>
            <w:tcW w:w="2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893C41">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毒鼠强速测试剂盒</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011B45">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每盒可测多份样品</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5A3847">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盒（或包）</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695894">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671A31">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90</w:t>
            </w:r>
          </w:p>
        </w:tc>
        <w:tc>
          <w:tcPr>
            <w:tcW w:w="992" w:type="dxa"/>
            <w:tcBorders>
              <w:top w:val="single" w:color="000000" w:sz="4" w:space="0"/>
              <w:left w:val="single" w:color="000000" w:sz="4" w:space="0"/>
              <w:bottom w:val="single" w:color="000000" w:sz="4" w:space="0"/>
              <w:right w:val="single" w:color="000000" w:sz="4" w:space="0"/>
            </w:tcBorders>
            <w:vAlign w:val="center"/>
          </w:tcPr>
          <w:p w14:paraId="40A0C87A">
            <w:pPr>
              <w:widowControl/>
              <w:jc w:val="center"/>
              <w:textAlignment w:val="center"/>
              <w:rPr>
                <w:rFonts w:hint="eastAsia" w:ascii="宋体" w:hAnsi="宋体" w:cs="宋体"/>
                <w:color w:val="000000"/>
                <w:kern w:val="0"/>
                <w:sz w:val="20"/>
                <w:szCs w:val="20"/>
                <w:lang w:bidi="ar"/>
              </w:rPr>
            </w:pPr>
          </w:p>
        </w:tc>
        <w:tc>
          <w:tcPr>
            <w:tcW w:w="1239" w:type="dxa"/>
            <w:tcBorders>
              <w:top w:val="single" w:color="000000" w:sz="4" w:space="0"/>
              <w:left w:val="single" w:color="000000" w:sz="4" w:space="0"/>
              <w:bottom w:val="single" w:color="000000" w:sz="4" w:space="0"/>
              <w:right w:val="single" w:color="000000" w:sz="4" w:space="0"/>
            </w:tcBorders>
            <w:vAlign w:val="center"/>
          </w:tcPr>
          <w:p w14:paraId="18928082">
            <w:pPr>
              <w:widowControl/>
              <w:jc w:val="center"/>
              <w:textAlignment w:val="center"/>
              <w:rPr>
                <w:rFonts w:hint="eastAsia" w:ascii="宋体" w:hAnsi="宋体" w:cs="宋体"/>
                <w:color w:val="000000"/>
                <w:kern w:val="0"/>
                <w:sz w:val="20"/>
                <w:szCs w:val="20"/>
                <w:lang w:bidi="ar"/>
              </w:rPr>
            </w:pPr>
          </w:p>
        </w:tc>
        <w:tc>
          <w:tcPr>
            <w:tcW w:w="900" w:type="dxa"/>
            <w:tcBorders>
              <w:top w:val="single" w:color="000000" w:sz="4" w:space="0"/>
              <w:left w:val="single" w:color="000000" w:sz="4" w:space="0"/>
              <w:bottom w:val="single" w:color="000000" w:sz="4" w:space="0"/>
              <w:right w:val="single" w:color="000000" w:sz="4" w:space="0"/>
            </w:tcBorders>
            <w:vAlign w:val="center"/>
          </w:tcPr>
          <w:p w14:paraId="27A0D236">
            <w:pPr>
              <w:widowControl/>
              <w:jc w:val="center"/>
              <w:textAlignment w:val="center"/>
              <w:rPr>
                <w:rFonts w:hint="eastAsia" w:ascii="宋体" w:hAnsi="宋体" w:cs="宋体"/>
                <w:color w:val="000000"/>
                <w:kern w:val="0"/>
                <w:sz w:val="20"/>
                <w:szCs w:val="20"/>
                <w:lang w:bidi="ar"/>
              </w:rPr>
            </w:pPr>
          </w:p>
        </w:tc>
        <w:tc>
          <w:tcPr>
            <w:tcW w:w="832" w:type="dxa"/>
            <w:tcBorders>
              <w:top w:val="single" w:color="000000" w:sz="4" w:space="0"/>
              <w:left w:val="single" w:color="000000" w:sz="4" w:space="0"/>
              <w:bottom w:val="single" w:color="000000" w:sz="4" w:space="0"/>
              <w:right w:val="single" w:color="000000" w:sz="4" w:space="0"/>
            </w:tcBorders>
            <w:vAlign w:val="center"/>
          </w:tcPr>
          <w:p w14:paraId="10775B34">
            <w:pPr>
              <w:widowControl/>
              <w:jc w:val="center"/>
              <w:textAlignment w:val="center"/>
              <w:rPr>
                <w:rFonts w:hint="eastAsia" w:ascii="宋体" w:hAnsi="宋体" w:cs="宋体"/>
                <w:color w:val="000000"/>
                <w:kern w:val="0"/>
                <w:sz w:val="20"/>
                <w:szCs w:val="20"/>
                <w:lang w:bidi="ar"/>
              </w:rPr>
            </w:pPr>
          </w:p>
        </w:tc>
        <w:tc>
          <w:tcPr>
            <w:tcW w:w="1143" w:type="dxa"/>
            <w:tcBorders>
              <w:top w:val="single" w:color="000000" w:sz="4" w:space="0"/>
              <w:left w:val="single" w:color="000000" w:sz="4" w:space="0"/>
              <w:bottom w:val="single" w:color="000000" w:sz="4" w:space="0"/>
              <w:right w:val="single" w:color="000000" w:sz="4" w:space="0"/>
            </w:tcBorders>
            <w:vAlign w:val="center"/>
          </w:tcPr>
          <w:p w14:paraId="120FDDFA">
            <w:pPr>
              <w:widowControl/>
              <w:jc w:val="center"/>
              <w:textAlignment w:val="center"/>
              <w:rPr>
                <w:rFonts w:hint="eastAsia" w:ascii="宋体" w:hAnsi="宋体" w:cs="宋体"/>
                <w:color w:val="000000"/>
                <w:kern w:val="0"/>
                <w:sz w:val="20"/>
                <w:szCs w:val="20"/>
                <w:lang w:bidi="ar"/>
              </w:rPr>
            </w:pPr>
          </w:p>
        </w:tc>
        <w:tc>
          <w:tcPr>
            <w:tcW w:w="763" w:type="dxa"/>
            <w:tcBorders>
              <w:top w:val="single" w:color="000000" w:sz="4" w:space="0"/>
              <w:left w:val="single" w:color="000000" w:sz="4" w:space="0"/>
              <w:bottom w:val="single" w:color="000000" w:sz="4" w:space="0"/>
              <w:right w:val="single" w:color="000000" w:sz="4" w:space="0"/>
            </w:tcBorders>
            <w:vAlign w:val="center"/>
          </w:tcPr>
          <w:p w14:paraId="0835DCBE">
            <w:pPr>
              <w:widowControl/>
              <w:jc w:val="center"/>
              <w:textAlignment w:val="center"/>
              <w:rPr>
                <w:rFonts w:hint="eastAsia" w:ascii="宋体" w:hAnsi="宋体" w:cs="宋体"/>
                <w:color w:val="000000"/>
                <w:kern w:val="0"/>
                <w:sz w:val="20"/>
                <w:szCs w:val="20"/>
                <w:lang w:bidi="ar"/>
              </w:rPr>
            </w:pPr>
          </w:p>
        </w:tc>
        <w:tc>
          <w:tcPr>
            <w:tcW w:w="741" w:type="dxa"/>
            <w:tcBorders>
              <w:top w:val="single" w:color="000000" w:sz="4" w:space="0"/>
              <w:left w:val="single" w:color="000000" w:sz="4" w:space="0"/>
              <w:bottom w:val="single" w:color="000000" w:sz="4" w:space="0"/>
              <w:right w:val="single" w:color="000000" w:sz="4" w:space="0"/>
            </w:tcBorders>
            <w:vAlign w:val="center"/>
          </w:tcPr>
          <w:p w14:paraId="3D128B8D">
            <w:pPr>
              <w:widowControl/>
              <w:jc w:val="center"/>
              <w:textAlignment w:val="center"/>
              <w:rPr>
                <w:rFonts w:hint="eastAsia" w:ascii="宋体" w:hAnsi="宋体" w:cs="宋体"/>
                <w:color w:val="000000"/>
                <w:kern w:val="0"/>
                <w:sz w:val="20"/>
                <w:szCs w:val="20"/>
                <w:lang w:bidi="ar"/>
              </w:rPr>
            </w:pPr>
          </w:p>
        </w:tc>
      </w:tr>
      <w:tr w14:paraId="4E81A919">
        <w:tblPrEx>
          <w:tblCellMar>
            <w:top w:w="0" w:type="dxa"/>
            <w:left w:w="108" w:type="dxa"/>
            <w:bottom w:w="0" w:type="dxa"/>
            <w:right w:w="108" w:type="dxa"/>
          </w:tblCellMar>
        </w:tblPrEx>
        <w:trPr>
          <w:trHeight w:val="20" w:hRule="atLeast"/>
          <w:jc w:val="center"/>
        </w:trPr>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7D68F3">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62</w:t>
            </w:r>
          </w:p>
        </w:tc>
        <w:tc>
          <w:tcPr>
            <w:tcW w:w="2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FD4B1E">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食物中钡速测盒</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FE76D5">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每盒可测多份样品</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ED83B8">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盒（或包）</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FF7ECC">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B9E032">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100</w:t>
            </w:r>
          </w:p>
        </w:tc>
        <w:tc>
          <w:tcPr>
            <w:tcW w:w="992" w:type="dxa"/>
            <w:tcBorders>
              <w:top w:val="single" w:color="000000" w:sz="4" w:space="0"/>
              <w:left w:val="single" w:color="000000" w:sz="4" w:space="0"/>
              <w:bottom w:val="single" w:color="000000" w:sz="4" w:space="0"/>
              <w:right w:val="single" w:color="000000" w:sz="4" w:space="0"/>
            </w:tcBorders>
            <w:vAlign w:val="center"/>
          </w:tcPr>
          <w:p w14:paraId="118B6D3F">
            <w:pPr>
              <w:widowControl/>
              <w:jc w:val="center"/>
              <w:textAlignment w:val="center"/>
              <w:rPr>
                <w:rFonts w:hint="eastAsia" w:ascii="宋体" w:hAnsi="宋体" w:cs="宋体"/>
                <w:color w:val="000000"/>
                <w:kern w:val="0"/>
                <w:sz w:val="20"/>
                <w:szCs w:val="20"/>
                <w:lang w:bidi="ar"/>
              </w:rPr>
            </w:pPr>
          </w:p>
        </w:tc>
        <w:tc>
          <w:tcPr>
            <w:tcW w:w="1239" w:type="dxa"/>
            <w:tcBorders>
              <w:top w:val="single" w:color="000000" w:sz="4" w:space="0"/>
              <w:left w:val="single" w:color="000000" w:sz="4" w:space="0"/>
              <w:bottom w:val="single" w:color="000000" w:sz="4" w:space="0"/>
              <w:right w:val="single" w:color="000000" w:sz="4" w:space="0"/>
            </w:tcBorders>
            <w:vAlign w:val="center"/>
          </w:tcPr>
          <w:p w14:paraId="698767E9">
            <w:pPr>
              <w:widowControl/>
              <w:jc w:val="center"/>
              <w:textAlignment w:val="center"/>
              <w:rPr>
                <w:rFonts w:hint="eastAsia" w:ascii="宋体" w:hAnsi="宋体" w:cs="宋体"/>
                <w:color w:val="000000"/>
                <w:kern w:val="0"/>
                <w:sz w:val="20"/>
                <w:szCs w:val="20"/>
                <w:lang w:bidi="ar"/>
              </w:rPr>
            </w:pPr>
          </w:p>
        </w:tc>
        <w:tc>
          <w:tcPr>
            <w:tcW w:w="900" w:type="dxa"/>
            <w:tcBorders>
              <w:top w:val="single" w:color="000000" w:sz="4" w:space="0"/>
              <w:left w:val="single" w:color="000000" w:sz="4" w:space="0"/>
              <w:bottom w:val="single" w:color="000000" w:sz="4" w:space="0"/>
              <w:right w:val="single" w:color="000000" w:sz="4" w:space="0"/>
            </w:tcBorders>
            <w:vAlign w:val="center"/>
          </w:tcPr>
          <w:p w14:paraId="2BA975A2">
            <w:pPr>
              <w:widowControl/>
              <w:jc w:val="center"/>
              <w:textAlignment w:val="center"/>
              <w:rPr>
                <w:rFonts w:hint="eastAsia" w:ascii="宋体" w:hAnsi="宋体" w:cs="宋体"/>
                <w:color w:val="000000"/>
                <w:kern w:val="0"/>
                <w:sz w:val="20"/>
                <w:szCs w:val="20"/>
                <w:lang w:bidi="ar"/>
              </w:rPr>
            </w:pPr>
          </w:p>
        </w:tc>
        <w:tc>
          <w:tcPr>
            <w:tcW w:w="832" w:type="dxa"/>
            <w:tcBorders>
              <w:top w:val="single" w:color="000000" w:sz="4" w:space="0"/>
              <w:left w:val="single" w:color="000000" w:sz="4" w:space="0"/>
              <w:bottom w:val="single" w:color="000000" w:sz="4" w:space="0"/>
              <w:right w:val="single" w:color="000000" w:sz="4" w:space="0"/>
            </w:tcBorders>
            <w:vAlign w:val="center"/>
          </w:tcPr>
          <w:p w14:paraId="1AB3EBD8">
            <w:pPr>
              <w:widowControl/>
              <w:jc w:val="center"/>
              <w:textAlignment w:val="center"/>
              <w:rPr>
                <w:rFonts w:hint="eastAsia" w:ascii="宋体" w:hAnsi="宋体" w:cs="宋体"/>
                <w:color w:val="000000"/>
                <w:kern w:val="0"/>
                <w:sz w:val="20"/>
                <w:szCs w:val="20"/>
                <w:lang w:bidi="ar"/>
              </w:rPr>
            </w:pPr>
          </w:p>
        </w:tc>
        <w:tc>
          <w:tcPr>
            <w:tcW w:w="1143" w:type="dxa"/>
            <w:tcBorders>
              <w:top w:val="single" w:color="000000" w:sz="4" w:space="0"/>
              <w:left w:val="single" w:color="000000" w:sz="4" w:space="0"/>
              <w:bottom w:val="single" w:color="000000" w:sz="4" w:space="0"/>
              <w:right w:val="single" w:color="000000" w:sz="4" w:space="0"/>
            </w:tcBorders>
            <w:vAlign w:val="center"/>
          </w:tcPr>
          <w:p w14:paraId="38E09D5C">
            <w:pPr>
              <w:widowControl/>
              <w:jc w:val="center"/>
              <w:textAlignment w:val="center"/>
              <w:rPr>
                <w:rFonts w:hint="eastAsia" w:ascii="宋体" w:hAnsi="宋体" w:cs="宋体"/>
                <w:color w:val="000000"/>
                <w:kern w:val="0"/>
                <w:sz w:val="20"/>
                <w:szCs w:val="20"/>
                <w:lang w:bidi="ar"/>
              </w:rPr>
            </w:pPr>
          </w:p>
        </w:tc>
        <w:tc>
          <w:tcPr>
            <w:tcW w:w="763" w:type="dxa"/>
            <w:tcBorders>
              <w:top w:val="single" w:color="000000" w:sz="4" w:space="0"/>
              <w:left w:val="single" w:color="000000" w:sz="4" w:space="0"/>
              <w:bottom w:val="single" w:color="000000" w:sz="4" w:space="0"/>
              <w:right w:val="single" w:color="000000" w:sz="4" w:space="0"/>
            </w:tcBorders>
            <w:vAlign w:val="center"/>
          </w:tcPr>
          <w:p w14:paraId="3EDE451D">
            <w:pPr>
              <w:widowControl/>
              <w:jc w:val="center"/>
              <w:textAlignment w:val="center"/>
              <w:rPr>
                <w:rFonts w:hint="eastAsia" w:ascii="宋体" w:hAnsi="宋体" w:cs="宋体"/>
                <w:color w:val="000000"/>
                <w:kern w:val="0"/>
                <w:sz w:val="20"/>
                <w:szCs w:val="20"/>
                <w:lang w:bidi="ar"/>
              </w:rPr>
            </w:pPr>
          </w:p>
        </w:tc>
        <w:tc>
          <w:tcPr>
            <w:tcW w:w="741" w:type="dxa"/>
            <w:tcBorders>
              <w:top w:val="single" w:color="000000" w:sz="4" w:space="0"/>
              <w:left w:val="single" w:color="000000" w:sz="4" w:space="0"/>
              <w:bottom w:val="single" w:color="000000" w:sz="4" w:space="0"/>
              <w:right w:val="single" w:color="000000" w:sz="4" w:space="0"/>
            </w:tcBorders>
            <w:vAlign w:val="center"/>
          </w:tcPr>
          <w:p w14:paraId="59763B14">
            <w:pPr>
              <w:widowControl/>
              <w:jc w:val="center"/>
              <w:textAlignment w:val="center"/>
              <w:rPr>
                <w:rFonts w:hint="eastAsia" w:ascii="宋体" w:hAnsi="宋体" w:cs="宋体"/>
                <w:color w:val="000000"/>
                <w:kern w:val="0"/>
                <w:sz w:val="20"/>
                <w:szCs w:val="20"/>
                <w:lang w:bidi="ar"/>
              </w:rPr>
            </w:pPr>
          </w:p>
        </w:tc>
      </w:tr>
      <w:tr w14:paraId="0158E8AA">
        <w:tblPrEx>
          <w:tblCellMar>
            <w:top w:w="0" w:type="dxa"/>
            <w:left w:w="108" w:type="dxa"/>
            <w:bottom w:w="0" w:type="dxa"/>
            <w:right w:w="108" w:type="dxa"/>
          </w:tblCellMar>
        </w:tblPrEx>
        <w:trPr>
          <w:trHeight w:val="20" w:hRule="atLeast"/>
          <w:jc w:val="center"/>
        </w:trPr>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351CEE">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63</w:t>
            </w:r>
          </w:p>
        </w:tc>
        <w:tc>
          <w:tcPr>
            <w:tcW w:w="2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2BCDEB">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砷速测试剂盒</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C61294">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每盒可测多份样品</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B5D2DA">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盒（或包）</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F7821E">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D4357A">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100</w:t>
            </w:r>
          </w:p>
        </w:tc>
        <w:tc>
          <w:tcPr>
            <w:tcW w:w="992" w:type="dxa"/>
            <w:tcBorders>
              <w:top w:val="single" w:color="000000" w:sz="4" w:space="0"/>
              <w:left w:val="single" w:color="000000" w:sz="4" w:space="0"/>
              <w:bottom w:val="single" w:color="000000" w:sz="4" w:space="0"/>
              <w:right w:val="single" w:color="000000" w:sz="4" w:space="0"/>
            </w:tcBorders>
            <w:vAlign w:val="center"/>
          </w:tcPr>
          <w:p w14:paraId="7F783810">
            <w:pPr>
              <w:widowControl/>
              <w:jc w:val="center"/>
              <w:textAlignment w:val="center"/>
              <w:rPr>
                <w:rFonts w:hint="eastAsia" w:ascii="宋体" w:hAnsi="宋体" w:cs="宋体"/>
                <w:color w:val="000000"/>
                <w:kern w:val="0"/>
                <w:sz w:val="20"/>
                <w:szCs w:val="20"/>
                <w:lang w:bidi="ar"/>
              </w:rPr>
            </w:pPr>
          </w:p>
        </w:tc>
        <w:tc>
          <w:tcPr>
            <w:tcW w:w="1239" w:type="dxa"/>
            <w:tcBorders>
              <w:top w:val="single" w:color="000000" w:sz="4" w:space="0"/>
              <w:left w:val="single" w:color="000000" w:sz="4" w:space="0"/>
              <w:bottom w:val="single" w:color="000000" w:sz="4" w:space="0"/>
              <w:right w:val="single" w:color="000000" w:sz="4" w:space="0"/>
            </w:tcBorders>
            <w:vAlign w:val="center"/>
          </w:tcPr>
          <w:p w14:paraId="1EA9A4C1">
            <w:pPr>
              <w:widowControl/>
              <w:jc w:val="center"/>
              <w:textAlignment w:val="center"/>
              <w:rPr>
                <w:rFonts w:hint="eastAsia" w:ascii="宋体" w:hAnsi="宋体" w:cs="宋体"/>
                <w:color w:val="000000"/>
                <w:kern w:val="0"/>
                <w:sz w:val="20"/>
                <w:szCs w:val="20"/>
                <w:lang w:bidi="ar"/>
              </w:rPr>
            </w:pPr>
          </w:p>
        </w:tc>
        <w:tc>
          <w:tcPr>
            <w:tcW w:w="900" w:type="dxa"/>
            <w:tcBorders>
              <w:top w:val="single" w:color="000000" w:sz="4" w:space="0"/>
              <w:left w:val="single" w:color="000000" w:sz="4" w:space="0"/>
              <w:bottom w:val="single" w:color="000000" w:sz="4" w:space="0"/>
              <w:right w:val="single" w:color="000000" w:sz="4" w:space="0"/>
            </w:tcBorders>
            <w:vAlign w:val="center"/>
          </w:tcPr>
          <w:p w14:paraId="1E95BB7E">
            <w:pPr>
              <w:widowControl/>
              <w:jc w:val="center"/>
              <w:textAlignment w:val="center"/>
              <w:rPr>
                <w:rFonts w:hint="eastAsia" w:ascii="宋体" w:hAnsi="宋体" w:cs="宋体"/>
                <w:color w:val="000000"/>
                <w:kern w:val="0"/>
                <w:sz w:val="20"/>
                <w:szCs w:val="20"/>
                <w:lang w:bidi="ar"/>
              </w:rPr>
            </w:pPr>
          </w:p>
        </w:tc>
        <w:tc>
          <w:tcPr>
            <w:tcW w:w="832" w:type="dxa"/>
            <w:tcBorders>
              <w:top w:val="single" w:color="000000" w:sz="4" w:space="0"/>
              <w:left w:val="single" w:color="000000" w:sz="4" w:space="0"/>
              <w:bottom w:val="single" w:color="000000" w:sz="4" w:space="0"/>
              <w:right w:val="single" w:color="000000" w:sz="4" w:space="0"/>
            </w:tcBorders>
            <w:vAlign w:val="center"/>
          </w:tcPr>
          <w:p w14:paraId="42D1B06A">
            <w:pPr>
              <w:widowControl/>
              <w:jc w:val="center"/>
              <w:textAlignment w:val="center"/>
              <w:rPr>
                <w:rFonts w:hint="eastAsia" w:ascii="宋体" w:hAnsi="宋体" w:cs="宋体"/>
                <w:color w:val="000000"/>
                <w:kern w:val="0"/>
                <w:sz w:val="20"/>
                <w:szCs w:val="20"/>
                <w:lang w:bidi="ar"/>
              </w:rPr>
            </w:pPr>
          </w:p>
        </w:tc>
        <w:tc>
          <w:tcPr>
            <w:tcW w:w="1143" w:type="dxa"/>
            <w:tcBorders>
              <w:top w:val="single" w:color="000000" w:sz="4" w:space="0"/>
              <w:left w:val="single" w:color="000000" w:sz="4" w:space="0"/>
              <w:bottom w:val="single" w:color="000000" w:sz="4" w:space="0"/>
              <w:right w:val="single" w:color="000000" w:sz="4" w:space="0"/>
            </w:tcBorders>
            <w:vAlign w:val="center"/>
          </w:tcPr>
          <w:p w14:paraId="4DF45AFF">
            <w:pPr>
              <w:widowControl/>
              <w:jc w:val="center"/>
              <w:textAlignment w:val="center"/>
              <w:rPr>
                <w:rFonts w:hint="eastAsia" w:ascii="宋体" w:hAnsi="宋体" w:cs="宋体"/>
                <w:color w:val="000000"/>
                <w:kern w:val="0"/>
                <w:sz w:val="20"/>
                <w:szCs w:val="20"/>
                <w:lang w:bidi="ar"/>
              </w:rPr>
            </w:pPr>
          </w:p>
        </w:tc>
        <w:tc>
          <w:tcPr>
            <w:tcW w:w="763" w:type="dxa"/>
            <w:tcBorders>
              <w:top w:val="single" w:color="000000" w:sz="4" w:space="0"/>
              <w:left w:val="single" w:color="000000" w:sz="4" w:space="0"/>
              <w:bottom w:val="single" w:color="000000" w:sz="4" w:space="0"/>
              <w:right w:val="single" w:color="000000" w:sz="4" w:space="0"/>
            </w:tcBorders>
            <w:vAlign w:val="center"/>
          </w:tcPr>
          <w:p w14:paraId="1B6C4488">
            <w:pPr>
              <w:widowControl/>
              <w:jc w:val="center"/>
              <w:textAlignment w:val="center"/>
              <w:rPr>
                <w:rFonts w:hint="eastAsia" w:ascii="宋体" w:hAnsi="宋体" w:cs="宋体"/>
                <w:color w:val="000000"/>
                <w:kern w:val="0"/>
                <w:sz w:val="20"/>
                <w:szCs w:val="20"/>
                <w:lang w:bidi="ar"/>
              </w:rPr>
            </w:pPr>
          </w:p>
        </w:tc>
        <w:tc>
          <w:tcPr>
            <w:tcW w:w="741" w:type="dxa"/>
            <w:tcBorders>
              <w:top w:val="single" w:color="000000" w:sz="4" w:space="0"/>
              <w:left w:val="single" w:color="000000" w:sz="4" w:space="0"/>
              <w:bottom w:val="single" w:color="000000" w:sz="4" w:space="0"/>
              <w:right w:val="single" w:color="000000" w:sz="4" w:space="0"/>
            </w:tcBorders>
            <w:vAlign w:val="center"/>
          </w:tcPr>
          <w:p w14:paraId="5944F403">
            <w:pPr>
              <w:widowControl/>
              <w:jc w:val="center"/>
              <w:textAlignment w:val="center"/>
              <w:rPr>
                <w:rFonts w:hint="eastAsia" w:ascii="宋体" w:hAnsi="宋体" w:cs="宋体"/>
                <w:color w:val="000000"/>
                <w:kern w:val="0"/>
                <w:sz w:val="20"/>
                <w:szCs w:val="20"/>
                <w:lang w:bidi="ar"/>
              </w:rPr>
            </w:pPr>
          </w:p>
        </w:tc>
      </w:tr>
      <w:tr w14:paraId="336F6276">
        <w:tblPrEx>
          <w:tblCellMar>
            <w:top w:w="0" w:type="dxa"/>
            <w:left w:w="108" w:type="dxa"/>
            <w:bottom w:w="0" w:type="dxa"/>
            <w:right w:w="108" w:type="dxa"/>
          </w:tblCellMar>
        </w:tblPrEx>
        <w:trPr>
          <w:trHeight w:val="20" w:hRule="atLeast"/>
          <w:jc w:val="center"/>
        </w:trPr>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919A5A">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64</w:t>
            </w:r>
          </w:p>
        </w:tc>
        <w:tc>
          <w:tcPr>
            <w:tcW w:w="2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48BDDD">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汞速测试剂盒</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E5A835">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每盒可测多份样品</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B3310B">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盒（或包）</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52E119">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798C51">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100</w:t>
            </w:r>
          </w:p>
        </w:tc>
        <w:tc>
          <w:tcPr>
            <w:tcW w:w="992" w:type="dxa"/>
            <w:tcBorders>
              <w:top w:val="single" w:color="000000" w:sz="4" w:space="0"/>
              <w:left w:val="single" w:color="000000" w:sz="4" w:space="0"/>
              <w:bottom w:val="single" w:color="000000" w:sz="4" w:space="0"/>
              <w:right w:val="single" w:color="000000" w:sz="4" w:space="0"/>
            </w:tcBorders>
            <w:vAlign w:val="center"/>
          </w:tcPr>
          <w:p w14:paraId="6197A892">
            <w:pPr>
              <w:widowControl/>
              <w:jc w:val="center"/>
              <w:textAlignment w:val="center"/>
              <w:rPr>
                <w:rFonts w:hint="eastAsia" w:ascii="宋体" w:hAnsi="宋体" w:cs="宋体"/>
                <w:color w:val="000000"/>
                <w:kern w:val="0"/>
                <w:sz w:val="20"/>
                <w:szCs w:val="20"/>
                <w:lang w:bidi="ar"/>
              </w:rPr>
            </w:pPr>
          </w:p>
        </w:tc>
        <w:tc>
          <w:tcPr>
            <w:tcW w:w="1239" w:type="dxa"/>
            <w:tcBorders>
              <w:top w:val="single" w:color="000000" w:sz="4" w:space="0"/>
              <w:left w:val="single" w:color="000000" w:sz="4" w:space="0"/>
              <w:bottom w:val="single" w:color="000000" w:sz="4" w:space="0"/>
              <w:right w:val="single" w:color="000000" w:sz="4" w:space="0"/>
            </w:tcBorders>
            <w:vAlign w:val="center"/>
          </w:tcPr>
          <w:p w14:paraId="2576BD3C">
            <w:pPr>
              <w:widowControl/>
              <w:jc w:val="center"/>
              <w:textAlignment w:val="center"/>
              <w:rPr>
                <w:rFonts w:hint="eastAsia" w:ascii="宋体" w:hAnsi="宋体" w:cs="宋体"/>
                <w:color w:val="000000"/>
                <w:kern w:val="0"/>
                <w:sz w:val="20"/>
                <w:szCs w:val="20"/>
                <w:lang w:bidi="ar"/>
              </w:rPr>
            </w:pPr>
          </w:p>
        </w:tc>
        <w:tc>
          <w:tcPr>
            <w:tcW w:w="900" w:type="dxa"/>
            <w:tcBorders>
              <w:top w:val="single" w:color="000000" w:sz="4" w:space="0"/>
              <w:left w:val="single" w:color="000000" w:sz="4" w:space="0"/>
              <w:bottom w:val="single" w:color="000000" w:sz="4" w:space="0"/>
              <w:right w:val="single" w:color="000000" w:sz="4" w:space="0"/>
            </w:tcBorders>
            <w:vAlign w:val="center"/>
          </w:tcPr>
          <w:p w14:paraId="6647BD5E">
            <w:pPr>
              <w:widowControl/>
              <w:jc w:val="center"/>
              <w:textAlignment w:val="center"/>
              <w:rPr>
                <w:rFonts w:hint="eastAsia" w:ascii="宋体" w:hAnsi="宋体" w:cs="宋体"/>
                <w:color w:val="000000"/>
                <w:kern w:val="0"/>
                <w:sz w:val="20"/>
                <w:szCs w:val="20"/>
                <w:lang w:bidi="ar"/>
              </w:rPr>
            </w:pPr>
          </w:p>
        </w:tc>
        <w:tc>
          <w:tcPr>
            <w:tcW w:w="832" w:type="dxa"/>
            <w:tcBorders>
              <w:top w:val="single" w:color="000000" w:sz="4" w:space="0"/>
              <w:left w:val="single" w:color="000000" w:sz="4" w:space="0"/>
              <w:bottom w:val="single" w:color="000000" w:sz="4" w:space="0"/>
              <w:right w:val="single" w:color="000000" w:sz="4" w:space="0"/>
            </w:tcBorders>
            <w:vAlign w:val="center"/>
          </w:tcPr>
          <w:p w14:paraId="559FE9C6">
            <w:pPr>
              <w:widowControl/>
              <w:jc w:val="center"/>
              <w:textAlignment w:val="center"/>
              <w:rPr>
                <w:rFonts w:hint="eastAsia" w:ascii="宋体" w:hAnsi="宋体" w:cs="宋体"/>
                <w:color w:val="000000"/>
                <w:kern w:val="0"/>
                <w:sz w:val="20"/>
                <w:szCs w:val="20"/>
                <w:lang w:bidi="ar"/>
              </w:rPr>
            </w:pPr>
          </w:p>
        </w:tc>
        <w:tc>
          <w:tcPr>
            <w:tcW w:w="1143" w:type="dxa"/>
            <w:tcBorders>
              <w:top w:val="single" w:color="000000" w:sz="4" w:space="0"/>
              <w:left w:val="single" w:color="000000" w:sz="4" w:space="0"/>
              <w:bottom w:val="single" w:color="000000" w:sz="4" w:space="0"/>
              <w:right w:val="single" w:color="000000" w:sz="4" w:space="0"/>
            </w:tcBorders>
            <w:vAlign w:val="center"/>
          </w:tcPr>
          <w:p w14:paraId="1B0F6831">
            <w:pPr>
              <w:widowControl/>
              <w:jc w:val="center"/>
              <w:textAlignment w:val="center"/>
              <w:rPr>
                <w:rFonts w:hint="eastAsia" w:ascii="宋体" w:hAnsi="宋体" w:cs="宋体"/>
                <w:color w:val="000000"/>
                <w:kern w:val="0"/>
                <w:sz w:val="20"/>
                <w:szCs w:val="20"/>
                <w:lang w:bidi="ar"/>
              </w:rPr>
            </w:pPr>
          </w:p>
        </w:tc>
        <w:tc>
          <w:tcPr>
            <w:tcW w:w="763" w:type="dxa"/>
            <w:tcBorders>
              <w:top w:val="single" w:color="000000" w:sz="4" w:space="0"/>
              <w:left w:val="single" w:color="000000" w:sz="4" w:space="0"/>
              <w:bottom w:val="single" w:color="000000" w:sz="4" w:space="0"/>
              <w:right w:val="single" w:color="000000" w:sz="4" w:space="0"/>
            </w:tcBorders>
            <w:vAlign w:val="center"/>
          </w:tcPr>
          <w:p w14:paraId="3F76FA71">
            <w:pPr>
              <w:widowControl/>
              <w:jc w:val="center"/>
              <w:textAlignment w:val="center"/>
              <w:rPr>
                <w:rFonts w:hint="eastAsia" w:ascii="宋体" w:hAnsi="宋体" w:cs="宋体"/>
                <w:color w:val="000000"/>
                <w:kern w:val="0"/>
                <w:sz w:val="20"/>
                <w:szCs w:val="20"/>
                <w:lang w:bidi="ar"/>
              </w:rPr>
            </w:pPr>
          </w:p>
        </w:tc>
        <w:tc>
          <w:tcPr>
            <w:tcW w:w="741" w:type="dxa"/>
            <w:tcBorders>
              <w:top w:val="single" w:color="000000" w:sz="4" w:space="0"/>
              <w:left w:val="single" w:color="000000" w:sz="4" w:space="0"/>
              <w:bottom w:val="single" w:color="000000" w:sz="4" w:space="0"/>
              <w:right w:val="single" w:color="000000" w:sz="4" w:space="0"/>
            </w:tcBorders>
            <w:vAlign w:val="center"/>
          </w:tcPr>
          <w:p w14:paraId="718C9A5A">
            <w:pPr>
              <w:widowControl/>
              <w:jc w:val="center"/>
              <w:textAlignment w:val="center"/>
              <w:rPr>
                <w:rFonts w:hint="eastAsia" w:ascii="宋体" w:hAnsi="宋体" w:cs="宋体"/>
                <w:color w:val="000000"/>
                <w:kern w:val="0"/>
                <w:sz w:val="20"/>
                <w:szCs w:val="20"/>
                <w:lang w:bidi="ar"/>
              </w:rPr>
            </w:pPr>
          </w:p>
        </w:tc>
      </w:tr>
      <w:tr w14:paraId="2D622B36">
        <w:tblPrEx>
          <w:tblCellMar>
            <w:top w:w="0" w:type="dxa"/>
            <w:left w:w="108" w:type="dxa"/>
            <w:bottom w:w="0" w:type="dxa"/>
            <w:right w:w="108" w:type="dxa"/>
          </w:tblCellMar>
        </w:tblPrEx>
        <w:trPr>
          <w:trHeight w:val="20" w:hRule="atLeast"/>
          <w:jc w:val="center"/>
        </w:trPr>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16D1D5">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65</w:t>
            </w:r>
          </w:p>
        </w:tc>
        <w:tc>
          <w:tcPr>
            <w:tcW w:w="2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8E4C96">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有毒扁豆速测盒</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524A7D">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每盒可测20份样品</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001AF6">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盒（或包）</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212C10">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982871">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120</w:t>
            </w:r>
          </w:p>
        </w:tc>
        <w:tc>
          <w:tcPr>
            <w:tcW w:w="992" w:type="dxa"/>
            <w:tcBorders>
              <w:top w:val="single" w:color="000000" w:sz="4" w:space="0"/>
              <w:left w:val="single" w:color="000000" w:sz="4" w:space="0"/>
              <w:bottom w:val="single" w:color="000000" w:sz="4" w:space="0"/>
              <w:right w:val="single" w:color="000000" w:sz="4" w:space="0"/>
            </w:tcBorders>
            <w:vAlign w:val="center"/>
          </w:tcPr>
          <w:p w14:paraId="79A19ACF">
            <w:pPr>
              <w:widowControl/>
              <w:jc w:val="center"/>
              <w:textAlignment w:val="center"/>
              <w:rPr>
                <w:rFonts w:hint="eastAsia" w:ascii="宋体" w:hAnsi="宋体" w:cs="宋体"/>
                <w:color w:val="000000"/>
                <w:kern w:val="0"/>
                <w:sz w:val="20"/>
                <w:szCs w:val="20"/>
                <w:lang w:bidi="ar"/>
              </w:rPr>
            </w:pPr>
          </w:p>
        </w:tc>
        <w:tc>
          <w:tcPr>
            <w:tcW w:w="1239" w:type="dxa"/>
            <w:tcBorders>
              <w:top w:val="single" w:color="000000" w:sz="4" w:space="0"/>
              <w:left w:val="single" w:color="000000" w:sz="4" w:space="0"/>
              <w:bottom w:val="single" w:color="000000" w:sz="4" w:space="0"/>
              <w:right w:val="single" w:color="000000" w:sz="4" w:space="0"/>
            </w:tcBorders>
            <w:vAlign w:val="center"/>
          </w:tcPr>
          <w:p w14:paraId="16128437">
            <w:pPr>
              <w:widowControl/>
              <w:jc w:val="center"/>
              <w:textAlignment w:val="center"/>
              <w:rPr>
                <w:rFonts w:hint="eastAsia" w:ascii="宋体" w:hAnsi="宋体" w:cs="宋体"/>
                <w:color w:val="000000"/>
                <w:kern w:val="0"/>
                <w:sz w:val="20"/>
                <w:szCs w:val="20"/>
                <w:lang w:bidi="ar"/>
              </w:rPr>
            </w:pPr>
          </w:p>
        </w:tc>
        <w:tc>
          <w:tcPr>
            <w:tcW w:w="900" w:type="dxa"/>
            <w:tcBorders>
              <w:top w:val="single" w:color="000000" w:sz="4" w:space="0"/>
              <w:left w:val="single" w:color="000000" w:sz="4" w:space="0"/>
              <w:bottom w:val="single" w:color="000000" w:sz="4" w:space="0"/>
              <w:right w:val="single" w:color="000000" w:sz="4" w:space="0"/>
            </w:tcBorders>
            <w:vAlign w:val="center"/>
          </w:tcPr>
          <w:p w14:paraId="3ACD93CA">
            <w:pPr>
              <w:widowControl/>
              <w:jc w:val="center"/>
              <w:textAlignment w:val="center"/>
              <w:rPr>
                <w:rFonts w:hint="eastAsia" w:ascii="宋体" w:hAnsi="宋体" w:cs="宋体"/>
                <w:color w:val="000000"/>
                <w:kern w:val="0"/>
                <w:sz w:val="20"/>
                <w:szCs w:val="20"/>
                <w:lang w:bidi="ar"/>
              </w:rPr>
            </w:pPr>
          </w:p>
        </w:tc>
        <w:tc>
          <w:tcPr>
            <w:tcW w:w="832" w:type="dxa"/>
            <w:tcBorders>
              <w:top w:val="single" w:color="000000" w:sz="4" w:space="0"/>
              <w:left w:val="single" w:color="000000" w:sz="4" w:space="0"/>
              <w:bottom w:val="single" w:color="000000" w:sz="4" w:space="0"/>
              <w:right w:val="single" w:color="000000" w:sz="4" w:space="0"/>
            </w:tcBorders>
            <w:vAlign w:val="center"/>
          </w:tcPr>
          <w:p w14:paraId="756E0710">
            <w:pPr>
              <w:widowControl/>
              <w:jc w:val="center"/>
              <w:textAlignment w:val="center"/>
              <w:rPr>
                <w:rFonts w:hint="eastAsia" w:ascii="宋体" w:hAnsi="宋体" w:cs="宋体"/>
                <w:color w:val="000000"/>
                <w:kern w:val="0"/>
                <w:sz w:val="20"/>
                <w:szCs w:val="20"/>
                <w:lang w:bidi="ar"/>
              </w:rPr>
            </w:pPr>
          </w:p>
        </w:tc>
        <w:tc>
          <w:tcPr>
            <w:tcW w:w="1143" w:type="dxa"/>
            <w:tcBorders>
              <w:top w:val="single" w:color="000000" w:sz="4" w:space="0"/>
              <w:left w:val="single" w:color="000000" w:sz="4" w:space="0"/>
              <w:bottom w:val="single" w:color="000000" w:sz="4" w:space="0"/>
              <w:right w:val="single" w:color="000000" w:sz="4" w:space="0"/>
            </w:tcBorders>
            <w:vAlign w:val="center"/>
          </w:tcPr>
          <w:p w14:paraId="68A8DB06">
            <w:pPr>
              <w:widowControl/>
              <w:jc w:val="center"/>
              <w:textAlignment w:val="center"/>
              <w:rPr>
                <w:rFonts w:hint="eastAsia" w:ascii="宋体" w:hAnsi="宋体" w:cs="宋体"/>
                <w:color w:val="000000"/>
                <w:kern w:val="0"/>
                <w:sz w:val="20"/>
                <w:szCs w:val="20"/>
                <w:lang w:bidi="ar"/>
              </w:rPr>
            </w:pPr>
          </w:p>
        </w:tc>
        <w:tc>
          <w:tcPr>
            <w:tcW w:w="763" w:type="dxa"/>
            <w:tcBorders>
              <w:top w:val="single" w:color="000000" w:sz="4" w:space="0"/>
              <w:left w:val="single" w:color="000000" w:sz="4" w:space="0"/>
              <w:bottom w:val="single" w:color="000000" w:sz="4" w:space="0"/>
              <w:right w:val="single" w:color="000000" w:sz="4" w:space="0"/>
            </w:tcBorders>
            <w:vAlign w:val="center"/>
          </w:tcPr>
          <w:p w14:paraId="535ED6CF">
            <w:pPr>
              <w:widowControl/>
              <w:jc w:val="center"/>
              <w:textAlignment w:val="center"/>
              <w:rPr>
                <w:rFonts w:hint="eastAsia" w:ascii="宋体" w:hAnsi="宋体" w:cs="宋体"/>
                <w:color w:val="000000"/>
                <w:kern w:val="0"/>
                <w:sz w:val="20"/>
                <w:szCs w:val="20"/>
                <w:lang w:bidi="ar"/>
              </w:rPr>
            </w:pPr>
          </w:p>
        </w:tc>
        <w:tc>
          <w:tcPr>
            <w:tcW w:w="741" w:type="dxa"/>
            <w:tcBorders>
              <w:top w:val="single" w:color="000000" w:sz="4" w:space="0"/>
              <w:left w:val="single" w:color="000000" w:sz="4" w:space="0"/>
              <w:bottom w:val="single" w:color="000000" w:sz="4" w:space="0"/>
              <w:right w:val="single" w:color="000000" w:sz="4" w:space="0"/>
            </w:tcBorders>
            <w:vAlign w:val="center"/>
          </w:tcPr>
          <w:p w14:paraId="64FF1169">
            <w:pPr>
              <w:widowControl/>
              <w:jc w:val="center"/>
              <w:textAlignment w:val="center"/>
              <w:rPr>
                <w:rFonts w:hint="eastAsia" w:ascii="宋体" w:hAnsi="宋体" w:cs="宋体"/>
                <w:color w:val="000000"/>
                <w:kern w:val="0"/>
                <w:sz w:val="20"/>
                <w:szCs w:val="20"/>
                <w:lang w:bidi="ar"/>
              </w:rPr>
            </w:pPr>
          </w:p>
        </w:tc>
      </w:tr>
      <w:tr w14:paraId="2240C803">
        <w:tblPrEx>
          <w:tblCellMar>
            <w:top w:w="0" w:type="dxa"/>
            <w:left w:w="108" w:type="dxa"/>
            <w:bottom w:w="0" w:type="dxa"/>
            <w:right w:w="108" w:type="dxa"/>
          </w:tblCellMar>
        </w:tblPrEx>
        <w:trPr>
          <w:trHeight w:val="20" w:hRule="atLeast"/>
          <w:jc w:val="center"/>
        </w:trPr>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E2571E">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66</w:t>
            </w:r>
          </w:p>
        </w:tc>
        <w:tc>
          <w:tcPr>
            <w:tcW w:w="2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C923D7">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食用油酸价、过氧化值快速检测试纸</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83A9F0">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每盒可测20份样品</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617E89">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盒（或包）</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E26A03">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756D1F">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100</w:t>
            </w:r>
          </w:p>
        </w:tc>
        <w:tc>
          <w:tcPr>
            <w:tcW w:w="992" w:type="dxa"/>
            <w:tcBorders>
              <w:top w:val="single" w:color="000000" w:sz="4" w:space="0"/>
              <w:left w:val="single" w:color="000000" w:sz="4" w:space="0"/>
              <w:bottom w:val="single" w:color="000000" w:sz="4" w:space="0"/>
              <w:right w:val="single" w:color="000000" w:sz="4" w:space="0"/>
            </w:tcBorders>
            <w:vAlign w:val="center"/>
          </w:tcPr>
          <w:p w14:paraId="565E03E9">
            <w:pPr>
              <w:widowControl/>
              <w:jc w:val="center"/>
              <w:textAlignment w:val="center"/>
              <w:rPr>
                <w:rFonts w:hint="eastAsia" w:ascii="宋体" w:hAnsi="宋体" w:cs="宋体"/>
                <w:color w:val="000000"/>
                <w:kern w:val="0"/>
                <w:sz w:val="20"/>
                <w:szCs w:val="20"/>
                <w:lang w:bidi="ar"/>
              </w:rPr>
            </w:pPr>
          </w:p>
        </w:tc>
        <w:tc>
          <w:tcPr>
            <w:tcW w:w="1239" w:type="dxa"/>
            <w:tcBorders>
              <w:top w:val="single" w:color="000000" w:sz="4" w:space="0"/>
              <w:left w:val="single" w:color="000000" w:sz="4" w:space="0"/>
              <w:bottom w:val="single" w:color="000000" w:sz="4" w:space="0"/>
              <w:right w:val="single" w:color="000000" w:sz="4" w:space="0"/>
            </w:tcBorders>
            <w:vAlign w:val="center"/>
          </w:tcPr>
          <w:p w14:paraId="4C15B182">
            <w:pPr>
              <w:widowControl/>
              <w:jc w:val="center"/>
              <w:textAlignment w:val="center"/>
              <w:rPr>
                <w:rFonts w:hint="eastAsia" w:ascii="宋体" w:hAnsi="宋体" w:cs="宋体"/>
                <w:color w:val="000000"/>
                <w:kern w:val="0"/>
                <w:sz w:val="20"/>
                <w:szCs w:val="20"/>
                <w:lang w:bidi="ar"/>
              </w:rPr>
            </w:pPr>
          </w:p>
        </w:tc>
        <w:tc>
          <w:tcPr>
            <w:tcW w:w="900" w:type="dxa"/>
            <w:tcBorders>
              <w:top w:val="single" w:color="000000" w:sz="4" w:space="0"/>
              <w:left w:val="single" w:color="000000" w:sz="4" w:space="0"/>
              <w:bottom w:val="single" w:color="000000" w:sz="4" w:space="0"/>
              <w:right w:val="single" w:color="000000" w:sz="4" w:space="0"/>
            </w:tcBorders>
            <w:vAlign w:val="center"/>
          </w:tcPr>
          <w:p w14:paraId="5B367723">
            <w:pPr>
              <w:widowControl/>
              <w:jc w:val="center"/>
              <w:textAlignment w:val="center"/>
              <w:rPr>
                <w:rFonts w:hint="eastAsia" w:ascii="宋体" w:hAnsi="宋体" w:cs="宋体"/>
                <w:color w:val="000000"/>
                <w:kern w:val="0"/>
                <w:sz w:val="20"/>
                <w:szCs w:val="20"/>
                <w:lang w:bidi="ar"/>
              </w:rPr>
            </w:pPr>
          </w:p>
        </w:tc>
        <w:tc>
          <w:tcPr>
            <w:tcW w:w="832" w:type="dxa"/>
            <w:tcBorders>
              <w:top w:val="single" w:color="000000" w:sz="4" w:space="0"/>
              <w:left w:val="single" w:color="000000" w:sz="4" w:space="0"/>
              <w:bottom w:val="single" w:color="000000" w:sz="4" w:space="0"/>
              <w:right w:val="single" w:color="000000" w:sz="4" w:space="0"/>
            </w:tcBorders>
            <w:vAlign w:val="center"/>
          </w:tcPr>
          <w:p w14:paraId="65CD4EA5">
            <w:pPr>
              <w:widowControl/>
              <w:jc w:val="center"/>
              <w:textAlignment w:val="center"/>
              <w:rPr>
                <w:rFonts w:hint="eastAsia" w:ascii="宋体" w:hAnsi="宋体" w:cs="宋体"/>
                <w:color w:val="000000"/>
                <w:kern w:val="0"/>
                <w:sz w:val="20"/>
                <w:szCs w:val="20"/>
                <w:lang w:bidi="ar"/>
              </w:rPr>
            </w:pPr>
          </w:p>
        </w:tc>
        <w:tc>
          <w:tcPr>
            <w:tcW w:w="1143" w:type="dxa"/>
            <w:tcBorders>
              <w:top w:val="single" w:color="000000" w:sz="4" w:space="0"/>
              <w:left w:val="single" w:color="000000" w:sz="4" w:space="0"/>
              <w:bottom w:val="single" w:color="000000" w:sz="4" w:space="0"/>
              <w:right w:val="single" w:color="000000" w:sz="4" w:space="0"/>
            </w:tcBorders>
            <w:vAlign w:val="center"/>
          </w:tcPr>
          <w:p w14:paraId="025D514F">
            <w:pPr>
              <w:widowControl/>
              <w:jc w:val="center"/>
              <w:textAlignment w:val="center"/>
              <w:rPr>
                <w:rFonts w:hint="eastAsia" w:ascii="宋体" w:hAnsi="宋体" w:cs="宋体"/>
                <w:color w:val="000000"/>
                <w:kern w:val="0"/>
                <w:sz w:val="20"/>
                <w:szCs w:val="20"/>
                <w:lang w:bidi="ar"/>
              </w:rPr>
            </w:pPr>
          </w:p>
        </w:tc>
        <w:tc>
          <w:tcPr>
            <w:tcW w:w="763" w:type="dxa"/>
            <w:tcBorders>
              <w:top w:val="single" w:color="000000" w:sz="4" w:space="0"/>
              <w:left w:val="single" w:color="000000" w:sz="4" w:space="0"/>
              <w:bottom w:val="single" w:color="000000" w:sz="4" w:space="0"/>
              <w:right w:val="single" w:color="000000" w:sz="4" w:space="0"/>
            </w:tcBorders>
            <w:vAlign w:val="center"/>
          </w:tcPr>
          <w:p w14:paraId="63B73ED9">
            <w:pPr>
              <w:widowControl/>
              <w:jc w:val="center"/>
              <w:textAlignment w:val="center"/>
              <w:rPr>
                <w:rFonts w:hint="eastAsia" w:ascii="宋体" w:hAnsi="宋体" w:cs="宋体"/>
                <w:color w:val="000000"/>
                <w:kern w:val="0"/>
                <w:sz w:val="20"/>
                <w:szCs w:val="20"/>
                <w:lang w:bidi="ar"/>
              </w:rPr>
            </w:pPr>
          </w:p>
        </w:tc>
        <w:tc>
          <w:tcPr>
            <w:tcW w:w="741" w:type="dxa"/>
            <w:tcBorders>
              <w:top w:val="single" w:color="000000" w:sz="4" w:space="0"/>
              <w:left w:val="single" w:color="000000" w:sz="4" w:space="0"/>
              <w:bottom w:val="single" w:color="000000" w:sz="4" w:space="0"/>
              <w:right w:val="single" w:color="000000" w:sz="4" w:space="0"/>
            </w:tcBorders>
            <w:vAlign w:val="center"/>
          </w:tcPr>
          <w:p w14:paraId="3D1CD0D9">
            <w:pPr>
              <w:widowControl/>
              <w:jc w:val="center"/>
              <w:textAlignment w:val="center"/>
              <w:rPr>
                <w:rFonts w:hint="eastAsia" w:ascii="宋体" w:hAnsi="宋体" w:cs="宋体"/>
                <w:color w:val="000000"/>
                <w:kern w:val="0"/>
                <w:sz w:val="20"/>
                <w:szCs w:val="20"/>
                <w:lang w:bidi="ar"/>
              </w:rPr>
            </w:pPr>
          </w:p>
        </w:tc>
      </w:tr>
      <w:tr w14:paraId="65C9ACD0">
        <w:tblPrEx>
          <w:tblCellMar>
            <w:top w:w="0" w:type="dxa"/>
            <w:left w:w="108" w:type="dxa"/>
            <w:bottom w:w="0" w:type="dxa"/>
            <w:right w:w="108" w:type="dxa"/>
          </w:tblCellMar>
        </w:tblPrEx>
        <w:trPr>
          <w:trHeight w:val="20" w:hRule="atLeast"/>
          <w:jc w:val="center"/>
        </w:trPr>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B23365">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67</w:t>
            </w:r>
          </w:p>
        </w:tc>
        <w:tc>
          <w:tcPr>
            <w:tcW w:w="2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FE3F73">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重金属铅速测盒</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7821E2">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每盒可测20份样品</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DCA478">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盒（或包）</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3A1252">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F36E04">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100</w:t>
            </w:r>
          </w:p>
        </w:tc>
        <w:tc>
          <w:tcPr>
            <w:tcW w:w="992" w:type="dxa"/>
            <w:tcBorders>
              <w:top w:val="single" w:color="000000" w:sz="4" w:space="0"/>
              <w:left w:val="single" w:color="000000" w:sz="4" w:space="0"/>
              <w:bottom w:val="single" w:color="000000" w:sz="4" w:space="0"/>
              <w:right w:val="single" w:color="000000" w:sz="4" w:space="0"/>
            </w:tcBorders>
            <w:vAlign w:val="center"/>
          </w:tcPr>
          <w:p w14:paraId="751CDB46">
            <w:pPr>
              <w:widowControl/>
              <w:jc w:val="center"/>
              <w:textAlignment w:val="center"/>
              <w:rPr>
                <w:rFonts w:hint="eastAsia" w:ascii="宋体" w:hAnsi="宋体" w:cs="宋体"/>
                <w:color w:val="000000"/>
                <w:kern w:val="0"/>
                <w:sz w:val="20"/>
                <w:szCs w:val="20"/>
                <w:lang w:bidi="ar"/>
              </w:rPr>
            </w:pPr>
          </w:p>
        </w:tc>
        <w:tc>
          <w:tcPr>
            <w:tcW w:w="1239" w:type="dxa"/>
            <w:tcBorders>
              <w:top w:val="single" w:color="000000" w:sz="4" w:space="0"/>
              <w:left w:val="single" w:color="000000" w:sz="4" w:space="0"/>
              <w:bottom w:val="single" w:color="000000" w:sz="4" w:space="0"/>
              <w:right w:val="single" w:color="000000" w:sz="4" w:space="0"/>
            </w:tcBorders>
            <w:vAlign w:val="center"/>
          </w:tcPr>
          <w:p w14:paraId="72A3850E">
            <w:pPr>
              <w:widowControl/>
              <w:jc w:val="center"/>
              <w:textAlignment w:val="center"/>
              <w:rPr>
                <w:rFonts w:hint="eastAsia" w:ascii="宋体" w:hAnsi="宋体" w:cs="宋体"/>
                <w:color w:val="000000"/>
                <w:kern w:val="0"/>
                <w:sz w:val="20"/>
                <w:szCs w:val="20"/>
                <w:lang w:bidi="ar"/>
              </w:rPr>
            </w:pPr>
          </w:p>
        </w:tc>
        <w:tc>
          <w:tcPr>
            <w:tcW w:w="900" w:type="dxa"/>
            <w:tcBorders>
              <w:top w:val="single" w:color="000000" w:sz="4" w:space="0"/>
              <w:left w:val="single" w:color="000000" w:sz="4" w:space="0"/>
              <w:bottom w:val="single" w:color="000000" w:sz="4" w:space="0"/>
              <w:right w:val="single" w:color="000000" w:sz="4" w:space="0"/>
            </w:tcBorders>
            <w:vAlign w:val="center"/>
          </w:tcPr>
          <w:p w14:paraId="660BED44">
            <w:pPr>
              <w:widowControl/>
              <w:jc w:val="center"/>
              <w:textAlignment w:val="center"/>
              <w:rPr>
                <w:rFonts w:hint="eastAsia" w:ascii="宋体" w:hAnsi="宋体" w:cs="宋体"/>
                <w:color w:val="000000"/>
                <w:kern w:val="0"/>
                <w:sz w:val="20"/>
                <w:szCs w:val="20"/>
                <w:lang w:bidi="ar"/>
              </w:rPr>
            </w:pPr>
          </w:p>
        </w:tc>
        <w:tc>
          <w:tcPr>
            <w:tcW w:w="832" w:type="dxa"/>
            <w:tcBorders>
              <w:top w:val="single" w:color="000000" w:sz="4" w:space="0"/>
              <w:left w:val="single" w:color="000000" w:sz="4" w:space="0"/>
              <w:bottom w:val="single" w:color="000000" w:sz="4" w:space="0"/>
              <w:right w:val="single" w:color="000000" w:sz="4" w:space="0"/>
            </w:tcBorders>
            <w:vAlign w:val="center"/>
          </w:tcPr>
          <w:p w14:paraId="29FE93DE">
            <w:pPr>
              <w:widowControl/>
              <w:jc w:val="center"/>
              <w:textAlignment w:val="center"/>
              <w:rPr>
                <w:rFonts w:hint="eastAsia" w:ascii="宋体" w:hAnsi="宋体" w:cs="宋体"/>
                <w:color w:val="000000"/>
                <w:kern w:val="0"/>
                <w:sz w:val="20"/>
                <w:szCs w:val="20"/>
                <w:lang w:bidi="ar"/>
              </w:rPr>
            </w:pPr>
          </w:p>
        </w:tc>
        <w:tc>
          <w:tcPr>
            <w:tcW w:w="1143" w:type="dxa"/>
            <w:tcBorders>
              <w:top w:val="single" w:color="000000" w:sz="4" w:space="0"/>
              <w:left w:val="single" w:color="000000" w:sz="4" w:space="0"/>
              <w:bottom w:val="single" w:color="000000" w:sz="4" w:space="0"/>
              <w:right w:val="single" w:color="000000" w:sz="4" w:space="0"/>
            </w:tcBorders>
            <w:vAlign w:val="center"/>
          </w:tcPr>
          <w:p w14:paraId="3DEA36BF">
            <w:pPr>
              <w:widowControl/>
              <w:jc w:val="center"/>
              <w:textAlignment w:val="center"/>
              <w:rPr>
                <w:rFonts w:hint="eastAsia" w:ascii="宋体" w:hAnsi="宋体" w:cs="宋体"/>
                <w:color w:val="000000"/>
                <w:kern w:val="0"/>
                <w:sz w:val="20"/>
                <w:szCs w:val="20"/>
                <w:lang w:bidi="ar"/>
              </w:rPr>
            </w:pPr>
          </w:p>
        </w:tc>
        <w:tc>
          <w:tcPr>
            <w:tcW w:w="763" w:type="dxa"/>
            <w:tcBorders>
              <w:top w:val="single" w:color="000000" w:sz="4" w:space="0"/>
              <w:left w:val="single" w:color="000000" w:sz="4" w:space="0"/>
              <w:bottom w:val="single" w:color="000000" w:sz="4" w:space="0"/>
              <w:right w:val="single" w:color="000000" w:sz="4" w:space="0"/>
            </w:tcBorders>
            <w:vAlign w:val="center"/>
          </w:tcPr>
          <w:p w14:paraId="41A31381">
            <w:pPr>
              <w:widowControl/>
              <w:jc w:val="center"/>
              <w:textAlignment w:val="center"/>
              <w:rPr>
                <w:rFonts w:hint="eastAsia" w:ascii="宋体" w:hAnsi="宋体" w:cs="宋体"/>
                <w:color w:val="000000"/>
                <w:kern w:val="0"/>
                <w:sz w:val="20"/>
                <w:szCs w:val="20"/>
                <w:lang w:bidi="ar"/>
              </w:rPr>
            </w:pPr>
          </w:p>
        </w:tc>
        <w:tc>
          <w:tcPr>
            <w:tcW w:w="741" w:type="dxa"/>
            <w:tcBorders>
              <w:top w:val="single" w:color="000000" w:sz="4" w:space="0"/>
              <w:left w:val="single" w:color="000000" w:sz="4" w:space="0"/>
              <w:bottom w:val="single" w:color="000000" w:sz="4" w:space="0"/>
              <w:right w:val="single" w:color="000000" w:sz="4" w:space="0"/>
            </w:tcBorders>
            <w:vAlign w:val="center"/>
          </w:tcPr>
          <w:p w14:paraId="53CEA915">
            <w:pPr>
              <w:widowControl/>
              <w:jc w:val="center"/>
              <w:textAlignment w:val="center"/>
              <w:rPr>
                <w:rFonts w:hint="eastAsia" w:ascii="宋体" w:hAnsi="宋体" w:cs="宋体"/>
                <w:color w:val="000000"/>
                <w:kern w:val="0"/>
                <w:sz w:val="20"/>
                <w:szCs w:val="20"/>
                <w:lang w:bidi="ar"/>
              </w:rPr>
            </w:pPr>
          </w:p>
        </w:tc>
      </w:tr>
      <w:tr w14:paraId="04598817">
        <w:tblPrEx>
          <w:tblCellMar>
            <w:top w:w="0" w:type="dxa"/>
            <w:left w:w="108" w:type="dxa"/>
            <w:bottom w:w="0" w:type="dxa"/>
            <w:right w:w="108" w:type="dxa"/>
          </w:tblCellMar>
        </w:tblPrEx>
        <w:trPr>
          <w:trHeight w:val="20" w:hRule="atLeast"/>
          <w:jc w:val="center"/>
        </w:trPr>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D859F3">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68</w:t>
            </w:r>
          </w:p>
        </w:tc>
        <w:tc>
          <w:tcPr>
            <w:tcW w:w="2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A35AA3">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大米石蜡矿物油速测盒</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A512D1">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每盒可测20份样品</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106A2D">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盒（或包）</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4E5F51">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0576EE">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100</w:t>
            </w:r>
          </w:p>
        </w:tc>
        <w:tc>
          <w:tcPr>
            <w:tcW w:w="992" w:type="dxa"/>
            <w:tcBorders>
              <w:top w:val="single" w:color="000000" w:sz="4" w:space="0"/>
              <w:left w:val="single" w:color="000000" w:sz="4" w:space="0"/>
              <w:bottom w:val="single" w:color="000000" w:sz="4" w:space="0"/>
              <w:right w:val="single" w:color="000000" w:sz="4" w:space="0"/>
            </w:tcBorders>
            <w:vAlign w:val="center"/>
          </w:tcPr>
          <w:p w14:paraId="27A8A1C2">
            <w:pPr>
              <w:widowControl/>
              <w:jc w:val="center"/>
              <w:textAlignment w:val="center"/>
              <w:rPr>
                <w:rFonts w:hint="eastAsia" w:ascii="宋体" w:hAnsi="宋体" w:cs="宋体"/>
                <w:color w:val="000000"/>
                <w:kern w:val="0"/>
                <w:sz w:val="20"/>
                <w:szCs w:val="20"/>
                <w:lang w:bidi="ar"/>
              </w:rPr>
            </w:pPr>
          </w:p>
        </w:tc>
        <w:tc>
          <w:tcPr>
            <w:tcW w:w="1239" w:type="dxa"/>
            <w:tcBorders>
              <w:top w:val="single" w:color="000000" w:sz="4" w:space="0"/>
              <w:left w:val="single" w:color="000000" w:sz="4" w:space="0"/>
              <w:bottom w:val="single" w:color="000000" w:sz="4" w:space="0"/>
              <w:right w:val="single" w:color="000000" w:sz="4" w:space="0"/>
            </w:tcBorders>
            <w:vAlign w:val="center"/>
          </w:tcPr>
          <w:p w14:paraId="41B7C438">
            <w:pPr>
              <w:widowControl/>
              <w:jc w:val="center"/>
              <w:textAlignment w:val="center"/>
              <w:rPr>
                <w:rFonts w:hint="eastAsia" w:ascii="宋体" w:hAnsi="宋体" w:cs="宋体"/>
                <w:color w:val="000000"/>
                <w:kern w:val="0"/>
                <w:sz w:val="20"/>
                <w:szCs w:val="20"/>
                <w:lang w:bidi="ar"/>
              </w:rPr>
            </w:pPr>
          </w:p>
        </w:tc>
        <w:tc>
          <w:tcPr>
            <w:tcW w:w="900" w:type="dxa"/>
            <w:tcBorders>
              <w:top w:val="single" w:color="000000" w:sz="4" w:space="0"/>
              <w:left w:val="single" w:color="000000" w:sz="4" w:space="0"/>
              <w:bottom w:val="single" w:color="000000" w:sz="4" w:space="0"/>
              <w:right w:val="single" w:color="000000" w:sz="4" w:space="0"/>
            </w:tcBorders>
            <w:vAlign w:val="center"/>
          </w:tcPr>
          <w:p w14:paraId="23A59C48">
            <w:pPr>
              <w:widowControl/>
              <w:jc w:val="center"/>
              <w:textAlignment w:val="center"/>
              <w:rPr>
                <w:rFonts w:hint="eastAsia" w:ascii="宋体" w:hAnsi="宋体" w:cs="宋体"/>
                <w:color w:val="000000"/>
                <w:kern w:val="0"/>
                <w:sz w:val="20"/>
                <w:szCs w:val="20"/>
                <w:lang w:bidi="ar"/>
              </w:rPr>
            </w:pPr>
          </w:p>
        </w:tc>
        <w:tc>
          <w:tcPr>
            <w:tcW w:w="832" w:type="dxa"/>
            <w:tcBorders>
              <w:top w:val="single" w:color="000000" w:sz="4" w:space="0"/>
              <w:left w:val="single" w:color="000000" w:sz="4" w:space="0"/>
              <w:bottom w:val="single" w:color="000000" w:sz="4" w:space="0"/>
              <w:right w:val="single" w:color="000000" w:sz="4" w:space="0"/>
            </w:tcBorders>
            <w:vAlign w:val="center"/>
          </w:tcPr>
          <w:p w14:paraId="05370F93">
            <w:pPr>
              <w:widowControl/>
              <w:jc w:val="center"/>
              <w:textAlignment w:val="center"/>
              <w:rPr>
                <w:rFonts w:hint="eastAsia" w:ascii="宋体" w:hAnsi="宋体" w:cs="宋体"/>
                <w:color w:val="000000"/>
                <w:kern w:val="0"/>
                <w:sz w:val="20"/>
                <w:szCs w:val="20"/>
                <w:lang w:bidi="ar"/>
              </w:rPr>
            </w:pPr>
          </w:p>
        </w:tc>
        <w:tc>
          <w:tcPr>
            <w:tcW w:w="1143" w:type="dxa"/>
            <w:tcBorders>
              <w:top w:val="single" w:color="000000" w:sz="4" w:space="0"/>
              <w:left w:val="single" w:color="000000" w:sz="4" w:space="0"/>
              <w:bottom w:val="single" w:color="000000" w:sz="4" w:space="0"/>
              <w:right w:val="single" w:color="000000" w:sz="4" w:space="0"/>
            </w:tcBorders>
            <w:vAlign w:val="center"/>
          </w:tcPr>
          <w:p w14:paraId="43DC616E">
            <w:pPr>
              <w:widowControl/>
              <w:jc w:val="center"/>
              <w:textAlignment w:val="center"/>
              <w:rPr>
                <w:rFonts w:hint="eastAsia" w:ascii="宋体" w:hAnsi="宋体" w:cs="宋体"/>
                <w:color w:val="000000"/>
                <w:kern w:val="0"/>
                <w:sz w:val="20"/>
                <w:szCs w:val="20"/>
                <w:lang w:bidi="ar"/>
              </w:rPr>
            </w:pPr>
          </w:p>
        </w:tc>
        <w:tc>
          <w:tcPr>
            <w:tcW w:w="763" w:type="dxa"/>
            <w:tcBorders>
              <w:top w:val="single" w:color="000000" w:sz="4" w:space="0"/>
              <w:left w:val="single" w:color="000000" w:sz="4" w:space="0"/>
              <w:bottom w:val="single" w:color="000000" w:sz="4" w:space="0"/>
              <w:right w:val="single" w:color="000000" w:sz="4" w:space="0"/>
            </w:tcBorders>
            <w:vAlign w:val="center"/>
          </w:tcPr>
          <w:p w14:paraId="3A425E2A">
            <w:pPr>
              <w:widowControl/>
              <w:jc w:val="center"/>
              <w:textAlignment w:val="center"/>
              <w:rPr>
                <w:rFonts w:hint="eastAsia" w:ascii="宋体" w:hAnsi="宋体" w:cs="宋体"/>
                <w:color w:val="000000"/>
                <w:kern w:val="0"/>
                <w:sz w:val="20"/>
                <w:szCs w:val="20"/>
                <w:lang w:bidi="ar"/>
              </w:rPr>
            </w:pPr>
          </w:p>
        </w:tc>
        <w:tc>
          <w:tcPr>
            <w:tcW w:w="741" w:type="dxa"/>
            <w:tcBorders>
              <w:top w:val="single" w:color="000000" w:sz="4" w:space="0"/>
              <w:left w:val="single" w:color="000000" w:sz="4" w:space="0"/>
              <w:bottom w:val="single" w:color="000000" w:sz="4" w:space="0"/>
              <w:right w:val="single" w:color="000000" w:sz="4" w:space="0"/>
            </w:tcBorders>
            <w:vAlign w:val="center"/>
          </w:tcPr>
          <w:p w14:paraId="3FE41EEC">
            <w:pPr>
              <w:widowControl/>
              <w:jc w:val="center"/>
              <w:textAlignment w:val="center"/>
              <w:rPr>
                <w:rFonts w:hint="eastAsia" w:ascii="宋体" w:hAnsi="宋体" w:cs="宋体"/>
                <w:color w:val="000000"/>
                <w:kern w:val="0"/>
                <w:sz w:val="20"/>
                <w:szCs w:val="20"/>
                <w:lang w:bidi="ar"/>
              </w:rPr>
            </w:pPr>
          </w:p>
        </w:tc>
      </w:tr>
      <w:tr w14:paraId="163E58C7">
        <w:tblPrEx>
          <w:tblCellMar>
            <w:top w:w="0" w:type="dxa"/>
            <w:left w:w="108" w:type="dxa"/>
            <w:bottom w:w="0" w:type="dxa"/>
            <w:right w:w="108" w:type="dxa"/>
          </w:tblCellMar>
        </w:tblPrEx>
        <w:trPr>
          <w:trHeight w:val="20" w:hRule="atLeast"/>
          <w:jc w:val="center"/>
        </w:trPr>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E83F10">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69</w:t>
            </w:r>
          </w:p>
        </w:tc>
        <w:tc>
          <w:tcPr>
            <w:tcW w:w="2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DCF61D">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氟乙酰胺速测盒</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39C7FA">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每盒可测30份样品</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051AAC">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盒（或包）</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98888D">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ED641F">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90</w:t>
            </w:r>
          </w:p>
        </w:tc>
        <w:tc>
          <w:tcPr>
            <w:tcW w:w="992" w:type="dxa"/>
            <w:tcBorders>
              <w:top w:val="single" w:color="000000" w:sz="4" w:space="0"/>
              <w:left w:val="single" w:color="000000" w:sz="4" w:space="0"/>
              <w:bottom w:val="single" w:color="000000" w:sz="4" w:space="0"/>
              <w:right w:val="single" w:color="000000" w:sz="4" w:space="0"/>
            </w:tcBorders>
            <w:vAlign w:val="center"/>
          </w:tcPr>
          <w:p w14:paraId="2626ADB5">
            <w:pPr>
              <w:widowControl/>
              <w:jc w:val="center"/>
              <w:textAlignment w:val="center"/>
              <w:rPr>
                <w:rFonts w:hint="eastAsia" w:ascii="宋体" w:hAnsi="宋体" w:cs="宋体"/>
                <w:color w:val="000000"/>
                <w:kern w:val="0"/>
                <w:sz w:val="20"/>
                <w:szCs w:val="20"/>
                <w:lang w:bidi="ar"/>
              </w:rPr>
            </w:pPr>
          </w:p>
        </w:tc>
        <w:tc>
          <w:tcPr>
            <w:tcW w:w="1239" w:type="dxa"/>
            <w:tcBorders>
              <w:top w:val="single" w:color="000000" w:sz="4" w:space="0"/>
              <w:left w:val="single" w:color="000000" w:sz="4" w:space="0"/>
              <w:bottom w:val="single" w:color="000000" w:sz="4" w:space="0"/>
              <w:right w:val="single" w:color="000000" w:sz="4" w:space="0"/>
            </w:tcBorders>
            <w:vAlign w:val="center"/>
          </w:tcPr>
          <w:p w14:paraId="3561C652">
            <w:pPr>
              <w:widowControl/>
              <w:jc w:val="center"/>
              <w:textAlignment w:val="center"/>
              <w:rPr>
                <w:rFonts w:hint="eastAsia" w:ascii="宋体" w:hAnsi="宋体" w:cs="宋体"/>
                <w:color w:val="000000"/>
                <w:kern w:val="0"/>
                <w:sz w:val="20"/>
                <w:szCs w:val="20"/>
                <w:lang w:bidi="ar"/>
              </w:rPr>
            </w:pPr>
          </w:p>
        </w:tc>
        <w:tc>
          <w:tcPr>
            <w:tcW w:w="900" w:type="dxa"/>
            <w:tcBorders>
              <w:top w:val="single" w:color="000000" w:sz="4" w:space="0"/>
              <w:left w:val="single" w:color="000000" w:sz="4" w:space="0"/>
              <w:bottom w:val="single" w:color="000000" w:sz="4" w:space="0"/>
              <w:right w:val="single" w:color="000000" w:sz="4" w:space="0"/>
            </w:tcBorders>
            <w:vAlign w:val="center"/>
          </w:tcPr>
          <w:p w14:paraId="2278DF1A">
            <w:pPr>
              <w:widowControl/>
              <w:jc w:val="center"/>
              <w:textAlignment w:val="center"/>
              <w:rPr>
                <w:rFonts w:hint="eastAsia" w:ascii="宋体" w:hAnsi="宋体" w:cs="宋体"/>
                <w:color w:val="000000"/>
                <w:kern w:val="0"/>
                <w:sz w:val="20"/>
                <w:szCs w:val="20"/>
                <w:lang w:bidi="ar"/>
              </w:rPr>
            </w:pPr>
          </w:p>
        </w:tc>
        <w:tc>
          <w:tcPr>
            <w:tcW w:w="832" w:type="dxa"/>
            <w:tcBorders>
              <w:top w:val="single" w:color="000000" w:sz="4" w:space="0"/>
              <w:left w:val="single" w:color="000000" w:sz="4" w:space="0"/>
              <w:bottom w:val="single" w:color="000000" w:sz="4" w:space="0"/>
              <w:right w:val="single" w:color="000000" w:sz="4" w:space="0"/>
            </w:tcBorders>
            <w:vAlign w:val="center"/>
          </w:tcPr>
          <w:p w14:paraId="2D791773">
            <w:pPr>
              <w:widowControl/>
              <w:jc w:val="center"/>
              <w:textAlignment w:val="center"/>
              <w:rPr>
                <w:rFonts w:hint="eastAsia" w:ascii="宋体" w:hAnsi="宋体" w:cs="宋体"/>
                <w:color w:val="000000"/>
                <w:kern w:val="0"/>
                <w:sz w:val="20"/>
                <w:szCs w:val="20"/>
                <w:lang w:bidi="ar"/>
              </w:rPr>
            </w:pPr>
          </w:p>
        </w:tc>
        <w:tc>
          <w:tcPr>
            <w:tcW w:w="1143" w:type="dxa"/>
            <w:tcBorders>
              <w:top w:val="single" w:color="000000" w:sz="4" w:space="0"/>
              <w:left w:val="single" w:color="000000" w:sz="4" w:space="0"/>
              <w:bottom w:val="single" w:color="000000" w:sz="4" w:space="0"/>
              <w:right w:val="single" w:color="000000" w:sz="4" w:space="0"/>
            </w:tcBorders>
            <w:vAlign w:val="center"/>
          </w:tcPr>
          <w:p w14:paraId="12BD2179">
            <w:pPr>
              <w:widowControl/>
              <w:jc w:val="center"/>
              <w:textAlignment w:val="center"/>
              <w:rPr>
                <w:rFonts w:hint="eastAsia" w:ascii="宋体" w:hAnsi="宋体" w:cs="宋体"/>
                <w:color w:val="000000"/>
                <w:kern w:val="0"/>
                <w:sz w:val="20"/>
                <w:szCs w:val="20"/>
                <w:lang w:bidi="ar"/>
              </w:rPr>
            </w:pPr>
          </w:p>
        </w:tc>
        <w:tc>
          <w:tcPr>
            <w:tcW w:w="763" w:type="dxa"/>
            <w:tcBorders>
              <w:top w:val="single" w:color="000000" w:sz="4" w:space="0"/>
              <w:left w:val="single" w:color="000000" w:sz="4" w:space="0"/>
              <w:bottom w:val="single" w:color="000000" w:sz="4" w:space="0"/>
              <w:right w:val="single" w:color="000000" w:sz="4" w:space="0"/>
            </w:tcBorders>
            <w:vAlign w:val="center"/>
          </w:tcPr>
          <w:p w14:paraId="06F42AF1">
            <w:pPr>
              <w:widowControl/>
              <w:jc w:val="center"/>
              <w:textAlignment w:val="center"/>
              <w:rPr>
                <w:rFonts w:hint="eastAsia" w:ascii="宋体" w:hAnsi="宋体" w:cs="宋体"/>
                <w:color w:val="000000"/>
                <w:kern w:val="0"/>
                <w:sz w:val="20"/>
                <w:szCs w:val="20"/>
                <w:lang w:bidi="ar"/>
              </w:rPr>
            </w:pPr>
          </w:p>
        </w:tc>
        <w:tc>
          <w:tcPr>
            <w:tcW w:w="741" w:type="dxa"/>
            <w:tcBorders>
              <w:top w:val="single" w:color="000000" w:sz="4" w:space="0"/>
              <w:left w:val="single" w:color="000000" w:sz="4" w:space="0"/>
              <w:bottom w:val="single" w:color="000000" w:sz="4" w:space="0"/>
              <w:right w:val="single" w:color="000000" w:sz="4" w:space="0"/>
            </w:tcBorders>
            <w:vAlign w:val="center"/>
          </w:tcPr>
          <w:p w14:paraId="378FAB3D">
            <w:pPr>
              <w:widowControl/>
              <w:jc w:val="center"/>
              <w:textAlignment w:val="center"/>
              <w:rPr>
                <w:rFonts w:hint="eastAsia" w:ascii="宋体" w:hAnsi="宋体" w:cs="宋体"/>
                <w:color w:val="000000"/>
                <w:kern w:val="0"/>
                <w:sz w:val="20"/>
                <w:szCs w:val="20"/>
                <w:lang w:bidi="ar"/>
              </w:rPr>
            </w:pPr>
          </w:p>
        </w:tc>
      </w:tr>
      <w:tr w14:paraId="156CDEF3">
        <w:tblPrEx>
          <w:tblCellMar>
            <w:top w:w="0" w:type="dxa"/>
            <w:left w:w="108" w:type="dxa"/>
            <w:bottom w:w="0" w:type="dxa"/>
            <w:right w:w="108" w:type="dxa"/>
          </w:tblCellMar>
        </w:tblPrEx>
        <w:trPr>
          <w:trHeight w:val="20" w:hRule="atLeast"/>
          <w:jc w:val="center"/>
        </w:trPr>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18D305">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70</w:t>
            </w:r>
          </w:p>
        </w:tc>
        <w:tc>
          <w:tcPr>
            <w:tcW w:w="2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2637E1">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鼠药磷化锌速测盒</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EAB422">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每盒可测多份样品</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754C57">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盒（或包）</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64D899">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4E4425">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30</w:t>
            </w:r>
          </w:p>
        </w:tc>
        <w:tc>
          <w:tcPr>
            <w:tcW w:w="992" w:type="dxa"/>
            <w:tcBorders>
              <w:top w:val="single" w:color="000000" w:sz="4" w:space="0"/>
              <w:left w:val="single" w:color="000000" w:sz="4" w:space="0"/>
              <w:bottom w:val="single" w:color="000000" w:sz="4" w:space="0"/>
              <w:right w:val="single" w:color="000000" w:sz="4" w:space="0"/>
            </w:tcBorders>
            <w:vAlign w:val="center"/>
          </w:tcPr>
          <w:p w14:paraId="2534D7E4">
            <w:pPr>
              <w:widowControl/>
              <w:jc w:val="center"/>
              <w:textAlignment w:val="center"/>
              <w:rPr>
                <w:rFonts w:hint="eastAsia" w:ascii="宋体" w:hAnsi="宋体" w:cs="宋体"/>
                <w:color w:val="000000"/>
                <w:kern w:val="0"/>
                <w:sz w:val="20"/>
                <w:szCs w:val="20"/>
                <w:lang w:bidi="ar"/>
              </w:rPr>
            </w:pPr>
          </w:p>
        </w:tc>
        <w:tc>
          <w:tcPr>
            <w:tcW w:w="1239" w:type="dxa"/>
            <w:tcBorders>
              <w:top w:val="single" w:color="000000" w:sz="4" w:space="0"/>
              <w:left w:val="single" w:color="000000" w:sz="4" w:space="0"/>
              <w:bottom w:val="single" w:color="000000" w:sz="4" w:space="0"/>
              <w:right w:val="single" w:color="000000" w:sz="4" w:space="0"/>
            </w:tcBorders>
            <w:vAlign w:val="center"/>
          </w:tcPr>
          <w:p w14:paraId="74472C1B">
            <w:pPr>
              <w:widowControl/>
              <w:jc w:val="center"/>
              <w:textAlignment w:val="center"/>
              <w:rPr>
                <w:rFonts w:hint="eastAsia" w:ascii="宋体" w:hAnsi="宋体" w:cs="宋体"/>
                <w:color w:val="000000"/>
                <w:kern w:val="0"/>
                <w:sz w:val="20"/>
                <w:szCs w:val="20"/>
                <w:lang w:bidi="ar"/>
              </w:rPr>
            </w:pPr>
          </w:p>
        </w:tc>
        <w:tc>
          <w:tcPr>
            <w:tcW w:w="900" w:type="dxa"/>
            <w:tcBorders>
              <w:top w:val="single" w:color="000000" w:sz="4" w:space="0"/>
              <w:left w:val="single" w:color="000000" w:sz="4" w:space="0"/>
              <w:bottom w:val="single" w:color="000000" w:sz="4" w:space="0"/>
              <w:right w:val="single" w:color="000000" w:sz="4" w:space="0"/>
            </w:tcBorders>
            <w:vAlign w:val="center"/>
          </w:tcPr>
          <w:p w14:paraId="1CCE330A">
            <w:pPr>
              <w:widowControl/>
              <w:jc w:val="center"/>
              <w:textAlignment w:val="center"/>
              <w:rPr>
                <w:rFonts w:hint="eastAsia" w:ascii="宋体" w:hAnsi="宋体" w:cs="宋体"/>
                <w:color w:val="000000"/>
                <w:kern w:val="0"/>
                <w:sz w:val="20"/>
                <w:szCs w:val="20"/>
                <w:lang w:bidi="ar"/>
              </w:rPr>
            </w:pPr>
          </w:p>
        </w:tc>
        <w:tc>
          <w:tcPr>
            <w:tcW w:w="832" w:type="dxa"/>
            <w:tcBorders>
              <w:top w:val="single" w:color="000000" w:sz="4" w:space="0"/>
              <w:left w:val="single" w:color="000000" w:sz="4" w:space="0"/>
              <w:bottom w:val="single" w:color="000000" w:sz="4" w:space="0"/>
              <w:right w:val="single" w:color="000000" w:sz="4" w:space="0"/>
            </w:tcBorders>
            <w:vAlign w:val="center"/>
          </w:tcPr>
          <w:p w14:paraId="17B9C0D0">
            <w:pPr>
              <w:widowControl/>
              <w:jc w:val="center"/>
              <w:textAlignment w:val="center"/>
              <w:rPr>
                <w:rFonts w:hint="eastAsia" w:ascii="宋体" w:hAnsi="宋体" w:cs="宋体"/>
                <w:color w:val="000000"/>
                <w:kern w:val="0"/>
                <w:sz w:val="20"/>
                <w:szCs w:val="20"/>
                <w:lang w:bidi="ar"/>
              </w:rPr>
            </w:pPr>
          </w:p>
        </w:tc>
        <w:tc>
          <w:tcPr>
            <w:tcW w:w="1143" w:type="dxa"/>
            <w:tcBorders>
              <w:top w:val="single" w:color="000000" w:sz="4" w:space="0"/>
              <w:left w:val="single" w:color="000000" w:sz="4" w:space="0"/>
              <w:bottom w:val="single" w:color="000000" w:sz="4" w:space="0"/>
              <w:right w:val="single" w:color="000000" w:sz="4" w:space="0"/>
            </w:tcBorders>
            <w:vAlign w:val="center"/>
          </w:tcPr>
          <w:p w14:paraId="6EAA8C49">
            <w:pPr>
              <w:widowControl/>
              <w:jc w:val="center"/>
              <w:textAlignment w:val="center"/>
              <w:rPr>
                <w:rFonts w:hint="eastAsia" w:ascii="宋体" w:hAnsi="宋体" w:cs="宋体"/>
                <w:color w:val="000000"/>
                <w:kern w:val="0"/>
                <w:sz w:val="20"/>
                <w:szCs w:val="20"/>
                <w:lang w:bidi="ar"/>
              </w:rPr>
            </w:pPr>
          </w:p>
        </w:tc>
        <w:tc>
          <w:tcPr>
            <w:tcW w:w="763" w:type="dxa"/>
            <w:tcBorders>
              <w:top w:val="single" w:color="000000" w:sz="4" w:space="0"/>
              <w:left w:val="single" w:color="000000" w:sz="4" w:space="0"/>
              <w:bottom w:val="single" w:color="000000" w:sz="4" w:space="0"/>
              <w:right w:val="single" w:color="000000" w:sz="4" w:space="0"/>
            </w:tcBorders>
            <w:vAlign w:val="center"/>
          </w:tcPr>
          <w:p w14:paraId="421B08EB">
            <w:pPr>
              <w:widowControl/>
              <w:jc w:val="center"/>
              <w:textAlignment w:val="center"/>
              <w:rPr>
                <w:rFonts w:hint="eastAsia" w:ascii="宋体" w:hAnsi="宋体" w:cs="宋体"/>
                <w:color w:val="000000"/>
                <w:kern w:val="0"/>
                <w:sz w:val="20"/>
                <w:szCs w:val="20"/>
                <w:lang w:bidi="ar"/>
              </w:rPr>
            </w:pPr>
          </w:p>
        </w:tc>
        <w:tc>
          <w:tcPr>
            <w:tcW w:w="741" w:type="dxa"/>
            <w:tcBorders>
              <w:top w:val="single" w:color="000000" w:sz="4" w:space="0"/>
              <w:left w:val="single" w:color="000000" w:sz="4" w:space="0"/>
              <w:bottom w:val="single" w:color="000000" w:sz="4" w:space="0"/>
              <w:right w:val="single" w:color="000000" w:sz="4" w:space="0"/>
            </w:tcBorders>
            <w:vAlign w:val="center"/>
          </w:tcPr>
          <w:p w14:paraId="14B6E1D6">
            <w:pPr>
              <w:widowControl/>
              <w:jc w:val="center"/>
              <w:textAlignment w:val="center"/>
              <w:rPr>
                <w:rFonts w:hint="eastAsia" w:ascii="宋体" w:hAnsi="宋体" w:cs="宋体"/>
                <w:color w:val="000000"/>
                <w:kern w:val="0"/>
                <w:sz w:val="20"/>
                <w:szCs w:val="20"/>
                <w:lang w:bidi="ar"/>
              </w:rPr>
            </w:pPr>
          </w:p>
        </w:tc>
      </w:tr>
      <w:tr w14:paraId="38C22015">
        <w:tblPrEx>
          <w:tblCellMar>
            <w:top w:w="0" w:type="dxa"/>
            <w:left w:w="108" w:type="dxa"/>
            <w:bottom w:w="0" w:type="dxa"/>
            <w:right w:w="108" w:type="dxa"/>
          </w:tblCellMar>
        </w:tblPrEx>
        <w:trPr>
          <w:trHeight w:val="20" w:hRule="atLeast"/>
          <w:jc w:val="center"/>
        </w:trPr>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6D1ABF">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71</w:t>
            </w:r>
          </w:p>
        </w:tc>
        <w:tc>
          <w:tcPr>
            <w:tcW w:w="2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542A35">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酒中氰化物速测盒</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515649">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每盒可测50份样品</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623D1D">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盒（或包）</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9CF31B">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6ACE02">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360</w:t>
            </w:r>
          </w:p>
        </w:tc>
        <w:tc>
          <w:tcPr>
            <w:tcW w:w="992" w:type="dxa"/>
            <w:tcBorders>
              <w:top w:val="single" w:color="000000" w:sz="4" w:space="0"/>
              <w:left w:val="single" w:color="000000" w:sz="4" w:space="0"/>
              <w:bottom w:val="single" w:color="000000" w:sz="4" w:space="0"/>
              <w:right w:val="single" w:color="000000" w:sz="4" w:space="0"/>
            </w:tcBorders>
            <w:vAlign w:val="center"/>
          </w:tcPr>
          <w:p w14:paraId="2DC03514">
            <w:pPr>
              <w:widowControl/>
              <w:jc w:val="center"/>
              <w:textAlignment w:val="center"/>
              <w:rPr>
                <w:rFonts w:hint="eastAsia" w:ascii="宋体" w:hAnsi="宋体" w:cs="宋体"/>
                <w:color w:val="000000"/>
                <w:kern w:val="0"/>
                <w:sz w:val="20"/>
                <w:szCs w:val="20"/>
                <w:lang w:bidi="ar"/>
              </w:rPr>
            </w:pPr>
          </w:p>
        </w:tc>
        <w:tc>
          <w:tcPr>
            <w:tcW w:w="1239" w:type="dxa"/>
            <w:tcBorders>
              <w:top w:val="single" w:color="000000" w:sz="4" w:space="0"/>
              <w:left w:val="single" w:color="000000" w:sz="4" w:space="0"/>
              <w:bottom w:val="single" w:color="000000" w:sz="4" w:space="0"/>
              <w:right w:val="single" w:color="000000" w:sz="4" w:space="0"/>
            </w:tcBorders>
            <w:vAlign w:val="center"/>
          </w:tcPr>
          <w:p w14:paraId="5481C463">
            <w:pPr>
              <w:widowControl/>
              <w:jc w:val="center"/>
              <w:textAlignment w:val="center"/>
              <w:rPr>
                <w:rFonts w:hint="eastAsia" w:ascii="宋体" w:hAnsi="宋体" w:cs="宋体"/>
                <w:color w:val="000000"/>
                <w:kern w:val="0"/>
                <w:sz w:val="20"/>
                <w:szCs w:val="20"/>
                <w:lang w:bidi="ar"/>
              </w:rPr>
            </w:pPr>
          </w:p>
        </w:tc>
        <w:tc>
          <w:tcPr>
            <w:tcW w:w="900" w:type="dxa"/>
            <w:tcBorders>
              <w:top w:val="single" w:color="000000" w:sz="4" w:space="0"/>
              <w:left w:val="single" w:color="000000" w:sz="4" w:space="0"/>
              <w:bottom w:val="single" w:color="000000" w:sz="4" w:space="0"/>
              <w:right w:val="single" w:color="000000" w:sz="4" w:space="0"/>
            </w:tcBorders>
            <w:vAlign w:val="center"/>
          </w:tcPr>
          <w:p w14:paraId="301A3CCC">
            <w:pPr>
              <w:widowControl/>
              <w:jc w:val="center"/>
              <w:textAlignment w:val="center"/>
              <w:rPr>
                <w:rFonts w:hint="eastAsia" w:ascii="宋体" w:hAnsi="宋体" w:cs="宋体"/>
                <w:color w:val="000000"/>
                <w:kern w:val="0"/>
                <w:sz w:val="20"/>
                <w:szCs w:val="20"/>
                <w:lang w:bidi="ar"/>
              </w:rPr>
            </w:pPr>
          </w:p>
        </w:tc>
        <w:tc>
          <w:tcPr>
            <w:tcW w:w="832" w:type="dxa"/>
            <w:tcBorders>
              <w:top w:val="single" w:color="000000" w:sz="4" w:space="0"/>
              <w:left w:val="single" w:color="000000" w:sz="4" w:space="0"/>
              <w:bottom w:val="single" w:color="000000" w:sz="4" w:space="0"/>
              <w:right w:val="single" w:color="000000" w:sz="4" w:space="0"/>
            </w:tcBorders>
            <w:vAlign w:val="center"/>
          </w:tcPr>
          <w:p w14:paraId="1D58E63E">
            <w:pPr>
              <w:widowControl/>
              <w:jc w:val="center"/>
              <w:textAlignment w:val="center"/>
              <w:rPr>
                <w:rFonts w:hint="eastAsia" w:ascii="宋体" w:hAnsi="宋体" w:cs="宋体"/>
                <w:color w:val="000000"/>
                <w:kern w:val="0"/>
                <w:sz w:val="20"/>
                <w:szCs w:val="20"/>
                <w:lang w:bidi="ar"/>
              </w:rPr>
            </w:pPr>
          </w:p>
        </w:tc>
        <w:tc>
          <w:tcPr>
            <w:tcW w:w="1143" w:type="dxa"/>
            <w:tcBorders>
              <w:top w:val="single" w:color="000000" w:sz="4" w:space="0"/>
              <w:left w:val="single" w:color="000000" w:sz="4" w:space="0"/>
              <w:bottom w:val="single" w:color="000000" w:sz="4" w:space="0"/>
              <w:right w:val="single" w:color="000000" w:sz="4" w:space="0"/>
            </w:tcBorders>
            <w:vAlign w:val="center"/>
          </w:tcPr>
          <w:p w14:paraId="2137961B">
            <w:pPr>
              <w:widowControl/>
              <w:jc w:val="center"/>
              <w:textAlignment w:val="center"/>
              <w:rPr>
                <w:rFonts w:hint="eastAsia" w:ascii="宋体" w:hAnsi="宋体" w:cs="宋体"/>
                <w:color w:val="000000"/>
                <w:kern w:val="0"/>
                <w:sz w:val="20"/>
                <w:szCs w:val="20"/>
                <w:lang w:bidi="ar"/>
              </w:rPr>
            </w:pPr>
          </w:p>
        </w:tc>
        <w:tc>
          <w:tcPr>
            <w:tcW w:w="763" w:type="dxa"/>
            <w:tcBorders>
              <w:top w:val="single" w:color="000000" w:sz="4" w:space="0"/>
              <w:left w:val="single" w:color="000000" w:sz="4" w:space="0"/>
              <w:bottom w:val="single" w:color="000000" w:sz="4" w:space="0"/>
              <w:right w:val="single" w:color="000000" w:sz="4" w:space="0"/>
            </w:tcBorders>
            <w:vAlign w:val="center"/>
          </w:tcPr>
          <w:p w14:paraId="18BE0EB5">
            <w:pPr>
              <w:widowControl/>
              <w:jc w:val="center"/>
              <w:textAlignment w:val="center"/>
              <w:rPr>
                <w:rFonts w:hint="eastAsia" w:ascii="宋体" w:hAnsi="宋体" w:cs="宋体"/>
                <w:color w:val="000000"/>
                <w:kern w:val="0"/>
                <w:sz w:val="20"/>
                <w:szCs w:val="20"/>
                <w:lang w:bidi="ar"/>
              </w:rPr>
            </w:pPr>
          </w:p>
        </w:tc>
        <w:tc>
          <w:tcPr>
            <w:tcW w:w="741" w:type="dxa"/>
            <w:tcBorders>
              <w:top w:val="single" w:color="000000" w:sz="4" w:space="0"/>
              <w:left w:val="single" w:color="000000" w:sz="4" w:space="0"/>
              <w:bottom w:val="single" w:color="000000" w:sz="4" w:space="0"/>
              <w:right w:val="single" w:color="000000" w:sz="4" w:space="0"/>
            </w:tcBorders>
            <w:vAlign w:val="center"/>
          </w:tcPr>
          <w:p w14:paraId="1C1751E3">
            <w:pPr>
              <w:widowControl/>
              <w:jc w:val="center"/>
              <w:textAlignment w:val="center"/>
              <w:rPr>
                <w:rFonts w:hint="eastAsia" w:ascii="宋体" w:hAnsi="宋体" w:cs="宋体"/>
                <w:color w:val="000000"/>
                <w:kern w:val="0"/>
                <w:sz w:val="20"/>
                <w:szCs w:val="20"/>
                <w:lang w:bidi="ar"/>
              </w:rPr>
            </w:pPr>
          </w:p>
        </w:tc>
      </w:tr>
      <w:tr w14:paraId="009B56F0">
        <w:tblPrEx>
          <w:tblCellMar>
            <w:top w:w="0" w:type="dxa"/>
            <w:left w:w="108" w:type="dxa"/>
            <w:bottom w:w="0" w:type="dxa"/>
            <w:right w:w="108" w:type="dxa"/>
          </w:tblCellMar>
        </w:tblPrEx>
        <w:trPr>
          <w:trHeight w:val="20" w:hRule="atLeast"/>
          <w:jc w:val="center"/>
        </w:trPr>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D49E7A">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72</w:t>
            </w:r>
          </w:p>
        </w:tc>
        <w:tc>
          <w:tcPr>
            <w:tcW w:w="2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CFACAA">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劣质食用油鉴别速测盒</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820A6E">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每盒可测多份样品</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46F701">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盒（或包）</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7CAC20">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9B7CDB">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100</w:t>
            </w:r>
          </w:p>
        </w:tc>
        <w:tc>
          <w:tcPr>
            <w:tcW w:w="992" w:type="dxa"/>
            <w:tcBorders>
              <w:top w:val="single" w:color="000000" w:sz="4" w:space="0"/>
              <w:left w:val="single" w:color="000000" w:sz="4" w:space="0"/>
              <w:bottom w:val="single" w:color="000000" w:sz="4" w:space="0"/>
              <w:right w:val="single" w:color="000000" w:sz="4" w:space="0"/>
            </w:tcBorders>
            <w:vAlign w:val="center"/>
          </w:tcPr>
          <w:p w14:paraId="36D59816">
            <w:pPr>
              <w:widowControl/>
              <w:jc w:val="center"/>
              <w:textAlignment w:val="center"/>
              <w:rPr>
                <w:rFonts w:hint="eastAsia" w:ascii="宋体" w:hAnsi="宋体" w:cs="宋体"/>
                <w:color w:val="000000"/>
                <w:kern w:val="0"/>
                <w:sz w:val="20"/>
                <w:szCs w:val="20"/>
                <w:lang w:bidi="ar"/>
              </w:rPr>
            </w:pPr>
          </w:p>
        </w:tc>
        <w:tc>
          <w:tcPr>
            <w:tcW w:w="1239" w:type="dxa"/>
            <w:tcBorders>
              <w:top w:val="single" w:color="000000" w:sz="4" w:space="0"/>
              <w:left w:val="single" w:color="000000" w:sz="4" w:space="0"/>
              <w:bottom w:val="single" w:color="000000" w:sz="4" w:space="0"/>
              <w:right w:val="single" w:color="000000" w:sz="4" w:space="0"/>
            </w:tcBorders>
            <w:vAlign w:val="center"/>
          </w:tcPr>
          <w:p w14:paraId="4428B15A">
            <w:pPr>
              <w:widowControl/>
              <w:jc w:val="center"/>
              <w:textAlignment w:val="center"/>
              <w:rPr>
                <w:rFonts w:hint="eastAsia" w:ascii="宋体" w:hAnsi="宋体" w:cs="宋体"/>
                <w:color w:val="000000"/>
                <w:kern w:val="0"/>
                <w:sz w:val="20"/>
                <w:szCs w:val="20"/>
                <w:lang w:bidi="ar"/>
              </w:rPr>
            </w:pPr>
          </w:p>
        </w:tc>
        <w:tc>
          <w:tcPr>
            <w:tcW w:w="900" w:type="dxa"/>
            <w:tcBorders>
              <w:top w:val="single" w:color="000000" w:sz="4" w:space="0"/>
              <w:left w:val="single" w:color="000000" w:sz="4" w:space="0"/>
              <w:bottom w:val="single" w:color="000000" w:sz="4" w:space="0"/>
              <w:right w:val="single" w:color="000000" w:sz="4" w:space="0"/>
            </w:tcBorders>
            <w:vAlign w:val="center"/>
          </w:tcPr>
          <w:p w14:paraId="583911AA">
            <w:pPr>
              <w:widowControl/>
              <w:jc w:val="center"/>
              <w:textAlignment w:val="center"/>
              <w:rPr>
                <w:rFonts w:hint="eastAsia" w:ascii="宋体" w:hAnsi="宋体" w:cs="宋体"/>
                <w:color w:val="000000"/>
                <w:kern w:val="0"/>
                <w:sz w:val="20"/>
                <w:szCs w:val="20"/>
                <w:lang w:bidi="ar"/>
              </w:rPr>
            </w:pPr>
          </w:p>
        </w:tc>
        <w:tc>
          <w:tcPr>
            <w:tcW w:w="832" w:type="dxa"/>
            <w:tcBorders>
              <w:top w:val="single" w:color="000000" w:sz="4" w:space="0"/>
              <w:left w:val="single" w:color="000000" w:sz="4" w:space="0"/>
              <w:bottom w:val="single" w:color="000000" w:sz="4" w:space="0"/>
              <w:right w:val="single" w:color="000000" w:sz="4" w:space="0"/>
            </w:tcBorders>
            <w:vAlign w:val="center"/>
          </w:tcPr>
          <w:p w14:paraId="30DCDBC2">
            <w:pPr>
              <w:widowControl/>
              <w:jc w:val="center"/>
              <w:textAlignment w:val="center"/>
              <w:rPr>
                <w:rFonts w:hint="eastAsia" w:ascii="宋体" w:hAnsi="宋体" w:cs="宋体"/>
                <w:color w:val="000000"/>
                <w:kern w:val="0"/>
                <w:sz w:val="20"/>
                <w:szCs w:val="20"/>
                <w:lang w:bidi="ar"/>
              </w:rPr>
            </w:pPr>
          </w:p>
        </w:tc>
        <w:tc>
          <w:tcPr>
            <w:tcW w:w="1143" w:type="dxa"/>
            <w:tcBorders>
              <w:top w:val="single" w:color="000000" w:sz="4" w:space="0"/>
              <w:left w:val="single" w:color="000000" w:sz="4" w:space="0"/>
              <w:bottom w:val="single" w:color="000000" w:sz="4" w:space="0"/>
              <w:right w:val="single" w:color="000000" w:sz="4" w:space="0"/>
            </w:tcBorders>
            <w:vAlign w:val="center"/>
          </w:tcPr>
          <w:p w14:paraId="341815B7">
            <w:pPr>
              <w:widowControl/>
              <w:jc w:val="center"/>
              <w:textAlignment w:val="center"/>
              <w:rPr>
                <w:rFonts w:hint="eastAsia" w:ascii="宋体" w:hAnsi="宋体" w:cs="宋体"/>
                <w:color w:val="000000"/>
                <w:kern w:val="0"/>
                <w:sz w:val="20"/>
                <w:szCs w:val="20"/>
                <w:lang w:bidi="ar"/>
              </w:rPr>
            </w:pPr>
          </w:p>
        </w:tc>
        <w:tc>
          <w:tcPr>
            <w:tcW w:w="763" w:type="dxa"/>
            <w:tcBorders>
              <w:top w:val="single" w:color="000000" w:sz="4" w:space="0"/>
              <w:left w:val="single" w:color="000000" w:sz="4" w:space="0"/>
              <w:bottom w:val="single" w:color="000000" w:sz="4" w:space="0"/>
              <w:right w:val="single" w:color="000000" w:sz="4" w:space="0"/>
            </w:tcBorders>
            <w:vAlign w:val="center"/>
          </w:tcPr>
          <w:p w14:paraId="06691756">
            <w:pPr>
              <w:widowControl/>
              <w:jc w:val="center"/>
              <w:textAlignment w:val="center"/>
              <w:rPr>
                <w:rFonts w:hint="eastAsia" w:ascii="宋体" w:hAnsi="宋体" w:cs="宋体"/>
                <w:color w:val="000000"/>
                <w:kern w:val="0"/>
                <w:sz w:val="20"/>
                <w:szCs w:val="20"/>
                <w:lang w:bidi="ar"/>
              </w:rPr>
            </w:pPr>
          </w:p>
        </w:tc>
        <w:tc>
          <w:tcPr>
            <w:tcW w:w="741" w:type="dxa"/>
            <w:tcBorders>
              <w:top w:val="single" w:color="000000" w:sz="4" w:space="0"/>
              <w:left w:val="single" w:color="000000" w:sz="4" w:space="0"/>
              <w:bottom w:val="single" w:color="000000" w:sz="4" w:space="0"/>
              <w:right w:val="single" w:color="000000" w:sz="4" w:space="0"/>
            </w:tcBorders>
            <w:vAlign w:val="center"/>
          </w:tcPr>
          <w:p w14:paraId="65075319">
            <w:pPr>
              <w:widowControl/>
              <w:jc w:val="center"/>
              <w:textAlignment w:val="center"/>
              <w:rPr>
                <w:rFonts w:hint="eastAsia" w:ascii="宋体" w:hAnsi="宋体" w:cs="宋体"/>
                <w:color w:val="000000"/>
                <w:kern w:val="0"/>
                <w:sz w:val="20"/>
                <w:szCs w:val="20"/>
                <w:lang w:bidi="ar"/>
              </w:rPr>
            </w:pPr>
          </w:p>
        </w:tc>
      </w:tr>
      <w:tr w14:paraId="0EC64822">
        <w:tblPrEx>
          <w:tblCellMar>
            <w:top w:w="0" w:type="dxa"/>
            <w:left w:w="108" w:type="dxa"/>
            <w:bottom w:w="0" w:type="dxa"/>
            <w:right w:w="108" w:type="dxa"/>
          </w:tblCellMar>
        </w:tblPrEx>
        <w:trPr>
          <w:trHeight w:val="20" w:hRule="atLeast"/>
          <w:jc w:val="center"/>
        </w:trPr>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1626A1">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73</w:t>
            </w:r>
          </w:p>
        </w:tc>
        <w:tc>
          <w:tcPr>
            <w:tcW w:w="2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F8F60A">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肉类新鲜度速测盒</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6AFA4B">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每盒可测50份样品</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0D85B4">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盒（或包）</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950FC7">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658F15">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150</w:t>
            </w:r>
          </w:p>
        </w:tc>
        <w:tc>
          <w:tcPr>
            <w:tcW w:w="992" w:type="dxa"/>
            <w:tcBorders>
              <w:top w:val="single" w:color="000000" w:sz="4" w:space="0"/>
              <w:left w:val="single" w:color="000000" w:sz="4" w:space="0"/>
              <w:bottom w:val="single" w:color="000000" w:sz="4" w:space="0"/>
              <w:right w:val="single" w:color="000000" w:sz="4" w:space="0"/>
            </w:tcBorders>
            <w:vAlign w:val="center"/>
          </w:tcPr>
          <w:p w14:paraId="2AC0A0DA">
            <w:pPr>
              <w:widowControl/>
              <w:jc w:val="center"/>
              <w:textAlignment w:val="center"/>
              <w:rPr>
                <w:rFonts w:hint="eastAsia" w:ascii="宋体" w:hAnsi="宋体" w:cs="宋体"/>
                <w:color w:val="000000"/>
                <w:kern w:val="0"/>
                <w:sz w:val="20"/>
                <w:szCs w:val="20"/>
                <w:lang w:bidi="ar"/>
              </w:rPr>
            </w:pPr>
          </w:p>
        </w:tc>
        <w:tc>
          <w:tcPr>
            <w:tcW w:w="1239" w:type="dxa"/>
            <w:tcBorders>
              <w:top w:val="single" w:color="000000" w:sz="4" w:space="0"/>
              <w:left w:val="single" w:color="000000" w:sz="4" w:space="0"/>
              <w:bottom w:val="single" w:color="000000" w:sz="4" w:space="0"/>
              <w:right w:val="single" w:color="000000" w:sz="4" w:space="0"/>
            </w:tcBorders>
            <w:vAlign w:val="center"/>
          </w:tcPr>
          <w:p w14:paraId="262C6D52">
            <w:pPr>
              <w:widowControl/>
              <w:jc w:val="center"/>
              <w:textAlignment w:val="center"/>
              <w:rPr>
                <w:rFonts w:hint="eastAsia" w:ascii="宋体" w:hAnsi="宋体" w:cs="宋体"/>
                <w:color w:val="000000"/>
                <w:kern w:val="0"/>
                <w:sz w:val="20"/>
                <w:szCs w:val="20"/>
                <w:lang w:bidi="ar"/>
              </w:rPr>
            </w:pPr>
          </w:p>
        </w:tc>
        <w:tc>
          <w:tcPr>
            <w:tcW w:w="900" w:type="dxa"/>
            <w:tcBorders>
              <w:top w:val="single" w:color="000000" w:sz="4" w:space="0"/>
              <w:left w:val="single" w:color="000000" w:sz="4" w:space="0"/>
              <w:bottom w:val="single" w:color="000000" w:sz="4" w:space="0"/>
              <w:right w:val="single" w:color="000000" w:sz="4" w:space="0"/>
            </w:tcBorders>
            <w:vAlign w:val="center"/>
          </w:tcPr>
          <w:p w14:paraId="7F797EF4">
            <w:pPr>
              <w:widowControl/>
              <w:jc w:val="center"/>
              <w:textAlignment w:val="center"/>
              <w:rPr>
                <w:rFonts w:hint="eastAsia" w:ascii="宋体" w:hAnsi="宋体" w:cs="宋体"/>
                <w:color w:val="000000"/>
                <w:kern w:val="0"/>
                <w:sz w:val="20"/>
                <w:szCs w:val="20"/>
                <w:lang w:bidi="ar"/>
              </w:rPr>
            </w:pPr>
          </w:p>
        </w:tc>
        <w:tc>
          <w:tcPr>
            <w:tcW w:w="832" w:type="dxa"/>
            <w:tcBorders>
              <w:top w:val="single" w:color="000000" w:sz="4" w:space="0"/>
              <w:left w:val="single" w:color="000000" w:sz="4" w:space="0"/>
              <w:bottom w:val="single" w:color="000000" w:sz="4" w:space="0"/>
              <w:right w:val="single" w:color="000000" w:sz="4" w:space="0"/>
            </w:tcBorders>
            <w:vAlign w:val="center"/>
          </w:tcPr>
          <w:p w14:paraId="397BD1DB">
            <w:pPr>
              <w:widowControl/>
              <w:jc w:val="center"/>
              <w:textAlignment w:val="center"/>
              <w:rPr>
                <w:rFonts w:hint="eastAsia" w:ascii="宋体" w:hAnsi="宋体" w:cs="宋体"/>
                <w:color w:val="000000"/>
                <w:kern w:val="0"/>
                <w:sz w:val="20"/>
                <w:szCs w:val="20"/>
                <w:lang w:bidi="ar"/>
              </w:rPr>
            </w:pPr>
          </w:p>
        </w:tc>
        <w:tc>
          <w:tcPr>
            <w:tcW w:w="1143" w:type="dxa"/>
            <w:tcBorders>
              <w:top w:val="single" w:color="000000" w:sz="4" w:space="0"/>
              <w:left w:val="single" w:color="000000" w:sz="4" w:space="0"/>
              <w:bottom w:val="single" w:color="000000" w:sz="4" w:space="0"/>
              <w:right w:val="single" w:color="000000" w:sz="4" w:space="0"/>
            </w:tcBorders>
            <w:vAlign w:val="center"/>
          </w:tcPr>
          <w:p w14:paraId="3A67FA26">
            <w:pPr>
              <w:widowControl/>
              <w:jc w:val="center"/>
              <w:textAlignment w:val="center"/>
              <w:rPr>
                <w:rFonts w:hint="eastAsia" w:ascii="宋体" w:hAnsi="宋体" w:cs="宋体"/>
                <w:color w:val="000000"/>
                <w:kern w:val="0"/>
                <w:sz w:val="20"/>
                <w:szCs w:val="20"/>
                <w:lang w:bidi="ar"/>
              </w:rPr>
            </w:pPr>
          </w:p>
        </w:tc>
        <w:tc>
          <w:tcPr>
            <w:tcW w:w="763" w:type="dxa"/>
            <w:tcBorders>
              <w:top w:val="single" w:color="000000" w:sz="4" w:space="0"/>
              <w:left w:val="single" w:color="000000" w:sz="4" w:space="0"/>
              <w:bottom w:val="single" w:color="000000" w:sz="4" w:space="0"/>
              <w:right w:val="single" w:color="000000" w:sz="4" w:space="0"/>
            </w:tcBorders>
            <w:vAlign w:val="center"/>
          </w:tcPr>
          <w:p w14:paraId="6BBD3E9C">
            <w:pPr>
              <w:widowControl/>
              <w:jc w:val="center"/>
              <w:textAlignment w:val="center"/>
              <w:rPr>
                <w:rFonts w:hint="eastAsia" w:ascii="宋体" w:hAnsi="宋体" w:cs="宋体"/>
                <w:color w:val="000000"/>
                <w:kern w:val="0"/>
                <w:sz w:val="20"/>
                <w:szCs w:val="20"/>
                <w:lang w:bidi="ar"/>
              </w:rPr>
            </w:pPr>
          </w:p>
        </w:tc>
        <w:tc>
          <w:tcPr>
            <w:tcW w:w="741" w:type="dxa"/>
            <w:tcBorders>
              <w:top w:val="single" w:color="000000" w:sz="4" w:space="0"/>
              <w:left w:val="single" w:color="000000" w:sz="4" w:space="0"/>
              <w:bottom w:val="single" w:color="000000" w:sz="4" w:space="0"/>
              <w:right w:val="single" w:color="000000" w:sz="4" w:space="0"/>
            </w:tcBorders>
            <w:vAlign w:val="center"/>
          </w:tcPr>
          <w:p w14:paraId="4191BC77">
            <w:pPr>
              <w:widowControl/>
              <w:jc w:val="center"/>
              <w:textAlignment w:val="center"/>
              <w:rPr>
                <w:rFonts w:hint="eastAsia" w:ascii="宋体" w:hAnsi="宋体" w:cs="宋体"/>
                <w:color w:val="000000"/>
                <w:kern w:val="0"/>
                <w:sz w:val="20"/>
                <w:szCs w:val="20"/>
                <w:lang w:bidi="ar"/>
              </w:rPr>
            </w:pPr>
          </w:p>
        </w:tc>
      </w:tr>
      <w:tr w14:paraId="6E6BF812">
        <w:tblPrEx>
          <w:tblCellMar>
            <w:top w:w="0" w:type="dxa"/>
            <w:left w:w="108" w:type="dxa"/>
            <w:bottom w:w="0" w:type="dxa"/>
            <w:right w:w="108" w:type="dxa"/>
          </w:tblCellMar>
        </w:tblPrEx>
        <w:trPr>
          <w:trHeight w:val="20" w:hRule="atLeast"/>
          <w:jc w:val="center"/>
        </w:trPr>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EA9510">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74</w:t>
            </w:r>
          </w:p>
        </w:tc>
        <w:tc>
          <w:tcPr>
            <w:tcW w:w="2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9A751E">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甲醇速测盒</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5C3703">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每盒可测25份样品</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BE9069">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盒（或包）</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E8CFA4">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F5FD41">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260</w:t>
            </w:r>
          </w:p>
        </w:tc>
        <w:tc>
          <w:tcPr>
            <w:tcW w:w="992" w:type="dxa"/>
            <w:tcBorders>
              <w:top w:val="single" w:color="000000" w:sz="4" w:space="0"/>
              <w:left w:val="single" w:color="000000" w:sz="4" w:space="0"/>
              <w:bottom w:val="single" w:color="000000" w:sz="4" w:space="0"/>
              <w:right w:val="single" w:color="000000" w:sz="4" w:space="0"/>
            </w:tcBorders>
            <w:vAlign w:val="center"/>
          </w:tcPr>
          <w:p w14:paraId="10A270BB">
            <w:pPr>
              <w:widowControl/>
              <w:jc w:val="center"/>
              <w:textAlignment w:val="center"/>
              <w:rPr>
                <w:rFonts w:hint="eastAsia" w:ascii="宋体" w:hAnsi="宋体" w:cs="宋体"/>
                <w:color w:val="000000"/>
                <w:kern w:val="0"/>
                <w:sz w:val="20"/>
                <w:szCs w:val="20"/>
                <w:lang w:bidi="ar"/>
              </w:rPr>
            </w:pPr>
          </w:p>
        </w:tc>
        <w:tc>
          <w:tcPr>
            <w:tcW w:w="1239" w:type="dxa"/>
            <w:tcBorders>
              <w:top w:val="single" w:color="000000" w:sz="4" w:space="0"/>
              <w:left w:val="single" w:color="000000" w:sz="4" w:space="0"/>
              <w:bottom w:val="single" w:color="000000" w:sz="4" w:space="0"/>
              <w:right w:val="single" w:color="000000" w:sz="4" w:space="0"/>
            </w:tcBorders>
            <w:vAlign w:val="center"/>
          </w:tcPr>
          <w:p w14:paraId="7ED26621">
            <w:pPr>
              <w:widowControl/>
              <w:jc w:val="center"/>
              <w:textAlignment w:val="center"/>
              <w:rPr>
                <w:rFonts w:hint="eastAsia" w:ascii="宋体" w:hAnsi="宋体" w:cs="宋体"/>
                <w:color w:val="000000"/>
                <w:kern w:val="0"/>
                <w:sz w:val="20"/>
                <w:szCs w:val="20"/>
                <w:lang w:bidi="ar"/>
              </w:rPr>
            </w:pPr>
          </w:p>
        </w:tc>
        <w:tc>
          <w:tcPr>
            <w:tcW w:w="900" w:type="dxa"/>
            <w:tcBorders>
              <w:top w:val="single" w:color="000000" w:sz="4" w:space="0"/>
              <w:left w:val="single" w:color="000000" w:sz="4" w:space="0"/>
              <w:bottom w:val="single" w:color="000000" w:sz="4" w:space="0"/>
              <w:right w:val="single" w:color="000000" w:sz="4" w:space="0"/>
            </w:tcBorders>
            <w:vAlign w:val="center"/>
          </w:tcPr>
          <w:p w14:paraId="14046F1F">
            <w:pPr>
              <w:widowControl/>
              <w:jc w:val="center"/>
              <w:textAlignment w:val="center"/>
              <w:rPr>
                <w:rFonts w:hint="eastAsia" w:ascii="宋体" w:hAnsi="宋体" w:cs="宋体"/>
                <w:color w:val="000000"/>
                <w:kern w:val="0"/>
                <w:sz w:val="20"/>
                <w:szCs w:val="20"/>
                <w:lang w:bidi="ar"/>
              </w:rPr>
            </w:pPr>
          </w:p>
        </w:tc>
        <w:tc>
          <w:tcPr>
            <w:tcW w:w="832" w:type="dxa"/>
            <w:tcBorders>
              <w:top w:val="single" w:color="000000" w:sz="4" w:space="0"/>
              <w:left w:val="single" w:color="000000" w:sz="4" w:space="0"/>
              <w:bottom w:val="single" w:color="000000" w:sz="4" w:space="0"/>
              <w:right w:val="single" w:color="000000" w:sz="4" w:space="0"/>
            </w:tcBorders>
            <w:vAlign w:val="center"/>
          </w:tcPr>
          <w:p w14:paraId="7B93C2A4">
            <w:pPr>
              <w:widowControl/>
              <w:jc w:val="center"/>
              <w:textAlignment w:val="center"/>
              <w:rPr>
                <w:rFonts w:hint="eastAsia" w:ascii="宋体" w:hAnsi="宋体" w:cs="宋体"/>
                <w:color w:val="000000"/>
                <w:kern w:val="0"/>
                <w:sz w:val="20"/>
                <w:szCs w:val="20"/>
                <w:lang w:bidi="ar"/>
              </w:rPr>
            </w:pPr>
          </w:p>
        </w:tc>
        <w:tc>
          <w:tcPr>
            <w:tcW w:w="1143" w:type="dxa"/>
            <w:tcBorders>
              <w:top w:val="single" w:color="000000" w:sz="4" w:space="0"/>
              <w:left w:val="single" w:color="000000" w:sz="4" w:space="0"/>
              <w:bottom w:val="single" w:color="000000" w:sz="4" w:space="0"/>
              <w:right w:val="single" w:color="000000" w:sz="4" w:space="0"/>
            </w:tcBorders>
            <w:vAlign w:val="center"/>
          </w:tcPr>
          <w:p w14:paraId="524CC24E">
            <w:pPr>
              <w:widowControl/>
              <w:jc w:val="center"/>
              <w:textAlignment w:val="center"/>
              <w:rPr>
                <w:rFonts w:hint="eastAsia" w:ascii="宋体" w:hAnsi="宋体" w:cs="宋体"/>
                <w:color w:val="000000"/>
                <w:kern w:val="0"/>
                <w:sz w:val="20"/>
                <w:szCs w:val="20"/>
                <w:lang w:bidi="ar"/>
              </w:rPr>
            </w:pPr>
          </w:p>
        </w:tc>
        <w:tc>
          <w:tcPr>
            <w:tcW w:w="763" w:type="dxa"/>
            <w:tcBorders>
              <w:top w:val="single" w:color="000000" w:sz="4" w:space="0"/>
              <w:left w:val="single" w:color="000000" w:sz="4" w:space="0"/>
              <w:bottom w:val="single" w:color="000000" w:sz="4" w:space="0"/>
              <w:right w:val="single" w:color="000000" w:sz="4" w:space="0"/>
            </w:tcBorders>
            <w:vAlign w:val="center"/>
          </w:tcPr>
          <w:p w14:paraId="418F3FE8">
            <w:pPr>
              <w:widowControl/>
              <w:jc w:val="center"/>
              <w:textAlignment w:val="center"/>
              <w:rPr>
                <w:rFonts w:hint="eastAsia" w:ascii="宋体" w:hAnsi="宋体" w:cs="宋体"/>
                <w:color w:val="000000"/>
                <w:kern w:val="0"/>
                <w:sz w:val="20"/>
                <w:szCs w:val="20"/>
                <w:lang w:bidi="ar"/>
              </w:rPr>
            </w:pPr>
          </w:p>
        </w:tc>
        <w:tc>
          <w:tcPr>
            <w:tcW w:w="741" w:type="dxa"/>
            <w:tcBorders>
              <w:top w:val="single" w:color="000000" w:sz="4" w:space="0"/>
              <w:left w:val="single" w:color="000000" w:sz="4" w:space="0"/>
              <w:bottom w:val="single" w:color="000000" w:sz="4" w:space="0"/>
              <w:right w:val="single" w:color="000000" w:sz="4" w:space="0"/>
            </w:tcBorders>
            <w:vAlign w:val="center"/>
          </w:tcPr>
          <w:p w14:paraId="63B4A8B1">
            <w:pPr>
              <w:widowControl/>
              <w:jc w:val="center"/>
              <w:textAlignment w:val="center"/>
              <w:rPr>
                <w:rFonts w:hint="eastAsia" w:ascii="宋体" w:hAnsi="宋体" w:cs="宋体"/>
                <w:color w:val="000000"/>
                <w:kern w:val="0"/>
                <w:sz w:val="20"/>
                <w:szCs w:val="20"/>
                <w:lang w:bidi="ar"/>
              </w:rPr>
            </w:pPr>
          </w:p>
        </w:tc>
      </w:tr>
      <w:tr w14:paraId="00D584AD">
        <w:tblPrEx>
          <w:tblCellMar>
            <w:top w:w="0" w:type="dxa"/>
            <w:left w:w="108" w:type="dxa"/>
            <w:bottom w:w="0" w:type="dxa"/>
            <w:right w:w="108" w:type="dxa"/>
          </w:tblCellMar>
        </w:tblPrEx>
        <w:trPr>
          <w:trHeight w:val="20" w:hRule="atLeast"/>
          <w:jc w:val="center"/>
        </w:trPr>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FF20C6">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75</w:t>
            </w:r>
          </w:p>
        </w:tc>
        <w:tc>
          <w:tcPr>
            <w:tcW w:w="2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98F814">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食用油中大麻油快速检测试剂</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A72594">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每盒可测10份样品</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49087F">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盒（或包）</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67E02C">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767233">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80</w:t>
            </w:r>
          </w:p>
        </w:tc>
        <w:tc>
          <w:tcPr>
            <w:tcW w:w="992" w:type="dxa"/>
            <w:tcBorders>
              <w:top w:val="single" w:color="000000" w:sz="4" w:space="0"/>
              <w:left w:val="single" w:color="000000" w:sz="4" w:space="0"/>
              <w:bottom w:val="single" w:color="000000" w:sz="4" w:space="0"/>
              <w:right w:val="single" w:color="000000" w:sz="4" w:space="0"/>
            </w:tcBorders>
            <w:vAlign w:val="center"/>
          </w:tcPr>
          <w:p w14:paraId="0D9F2C58">
            <w:pPr>
              <w:widowControl/>
              <w:jc w:val="center"/>
              <w:textAlignment w:val="center"/>
              <w:rPr>
                <w:rFonts w:hint="eastAsia" w:ascii="宋体" w:hAnsi="宋体" w:cs="宋体"/>
                <w:color w:val="000000"/>
                <w:kern w:val="0"/>
                <w:sz w:val="20"/>
                <w:szCs w:val="20"/>
                <w:lang w:bidi="ar"/>
              </w:rPr>
            </w:pPr>
          </w:p>
        </w:tc>
        <w:tc>
          <w:tcPr>
            <w:tcW w:w="1239" w:type="dxa"/>
            <w:tcBorders>
              <w:top w:val="single" w:color="000000" w:sz="4" w:space="0"/>
              <w:left w:val="single" w:color="000000" w:sz="4" w:space="0"/>
              <w:bottom w:val="single" w:color="000000" w:sz="4" w:space="0"/>
              <w:right w:val="single" w:color="000000" w:sz="4" w:space="0"/>
            </w:tcBorders>
            <w:vAlign w:val="center"/>
          </w:tcPr>
          <w:p w14:paraId="7D1353AA">
            <w:pPr>
              <w:widowControl/>
              <w:jc w:val="center"/>
              <w:textAlignment w:val="center"/>
              <w:rPr>
                <w:rFonts w:hint="eastAsia" w:ascii="宋体" w:hAnsi="宋体" w:cs="宋体"/>
                <w:color w:val="000000"/>
                <w:kern w:val="0"/>
                <w:sz w:val="20"/>
                <w:szCs w:val="20"/>
                <w:lang w:bidi="ar"/>
              </w:rPr>
            </w:pPr>
          </w:p>
        </w:tc>
        <w:tc>
          <w:tcPr>
            <w:tcW w:w="900" w:type="dxa"/>
            <w:tcBorders>
              <w:top w:val="single" w:color="000000" w:sz="4" w:space="0"/>
              <w:left w:val="single" w:color="000000" w:sz="4" w:space="0"/>
              <w:bottom w:val="single" w:color="000000" w:sz="4" w:space="0"/>
              <w:right w:val="single" w:color="000000" w:sz="4" w:space="0"/>
            </w:tcBorders>
            <w:vAlign w:val="center"/>
          </w:tcPr>
          <w:p w14:paraId="222E816D">
            <w:pPr>
              <w:widowControl/>
              <w:jc w:val="center"/>
              <w:textAlignment w:val="center"/>
              <w:rPr>
                <w:rFonts w:hint="eastAsia" w:ascii="宋体" w:hAnsi="宋体" w:cs="宋体"/>
                <w:color w:val="000000"/>
                <w:kern w:val="0"/>
                <w:sz w:val="20"/>
                <w:szCs w:val="20"/>
                <w:lang w:bidi="ar"/>
              </w:rPr>
            </w:pPr>
          </w:p>
        </w:tc>
        <w:tc>
          <w:tcPr>
            <w:tcW w:w="832" w:type="dxa"/>
            <w:tcBorders>
              <w:top w:val="single" w:color="000000" w:sz="4" w:space="0"/>
              <w:left w:val="single" w:color="000000" w:sz="4" w:space="0"/>
              <w:bottom w:val="single" w:color="000000" w:sz="4" w:space="0"/>
              <w:right w:val="single" w:color="000000" w:sz="4" w:space="0"/>
            </w:tcBorders>
            <w:vAlign w:val="center"/>
          </w:tcPr>
          <w:p w14:paraId="01C089AA">
            <w:pPr>
              <w:widowControl/>
              <w:jc w:val="center"/>
              <w:textAlignment w:val="center"/>
              <w:rPr>
                <w:rFonts w:hint="eastAsia" w:ascii="宋体" w:hAnsi="宋体" w:cs="宋体"/>
                <w:color w:val="000000"/>
                <w:kern w:val="0"/>
                <w:sz w:val="20"/>
                <w:szCs w:val="20"/>
                <w:lang w:bidi="ar"/>
              </w:rPr>
            </w:pPr>
          </w:p>
        </w:tc>
        <w:tc>
          <w:tcPr>
            <w:tcW w:w="1143" w:type="dxa"/>
            <w:tcBorders>
              <w:top w:val="single" w:color="000000" w:sz="4" w:space="0"/>
              <w:left w:val="single" w:color="000000" w:sz="4" w:space="0"/>
              <w:bottom w:val="single" w:color="000000" w:sz="4" w:space="0"/>
              <w:right w:val="single" w:color="000000" w:sz="4" w:space="0"/>
            </w:tcBorders>
            <w:vAlign w:val="center"/>
          </w:tcPr>
          <w:p w14:paraId="00627332">
            <w:pPr>
              <w:widowControl/>
              <w:jc w:val="center"/>
              <w:textAlignment w:val="center"/>
              <w:rPr>
                <w:rFonts w:hint="eastAsia" w:ascii="宋体" w:hAnsi="宋体" w:cs="宋体"/>
                <w:color w:val="000000"/>
                <w:kern w:val="0"/>
                <w:sz w:val="20"/>
                <w:szCs w:val="20"/>
                <w:lang w:bidi="ar"/>
              </w:rPr>
            </w:pPr>
          </w:p>
        </w:tc>
        <w:tc>
          <w:tcPr>
            <w:tcW w:w="763" w:type="dxa"/>
            <w:tcBorders>
              <w:top w:val="single" w:color="000000" w:sz="4" w:space="0"/>
              <w:left w:val="single" w:color="000000" w:sz="4" w:space="0"/>
              <w:bottom w:val="single" w:color="000000" w:sz="4" w:space="0"/>
              <w:right w:val="single" w:color="000000" w:sz="4" w:space="0"/>
            </w:tcBorders>
            <w:vAlign w:val="center"/>
          </w:tcPr>
          <w:p w14:paraId="24721B78">
            <w:pPr>
              <w:widowControl/>
              <w:jc w:val="center"/>
              <w:textAlignment w:val="center"/>
              <w:rPr>
                <w:rFonts w:hint="eastAsia" w:ascii="宋体" w:hAnsi="宋体" w:cs="宋体"/>
                <w:color w:val="000000"/>
                <w:kern w:val="0"/>
                <w:sz w:val="20"/>
                <w:szCs w:val="20"/>
                <w:lang w:bidi="ar"/>
              </w:rPr>
            </w:pPr>
          </w:p>
        </w:tc>
        <w:tc>
          <w:tcPr>
            <w:tcW w:w="741" w:type="dxa"/>
            <w:tcBorders>
              <w:top w:val="single" w:color="000000" w:sz="4" w:space="0"/>
              <w:left w:val="single" w:color="000000" w:sz="4" w:space="0"/>
              <w:bottom w:val="single" w:color="000000" w:sz="4" w:space="0"/>
              <w:right w:val="single" w:color="000000" w:sz="4" w:space="0"/>
            </w:tcBorders>
            <w:vAlign w:val="center"/>
          </w:tcPr>
          <w:p w14:paraId="16FA09CA">
            <w:pPr>
              <w:widowControl/>
              <w:jc w:val="center"/>
              <w:textAlignment w:val="center"/>
              <w:rPr>
                <w:rFonts w:hint="eastAsia" w:ascii="宋体" w:hAnsi="宋体" w:cs="宋体"/>
                <w:color w:val="000000"/>
                <w:kern w:val="0"/>
                <w:sz w:val="20"/>
                <w:szCs w:val="20"/>
                <w:lang w:bidi="ar"/>
              </w:rPr>
            </w:pPr>
          </w:p>
        </w:tc>
      </w:tr>
      <w:tr w14:paraId="11B0440F">
        <w:tblPrEx>
          <w:tblCellMar>
            <w:top w:w="0" w:type="dxa"/>
            <w:left w:w="108" w:type="dxa"/>
            <w:bottom w:w="0" w:type="dxa"/>
            <w:right w:w="108" w:type="dxa"/>
          </w:tblCellMar>
        </w:tblPrEx>
        <w:trPr>
          <w:trHeight w:val="20" w:hRule="atLeast"/>
          <w:jc w:val="center"/>
        </w:trPr>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135016">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76</w:t>
            </w:r>
          </w:p>
        </w:tc>
        <w:tc>
          <w:tcPr>
            <w:tcW w:w="2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084995">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巴豆油鉴别试剂</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9EAAC4">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每盒可测10份样品</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CFC00D">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盒（或包）</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EA0B2F">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194A47">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80</w:t>
            </w:r>
          </w:p>
        </w:tc>
        <w:tc>
          <w:tcPr>
            <w:tcW w:w="992" w:type="dxa"/>
            <w:tcBorders>
              <w:top w:val="single" w:color="000000" w:sz="4" w:space="0"/>
              <w:left w:val="single" w:color="000000" w:sz="4" w:space="0"/>
              <w:bottom w:val="single" w:color="000000" w:sz="4" w:space="0"/>
              <w:right w:val="single" w:color="000000" w:sz="4" w:space="0"/>
            </w:tcBorders>
            <w:vAlign w:val="center"/>
          </w:tcPr>
          <w:p w14:paraId="38A374D0">
            <w:pPr>
              <w:widowControl/>
              <w:jc w:val="center"/>
              <w:textAlignment w:val="center"/>
              <w:rPr>
                <w:rFonts w:hint="eastAsia" w:ascii="宋体" w:hAnsi="宋体" w:cs="宋体"/>
                <w:color w:val="000000"/>
                <w:kern w:val="0"/>
                <w:sz w:val="20"/>
                <w:szCs w:val="20"/>
                <w:lang w:bidi="ar"/>
              </w:rPr>
            </w:pPr>
          </w:p>
        </w:tc>
        <w:tc>
          <w:tcPr>
            <w:tcW w:w="1239" w:type="dxa"/>
            <w:tcBorders>
              <w:top w:val="single" w:color="000000" w:sz="4" w:space="0"/>
              <w:left w:val="single" w:color="000000" w:sz="4" w:space="0"/>
              <w:bottom w:val="single" w:color="000000" w:sz="4" w:space="0"/>
              <w:right w:val="single" w:color="000000" w:sz="4" w:space="0"/>
            </w:tcBorders>
            <w:vAlign w:val="center"/>
          </w:tcPr>
          <w:p w14:paraId="12AAEF9B">
            <w:pPr>
              <w:widowControl/>
              <w:jc w:val="center"/>
              <w:textAlignment w:val="center"/>
              <w:rPr>
                <w:rFonts w:hint="eastAsia" w:ascii="宋体" w:hAnsi="宋体" w:cs="宋体"/>
                <w:color w:val="000000"/>
                <w:kern w:val="0"/>
                <w:sz w:val="20"/>
                <w:szCs w:val="20"/>
                <w:lang w:bidi="ar"/>
              </w:rPr>
            </w:pPr>
          </w:p>
        </w:tc>
        <w:tc>
          <w:tcPr>
            <w:tcW w:w="900" w:type="dxa"/>
            <w:tcBorders>
              <w:top w:val="single" w:color="000000" w:sz="4" w:space="0"/>
              <w:left w:val="single" w:color="000000" w:sz="4" w:space="0"/>
              <w:bottom w:val="single" w:color="000000" w:sz="4" w:space="0"/>
              <w:right w:val="single" w:color="000000" w:sz="4" w:space="0"/>
            </w:tcBorders>
            <w:vAlign w:val="center"/>
          </w:tcPr>
          <w:p w14:paraId="0818057B">
            <w:pPr>
              <w:widowControl/>
              <w:jc w:val="center"/>
              <w:textAlignment w:val="center"/>
              <w:rPr>
                <w:rFonts w:hint="eastAsia" w:ascii="宋体" w:hAnsi="宋体" w:cs="宋体"/>
                <w:color w:val="000000"/>
                <w:kern w:val="0"/>
                <w:sz w:val="20"/>
                <w:szCs w:val="20"/>
                <w:lang w:bidi="ar"/>
              </w:rPr>
            </w:pPr>
          </w:p>
        </w:tc>
        <w:tc>
          <w:tcPr>
            <w:tcW w:w="832" w:type="dxa"/>
            <w:tcBorders>
              <w:top w:val="single" w:color="000000" w:sz="4" w:space="0"/>
              <w:left w:val="single" w:color="000000" w:sz="4" w:space="0"/>
              <w:bottom w:val="single" w:color="000000" w:sz="4" w:space="0"/>
              <w:right w:val="single" w:color="000000" w:sz="4" w:space="0"/>
            </w:tcBorders>
            <w:vAlign w:val="center"/>
          </w:tcPr>
          <w:p w14:paraId="2DC8C43F">
            <w:pPr>
              <w:widowControl/>
              <w:jc w:val="center"/>
              <w:textAlignment w:val="center"/>
              <w:rPr>
                <w:rFonts w:hint="eastAsia" w:ascii="宋体" w:hAnsi="宋体" w:cs="宋体"/>
                <w:color w:val="000000"/>
                <w:kern w:val="0"/>
                <w:sz w:val="20"/>
                <w:szCs w:val="20"/>
                <w:lang w:bidi="ar"/>
              </w:rPr>
            </w:pPr>
          </w:p>
        </w:tc>
        <w:tc>
          <w:tcPr>
            <w:tcW w:w="1143" w:type="dxa"/>
            <w:tcBorders>
              <w:top w:val="single" w:color="000000" w:sz="4" w:space="0"/>
              <w:left w:val="single" w:color="000000" w:sz="4" w:space="0"/>
              <w:bottom w:val="single" w:color="000000" w:sz="4" w:space="0"/>
              <w:right w:val="single" w:color="000000" w:sz="4" w:space="0"/>
            </w:tcBorders>
            <w:vAlign w:val="center"/>
          </w:tcPr>
          <w:p w14:paraId="59E3FD2D">
            <w:pPr>
              <w:widowControl/>
              <w:jc w:val="center"/>
              <w:textAlignment w:val="center"/>
              <w:rPr>
                <w:rFonts w:hint="eastAsia" w:ascii="宋体" w:hAnsi="宋体" w:cs="宋体"/>
                <w:color w:val="000000"/>
                <w:kern w:val="0"/>
                <w:sz w:val="20"/>
                <w:szCs w:val="20"/>
                <w:lang w:bidi="ar"/>
              </w:rPr>
            </w:pPr>
          </w:p>
        </w:tc>
        <w:tc>
          <w:tcPr>
            <w:tcW w:w="763" w:type="dxa"/>
            <w:tcBorders>
              <w:top w:val="single" w:color="000000" w:sz="4" w:space="0"/>
              <w:left w:val="single" w:color="000000" w:sz="4" w:space="0"/>
              <w:bottom w:val="single" w:color="000000" w:sz="4" w:space="0"/>
              <w:right w:val="single" w:color="000000" w:sz="4" w:space="0"/>
            </w:tcBorders>
            <w:vAlign w:val="center"/>
          </w:tcPr>
          <w:p w14:paraId="76564311">
            <w:pPr>
              <w:widowControl/>
              <w:jc w:val="center"/>
              <w:textAlignment w:val="center"/>
              <w:rPr>
                <w:rFonts w:hint="eastAsia" w:ascii="宋体" w:hAnsi="宋体" w:cs="宋体"/>
                <w:color w:val="000000"/>
                <w:kern w:val="0"/>
                <w:sz w:val="20"/>
                <w:szCs w:val="20"/>
                <w:lang w:bidi="ar"/>
              </w:rPr>
            </w:pPr>
          </w:p>
        </w:tc>
        <w:tc>
          <w:tcPr>
            <w:tcW w:w="741" w:type="dxa"/>
            <w:tcBorders>
              <w:top w:val="single" w:color="000000" w:sz="4" w:space="0"/>
              <w:left w:val="single" w:color="000000" w:sz="4" w:space="0"/>
              <w:bottom w:val="single" w:color="000000" w:sz="4" w:space="0"/>
              <w:right w:val="single" w:color="000000" w:sz="4" w:space="0"/>
            </w:tcBorders>
            <w:vAlign w:val="center"/>
          </w:tcPr>
          <w:p w14:paraId="15FB1F75">
            <w:pPr>
              <w:widowControl/>
              <w:jc w:val="center"/>
              <w:textAlignment w:val="center"/>
              <w:rPr>
                <w:rFonts w:hint="eastAsia" w:ascii="宋体" w:hAnsi="宋体" w:cs="宋体"/>
                <w:color w:val="000000"/>
                <w:kern w:val="0"/>
                <w:sz w:val="20"/>
                <w:szCs w:val="20"/>
                <w:lang w:bidi="ar"/>
              </w:rPr>
            </w:pPr>
          </w:p>
        </w:tc>
      </w:tr>
      <w:tr w14:paraId="0DD02CDB">
        <w:tblPrEx>
          <w:tblCellMar>
            <w:top w:w="0" w:type="dxa"/>
            <w:left w:w="108" w:type="dxa"/>
            <w:bottom w:w="0" w:type="dxa"/>
            <w:right w:w="108" w:type="dxa"/>
          </w:tblCellMar>
        </w:tblPrEx>
        <w:trPr>
          <w:trHeight w:val="20" w:hRule="atLeast"/>
          <w:jc w:val="center"/>
        </w:trPr>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82CA54">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77</w:t>
            </w:r>
          </w:p>
        </w:tc>
        <w:tc>
          <w:tcPr>
            <w:tcW w:w="2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64F302">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矿物油鉴别试剂</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5213DE">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每盒可测10份样品</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E69760">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盒（或包）</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7716A4">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8BA7F9">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90</w:t>
            </w:r>
          </w:p>
        </w:tc>
        <w:tc>
          <w:tcPr>
            <w:tcW w:w="992" w:type="dxa"/>
            <w:tcBorders>
              <w:top w:val="single" w:color="000000" w:sz="4" w:space="0"/>
              <w:left w:val="single" w:color="000000" w:sz="4" w:space="0"/>
              <w:bottom w:val="single" w:color="000000" w:sz="4" w:space="0"/>
              <w:right w:val="single" w:color="000000" w:sz="4" w:space="0"/>
            </w:tcBorders>
            <w:vAlign w:val="center"/>
          </w:tcPr>
          <w:p w14:paraId="063EDD02">
            <w:pPr>
              <w:widowControl/>
              <w:jc w:val="center"/>
              <w:textAlignment w:val="center"/>
              <w:rPr>
                <w:rFonts w:hint="eastAsia" w:ascii="宋体" w:hAnsi="宋体" w:cs="宋体"/>
                <w:color w:val="000000"/>
                <w:kern w:val="0"/>
                <w:sz w:val="20"/>
                <w:szCs w:val="20"/>
                <w:lang w:bidi="ar"/>
              </w:rPr>
            </w:pPr>
          </w:p>
        </w:tc>
        <w:tc>
          <w:tcPr>
            <w:tcW w:w="1239" w:type="dxa"/>
            <w:tcBorders>
              <w:top w:val="single" w:color="000000" w:sz="4" w:space="0"/>
              <w:left w:val="single" w:color="000000" w:sz="4" w:space="0"/>
              <w:bottom w:val="single" w:color="000000" w:sz="4" w:space="0"/>
              <w:right w:val="single" w:color="000000" w:sz="4" w:space="0"/>
            </w:tcBorders>
            <w:vAlign w:val="center"/>
          </w:tcPr>
          <w:p w14:paraId="2F82C1E0">
            <w:pPr>
              <w:widowControl/>
              <w:jc w:val="center"/>
              <w:textAlignment w:val="center"/>
              <w:rPr>
                <w:rFonts w:hint="eastAsia" w:ascii="宋体" w:hAnsi="宋体" w:cs="宋体"/>
                <w:color w:val="000000"/>
                <w:kern w:val="0"/>
                <w:sz w:val="20"/>
                <w:szCs w:val="20"/>
                <w:lang w:bidi="ar"/>
              </w:rPr>
            </w:pPr>
          </w:p>
        </w:tc>
        <w:tc>
          <w:tcPr>
            <w:tcW w:w="900" w:type="dxa"/>
            <w:tcBorders>
              <w:top w:val="single" w:color="000000" w:sz="4" w:space="0"/>
              <w:left w:val="single" w:color="000000" w:sz="4" w:space="0"/>
              <w:bottom w:val="single" w:color="000000" w:sz="4" w:space="0"/>
              <w:right w:val="single" w:color="000000" w:sz="4" w:space="0"/>
            </w:tcBorders>
            <w:vAlign w:val="center"/>
          </w:tcPr>
          <w:p w14:paraId="21468684">
            <w:pPr>
              <w:widowControl/>
              <w:jc w:val="center"/>
              <w:textAlignment w:val="center"/>
              <w:rPr>
                <w:rFonts w:hint="eastAsia" w:ascii="宋体" w:hAnsi="宋体" w:cs="宋体"/>
                <w:color w:val="000000"/>
                <w:kern w:val="0"/>
                <w:sz w:val="20"/>
                <w:szCs w:val="20"/>
                <w:lang w:bidi="ar"/>
              </w:rPr>
            </w:pPr>
          </w:p>
        </w:tc>
        <w:tc>
          <w:tcPr>
            <w:tcW w:w="832" w:type="dxa"/>
            <w:tcBorders>
              <w:top w:val="single" w:color="000000" w:sz="4" w:space="0"/>
              <w:left w:val="single" w:color="000000" w:sz="4" w:space="0"/>
              <w:bottom w:val="single" w:color="000000" w:sz="4" w:space="0"/>
              <w:right w:val="single" w:color="000000" w:sz="4" w:space="0"/>
            </w:tcBorders>
            <w:vAlign w:val="center"/>
          </w:tcPr>
          <w:p w14:paraId="036D9A34">
            <w:pPr>
              <w:widowControl/>
              <w:jc w:val="center"/>
              <w:textAlignment w:val="center"/>
              <w:rPr>
                <w:rFonts w:hint="eastAsia" w:ascii="宋体" w:hAnsi="宋体" w:cs="宋体"/>
                <w:color w:val="000000"/>
                <w:kern w:val="0"/>
                <w:sz w:val="20"/>
                <w:szCs w:val="20"/>
                <w:lang w:bidi="ar"/>
              </w:rPr>
            </w:pPr>
          </w:p>
        </w:tc>
        <w:tc>
          <w:tcPr>
            <w:tcW w:w="1143" w:type="dxa"/>
            <w:tcBorders>
              <w:top w:val="single" w:color="000000" w:sz="4" w:space="0"/>
              <w:left w:val="single" w:color="000000" w:sz="4" w:space="0"/>
              <w:bottom w:val="single" w:color="000000" w:sz="4" w:space="0"/>
              <w:right w:val="single" w:color="000000" w:sz="4" w:space="0"/>
            </w:tcBorders>
            <w:vAlign w:val="center"/>
          </w:tcPr>
          <w:p w14:paraId="013366FB">
            <w:pPr>
              <w:widowControl/>
              <w:jc w:val="center"/>
              <w:textAlignment w:val="center"/>
              <w:rPr>
                <w:rFonts w:hint="eastAsia" w:ascii="宋体" w:hAnsi="宋体" w:cs="宋体"/>
                <w:color w:val="000000"/>
                <w:kern w:val="0"/>
                <w:sz w:val="20"/>
                <w:szCs w:val="20"/>
                <w:lang w:bidi="ar"/>
              </w:rPr>
            </w:pPr>
          </w:p>
        </w:tc>
        <w:tc>
          <w:tcPr>
            <w:tcW w:w="763" w:type="dxa"/>
            <w:tcBorders>
              <w:top w:val="single" w:color="000000" w:sz="4" w:space="0"/>
              <w:left w:val="single" w:color="000000" w:sz="4" w:space="0"/>
              <w:bottom w:val="single" w:color="000000" w:sz="4" w:space="0"/>
              <w:right w:val="single" w:color="000000" w:sz="4" w:space="0"/>
            </w:tcBorders>
            <w:vAlign w:val="center"/>
          </w:tcPr>
          <w:p w14:paraId="66B1C845">
            <w:pPr>
              <w:widowControl/>
              <w:jc w:val="center"/>
              <w:textAlignment w:val="center"/>
              <w:rPr>
                <w:rFonts w:hint="eastAsia" w:ascii="宋体" w:hAnsi="宋体" w:cs="宋体"/>
                <w:color w:val="000000"/>
                <w:kern w:val="0"/>
                <w:sz w:val="20"/>
                <w:szCs w:val="20"/>
                <w:lang w:bidi="ar"/>
              </w:rPr>
            </w:pPr>
          </w:p>
        </w:tc>
        <w:tc>
          <w:tcPr>
            <w:tcW w:w="741" w:type="dxa"/>
            <w:tcBorders>
              <w:top w:val="single" w:color="000000" w:sz="4" w:space="0"/>
              <w:left w:val="single" w:color="000000" w:sz="4" w:space="0"/>
              <w:bottom w:val="single" w:color="000000" w:sz="4" w:space="0"/>
              <w:right w:val="single" w:color="000000" w:sz="4" w:space="0"/>
            </w:tcBorders>
            <w:vAlign w:val="center"/>
          </w:tcPr>
          <w:p w14:paraId="198DBCBA">
            <w:pPr>
              <w:widowControl/>
              <w:jc w:val="center"/>
              <w:textAlignment w:val="center"/>
              <w:rPr>
                <w:rFonts w:hint="eastAsia" w:ascii="宋体" w:hAnsi="宋体" w:cs="宋体"/>
                <w:color w:val="000000"/>
                <w:kern w:val="0"/>
                <w:sz w:val="20"/>
                <w:szCs w:val="20"/>
                <w:lang w:bidi="ar"/>
              </w:rPr>
            </w:pPr>
          </w:p>
        </w:tc>
      </w:tr>
      <w:tr w14:paraId="7402C7D0">
        <w:tblPrEx>
          <w:tblCellMar>
            <w:top w:w="0" w:type="dxa"/>
            <w:left w:w="108" w:type="dxa"/>
            <w:bottom w:w="0" w:type="dxa"/>
            <w:right w:w="108" w:type="dxa"/>
          </w:tblCellMar>
        </w:tblPrEx>
        <w:trPr>
          <w:trHeight w:val="20" w:hRule="atLeast"/>
          <w:jc w:val="center"/>
        </w:trPr>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B43E94">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78</w:t>
            </w:r>
          </w:p>
        </w:tc>
        <w:tc>
          <w:tcPr>
            <w:tcW w:w="2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3DBDDF">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蓖麻油鉴别试剂</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F797F9">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每盒可测10份样品</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4E2068">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盒（或包）</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6BB3E4">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7F4FEE">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50</w:t>
            </w:r>
          </w:p>
        </w:tc>
        <w:tc>
          <w:tcPr>
            <w:tcW w:w="992" w:type="dxa"/>
            <w:tcBorders>
              <w:top w:val="single" w:color="000000" w:sz="4" w:space="0"/>
              <w:left w:val="single" w:color="000000" w:sz="4" w:space="0"/>
              <w:bottom w:val="single" w:color="000000" w:sz="4" w:space="0"/>
              <w:right w:val="single" w:color="000000" w:sz="4" w:space="0"/>
            </w:tcBorders>
            <w:vAlign w:val="center"/>
          </w:tcPr>
          <w:p w14:paraId="277D1E63">
            <w:pPr>
              <w:widowControl/>
              <w:jc w:val="center"/>
              <w:textAlignment w:val="center"/>
              <w:rPr>
                <w:rFonts w:hint="eastAsia" w:ascii="宋体" w:hAnsi="宋体" w:cs="宋体"/>
                <w:color w:val="000000"/>
                <w:kern w:val="0"/>
                <w:sz w:val="20"/>
                <w:szCs w:val="20"/>
                <w:lang w:bidi="ar"/>
              </w:rPr>
            </w:pPr>
          </w:p>
        </w:tc>
        <w:tc>
          <w:tcPr>
            <w:tcW w:w="1239" w:type="dxa"/>
            <w:tcBorders>
              <w:top w:val="single" w:color="000000" w:sz="4" w:space="0"/>
              <w:left w:val="single" w:color="000000" w:sz="4" w:space="0"/>
              <w:bottom w:val="single" w:color="000000" w:sz="4" w:space="0"/>
              <w:right w:val="single" w:color="000000" w:sz="4" w:space="0"/>
            </w:tcBorders>
            <w:vAlign w:val="center"/>
          </w:tcPr>
          <w:p w14:paraId="67C411AC">
            <w:pPr>
              <w:widowControl/>
              <w:jc w:val="center"/>
              <w:textAlignment w:val="center"/>
              <w:rPr>
                <w:rFonts w:hint="eastAsia" w:ascii="宋体" w:hAnsi="宋体" w:cs="宋体"/>
                <w:color w:val="000000"/>
                <w:kern w:val="0"/>
                <w:sz w:val="20"/>
                <w:szCs w:val="20"/>
                <w:lang w:bidi="ar"/>
              </w:rPr>
            </w:pPr>
          </w:p>
        </w:tc>
        <w:tc>
          <w:tcPr>
            <w:tcW w:w="900" w:type="dxa"/>
            <w:tcBorders>
              <w:top w:val="single" w:color="000000" w:sz="4" w:space="0"/>
              <w:left w:val="single" w:color="000000" w:sz="4" w:space="0"/>
              <w:bottom w:val="single" w:color="000000" w:sz="4" w:space="0"/>
              <w:right w:val="single" w:color="000000" w:sz="4" w:space="0"/>
            </w:tcBorders>
            <w:vAlign w:val="center"/>
          </w:tcPr>
          <w:p w14:paraId="1A629C77">
            <w:pPr>
              <w:widowControl/>
              <w:jc w:val="center"/>
              <w:textAlignment w:val="center"/>
              <w:rPr>
                <w:rFonts w:hint="eastAsia" w:ascii="宋体" w:hAnsi="宋体" w:cs="宋体"/>
                <w:color w:val="000000"/>
                <w:kern w:val="0"/>
                <w:sz w:val="20"/>
                <w:szCs w:val="20"/>
                <w:lang w:bidi="ar"/>
              </w:rPr>
            </w:pPr>
          </w:p>
        </w:tc>
        <w:tc>
          <w:tcPr>
            <w:tcW w:w="832" w:type="dxa"/>
            <w:tcBorders>
              <w:top w:val="single" w:color="000000" w:sz="4" w:space="0"/>
              <w:left w:val="single" w:color="000000" w:sz="4" w:space="0"/>
              <w:bottom w:val="single" w:color="000000" w:sz="4" w:space="0"/>
              <w:right w:val="single" w:color="000000" w:sz="4" w:space="0"/>
            </w:tcBorders>
            <w:vAlign w:val="center"/>
          </w:tcPr>
          <w:p w14:paraId="3A0E89E9">
            <w:pPr>
              <w:widowControl/>
              <w:jc w:val="center"/>
              <w:textAlignment w:val="center"/>
              <w:rPr>
                <w:rFonts w:hint="eastAsia" w:ascii="宋体" w:hAnsi="宋体" w:cs="宋体"/>
                <w:color w:val="000000"/>
                <w:kern w:val="0"/>
                <w:sz w:val="20"/>
                <w:szCs w:val="20"/>
                <w:lang w:bidi="ar"/>
              </w:rPr>
            </w:pPr>
          </w:p>
        </w:tc>
        <w:tc>
          <w:tcPr>
            <w:tcW w:w="1143" w:type="dxa"/>
            <w:tcBorders>
              <w:top w:val="single" w:color="000000" w:sz="4" w:space="0"/>
              <w:left w:val="single" w:color="000000" w:sz="4" w:space="0"/>
              <w:bottom w:val="single" w:color="000000" w:sz="4" w:space="0"/>
              <w:right w:val="single" w:color="000000" w:sz="4" w:space="0"/>
            </w:tcBorders>
            <w:vAlign w:val="center"/>
          </w:tcPr>
          <w:p w14:paraId="02C20B87">
            <w:pPr>
              <w:widowControl/>
              <w:jc w:val="center"/>
              <w:textAlignment w:val="center"/>
              <w:rPr>
                <w:rFonts w:hint="eastAsia" w:ascii="宋体" w:hAnsi="宋体" w:cs="宋体"/>
                <w:color w:val="000000"/>
                <w:kern w:val="0"/>
                <w:sz w:val="20"/>
                <w:szCs w:val="20"/>
                <w:lang w:bidi="ar"/>
              </w:rPr>
            </w:pPr>
          </w:p>
        </w:tc>
        <w:tc>
          <w:tcPr>
            <w:tcW w:w="763" w:type="dxa"/>
            <w:tcBorders>
              <w:top w:val="single" w:color="000000" w:sz="4" w:space="0"/>
              <w:left w:val="single" w:color="000000" w:sz="4" w:space="0"/>
              <w:bottom w:val="single" w:color="000000" w:sz="4" w:space="0"/>
              <w:right w:val="single" w:color="000000" w:sz="4" w:space="0"/>
            </w:tcBorders>
            <w:vAlign w:val="center"/>
          </w:tcPr>
          <w:p w14:paraId="3CE64A31">
            <w:pPr>
              <w:widowControl/>
              <w:jc w:val="center"/>
              <w:textAlignment w:val="center"/>
              <w:rPr>
                <w:rFonts w:hint="eastAsia" w:ascii="宋体" w:hAnsi="宋体" w:cs="宋体"/>
                <w:color w:val="000000"/>
                <w:kern w:val="0"/>
                <w:sz w:val="20"/>
                <w:szCs w:val="20"/>
                <w:lang w:bidi="ar"/>
              </w:rPr>
            </w:pPr>
          </w:p>
        </w:tc>
        <w:tc>
          <w:tcPr>
            <w:tcW w:w="741" w:type="dxa"/>
            <w:tcBorders>
              <w:top w:val="single" w:color="000000" w:sz="4" w:space="0"/>
              <w:left w:val="single" w:color="000000" w:sz="4" w:space="0"/>
              <w:bottom w:val="single" w:color="000000" w:sz="4" w:space="0"/>
              <w:right w:val="single" w:color="000000" w:sz="4" w:space="0"/>
            </w:tcBorders>
            <w:vAlign w:val="center"/>
          </w:tcPr>
          <w:p w14:paraId="13FBCBF6">
            <w:pPr>
              <w:widowControl/>
              <w:jc w:val="center"/>
              <w:textAlignment w:val="center"/>
              <w:rPr>
                <w:rFonts w:hint="eastAsia" w:ascii="宋体" w:hAnsi="宋体" w:cs="宋体"/>
                <w:color w:val="000000"/>
                <w:kern w:val="0"/>
                <w:sz w:val="20"/>
                <w:szCs w:val="20"/>
                <w:lang w:bidi="ar"/>
              </w:rPr>
            </w:pPr>
          </w:p>
        </w:tc>
      </w:tr>
      <w:tr w14:paraId="291EF6BF">
        <w:tblPrEx>
          <w:tblCellMar>
            <w:top w:w="0" w:type="dxa"/>
            <w:left w:w="108" w:type="dxa"/>
            <w:bottom w:w="0" w:type="dxa"/>
            <w:right w:w="108" w:type="dxa"/>
          </w:tblCellMar>
        </w:tblPrEx>
        <w:trPr>
          <w:trHeight w:val="20" w:hRule="atLeast"/>
          <w:jc w:val="center"/>
        </w:trPr>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92CEED">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79</w:t>
            </w:r>
          </w:p>
        </w:tc>
        <w:tc>
          <w:tcPr>
            <w:tcW w:w="2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BF1D5B">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桐油鉴别试剂</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5C3485">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每盒可测20份样品</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5AFF0D">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盒（或包）</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D53374">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202EB3">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80</w:t>
            </w:r>
          </w:p>
        </w:tc>
        <w:tc>
          <w:tcPr>
            <w:tcW w:w="992" w:type="dxa"/>
            <w:tcBorders>
              <w:top w:val="single" w:color="000000" w:sz="4" w:space="0"/>
              <w:left w:val="single" w:color="000000" w:sz="4" w:space="0"/>
              <w:bottom w:val="single" w:color="000000" w:sz="4" w:space="0"/>
              <w:right w:val="single" w:color="000000" w:sz="4" w:space="0"/>
            </w:tcBorders>
            <w:vAlign w:val="center"/>
          </w:tcPr>
          <w:p w14:paraId="2130060A">
            <w:pPr>
              <w:widowControl/>
              <w:jc w:val="center"/>
              <w:textAlignment w:val="center"/>
              <w:rPr>
                <w:rFonts w:hint="eastAsia" w:ascii="宋体" w:hAnsi="宋体" w:cs="宋体"/>
                <w:color w:val="000000"/>
                <w:kern w:val="0"/>
                <w:sz w:val="20"/>
                <w:szCs w:val="20"/>
                <w:lang w:bidi="ar"/>
              </w:rPr>
            </w:pPr>
          </w:p>
        </w:tc>
        <w:tc>
          <w:tcPr>
            <w:tcW w:w="1239" w:type="dxa"/>
            <w:tcBorders>
              <w:top w:val="single" w:color="000000" w:sz="4" w:space="0"/>
              <w:left w:val="single" w:color="000000" w:sz="4" w:space="0"/>
              <w:bottom w:val="single" w:color="000000" w:sz="4" w:space="0"/>
              <w:right w:val="single" w:color="000000" w:sz="4" w:space="0"/>
            </w:tcBorders>
            <w:vAlign w:val="center"/>
          </w:tcPr>
          <w:p w14:paraId="29805505">
            <w:pPr>
              <w:widowControl/>
              <w:jc w:val="center"/>
              <w:textAlignment w:val="center"/>
              <w:rPr>
                <w:rFonts w:hint="eastAsia" w:ascii="宋体" w:hAnsi="宋体" w:cs="宋体"/>
                <w:color w:val="000000"/>
                <w:kern w:val="0"/>
                <w:sz w:val="20"/>
                <w:szCs w:val="20"/>
                <w:lang w:bidi="ar"/>
              </w:rPr>
            </w:pPr>
          </w:p>
        </w:tc>
        <w:tc>
          <w:tcPr>
            <w:tcW w:w="900" w:type="dxa"/>
            <w:tcBorders>
              <w:top w:val="single" w:color="000000" w:sz="4" w:space="0"/>
              <w:left w:val="single" w:color="000000" w:sz="4" w:space="0"/>
              <w:bottom w:val="single" w:color="000000" w:sz="4" w:space="0"/>
              <w:right w:val="single" w:color="000000" w:sz="4" w:space="0"/>
            </w:tcBorders>
            <w:vAlign w:val="center"/>
          </w:tcPr>
          <w:p w14:paraId="00E6B86F">
            <w:pPr>
              <w:widowControl/>
              <w:jc w:val="center"/>
              <w:textAlignment w:val="center"/>
              <w:rPr>
                <w:rFonts w:hint="eastAsia" w:ascii="宋体" w:hAnsi="宋体" w:cs="宋体"/>
                <w:color w:val="000000"/>
                <w:kern w:val="0"/>
                <w:sz w:val="20"/>
                <w:szCs w:val="20"/>
                <w:lang w:bidi="ar"/>
              </w:rPr>
            </w:pPr>
          </w:p>
        </w:tc>
        <w:tc>
          <w:tcPr>
            <w:tcW w:w="832" w:type="dxa"/>
            <w:tcBorders>
              <w:top w:val="single" w:color="000000" w:sz="4" w:space="0"/>
              <w:left w:val="single" w:color="000000" w:sz="4" w:space="0"/>
              <w:bottom w:val="single" w:color="000000" w:sz="4" w:space="0"/>
              <w:right w:val="single" w:color="000000" w:sz="4" w:space="0"/>
            </w:tcBorders>
            <w:vAlign w:val="center"/>
          </w:tcPr>
          <w:p w14:paraId="39071261">
            <w:pPr>
              <w:widowControl/>
              <w:jc w:val="center"/>
              <w:textAlignment w:val="center"/>
              <w:rPr>
                <w:rFonts w:hint="eastAsia" w:ascii="宋体" w:hAnsi="宋体" w:cs="宋体"/>
                <w:color w:val="000000"/>
                <w:kern w:val="0"/>
                <w:sz w:val="20"/>
                <w:szCs w:val="20"/>
                <w:lang w:bidi="ar"/>
              </w:rPr>
            </w:pPr>
          </w:p>
        </w:tc>
        <w:tc>
          <w:tcPr>
            <w:tcW w:w="1143" w:type="dxa"/>
            <w:tcBorders>
              <w:top w:val="single" w:color="000000" w:sz="4" w:space="0"/>
              <w:left w:val="single" w:color="000000" w:sz="4" w:space="0"/>
              <w:bottom w:val="single" w:color="000000" w:sz="4" w:space="0"/>
              <w:right w:val="single" w:color="000000" w:sz="4" w:space="0"/>
            </w:tcBorders>
            <w:vAlign w:val="center"/>
          </w:tcPr>
          <w:p w14:paraId="68391F4B">
            <w:pPr>
              <w:widowControl/>
              <w:jc w:val="center"/>
              <w:textAlignment w:val="center"/>
              <w:rPr>
                <w:rFonts w:hint="eastAsia" w:ascii="宋体" w:hAnsi="宋体" w:cs="宋体"/>
                <w:color w:val="000000"/>
                <w:kern w:val="0"/>
                <w:sz w:val="20"/>
                <w:szCs w:val="20"/>
                <w:lang w:bidi="ar"/>
              </w:rPr>
            </w:pPr>
          </w:p>
        </w:tc>
        <w:tc>
          <w:tcPr>
            <w:tcW w:w="763" w:type="dxa"/>
            <w:tcBorders>
              <w:top w:val="single" w:color="000000" w:sz="4" w:space="0"/>
              <w:left w:val="single" w:color="000000" w:sz="4" w:space="0"/>
              <w:bottom w:val="single" w:color="000000" w:sz="4" w:space="0"/>
              <w:right w:val="single" w:color="000000" w:sz="4" w:space="0"/>
            </w:tcBorders>
            <w:vAlign w:val="center"/>
          </w:tcPr>
          <w:p w14:paraId="547AB16D">
            <w:pPr>
              <w:widowControl/>
              <w:jc w:val="center"/>
              <w:textAlignment w:val="center"/>
              <w:rPr>
                <w:rFonts w:hint="eastAsia" w:ascii="宋体" w:hAnsi="宋体" w:cs="宋体"/>
                <w:color w:val="000000"/>
                <w:kern w:val="0"/>
                <w:sz w:val="20"/>
                <w:szCs w:val="20"/>
                <w:lang w:bidi="ar"/>
              </w:rPr>
            </w:pPr>
          </w:p>
        </w:tc>
        <w:tc>
          <w:tcPr>
            <w:tcW w:w="741" w:type="dxa"/>
            <w:tcBorders>
              <w:top w:val="single" w:color="000000" w:sz="4" w:space="0"/>
              <w:left w:val="single" w:color="000000" w:sz="4" w:space="0"/>
              <w:bottom w:val="single" w:color="000000" w:sz="4" w:space="0"/>
              <w:right w:val="single" w:color="000000" w:sz="4" w:space="0"/>
            </w:tcBorders>
            <w:vAlign w:val="center"/>
          </w:tcPr>
          <w:p w14:paraId="69CE3F76">
            <w:pPr>
              <w:widowControl/>
              <w:jc w:val="center"/>
              <w:textAlignment w:val="center"/>
              <w:rPr>
                <w:rFonts w:hint="eastAsia" w:ascii="宋体" w:hAnsi="宋体" w:cs="宋体"/>
                <w:color w:val="000000"/>
                <w:kern w:val="0"/>
                <w:sz w:val="20"/>
                <w:szCs w:val="20"/>
                <w:lang w:bidi="ar"/>
              </w:rPr>
            </w:pPr>
          </w:p>
        </w:tc>
      </w:tr>
      <w:tr w14:paraId="1048904F">
        <w:tblPrEx>
          <w:tblCellMar>
            <w:top w:w="0" w:type="dxa"/>
            <w:left w:w="108" w:type="dxa"/>
            <w:bottom w:w="0" w:type="dxa"/>
            <w:right w:w="108" w:type="dxa"/>
          </w:tblCellMar>
        </w:tblPrEx>
        <w:trPr>
          <w:trHeight w:val="20" w:hRule="atLeast"/>
          <w:jc w:val="center"/>
        </w:trPr>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72ED50">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80</w:t>
            </w:r>
          </w:p>
        </w:tc>
        <w:tc>
          <w:tcPr>
            <w:tcW w:w="2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7C998A">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牛奶新鲜度速测盒</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B94B02">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每盒可测50份样品</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44DF51">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盒（或包）</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907E76">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ECB540">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90</w:t>
            </w:r>
          </w:p>
        </w:tc>
        <w:tc>
          <w:tcPr>
            <w:tcW w:w="992" w:type="dxa"/>
            <w:tcBorders>
              <w:top w:val="single" w:color="000000" w:sz="4" w:space="0"/>
              <w:left w:val="single" w:color="000000" w:sz="4" w:space="0"/>
              <w:bottom w:val="single" w:color="000000" w:sz="4" w:space="0"/>
              <w:right w:val="single" w:color="000000" w:sz="4" w:space="0"/>
            </w:tcBorders>
            <w:vAlign w:val="center"/>
          </w:tcPr>
          <w:p w14:paraId="60EF5554">
            <w:pPr>
              <w:widowControl/>
              <w:jc w:val="center"/>
              <w:textAlignment w:val="center"/>
              <w:rPr>
                <w:rFonts w:hint="eastAsia" w:ascii="宋体" w:hAnsi="宋体" w:cs="宋体"/>
                <w:color w:val="000000"/>
                <w:kern w:val="0"/>
                <w:sz w:val="20"/>
                <w:szCs w:val="20"/>
                <w:lang w:bidi="ar"/>
              </w:rPr>
            </w:pPr>
          </w:p>
        </w:tc>
        <w:tc>
          <w:tcPr>
            <w:tcW w:w="1239" w:type="dxa"/>
            <w:tcBorders>
              <w:top w:val="single" w:color="000000" w:sz="4" w:space="0"/>
              <w:left w:val="single" w:color="000000" w:sz="4" w:space="0"/>
              <w:bottom w:val="single" w:color="000000" w:sz="4" w:space="0"/>
              <w:right w:val="single" w:color="000000" w:sz="4" w:space="0"/>
            </w:tcBorders>
            <w:vAlign w:val="center"/>
          </w:tcPr>
          <w:p w14:paraId="7017E35D">
            <w:pPr>
              <w:widowControl/>
              <w:jc w:val="center"/>
              <w:textAlignment w:val="center"/>
              <w:rPr>
                <w:rFonts w:hint="eastAsia" w:ascii="宋体" w:hAnsi="宋体" w:cs="宋体"/>
                <w:color w:val="000000"/>
                <w:kern w:val="0"/>
                <w:sz w:val="20"/>
                <w:szCs w:val="20"/>
                <w:lang w:bidi="ar"/>
              </w:rPr>
            </w:pPr>
          </w:p>
        </w:tc>
        <w:tc>
          <w:tcPr>
            <w:tcW w:w="900" w:type="dxa"/>
            <w:tcBorders>
              <w:top w:val="single" w:color="000000" w:sz="4" w:space="0"/>
              <w:left w:val="single" w:color="000000" w:sz="4" w:space="0"/>
              <w:bottom w:val="single" w:color="000000" w:sz="4" w:space="0"/>
              <w:right w:val="single" w:color="000000" w:sz="4" w:space="0"/>
            </w:tcBorders>
            <w:vAlign w:val="center"/>
          </w:tcPr>
          <w:p w14:paraId="175F57ED">
            <w:pPr>
              <w:widowControl/>
              <w:jc w:val="center"/>
              <w:textAlignment w:val="center"/>
              <w:rPr>
                <w:rFonts w:hint="eastAsia" w:ascii="宋体" w:hAnsi="宋体" w:cs="宋体"/>
                <w:color w:val="000000"/>
                <w:kern w:val="0"/>
                <w:sz w:val="20"/>
                <w:szCs w:val="20"/>
                <w:lang w:bidi="ar"/>
              </w:rPr>
            </w:pPr>
          </w:p>
        </w:tc>
        <w:tc>
          <w:tcPr>
            <w:tcW w:w="832" w:type="dxa"/>
            <w:tcBorders>
              <w:top w:val="single" w:color="000000" w:sz="4" w:space="0"/>
              <w:left w:val="single" w:color="000000" w:sz="4" w:space="0"/>
              <w:bottom w:val="single" w:color="000000" w:sz="4" w:space="0"/>
              <w:right w:val="single" w:color="000000" w:sz="4" w:space="0"/>
            </w:tcBorders>
            <w:vAlign w:val="center"/>
          </w:tcPr>
          <w:p w14:paraId="1A34EBE7">
            <w:pPr>
              <w:widowControl/>
              <w:jc w:val="center"/>
              <w:textAlignment w:val="center"/>
              <w:rPr>
                <w:rFonts w:hint="eastAsia" w:ascii="宋体" w:hAnsi="宋体" w:cs="宋体"/>
                <w:color w:val="000000"/>
                <w:kern w:val="0"/>
                <w:sz w:val="20"/>
                <w:szCs w:val="20"/>
                <w:lang w:bidi="ar"/>
              </w:rPr>
            </w:pPr>
          </w:p>
        </w:tc>
        <w:tc>
          <w:tcPr>
            <w:tcW w:w="1143" w:type="dxa"/>
            <w:tcBorders>
              <w:top w:val="single" w:color="000000" w:sz="4" w:space="0"/>
              <w:left w:val="single" w:color="000000" w:sz="4" w:space="0"/>
              <w:bottom w:val="single" w:color="000000" w:sz="4" w:space="0"/>
              <w:right w:val="single" w:color="000000" w:sz="4" w:space="0"/>
            </w:tcBorders>
            <w:vAlign w:val="center"/>
          </w:tcPr>
          <w:p w14:paraId="151F04B6">
            <w:pPr>
              <w:widowControl/>
              <w:jc w:val="center"/>
              <w:textAlignment w:val="center"/>
              <w:rPr>
                <w:rFonts w:hint="eastAsia" w:ascii="宋体" w:hAnsi="宋体" w:cs="宋体"/>
                <w:color w:val="000000"/>
                <w:kern w:val="0"/>
                <w:sz w:val="20"/>
                <w:szCs w:val="20"/>
                <w:lang w:bidi="ar"/>
              </w:rPr>
            </w:pPr>
          </w:p>
        </w:tc>
        <w:tc>
          <w:tcPr>
            <w:tcW w:w="763" w:type="dxa"/>
            <w:tcBorders>
              <w:top w:val="single" w:color="000000" w:sz="4" w:space="0"/>
              <w:left w:val="single" w:color="000000" w:sz="4" w:space="0"/>
              <w:bottom w:val="single" w:color="000000" w:sz="4" w:space="0"/>
              <w:right w:val="single" w:color="000000" w:sz="4" w:space="0"/>
            </w:tcBorders>
            <w:vAlign w:val="center"/>
          </w:tcPr>
          <w:p w14:paraId="284682D8">
            <w:pPr>
              <w:widowControl/>
              <w:jc w:val="center"/>
              <w:textAlignment w:val="center"/>
              <w:rPr>
                <w:rFonts w:hint="eastAsia" w:ascii="宋体" w:hAnsi="宋体" w:cs="宋体"/>
                <w:color w:val="000000"/>
                <w:kern w:val="0"/>
                <w:sz w:val="20"/>
                <w:szCs w:val="20"/>
                <w:lang w:bidi="ar"/>
              </w:rPr>
            </w:pPr>
          </w:p>
        </w:tc>
        <w:tc>
          <w:tcPr>
            <w:tcW w:w="741" w:type="dxa"/>
            <w:tcBorders>
              <w:top w:val="single" w:color="000000" w:sz="4" w:space="0"/>
              <w:left w:val="single" w:color="000000" w:sz="4" w:space="0"/>
              <w:bottom w:val="single" w:color="000000" w:sz="4" w:space="0"/>
              <w:right w:val="single" w:color="000000" w:sz="4" w:space="0"/>
            </w:tcBorders>
            <w:vAlign w:val="center"/>
          </w:tcPr>
          <w:p w14:paraId="638CC6D0">
            <w:pPr>
              <w:widowControl/>
              <w:jc w:val="center"/>
              <w:textAlignment w:val="center"/>
              <w:rPr>
                <w:rFonts w:hint="eastAsia" w:ascii="宋体" w:hAnsi="宋体" w:cs="宋体"/>
                <w:color w:val="000000"/>
                <w:kern w:val="0"/>
                <w:sz w:val="20"/>
                <w:szCs w:val="20"/>
                <w:lang w:bidi="ar"/>
              </w:rPr>
            </w:pPr>
          </w:p>
        </w:tc>
      </w:tr>
      <w:tr w14:paraId="0F0A8661">
        <w:tblPrEx>
          <w:tblCellMar>
            <w:top w:w="0" w:type="dxa"/>
            <w:left w:w="108" w:type="dxa"/>
            <w:bottom w:w="0" w:type="dxa"/>
            <w:right w:w="108" w:type="dxa"/>
          </w:tblCellMar>
        </w:tblPrEx>
        <w:trPr>
          <w:trHeight w:val="20" w:hRule="atLeast"/>
          <w:jc w:val="center"/>
        </w:trPr>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B55139">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81</w:t>
            </w:r>
          </w:p>
        </w:tc>
        <w:tc>
          <w:tcPr>
            <w:tcW w:w="2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EF98AD">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 xml:space="preserve">黄曲霉毒素M1速测卡         </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9DAF75">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每盒可测10次用量</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C75DD5">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盒（或包）</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68C9FD">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9D4E07">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280</w:t>
            </w:r>
          </w:p>
        </w:tc>
        <w:tc>
          <w:tcPr>
            <w:tcW w:w="992" w:type="dxa"/>
            <w:tcBorders>
              <w:top w:val="single" w:color="000000" w:sz="4" w:space="0"/>
              <w:left w:val="single" w:color="000000" w:sz="4" w:space="0"/>
              <w:bottom w:val="single" w:color="000000" w:sz="4" w:space="0"/>
              <w:right w:val="single" w:color="000000" w:sz="4" w:space="0"/>
            </w:tcBorders>
            <w:vAlign w:val="center"/>
          </w:tcPr>
          <w:p w14:paraId="4CB2B60F">
            <w:pPr>
              <w:widowControl/>
              <w:jc w:val="center"/>
              <w:textAlignment w:val="center"/>
              <w:rPr>
                <w:rFonts w:hint="eastAsia" w:ascii="宋体" w:hAnsi="宋体" w:cs="宋体"/>
                <w:color w:val="000000"/>
                <w:kern w:val="0"/>
                <w:sz w:val="20"/>
                <w:szCs w:val="20"/>
                <w:lang w:bidi="ar"/>
              </w:rPr>
            </w:pPr>
          </w:p>
        </w:tc>
        <w:tc>
          <w:tcPr>
            <w:tcW w:w="1239" w:type="dxa"/>
            <w:tcBorders>
              <w:top w:val="single" w:color="000000" w:sz="4" w:space="0"/>
              <w:left w:val="single" w:color="000000" w:sz="4" w:space="0"/>
              <w:bottom w:val="single" w:color="000000" w:sz="4" w:space="0"/>
              <w:right w:val="single" w:color="000000" w:sz="4" w:space="0"/>
            </w:tcBorders>
            <w:vAlign w:val="center"/>
          </w:tcPr>
          <w:p w14:paraId="1C128A63">
            <w:pPr>
              <w:widowControl/>
              <w:jc w:val="center"/>
              <w:textAlignment w:val="center"/>
              <w:rPr>
                <w:rFonts w:hint="eastAsia" w:ascii="宋体" w:hAnsi="宋体" w:cs="宋体"/>
                <w:color w:val="000000"/>
                <w:kern w:val="0"/>
                <w:sz w:val="20"/>
                <w:szCs w:val="20"/>
                <w:lang w:bidi="ar"/>
              </w:rPr>
            </w:pPr>
          </w:p>
        </w:tc>
        <w:tc>
          <w:tcPr>
            <w:tcW w:w="900" w:type="dxa"/>
            <w:tcBorders>
              <w:top w:val="single" w:color="000000" w:sz="4" w:space="0"/>
              <w:left w:val="single" w:color="000000" w:sz="4" w:space="0"/>
              <w:bottom w:val="single" w:color="000000" w:sz="4" w:space="0"/>
              <w:right w:val="single" w:color="000000" w:sz="4" w:space="0"/>
            </w:tcBorders>
            <w:vAlign w:val="center"/>
          </w:tcPr>
          <w:p w14:paraId="361C842F">
            <w:pPr>
              <w:widowControl/>
              <w:jc w:val="center"/>
              <w:textAlignment w:val="center"/>
              <w:rPr>
                <w:rFonts w:hint="eastAsia" w:ascii="宋体" w:hAnsi="宋体" w:cs="宋体"/>
                <w:color w:val="000000"/>
                <w:kern w:val="0"/>
                <w:sz w:val="20"/>
                <w:szCs w:val="20"/>
                <w:lang w:bidi="ar"/>
              </w:rPr>
            </w:pPr>
          </w:p>
        </w:tc>
        <w:tc>
          <w:tcPr>
            <w:tcW w:w="832" w:type="dxa"/>
            <w:tcBorders>
              <w:top w:val="single" w:color="000000" w:sz="4" w:space="0"/>
              <w:left w:val="single" w:color="000000" w:sz="4" w:space="0"/>
              <w:bottom w:val="single" w:color="000000" w:sz="4" w:space="0"/>
              <w:right w:val="single" w:color="000000" w:sz="4" w:space="0"/>
            </w:tcBorders>
            <w:vAlign w:val="center"/>
          </w:tcPr>
          <w:p w14:paraId="1C6B9E95">
            <w:pPr>
              <w:widowControl/>
              <w:jc w:val="center"/>
              <w:textAlignment w:val="center"/>
              <w:rPr>
                <w:rFonts w:hint="eastAsia" w:ascii="宋体" w:hAnsi="宋体" w:cs="宋体"/>
                <w:color w:val="000000"/>
                <w:kern w:val="0"/>
                <w:sz w:val="20"/>
                <w:szCs w:val="20"/>
                <w:lang w:bidi="ar"/>
              </w:rPr>
            </w:pPr>
          </w:p>
        </w:tc>
        <w:tc>
          <w:tcPr>
            <w:tcW w:w="1143" w:type="dxa"/>
            <w:tcBorders>
              <w:top w:val="single" w:color="000000" w:sz="4" w:space="0"/>
              <w:left w:val="single" w:color="000000" w:sz="4" w:space="0"/>
              <w:bottom w:val="single" w:color="000000" w:sz="4" w:space="0"/>
              <w:right w:val="single" w:color="000000" w:sz="4" w:space="0"/>
            </w:tcBorders>
            <w:vAlign w:val="center"/>
          </w:tcPr>
          <w:p w14:paraId="5D20B8DF">
            <w:pPr>
              <w:widowControl/>
              <w:jc w:val="center"/>
              <w:textAlignment w:val="center"/>
              <w:rPr>
                <w:rFonts w:hint="eastAsia" w:ascii="宋体" w:hAnsi="宋体" w:cs="宋体"/>
                <w:color w:val="000000"/>
                <w:kern w:val="0"/>
                <w:sz w:val="20"/>
                <w:szCs w:val="20"/>
                <w:lang w:bidi="ar"/>
              </w:rPr>
            </w:pPr>
          </w:p>
        </w:tc>
        <w:tc>
          <w:tcPr>
            <w:tcW w:w="763" w:type="dxa"/>
            <w:tcBorders>
              <w:top w:val="single" w:color="000000" w:sz="4" w:space="0"/>
              <w:left w:val="single" w:color="000000" w:sz="4" w:space="0"/>
              <w:bottom w:val="single" w:color="000000" w:sz="4" w:space="0"/>
              <w:right w:val="single" w:color="000000" w:sz="4" w:space="0"/>
            </w:tcBorders>
            <w:vAlign w:val="center"/>
          </w:tcPr>
          <w:p w14:paraId="3E463BB2">
            <w:pPr>
              <w:widowControl/>
              <w:jc w:val="center"/>
              <w:textAlignment w:val="center"/>
              <w:rPr>
                <w:rFonts w:hint="eastAsia" w:ascii="宋体" w:hAnsi="宋体" w:cs="宋体"/>
                <w:color w:val="000000"/>
                <w:kern w:val="0"/>
                <w:sz w:val="20"/>
                <w:szCs w:val="20"/>
                <w:lang w:bidi="ar"/>
              </w:rPr>
            </w:pPr>
          </w:p>
        </w:tc>
        <w:tc>
          <w:tcPr>
            <w:tcW w:w="741" w:type="dxa"/>
            <w:tcBorders>
              <w:top w:val="single" w:color="000000" w:sz="4" w:space="0"/>
              <w:left w:val="single" w:color="000000" w:sz="4" w:space="0"/>
              <w:bottom w:val="single" w:color="000000" w:sz="4" w:space="0"/>
              <w:right w:val="single" w:color="000000" w:sz="4" w:space="0"/>
            </w:tcBorders>
            <w:vAlign w:val="center"/>
          </w:tcPr>
          <w:p w14:paraId="1E5E14AD">
            <w:pPr>
              <w:widowControl/>
              <w:jc w:val="center"/>
              <w:textAlignment w:val="center"/>
              <w:rPr>
                <w:rFonts w:hint="eastAsia" w:ascii="宋体" w:hAnsi="宋体" w:cs="宋体"/>
                <w:color w:val="000000"/>
                <w:kern w:val="0"/>
                <w:sz w:val="20"/>
                <w:szCs w:val="20"/>
                <w:lang w:bidi="ar"/>
              </w:rPr>
            </w:pPr>
          </w:p>
        </w:tc>
      </w:tr>
      <w:tr w14:paraId="7B9DC871">
        <w:tblPrEx>
          <w:tblCellMar>
            <w:top w:w="0" w:type="dxa"/>
            <w:left w:w="108" w:type="dxa"/>
            <w:bottom w:w="0" w:type="dxa"/>
            <w:right w:w="108" w:type="dxa"/>
          </w:tblCellMar>
        </w:tblPrEx>
        <w:trPr>
          <w:trHeight w:val="20" w:hRule="atLeast"/>
          <w:jc w:val="center"/>
        </w:trPr>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F13247">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82</w:t>
            </w:r>
          </w:p>
        </w:tc>
        <w:tc>
          <w:tcPr>
            <w:tcW w:w="2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1126BB">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钡对照液</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55E05D">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0.1mg/mL*2mL</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729890">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瓶</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9C3676">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14DD0A">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20</w:t>
            </w:r>
          </w:p>
        </w:tc>
        <w:tc>
          <w:tcPr>
            <w:tcW w:w="992" w:type="dxa"/>
            <w:tcBorders>
              <w:top w:val="single" w:color="000000" w:sz="4" w:space="0"/>
              <w:left w:val="single" w:color="000000" w:sz="4" w:space="0"/>
              <w:bottom w:val="single" w:color="000000" w:sz="4" w:space="0"/>
              <w:right w:val="single" w:color="000000" w:sz="4" w:space="0"/>
            </w:tcBorders>
            <w:vAlign w:val="center"/>
          </w:tcPr>
          <w:p w14:paraId="3DBC3A8E">
            <w:pPr>
              <w:widowControl/>
              <w:jc w:val="center"/>
              <w:textAlignment w:val="center"/>
              <w:rPr>
                <w:rFonts w:hint="eastAsia" w:ascii="宋体" w:hAnsi="宋体" w:cs="宋体"/>
                <w:color w:val="000000"/>
                <w:kern w:val="0"/>
                <w:sz w:val="20"/>
                <w:szCs w:val="20"/>
                <w:lang w:bidi="ar"/>
              </w:rPr>
            </w:pPr>
          </w:p>
        </w:tc>
        <w:tc>
          <w:tcPr>
            <w:tcW w:w="1239" w:type="dxa"/>
            <w:tcBorders>
              <w:top w:val="single" w:color="000000" w:sz="4" w:space="0"/>
              <w:left w:val="single" w:color="000000" w:sz="4" w:space="0"/>
              <w:bottom w:val="single" w:color="000000" w:sz="4" w:space="0"/>
              <w:right w:val="single" w:color="000000" w:sz="4" w:space="0"/>
            </w:tcBorders>
            <w:vAlign w:val="center"/>
          </w:tcPr>
          <w:p w14:paraId="061A6E5B">
            <w:pPr>
              <w:widowControl/>
              <w:jc w:val="center"/>
              <w:textAlignment w:val="center"/>
              <w:rPr>
                <w:rFonts w:hint="eastAsia" w:ascii="宋体" w:hAnsi="宋体" w:cs="宋体"/>
                <w:color w:val="000000"/>
                <w:kern w:val="0"/>
                <w:sz w:val="20"/>
                <w:szCs w:val="20"/>
                <w:lang w:bidi="ar"/>
              </w:rPr>
            </w:pPr>
          </w:p>
        </w:tc>
        <w:tc>
          <w:tcPr>
            <w:tcW w:w="900" w:type="dxa"/>
            <w:tcBorders>
              <w:top w:val="single" w:color="000000" w:sz="4" w:space="0"/>
              <w:left w:val="single" w:color="000000" w:sz="4" w:space="0"/>
              <w:bottom w:val="single" w:color="000000" w:sz="4" w:space="0"/>
              <w:right w:val="single" w:color="000000" w:sz="4" w:space="0"/>
            </w:tcBorders>
            <w:vAlign w:val="center"/>
          </w:tcPr>
          <w:p w14:paraId="12BE89F8">
            <w:pPr>
              <w:widowControl/>
              <w:jc w:val="center"/>
              <w:textAlignment w:val="center"/>
              <w:rPr>
                <w:rFonts w:hint="eastAsia" w:ascii="宋体" w:hAnsi="宋体" w:cs="宋体"/>
                <w:color w:val="000000"/>
                <w:kern w:val="0"/>
                <w:sz w:val="20"/>
                <w:szCs w:val="20"/>
                <w:lang w:bidi="ar"/>
              </w:rPr>
            </w:pPr>
          </w:p>
        </w:tc>
        <w:tc>
          <w:tcPr>
            <w:tcW w:w="832" w:type="dxa"/>
            <w:tcBorders>
              <w:top w:val="single" w:color="000000" w:sz="4" w:space="0"/>
              <w:left w:val="single" w:color="000000" w:sz="4" w:space="0"/>
              <w:bottom w:val="single" w:color="000000" w:sz="4" w:space="0"/>
              <w:right w:val="single" w:color="000000" w:sz="4" w:space="0"/>
            </w:tcBorders>
            <w:vAlign w:val="center"/>
          </w:tcPr>
          <w:p w14:paraId="218A27B7">
            <w:pPr>
              <w:widowControl/>
              <w:jc w:val="center"/>
              <w:textAlignment w:val="center"/>
              <w:rPr>
                <w:rFonts w:hint="eastAsia" w:ascii="宋体" w:hAnsi="宋体" w:cs="宋体"/>
                <w:color w:val="000000"/>
                <w:kern w:val="0"/>
                <w:sz w:val="20"/>
                <w:szCs w:val="20"/>
                <w:lang w:bidi="ar"/>
              </w:rPr>
            </w:pPr>
          </w:p>
        </w:tc>
        <w:tc>
          <w:tcPr>
            <w:tcW w:w="1143" w:type="dxa"/>
            <w:tcBorders>
              <w:top w:val="single" w:color="000000" w:sz="4" w:space="0"/>
              <w:left w:val="single" w:color="000000" w:sz="4" w:space="0"/>
              <w:bottom w:val="single" w:color="000000" w:sz="4" w:space="0"/>
              <w:right w:val="single" w:color="000000" w:sz="4" w:space="0"/>
            </w:tcBorders>
            <w:vAlign w:val="center"/>
          </w:tcPr>
          <w:p w14:paraId="37AD7D21">
            <w:pPr>
              <w:widowControl/>
              <w:jc w:val="center"/>
              <w:textAlignment w:val="center"/>
              <w:rPr>
                <w:rFonts w:hint="eastAsia" w:ascii="宋体" w:hAnsi="宋体" w:cs="宋体"/>
                <w:color w:val="000000"/>
                <w:kern w:val="0"/>
                <w:sz w:val="20"/>
                <w:szCs w:val="20"/>
                <w:lang w:bidi="ar"/>
              </w:rPr>
            </w:pPr>
          </w:p>
        </w:tc>
        <w:tc>
          <w:tcPr>
            <w:tcW w:w="763" w:type="dxa"/>
            <w:tcBorders>
              <w:top w:val="single" w:color="000000" w:sz="4" w:space="0"/>
              <w:left w:val="single" w:color="000000" w:sz="4" w:space="0"/>
              <w:bottom w:val="single" w:color="000000" w:sz="4" w:space="0"/>
              <w:right w:val="single" w:color="000000" w:sz="4" w:space="0"/>
            </w:tcBorders>
            <w:vAlign w:val="center"/>
          </w:tcPr>
          <w:p w14:paraId="667CF914">
            <w:pPr>
              <w:widowControl/>
              <w:jc w:val="center"/>
              <w:textAlignment w:val="center"/>
              <w:rPr>
                <w:rFonts w:hint="eastAsia" w:ascii="宋体" w:hAnsi="宋体" w:cs="宋体"/>
                <w:color w:val="000000"/>
                <w:kern w:val="0"/>
                <w:sz w:val="20"/>
                <w:szCs w:val="20"/>
                <w:lang w:bidi="ar"/>
              </w:rPr>
            </w:pPr>
          </w:p>
        </w:tc>
        <w:tc>
          <w:tcPr>
            <w:tcW w:w="741" w:type="dxa"/>
            <w:tcBorders>
              <w:top w:val="single" w:color="000000" w:sz="4" w:space="0"/>
              <w:left w:val="single" w:color="000000" w:sz="4" w:space="0"/>
              <w:bottom w:val="single" w:color="000000" w:sz="4" w:space="0"/>
              <w:right w:val="single" w:color="000000" w:sz="4" w:space="0"/>
            </w:tcBorders>
            <w:vAlign w:val="center"/>
          </w:tcPr>
          <w:p w14:paraId="361BA7CB">
            <w:pPr>
              <w:widowControl/>
              <w:jc w:val="center"/>
              <w:textAlignment w:val="center"/>
              <w:rPr>
                <w:rFonts w:hint="eastAsia" w:ascii="宋体" w:hAnsi="宋体" w:cs="宋体"/>
                <w:color w:val="000000"/>
                <w:kern w:val="0"/>
                <w:sz w:val="20"/>
                <w:szCs w:val="20"/>
                <w:lang w:bidi="ar"/>
              </w:rPr>
            </w:pPr>
          </w:p>
        </w:tc>
      </w:tr>
      <w:tr w14:paraId="1EC48A7D">
        <w:tblPrEx>
          <w:tblCellMar>
            <w:top w:w="0" w:type="dxa"/>
            <w:left w:w="108" w:type="dxa"/>
            <w:bottom w:w="0" w:type="dxa"/>
            <w:right w:w="108" w:type="dxa"/>
          </w:tblCellMar>
        </w:tblPrEx>
        <w:trPr>
          <w:trHeight w:val="20" w:hRule="atLeast"/>
          <w:jc w:val="center"/>
        </w:trPr>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0DD85E">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83</w:t>
            </w:r>
          </w:p>
        </w:tc>
        <w:tc>
          <w:tcPr>
            <w:tcW w:w="2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9C098F">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氰化物对照液</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384D63">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约50ug/ml*2ml</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DDD22B">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瓶</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489CB2">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CE8939">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30</w:t>
            </w:r>
          </w:p>
        </w:tc>
        <w:tc>
          <w:tcPr>
            <w:tcW w:w="992" w:type="dxa"/>
            <w:tcBorders>
              <w:top w:val="single" w:color="000000" w:sz="4" w:space="0"/>
              <w:left w:val="single" w:color="000000" w:sz="4" w:space="0"/>
              <w:bottom w:val="single" w:color="000000" w:sz="4" w:space="0"/>
              <w:right w:val="single" w:color="000000" w:sz="4" w:space="0"/>
            </w:tcBorders>
            <w:vAlign w:val="center"/>
          </w:tcPr>
          <w:p w14:paraId="1EBA17C6">
            <w:pPr>
              <w:widowControl/>
              <w:jc w:val="center"/>
              <w:textAlignment w:val="center"/>
              <w:rPr>
                <w:rFonts w:hint="eastAsia" w:ascii="宋体" w:hAnsi="宋体" w:cs="宋体"/>
                <w:color w:val="000000"/>
                <w:kern w:val="0"/>
                <w:sz w:val="20"/>
                <w:szCs w:val="20"/>
                <w:lang w:bidi="ar"/>
              </w:rPr>
            </w:pPr>
          </w:p>
        </w:tc>
        <w:tc>
          <w:tcPr>
            <w:tcW w:w="1239" w:type="dxa"/>
            <w:tcBorders>
              <w:top w:val="single" w:color="000000" w:sz="4" w:space="0"/>
              <w:left w:val="single" w:color="000000" w:sz="4" w:space="0"/>
              <w:bottom w:val="single" w:color="000000" w:sz="4" w:space="0"/>
              <w:right w:val="single" w:color="000000" w:sz="4" w:space="0"/>
            </w:tcBorders>
            <w:vAlign w:val="center"/>
          </w:tcPr>
          <w:p w14:paraId="7C2E3FFD">
            <w:pPr>
              <w:widowControl/>
              <w:jc w:val="center"/>
              <w:textAlignment w:val="center"/>
              <w:rPr>
                <w:rFonts w:hint="eastAsia" w:ascii="宋体" w:hAnsi="宋体" w:cs="宋体"/>
                <w:color w:val="000000"/>
                <w:kern w:val="0"/>
                <w:sz w:val="20"/>
                <w:szCs w:val="20"/>
                <w:lang w:bidi="ar"/>
              </w:rPr>
            </w:pPr>
          </w:p>
        </w:tc>
        <w:tc>
          <w:tcPr>
            <w:tcW w:w="900" w:type="dxa"/>
            <w:tcBorders>
              <w:top w:val="single" w:color="000000" w:sz="4" w:space="0"/>
              <w:left w:val="single" w:color="000000" w:sz="4" w:space="0"/>
              <w:bottom w:val="single" w:color="000000" w:sz="4" w:space="0"/>
              <w:right w:val="single" w:color="000000" w:sz="4" w:space="0"/>
            </w:tcBorders>
            <w:vAlign w:val="center"/>
          </w:tcPr>
          <w:p w14:paraId="1B25E50C">
            <w:pPr>
              <w:widowControl/>
              <w:jc w:val="center"/>
              <w:textAlignment w:val="center"/>
              <w:rPr>
                <w:rFonts w:hint="eastAsia" w:ascii="宋体" w:hAnsi="宋体" w:cs="宋体"/>
                <w:color w:val="000000"/>
                <w:kern w:val="0"/>
                <w:sz w:val="20"/>
                <w:szCs w:val="20"/>
                <w:lang w:bidi="ar"/>
              </w:rPr>
            </w:pPr>
          </w:p>
        </w:tc>
        <w:tc>
          <w:tcPr>
            <w:tcW w:w="832" w:type="dxa"/>
            <w:tcBorders>
              <w:top w:val="single" w:color="000000" w:sz="4" w:space="0"/>
              <w:left w:val="single" w:color="000000" w:sz="4" w:space="0"/>
              <w:bottom w:val="single" w:color="000000" w:sz="4" w:space="0"/>
              <w:right w:val="single" w:color="000000" w:sz="4" w:space="0"/>
            </w:tcBorders>
            <w:vAlign w:val="center"/>
          </w:tcPr>
          <w:p w14:paraId="1E5B83B5">
            <w:pPr>
              <w:widowControl/>
              <w:jc w:val="center"/>
              <w:textAlignment w:val="center"/>
              <w:rPr>
                <w:rFonts w:hint="eastAsia" w:ascii="宋体" w:hAnsi="宋体" w:cs="宋体"/>
                <w:color w:val="000000"/>
                <w:kern w:val="0"/>
                <w:sz w:val="20"/>
                <w:szCs w:val="20"/>
                <w:lang w:bidi="ar"/>
              </w:rPr>
            </w:pPr>
          </w:p>
        </w:tc>
        <w:tc>
          <w:tcPr>
            <w:tcW w:w="1143" w:type="dxa"/>
            <w:tcBorders>
              <w:top w:val="single" w:color="000000" w:sz="4" w:space="0"/>
              <w:left w:val="single" w:color="000000" w:sz="4" w:space="0"/>
              <w:bottom w:val="single" w:color="000000" w:sz="4" w:space="0"/>
              <w:right w:val="single" w:color="000000" w:sz="4" w:space="0"/>
            </w:tcBorders>
            <w:vAlign w:val="center"/>
          </w:tcPr>
          <w:p w14:paraId="2523D7C7">
            <w:pPr>
              <w:widowControl/>
              <w:jc w:val="center"/>
              <w:textAlignment w:val="center"/>
              <w:rPr>
                <w:rFonts w:hint="eastAsia" w:ascii="宋体" w:hAnsi="宋体" w:cs="宋体"/>
                <w:color w:val="000000"/>
                <w:kern w:val="0"/>
                <w:sz w:val="20"/>
                <w:szCs w:val="20"/>
                <w:lang w:bidi="ar"/>
              </w:rPr>
            </w:pPr>
          </w:p>
        </w:tc>
        <w:tc>
          <w:tcPr>
            <w:tcW w:w="763" w:type="dxa"/>
            <w:tcBorders>
              <w:top w:val="single" w:color="000000" w:sz="4" w:space="0"/>
              <w:left w:val="single" w:color="000000" w:sz="4" w:space="0"/>
              <w:bottom w:val="single" w:color="000000" w:sz="4" w:space="0"/>
              <w:right w:val="single" w:color="000000" w:sz="4" w:space="0"/>
            </w:tcBorders>
            <w:vAlign w:val="center"/>
          </w:tcPr>
          <w:p w14:paraId="31C39FF3">
            <w:pPr>
              <w:widowControl/>
              <w:jc w:val="center"/>
              <w:textAlignment w:val="center"/>
              <w:rPr>
                <w:rFonts w:hint="eastAsia" w:ascii="宋体" w:hAnsi="宋体" w:cs="宋体"/>
                <w:color w:val="000000"/>
                <w:kern w:val="0"/>
                <w:sz w:val="20"/>
                <w:szCs w:val="20"/>
                <w:lang w:bidi="ar"/>
              </w:rPr>
            </w:pPr>
          </w:p>
        </w:tc>
        <w:tc>
          <w:tcPr>
            <w:tcW w:w="741" w:type="dxa"/>
            <w:tcBorders>
              <w:top w:val="single" w:color="000000" w:sz="4" w:space="0"/>
              <w:left w:val="single" w:color="000000" w:sz="4" w:space="0"/>
              <w:bottom w:val="single" w:color="000000" w:sz="4" w:space="0"/>
              <w:right w:val="single" w:color="000000" w:sz="4" w:space="0"/>
            </w:tcBorders>
            <w:vAlign w:val="center"/>
          </w:tcPr>
          <w:p w14:paraId="651863AA">
            <w:pPr>
              <w:widowControl/>
              <w:jc w:val="center"/>
              <w:textAlignment w:val="center"/>
              <w:rPr>
                <w:rFonts w:hint="eastAsia" w:ascii="宋体" w:hAnsi="宋体" w:cs="宋体"/>
                <w:color w:val="000000"/>
                <w:kern w:val="0"/>
                <w:sz w:val="20"/>
                <w:szCs w:val="20"/>
                <w:lang w:bidi="ar"/>
              </w:rPr>
            </w:pPr>
          </w:p>
        </w:tc>
      </w:tr>
      <w:tr w14:paraId="6EC6F2E1">
        <w:tblPrEx>
          <w:tblCellMar>
            <w:top w:w="0" w:type="dxa"/>
            <w:left w:w="108" w:type="dxa"/>
            <w:bottom w:w="0" w:type="dxa"/>
            <w:right w:w="108" w:type="dxa"/>
          </w:tblCellMar>
        </w:tblPrEx>
        <w:trPr>
          <w:trHeight w:val="20" w:hRule="atLeast"/>
          <w:jc w:val="center"/>
        </w:trPr>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235307">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84</w:t>
            </w:r>
          </w:p>
        </w:tc>
        <w:tc>
          <w:tcPr>
            <w:tcW w:w="2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D0B9A2">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溴敌隆对照液</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3EB1EA">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1mg/ml×1ml</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7FE596">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瓶</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1F8DE1">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119887">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120</w:t>
            </w:r>
          </w:p>
        </w:tc>
        <w:tc>
          <w:tcPr>
            <w:tcW w:w="992" w:type="dxa"/>
            <w:tcBorders>
              <w:top w:val="single" w:color="000000" w:sz="4" w:space="0"/>
              <w:left w:val="single" w:color="000000" w:sz="4" w:space="0"/>
              <w:bottom w:val="single" w:color="000000" w:sz="4" w:space="0"/>
              <w:right w:val="single" w:color="000000" w:sz="4" w:space="0"/>
            </w:tcBorders>
            <w:vAlign w:val="center"/>
          </w:tcPr>
          <w:p w14:paraId="41A929F1">
            <w:pPr>
              <w:widowControl/>
              <w:jc w:val="center"/>
              <w:textAlignment w:val="center"/>
              <w:rPr>
                <w:rFonts w:hint="eastAsia" w:ascii="宋体" w:hAnsi="宋体" w:cs="宋体"/>
                <w:color w:val="000000"/>
                <w:kern w:val="0"/>
                <w:sz w:val="20"/>
                <w:szCs w:val="20"/>
                <w:lang w:bidi="ar"/>
              </w:rPr>
            </w:pPr>
          </w:p>
        </w:tc>
        <w:tc>
          <w:tcPr>
            <w:tcW w:w="1239" w:type="dxa"/>
            <w:tcBorders>
              <w:top w:val="single" w:color="000000" w:sz="4" w:space="0"/>
              <w:left w:val="single" w:color="000000" w:sz="4" w:space="0"/>
              <w:bottom w:val="single" w:color="000000" w:sz="4" w:space="0"/>
              <w:right w:val="single" w:color="000000" w:sz="4" w:space="0"/>
            </w:tcBorders>
            <w:vAlign w:val="center"/>
          </w:tcPr>
          <w:p w14:paraId="33EC3907">
            <w:pPr>
              <w:widowControl/>
              <w:jc w:val="center"/>
              <w:textAlignment w:val="center"/>
              <w:rPr>
                <w:rFonts w:hint="eastAsia" w:ascii="宋体" w:hAnsi="宋体" w:cs="宋体"/>
                <w:color w:val="000000"/>
                <w:kern w:val="0"/>
                <w:sz w:val="20"/>
                <w:szCs w:val="20"/>
                <w:lang w:bidi="ar"/>
              </w:rPr>
            </w:pPr>
          </w:p>
        </w:tc>
        <w:tc>
          <w:tcPr>
            <w:tcW w:w="900" w:type="dxa"/>
            <w:tcBorders>
              <w:top w:val="single" w:color="000000" w:sz="4" w:space="0"/>
              <w:left w:val="single" w:color="000000" w:sz="4" w:space="0"/>
              <w:bottom w:val="single" w:color="000000" w:sz="4" w:space="0"/>
              <w:right w:val="single" w:color="000000" w:sz="4" w:space="0"/>
            </w:tcBorders>
            <w:vAlign w:val="center"/>
          </w:tcPr>
          <w:p w14:paraId="24D7CDF8">
            <w:pPr>
              <w:widowControl/>
              <w:jc w:val="center"/>
              <w:textAlignment w:val="center"/>
              <w:rPr>
                <w:rFonts w:hint="eastAsia" w:ascii="宋体" w:hAnsi="宋体" w:cs="宋体"/>
                <w:color w:val="000000"/>
                <w:kern w:val="0"/>
                <w:sz w:val="20"/>
                <w:szCs w:val="20"/>
                <w:lang w:bidi="ar"/>
              </w:rPr>
            </w:pPr>
          </w:p>
        </w:tc>
        <w:tc>
          <w:tcPr>
            <w:tcW w:w="832" w:type="dxa"/>
            <w:tcBorders>
              <w:top w:val="single" w:color="000000" w:sz="4" w:space="0"/>
              <w:left w:val="single" w:color="000000" w:sz="4" w:space="0"/>
              <w:bottom w:val="single" w:color="000000" w:sz="4" w:space="0"/>
              <w:right w:val="single" w:color="000000" w:sz="4" w:space="0"/>
            </w:tcBorders>
            <w:vAlign w:val="center"/>
          </w:tcPr>
          <w:p w14:paraId="45410B2D">
            <w:pPr>
              <w:widowControl/>
              <w:jc w:val="center"/>
              <w:textAlignment w:val="center"/>
              <w:rPr>
                <w:rFonts w:hint="eastAsia" w:ascii="宋体" w:hAnsi="宋体" w:cs="宋体"/>
                <w:color w:val="000000"/>
                <w:kern w:val="0"/>
                <w:sz w:val="20"/>
                <w:szCs w:val="20"/>
                <w:lang w:bidi="ar"/>
              </w:rPr>
            </w:pPr>
          </w:p>
        </w:tc>
        <w:tc>
          <w:tcPr>
            <w:tcW w:w="1143" w:type="dxa"/>
            <w:tcBorders>
              <w:top w:val="single" w:color="000000" w:sz="4" w:space="0"/>
              <w:left w:val="single" w:color="000000" w:sz="4" w:space="0"/>
              <w:bottom w:val="single" w:color="000000" w:sz="4" w:space="0"/>
              <w:right w:val="single" w:color="000000" w:sz="4" w:space="0"/>
            </w:tcBorders>
            <w:vAlign w:val="center"/>
          </w:tcPr>
          <w:p w14:paraId="58660EB1">
            <w:pPr>
              <w:widowControl/>
              <w:jc w:val="center"/>
              <w:textAlignment w:val="center"/>
              <w:rPr>
                <w:rFonts w:hint="eastAsia" w:ascii="宋体" w:hAnsi="宋体" w:cs="宋体"/>
                <w:color w:val="000000"/>
                <w:kern w:val="0"/>
                <w:sz w:val="20"/>
                <w:szCs w:val="20"/>
                <w:lang w:bidi="ar"/>
              </w:rPr>
            </w:pPr>
          </w:p>
        </w:tc>
        <w:tc>
          <w:tcPr>
            <w:tcW w:w="763" w:type="dxa"/>
            <w:tcBorders>
              <w:top w:val="single" w:color="000000" w:sz="4" w:space="0"/>
              <w:left w:val="single" w:color="000000" w:sz="4" w:space="0"/>
              <w:bottom w:val="single" w:color="000000" w:sz="4" w:space="0"/>
              <w:right w:val="single" w:color="000000" w:sz="4" w:space="0"/>
            </w:tcBorders>
            <w:vAlign w:val="center"/>
          </w:tcPr>
          <w:p w14:paraId="003BEA12">
            <w:pPr>
              <w:widowControl/>
              <w:jc w:val="center"/>
              <w:textAlignment w:val="center"/>
              <w:rPr>
                <w:rFonts w:hint="eastAsia" w:ascii="宋体" w:hAnsi="宋体" w:cs="宋体"/>
                <w:color w:val="000000"/>
                <w:kern w:val="0"/>
                <w:sz w:val="20"/>
                <w:szCs w:val="20"/>
                <w:lang w:bidi="ar"/>
              </w:rPr>
            </w:pPr>
          </w:p>
        </w:tc>
        <w:tc>
          <w:tcPr>
            <w:tcW w:w="741" w:type="dxa"/>
            <w:tcBorders>
              <w:top w:val="single" w:color="000000" w:sz="4" w:space="0"/>
              <w:left w:val="single" w:color="000000" w:sz="4" w:space="0"/>
              <w:bottom w:val="single" w:color="000000" w:sz="4" w:space="0"/>
              <w:right w:val="single" w:color="000000" w:sz="4" w:space="0"/>
            </w:tcBorders>
            <w:vAlign w:val="center"/>
          </w:tcPr>
          <w:p w14:paraId="4CABB47B">
            <w:pPr>
              <w:widowControl/>
              <w:jc w:val="center"/>
              <w:textAlignment w:val="center"/>
              <w:rPr>
                <w:rFonts w:hint="eastAsia" w:ascii="宋体" w:hAnsi="宋体" w:cs="宋体"/>
                <w:color w:val="000000"/>
                <w:kern w:val="0"/>
                <w:sz w:val="20"/>
                <w:szCs w:val="20"/>
                <w:lang w:bidi="ar"/>
              </w:rPr>
            </w:pPr>
          </w:p>
        </w:tc>
      </w:tr>
      <w:tr w14:paraId="15078899">
        <w:tblPrEx>
          <w:tblCellMar>
            <w:top w:w="0" w:type="dxa"/>
            <w:left w:w="108" w:type="dxa"/>
            <w:bottom w:w="0" w:type="dxa"/>
            <w:right w:w="108" w:type="dxa"/>
          </w:tblCellMar>
        </w:tblPrEx>
        <w:trPr>
          <w:trHeight w:val="20" w:hRule="atLeast"/>
          <w:jc w:val="center"/>
        </w:trPr>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D2C8B2">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85</w:t>
            </w:r>
          </w:p>
        </w:tc>
        <w:tc>
          <w:tcPr>
            <w:tcW w:w="2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D2B415">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组胺对照液</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0DFD01">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1mg/ml*2ml</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A24410">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瓶</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D95C17">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C553DC">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80</w:t>
            </w:r>
          </w:p>
        </w:tc>
        <w:tc>
          <w:tcPr>
            <w:tcW w:w="992" w:type="dxa"/>
            <w:tcBorders>
              <w:top w:val="single" w:color="000000" w:sz="4" w:space="0"/>
              <w:left w:val="single" w:color="000000" w:sz="4" w:space="0"/>
              <w:bottom w:val="single" w:color="000000" w:sz="4" w:space="0"/>
              <w:right w:val="single" w:color="000000" w:sz="4" w:space="0"/>
            </w:tcBorders>
            <w:vAlign w:val="center"/>
          </w:tcPr>
          <w:p w14:paraId="57319EE1">
            <w:pPr>
              <w:widowControl/>
              <w:jc w:val="center"/>
              <w:textAlignment w:val="center"/>
              <w:rPr>
                <w:rFonts w:hint="eastAsia" w:ascii="宋体" w:hAnsi="宋体" w:cs="宋体"/>
                <w:color w:val="000000"/>
                <w:kern w:val="0"/>
                <w:sz w:val="20"/>
                <w:szCs w:val="20"/>
                <w:lang w:bidi="ar"/>
              </w:rPr>
            </w:pPr>
          </w:p>
        </w:tc>
        <w:tc>
          <w:tcPr>
            <w:tcW w:w="1239" w:type="dxa"/>
            <w:tcBorders>
              <w:top w:val="single" w:color="000000" w:sz="4" w:space="0"/>
              <w:left w:val="single" w:color="000000" w:sz="4" w:space="0"/>
              <w:bottom w:val="single" w:color="000000" w:sz="4" w:space="0"/>
              <w:right w:val="single" w:color="000000" w:sz="4" w:space="0"/>
            </w:tcBorders>
            <w:vAlign w:val="center"/>
          </w:tcPr>
          <w:p w14:paraId="223F6544">
            <w:pPr>
              <w:widowControl/>
              <w:jc w:val="center"/>
              <w:textAlignment w:val="center"/>
              <w:rPr>
                <w:rFonts w:hint="eastAsia" w:ascii="宋体" w:hAnsi="宋体" w:cs="宋体"/>
                <w:color w:val="000000"/>
                <w:kern w:val="0"/>
                <w:sz w:val="20"/>
                <w:szCs w:val="20"/>
                <w:lang w:bidi="ar"/>
              </w:rPr>
            </w:pPr>
          </w:p>
        </w:tc>
        <w:tc>
          <w:tcPr>
            <w:tcW w:w="900" w:type="dxa"/>
            <w:tcBorders>
              <w:top w:val="single" w:color="000000" w:sz="4" w:space="0"/>
              <w:left w:val="single" w:color="000000" w:sz="4" w:space="0"/>
              <w:bottom w:val="single" w:color="000000" w:sz="4" w:space="0"/>
              <w:right w:val="single" w:color="000000" w:sz="4" w:space="0"/>
            </w:tcBorders>
            <w:vAlign w:val="center"/>
          </w:tcPr>
          <w:p w14:paraId="4982B75F">
            <w:pPr>
              <w:widowControl/>
              <w:jc w:val="center"/>
              <w:textAlignment w:val="center"/>
              <w:rPr>
                <w:rFonts w:hint="eastAsia" w:ascii="宋体" w:hAnsi="宋体" w:cs="宋体"/>
                <w:color w:val="000000"/>
                <w:kern w:val="0"/>
                <w:sz w:val="20"/>
                <w:szCs w:val="20"/>
                <w:lang w:bidi="ar"/>
              </w:rPr>
            </w:pPr>
          </w:p>
        </w:tc>
        <w:tc>
          <w:tcPr>
            <w:tcW w:w="832" w:type="dxa"/>
            <w:tcBorders>
              <w:top w:val="single" w:color="000000" w:sz="4" w:space="0"/>
              <w:left w:val="single" w:color="000000" w:sz="4" w:space="0"/>
              <w:bottom w:val="single" w:color="000000" w:sz="4" w:space="0"/>
              <w:right w:val="single" w:color="000000" w:sz="4" w:space="0"/>
            </w:tcBorders>
            <w:vAlign w:val="center"/>
          </w:tcPr>
          <w:p w14:paraId="0DA2218D">
            <w:pPr>
              <w:widowControl/>
              <w:jc w:val="center"/>
              <w:textAlignment w:val="center"/>
              <w:rPr>
                <w:rFonts w:hint="eastAsia" w:ascii="宋体" w:hAnsi="宋体" w:cs="宋体"/>
                <w:color w:val="000000"/>
                <w:kern w:val="0"/>
                <w:sz w:val="20"/>
                <w:szCs w:val="20"/>
                <w:lang w:bidi="ar"/>
              </w:rPr>
            </w:pPr>
          </w:p>
        </w:tc>
        <w:tc>
          <w:tcPr>
            <w:tcW w:w="1143" w:type="dxa"/>
            <w:tcBorders>
              <w:top w:val="single" w:color="000000" w:sz="4" w:space="0"/>
              <w:left w:val="single" w:color="000000" w:sz="4" w:space="0"/>
              <w:bottom w:val="single" w:color="000000" w:sz="4" w:space="0"/>
              <w:right w:val="single" w:color="000000" w:sz="4" w:space="0"/>
            </w:tcBorders>
            <w:vAlign w:val="center"/>
          </w:tcPr>
          <w:p w14:paraId="5B9464E4">
            <w:pPr>
              <w:widowControl/>
              <w:jc w:val="center"/>
              <w:textAlignment w:val="center"/>
              <w:rPr>
                <w:rFonts w:hint="eastAsia" w:ascii="宋体" w:hAnsi="宋体" w:cs="宋体"/>
                <w:color w:val="000000"/>
                <w:kern w:val="0"/>
                <w:sz w:val="20"/>
                <w:szCs w:val="20"/>
                <w:lang w:bidi="ar"/>
              </w:rPr>
            </w:pPr>
          </w:p>
        </w:tc>
        <w:tc>
          <w:tcPr>
            <w:tcW w:w="763" w:type="dxa"/>
            <w:tcBorders>
              <w:top w:val="single" w:color="000000" w:sz="4" w:space="0"/>
              <w:left w:val="single" w:color="000000" w:sz="4" w:space="0"/>
              <w:bottom w:val="single" w:color="000000" w:sz="4" w:space="0"/>
              <w:right w:val="single" w:color="000000" w:sz="4" w:space="0"/>
            </w:tcBorders>
            <w:vAlign w:val="center"/>
          </w:tcPr>
          <w:p w14:paraId="75DD82CE">
            <w:pPr>
              <w:widowControl/>
              <w:jc w:val="center"/>
              <w:textAlignment w:val="center"/>
              <w:rPr>
                <w:rFonts w:hint="eastAsia" w:ascii="宋体" w:hAnsi="宋体" w:cs="宋体"/>
                <w:color w:val="000000"/>
                <w:kern w:val="0"/>
                <w:sz w:val="20"/>
                <w:szCs w:val="20"/>
                <w:lang w:bidi="ar"/>
              </w:rPr>
            </w:pPr>
          </w:p>
        </w:tc>
        <w:tc>
          <w:tcPr>
            <w:tcW w:w="741" w:type="dxa"/>
            <w:tcBorders>
              <w:top w:val="single" w:color="000000" w:sz="4" w:space="0"/>
              <w:left w:val="single" w:color="000000" w:sz="4" w:space="0"/>
              <w:bottom w:val="single" w:color="000000" w:sz="4" w:space="0"/>
              <w:right w:val="single" w:color="000000" w:sz="4" w:space="0"/>
            </w:tcBorders>
            <w:vAlign w:val="center"/>
          </w:tcPr>
          <w:p w14:paraId="67100093">
            <w:pPr>
              <w:widowControl/>
              <w:jc w:val="center"/>
              <w:textAlignment w:val="center"/>
              <w:rPr>
                <w:rFonts w:hint="eastAsia" w:ascii="宋体" w:hAnsi="宋体" w:cs="宋体"/>
                <w:color w:val="000000"/>
                <w:kern w:val="0"/>
                <w:sz w:val="20"/>
                <w:szCs w:val="20"/>
                <w:lang w:bidi="ar"/>
              </w:rPr>
            </w:pPr>
          </w:p>
        </w:tc>
      </w:tr>
      <w:tr w14:paraId="56745B7E">
        <w:tblPrEx>
          <w:tblCellMar>
            <w:top w:w="0" w:type="dxa"/>
            <w:left w:w="108" w:type="dxa"/>
            <w:bottom w:w="0" w:type="dxa"/>
            <w:right w:w="108" w:type="dxa"/>
          </w:tblCellMar>
        </w:tblPrEx>
        <w:trPr>
          <w:trHeight w:val="20" w:hRule="atLeast"/>
          <w:jc w:val="center"/>
        </w:trPr>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650BD7">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86</w:t>
            </w:r>
          </w:p>
        </w:tc>
        <w:tc>
          <w:tcPr>
            <w:tcW w:w="2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5722AD">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硫酸沙丁胺醇对照液</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EEFE83">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1mg/ml×2ml</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D80EA6">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瓶</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94DF61">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3C2E8F">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50</w:t>
            </w:r>
          </w:p>
        </w:tc>
        <w:tc>
          <w:tcPr>
            <w:tcW w:w="992" w:type="dxa"/>
            <w:tcBorders>
              <w:top w:val="single" w:color="000000" w:sz="4" w:space="0"/>
              <w:left w:val="single" w:color="000000" w:sz="4" w:space="0"/>
              <w:bottom w:val="single" w:color="000000" w:sz="4" w:space="0"/>
              <w:right w:val="single" w:color="000000" w:sz="4" w:space="0"/>
            </w:tcBorders>
            <w:vAlign w:val="center"/>
          </w:tcPr>
          <w:p w14:paraId="04B1D4DE">
            <w:pPr>
              <w:widowControl/>
              <w:jc w:val="center"/>
              <w:textAlignment w:val="center"/>
              <w:rPr>
                <w:rFonts w:hint="eastAsia" w:ascii="宋体" w:hAnsi="宋体" w:cs="宋体"/>
                <w:color w:val="000000"/>
                <w:kern w:val="0"/>
                <w:sz w:val="20"/>
                <w:szCs w:val="20"/>
                <w:lang w:bidi="ar"/>
              </w:rPr>
            </w:pPr>
          </w:p>
        </w:tc>
        <w:tc>
          <w:tcPr>
            <w:tcW w:w="1239" w:type="dxa"/>
            <w:tcBorders>
              <w:top w:val="single" w:color="000000" w:sz="4" w:space="0"/>
              <w:left w:val="single" w:color="000000" w:sz="4" w:space="0"/>
              <w:bottom w:val="single" w:color="000000" w:sz="4" w:space="0"/>
              <w:right w:val="single" w:color="000000" w:sz="4" w:space="0"/>
            </w:tcBorders>
            <w:vAlign w:val="center"/>
          </w:tcPr>
          <w:p w14:paraId="504171FD">
            <w:pPr>
              <w:widowControl/>
              <w:jc w:val="center"/>
              <w:textAlignment w:val="center"/>
              <w:rPr>
                <w:rFonts w:hint="eastAsia" w:ascii="宋体" w:hAnsi="宋体" w:cs="宋体"/>
                <w:color w:val="000000"/>
                <w:kern w:val="0"/>
                <w:sz w:val="20"/>
                <w:szCs w:val="20"/>
                <w:lang w:bidi="ar"/>
              </w:rPr>
            </w:pPr>
          </w:p>
        </w:tc>
        <w:tc>
          <w:tcPr>
            <w:tcW w:w="900" w:type="dxa"/>
            <w:tcBorders>
              <w:top w:val="single" w:color="000000" w:sz="4" w:space="0"/>
              <w:left w:val="single" w:color="000000" w:sz="4" w:space="0"/>
              <w:bottom w:val="single" w:color="000000" w:sz="4" w:space="0"/>
              <w:right w:val="single" w:color="000000" w:sz="4" w:space="0"/>
            </w:tcBorders>
            <w:vAlign w:val="center"/>
          </w:tcPr>
          <w:p w14:paraId="6827EE3E">
            <w:pPr>
              <w:widowControl/>
              <w:jc w:val="center"/>
              <w:textAlignment w:val="center"/>
              <w:rPr>
                <w:rFonts w:hint="eastAsia" w:ascii="宋体" w:hAnsi="宋体" w:cs="宋体"/>
                <w:color w:val="000000"/>
                <w:kern w:val="0"/>
                <w:sz w:val="20"/>
                <w:szCs w:val="20"/>
                <w:lang w:bidi="ar"/>
              </w:rPr>
            </w:pPr>
          </w:p>
        </w:tc>
        <w:tc>
          <w:tcPr>
            <w:tcW w:w="832" w:type="dxa"/>
            <w:tcBorders>
              <w:top w:val="single" w:color="000000" w:sz="4" w:space="0"/>
              <w:left w:val="single" w:color="000000" w:sz="4" w:space="0"/>
              <w:bottom w:val="single" w:color="000000" w:sz="4" w:space="0"/>
              <w:right w:val="single" w:color="000000" w:sz="4" w:space="0"/>
            </w:tcBorders>
            <w:vAlign w:val="center"/>
          </w:tcPr>
          <w:p w14:paraId="0D2A9DBB">
            <w:pPr>
              <w:widowControl/>
              <w:jc w:val="center"/>
              <w:textAlignment w:val="center"/>
              <w:rPr>
                <w:rFonts w:hint="eastAsia" w:ascii="宋体" w:hAnsi="宋体" w:cs="宋体"/>
                <w:color w:val="000000"/>
                <w:kern w:val="0"/>
                <w:sz w:val="20"/>
                <w:szCs w:val="20"/>
                <w:lang w:bidi="ar"/>
              </w:rPr>
            </w:pPr>
          </w:p>
        </w:tc>
        <w:tc>
          <w:tcPr>
            <w:tcW w:w="1143" w:type="dxa"/>
            <w:tcBorders>
              <w:top w:val="single" w:color="000000" w:sz="4" w:space="0"/>
              <w:left w:val="single" w:color="000000" w:sz="4" w:space="0"/>
              <w:bottom w:val="single" w:color="000000" w:sz="4" w:space="0"/>
              <w:right w:val="single" w:color="000000" w:sz="4" w:space="0"/>
            </w:tcBorders>
            <w:vAlign w:val="center"/>
          </w:tcPr>
          <w:p w14:paraId="2BF14077">
            <w:pPr>
              <w:widowControl/>
              <w:jc w:val="center"/>
              <w:textAlignment w:val="center"/>
              <w:rPr>
                <w:rFonts w:hint="eastAsia" w:ascii="宋体" w:hAnsi="宋体" w:cs="宋体"/>
                <w:color w:val="000000"/>
                <w:kern w:val="0"/>
                <w:sz w:val="20"/>
                <w:szCs w:val="20"/>
                <w:lang w:bidi="ar"/>
              </w:rPr>
            </w:pPr>
          </w:p>
        </w:tc>
        <w:tc>
          <w:tcPr>
            <w:tcW w:w="763" w:type="dxa"/>
            <w:tcBorders>
              <w:top w:val="single" w:color="000000" w:sz="4" w:space="0"/>
              <w:left w:val="single" w:color="000000" w:sz="4" w:space="0"/>
              <w:bottom w:val="single" w:color="000000" w:sz="4" w:space="0"/>
              <w:right w:val="single" w:color="000000" w:sz="4" w:space="0"/>
            </w:tcBorders>
            <w:vAlign w:val="center"/>
          </w:tcPr>
          <w:p w14:paraId="1AA6C61B">
            <w:pPr>
              <w:widowControl/>
              <w:jc w:val="center"/>
              <w:textAlignment w:val="center"/>
              <w:rPr>
                <w:rFonts w:hint="eastAsia" w:ascii="宋体" w:hAnsi="宋体" w:cs="宋体"/>
                <w:color w:val="000000"/>
                <w:kern w:val="0"/>
                <w:sz w:val="20"/>
                <w:szCs w:val="20"/>
                <w:lang w:bidi="ar"/>
              </w:rPr>
            </w:pPr>
          </w:p>
        </w:tc>
        <w:tc>
          <w:tcPr>
            <w:tcW w:w="741" w:type="dxa"/>
            <w:tcBorders>
              <w:top w:val="single" w:color="000000" w:sz="4" w:space="0"/>
              <w:left w:val="single" w:color="000000" w:sz="4" w:space="0"/>
              <w:bottom w:val="single" w:color="000000" w:sz="4" w:space="0"/>
              <w:right w:val="single" w:color="000000" w:sz="4" w:space="0"/>
            </w:tcBorders>
            <w:vAlign w:val="center"/>
          </w:tcPr>
          <w:p w14:paraId="581BDCD3">
            <w:pPr>
              <w:widowControl/>
              <w:jc w:val="center"/>
              <w:textAlignment w:val="center"/>
              <w:rPr>
                <w:rFonts w:hint="eastAsia" w:ascii="宋体" w:hAnsi="宋体" w:cs="宋体"/>
                <w:color w:val="000000"/>
                <w:kern w:val="0"/>
                <w:sz w:val="20"/>
                <w:szCs w:val="20"/>
                <w:lang w:bidi="ar"/>
              </w:rPr>
            </w:pPr>
          </w:p>
        </w:tc>
      </w:tr>
      <w:tr w14:paraId="435AE09D">
        <w:tblPrEx>
          <w:tblCellMar>
            <w:top w:w="0" w:type="dxa"/>
            <w:left w:w="108" w:type="dxa"/>
            <w:bottom w:w="0" w:type="dxa"/>
            <w:right w:w="108" w:type="dxa"/>
          </w:tblCellMar>
        </w:tblPrEx>
        <w:trPr>
          <w:trHeight w:val="20" w:hRule="atLeast"/>
          <w:jc w:val="center"/>
        </w:trPr>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4C1EAF">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87</w:t>
            </w:r>
          </w:p>
        </w:tc>
        <w:tc>
          <w:tcPr>
            <w:tcW w:w="2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17FB11">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桐油对照品</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216104">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每盒可测多份样品</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E4FD49">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瓶</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D17E1F">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5C4925">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100</w:t>
            </w:r>
          </w:p>
        </w:tc>
        <w:tc>
          <w:tcPr>
            <w:tcW w:w="992" w:type="dxa"/>
            <w:tcBorders>
              <w:top w:val="single" w:color="000000" w:sz="4" w:space="0"/>
              <w:left w:val="single" w:color="000000" w:sz="4" w:space="0"/>
              <w:bottom w:val="single" w:color="000000" w:sz="4" w:space="0"/>
              <w:right w:val="single" w:color="000000" w:sz="4" w:space="0"/>
            </w:tcBorders>
            <w:vAlign w:val="center"/>
          </w:tcPr>
          <w:p w14:paraId="64308687">
            <w:pPr>
              <w:widowControl/>
              <w:jc w:val="center"/>
              <w:textAlignment w:val="center"/>
              <w:rPr>
                <w:rFonts w:hint="eastAsia" w:ascii="宋体" w:hAnsi="宋体" w:cs="宋体"/>
                <w:color w:val="000000"/>
                <w:kern w:val="0"/>
                <w:sz w:val="20"/>
                <w:szCs w:val="20"/>
                <w:lang w:bidi="ar"/>
              </w:rPr>
            </w:pPr>
          </w:p>
        </w:tc>
        <w:tc>
          <w:tcPr>
            <w:tcW w:w="1239" w:type="dxa"/>
            <w:tcBorders>
              <w:top w:val="single" w:color="000000" w:sz="4" w:space="0"/>
              <w:left w:val="single" w:color="000000" w:sz="4" w:space="0"/>
              <w:bottom w:val="single" w:color="000000" w:sz="4" w:space="0"/>
              <w:right w:val="single" w:color="000000" w:sz="4" w:space="0"/>
            </w:tcBorders>
            <w:vAlign w:val="center"/>
          </w:tcPr>
          <w:p w14:paraId="247BB0CE">
            <w:pPr>
              <w:widowControl/>
              <w:jc w:val="center"/>
              <w:textAlignment w:val="center"/>
              <w:rPr>
                <w:rFonts w:hint="eastAsia" w:ascii="宋体" w:hAnsi="宋体" w:cs="宋体"/>
                <w:color w:val="000000"/>
                <w:kern w:val="0"/>
                <w:sz w:val="20"/>
                <w:szCs w:val="20"/>
                <w:lang w:bidi="ar"/>
              </w:rPr>
            </w:pPr>
          </w:p>
        </w:tc>
        <w:tc>
          <w:tcPr>
            <w:tcW w:w="900" w:type="dxa"/>
            <w:tcBorders>
              <w:top w:val="single" w:color="000000" w:sz="4" w:space="0"/>
              <w:left w:val="single" w:color="000000" w:sz="4" w:space="0"/>
              <w:bottom w:val="single" w:color="000000" w:sz="4" w:space="0"/>
              <w:right w:val="single" w:color="000000" w:sz="4" w:space="0"/>
            </w:tcBorders>
            <w:vAlign w:val="center"/>
          </w:tcPr>
          <w:p w14:paraId="2E42EDBA">
            <w:pPr>
              <w:widowControl/>
              <w:jc w:val="center"/>
              <w:textAlignment w:val="center"/>
              <w:rPr>
                <w:rFonts w:hint="eastAsia" w:ascii="宋体" w:hAnsi="宋体" w:cs="宋体"/>
                <w:color w:val="000000"/>
                <w:kern w:val="0"/>
                <w:sz w:val="20"/>
                <w:szCs w:val="20"/>
                <w:lang w:bidi="ar"/>
              </w:rPr>
            </w:pPr>
          </w:p>
        </w:tc>
        <w:tc>
          <w:tcPr>
            <w:tcW w:w="832" w:type="dxa"/>
            <w:tcBorders>
              <w:top w:val="single" w:color="000000" w:sz="4" w:space="0"/>
              <w:left w:val="single" w:color="000000" w:sz="4" w:space="0"/>
              <w:bottom w:val="single" w:color="000000" w:sz="4" w:space="0"/>
              <w:right w:val="single" w:color="000000" w:sz="4" w:space="0"/>
            </w:tcBorders>
            <w:vAlign w:val="center"/>
          </w:tcPr>
          <w:p w14:paraId="1991714F">
            <w:pPr>
              <w:widowControl/>
              <w:jc w:val="center"/>
              <w:textAlignment w:val="center"/>
              <w:rPr>
                <w:rFonts w:hint="eastAsia" w:ascii="宋体" w:hAnsi="宋体" w:cs="宋体"/>
                <w:color w:val="000000"/>
                <w:kern w:val="0"/>
                <w:sz w:val="20"/>
                <w:szCs w:val="20"/>
                <w:lang w:bidi="ar"/>
              </w:rPr>
            </w:pPr>
          </w:p>
        </w:tc>
        <w:tc>
          <w:tcPr>
            <w:tcW w:w="1143" w:type="dxa"/>
            <w:tcBorders>
              <w:top w:val="single" w:color="000000" w:sz="4" w:space="0"/>
              <w:left w:val="single" w:color="000000" w:sz="4" w:space="0"/>
              <w:bottom w:val="single" w:color="000000" w:sz="4" w:space="0"/>
              <w:right w:val="single" w:color="000000" w:sz="4" w:space="0"/>
            </w:tcBorders>
            <w:vAlign w:val="center"/>
          </w:tcPr>
          <w:p w14:paraId="32BF8DFC">
            <w:pPr>
              <w:widowControl/>
              <w:jc w:val="center"/>
              <w:textAlignment w:val="center"/>
              <w:rPr>
                <w:rFonts w:hint="eastAsia" w:ascii="宋体" w:hAnsi="宋体" w:cs="宋体"/>
                <w:color w:val="000000"/>
                <w:kern w:val="0"/>
                <w:sz w:val="20"/>
                <w:szCs w:val="20"/>
                <w:lang w:bidi="ar"/>
              </w:rPr>
            </w:pPr>
          </w:p>
        </w:tc>
        <w:tc>
          <w:tcPr>
            <w:tcW w:w="763" w:type="dxa"/>
            <w:tcBorders>
              <w:top w:val="single" w:color="000000" w:sz="4" w:space="0"/>
              <w:left w:val="single" w:color="000000" w:sz="4" w:space="0"/>
              <w:bottom w:val="single" w:color="000000" w:sz="4" w:space="0"/>
              <w:right w:val="single" w:color="000000" w:sz="4" w:space="0"/>
            </w:tcBorders>
            <w:vAlign w:val="center"/>
          </w:tcPr>
          <w:p w14:paraId="48347AB3">
            <w:pPr>
              <w:widowControl/>
              <w:jc w:val="center"/>
              <w:textAlignment w:val="center"/>
              <w:rPr>
                <w:rFonts w:hint="eastAsia" w:ascii="宋体" w:hAnsi="宋体" w:cs="宋体"/>
                <w:color w:val="000000"/>
                <w:kern w:val="0"/>
                <w:sz w:val="20"/>
                <w:szCs w:val="20"/>
                <w:lang w:bidi="ar"/>
              </w:rPr>
            </w:pPr>
          </w:p>
        </w:tc>
        <w:tc>
          <w:tcPr>
            <w:tcW w:w="741" w:type="dxa"/>
            <w:tcBorders>
              <w:top w:val="single" w:color="000000" w:sz="4" w:space="0"/>
              <w:left w:val="single" w:color="000000" w:sz="4" w:space="0"/>
              <w:bottom w:val="single" w:color="000000" w:sz="4" w:space="0"/>
              <w:right w:val="single" w:color="000000" w:sz="4" w:space="0"/>
            </w:tcBorders>
            <w:vAlign w:val="center"/>
          </w:tcPr>
          <w:p w14:paraId="40E129F8">
            <w:pPr>
              <w:widowControl/>
              <w:jc w:val="center"/>
              <w:textAlignment w:val="center"/>
              <w:rPr>
                <w:rFonts w:hint="eastAsia" w:ascii="宋体" w:hAnsi="宋体" w:cs="宋体"/>
                <w:color w:val="000000"/>
                <w:kern w:val="0"/>
                <w:sz w:val="20"/>
                <w:szCs w:val="20"/>
                <w:lang w:bidi="ar"/>
              </w:rPr>
            </w:pPr>
          </w:p>
        </w:tc>
      </w:tr>
      <w:tr w14:paraId="1E032E64">
        <w:tblPrEx>
          <w:tblCellMar>
            <w:top w:w="0" w:type="dxa"/>
            <w:left w:w="108" w:type="dxa"/>
            <w:bottom w:w="0" w:type="dxa"/>
            <w:right w:w="108" w:type="dxa"/>
          </w:tblCellMar>
        </w:tblPrEx>
        <w:trPr>
          <w:trHeight w:val="20" w:hRule="atLeast"/>
          <w:jc w:val="center"/>
        </w:trPr>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EFEDCF">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88</w:t>
            </w:r>
          </w:p>
        </w:tc>
        <w:tc>
          <w:tcPr>
            <w:tcW w:w="2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C62609">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砷对照液</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2F8E4F">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每盒可测多份样品</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6FF9FB">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瓶</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635701">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9B1862">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20</w:t>
            </w:r>
          </w:p>
        </w:tc>
        <w:tc>
          <w:tcPr>
            <w:tcW w:w="992" w:type="dxa"/>
            <w:tcBorders>
              <w:top w:val="single" w:color="000000" w:sz="4" w:space="0"/>
              <w:left w:val="single" w:color="000000" w:sz="4" w:space="0"/>
              <w:bottom w:val="single" w:color="000000" w:sz="4" w:space="0"/>
              <w:right w:val="single" w:color="000000" w:sz="4" w:space="0"/>
            </w:tcBorders>
            <w:vAlign w:val="center"/>
          </w:tcPr>
          <w:p w14:paraId="241A8392">
            <w:pPr>
              <w:widowControl/>
              <w:jc w:val="center"/>
              <w:textAlignment w:val="center"/>
              <w:rPr>
                <w:rFonts w:hint="eastAsia" w:ascii="宋体" w:hAnsi="宋体" w:cs="宋体"/>
                <w:color w:val="000000"/>
                <w:kern w:val="0"/>
                <w:sz w:val="20"/>
                <w:szCs w:val="20"/>
                <w:lang w:bidi="ar"/>
              </w:rPr>
            </w:pPr>
          </w:p>
        </w:tc>
        <w:tc>
          <w:tcPr>
            <w:tcW w:w="1239" w:type="dxa"/>
            <w:tcBorders>
              <w:top w:val="single" w:color="000000" w:sz="4" w:space="0"/>
              <w:left w:val="single" w:color="000000" w:sz="4" w:space="0"/>
              <w:bottom w:val="single" w:color="000000" w:sz="4" w:space="0"/>
              <w:right w:val="single" w:color="000000" w:sz="4" w:space="0"/>
            </w:tcBorders>
            <w:vAlign w:val="center"/>
          </w:tcPr>
          <w:p w14:paraId="68E3D997">
            <w:pPr>
              <w:widowControl/>
              <w:jc w:val="center"/>
              <w:textAlignment w:val="center"/>
              <w:rPr>
                <w:rFonts w:hint="eastAsia" w:ascii="宋体" w:hAnsi="宋体" w:cs="宋体"/>
                <w:color w:val="000000"/>
                <w:kern w:val="0"/>
                <w:sz w:val="20"/>
                <w:szCs w:val="20"/>
                <w:lang w:bidi="ar"/>
              </w:rPr>
            </w:pPr>
          </w:p>
        </w:tc>
        <w:tc>
          <w:tcPr>
            <w:tcW w:w="900" w:type="dxa"/>
            <w:tcBorders>
              <w:top w:val="single" w:color="000000" w:sz="4" w:space="0"/>
              <w:left w:val="single" w:color="000000" w:sz="4" w:space="0"/>
              <w:bottom w:val="single" w:color="000000" w:sz="4" w:space="0"/>
              <w:right w:val="single" w:color="000000" w:sz="4" w:space="0"/>
            </w:tcBorders>
            <w:vAlign w:val="center"/>
          </w:tcPr>
          <w:p w14:paraId="51F18969">
            <w:pPr>
              <w:widowControl/>
              <w:jc w:val="center"/>
              <w:textAlignment w:val="center"/>
              <w:rPr>
                <w:rFonts w:hint="eastAsia" w:ascii="宋体" w:hAnsi="宋体" w:cs="宋体"/>
                <w:color w:val="000000"/>
                <w:kern w:val="0"/>
                <w:sz w:val="20"/>
                <w:szCs w:val="20"/>
                <w:lang w:bidi="ar"/>
              </w:rPr>
            </w:pPr>
          </w:p>
        </w:tc>
        <w:tc>
          <w:tcPr>
            <w:tcW w:w="832" w:type="dxa"/>
            <w:tcBorders>
              <w:top w:val="single" w:color="000000" w:sz="4" w:space="0"/>
              <w:left w:val="single" w:color="000000" w:sz="4" w:space="0"/>
              <w:bottom w:val="single" w:color="000000" w:sz="4" w:space="0"/>
              <w:right w:val="single" w:color="000000" w:sz="4" w:space="0"/>
            </w:tcBorders>
            <w:vAlign w:val="center"/>
          </w:tcPr>
          <w:p w14:paraId="55A99585">
            <w:pPr>
              <w:widowControl/>
              <w:jc w:val="center"/>
              <w:textAlignment w:val="center"/>
              <w:rPr>
                <w:rFonts w:hint="eastAsia" w:ascii="宋体" w:hAnsi="宋体" w:cs="宋体"/>
                <w:color w:val="000000"/>
                <w:kern w:val="0"/>
                <w:sz w:val="20"/>
                <w:szCs w:val="20"/>
                <w:lang w:bidi="ar"/>
              </w:rPr>
            </w:pPr>
          </w:p>
        </w:tc>
        <w:tc>
          <w:tcPr>
            <w:tcW w:w="1143" w:type="dxa"/>
            <w:tcBorders>
              <w:top w:val="single" w:color="000000" w:sz="4" w:space="0"/>
              <w:left w:val="single" w:color="000000" w:sz="4" w:space="0"/>
              <w:bottom w:val="single" w:color="000000" w:sz="4" w:space="0"/>
              <w:right w:val="single" w:color="000000" w:sz="4" w:space="0"/>
            </w:tcBorders>
            <w:vAlign w:val="center"/>
          </w:tcPr>
          <w:p w14:paraId="1603EB44">
            <w:pPr>
              <w:widowControl/>
              <w:jc w:val="center"/>
              <w:textAlignment w:val="center"/>
              <w:rPr>
                <w:rFonts w:hint="eastAsia" w:ascii="宋体" w:hAnsi="宋体" w:cs="宋体"/>
                <w:color w:val="000000"/>
                <w:kern w:val="0"/>
                <w:sz w:val="20"/>
                <w:szCs w:val="20"/>
                <w:lang w:bidi="ar"/>
              </w:rPr>
            </w:pPr>
          </w:p>
        </w:tc>
        <w:tc>
          <w:tcPr>
            <w:tcW w:w="763" w:type="dxa"/>
            <w:tcBorders>
              <w:top w:val="single" w:color="000000" w:sz="4" w:space="0"/>
              <w:left w:val="single" w:color="000000" w:sz="4" w:space="0"/>
              <w:bottom w:val="single" w:color="000000" w:sz="4" w:space="0"/>
              <w:right w:val="single" w:color="000000" w:sz="4" w:space="0"/>
            </w:tcBorders>
            <w:vAlign w:val="center"/>
          </w:tcPr>
          <w:p w14:paraId="3ABDACEB">
            <w:pPr>
              <w:widowControl/>
              <w:jc w:val="center"/>
              <w:textAlignment w:val="center"/>
              <w:rPr>
                <w:rFonts w:hint="eastAsia" w:ascii="宋体" w:hAnsi="宋体" w:cs="宋体"/>
                <w:color w:val="000000"/>
                <w:kern w:val="0"/>
                <w:sz w:val="20"/>
                <w:szCs w:val="20"/>
                <w:lang w:bidi="ar"/>
              </w:rPr>
            </w:pPr>
          </w:p>
        </w:tc>
        <w:tc>
          <w:tcPr>
            <w:tcW w:w="741" w:type="dxa"/>
            <w:tcBorders>
              <w:top w:val="single" w:color="000000" w:sz="4" w:space="0"/>
              <w:left w:val="single" w:color="000000" w:sz="4" w:space="0"/>
              <w:bottom w:val="single" w:color="000000" w:sz="4" w:space="0"/>
              <w:right w:val="single" w:color="000000" w:sz="4" w:space="0"/>
            </w:tcBorders>
            <w:vAlign w:val="center"/>
          </w:tcPr>
          <w:p w14:paraId="6A138C91">
            <w:pPr>
              <w:widowControl/>
              <w:jc w:val="center"/>
              <w:textAlignment w:val="center"/>
              <w:rPr>
                <w:rFonts w:hint="eastAsia" w:ascii="宋体" w:hAnsi="宋体" w:cs="宋体"/>
                <w:color w:val="000000"/>
                <w:kern w:val="0"/>
                <w:sz w:val="20"/>
                <w:szCs w:val="20"/>
                <w:lang w:bidi="ar"/>
              </w:rPr>
            </w:pPr>
          </w:p>
        </w:tc>
      </w:tr>
      <w:tr w14:paraId="09D1C094">
        <w:tblPrEx>
          <w:tblCellMar>
            <w:top w:w="0" w:type="dxa"/>
            <w:left w:w="108" w:type="dxa"/>
            <w:bottom w:w="0" w:type="dxa"/>
            <w:right w:w="108" w:type="dxa"/>
          </w:tblCellMar>
        </w:tblPrEx>
        <w:trPr>
          <w:trHeight w:val="20" w:hRule="atLeast"/>
          <w:jc w:val="center"/>
        </w:trPr>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8A8DD6">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89</w:t>
            </w:r>
          </w:p>
        </w:tc>
        <w:tc>
          <w:tcPr>
            <w:tcW w:w="2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9CDC72">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汞对照液</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F6838D">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每盒可测多份样品</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080301">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瓶</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DD4C58">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4E49C2">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20</w:t>
            </w:r>
          </w:p>
        </w:tc>
        <w:tc>
          <w:tcPr>
            <w:tcW w:w="992" w:type="dxa"/>
            <w:tcBorders>
              <w:top w:val="single" w:color="000000" w:sz="4" w:space="0"/>
              <w:left w:val="single" w:color="000000" w:sz="4" w:space="0"/>
              <w:bottom w:val="single" w:color="000000" w:sz="4" w:space="0"/>
              <w:right w:val="single" w:color="000000" w:sz="4" w:space="0"/>
            </w:tcBorders>
            <w:vAlign w:val="center"/>
          </w:tcPr>
          <w:p w14:paraId="26853786">
            <w:pPr>
              <w:widowControl/>
              <w:jc w:val="center"/>
              <w:textAlignment w:val="center"/>
              <w:rPr>
                <w:rFonts w:hint="eastAsia" w:ascii="宋体" w:hAnsi="宋体" w:cs="宋体"/>
                <w:color w:val="000000"/>
                <w:kern w:val="0"/>
                <w:sz w:val="20"/>
                <w:szCs w:val="20"/>
                <w:lang w:bidi="ar"/>
              </w:rPr>
            </w:pPr>
          </w:p>
        </w:tc>
        <w:tc>
          <w:tcPr>
            <w:tcW w:w="1239" w:type="dxa"/>
            <w:tcBorders>
              <w:top w:val="single" w:color="000000" w:sz="4" w:space="0"/>
              <w:left w:val="single" w:color="000000" w:sz="4" w:space="0"/>
              <w:bottom w:val="single" w:color="000000" w:sz="4" w:space="0"/>
              <w:right w:val="single" w:color="000000" w:sz="4" w:space="0"/>
            </w:tcBorders>
            <w:vAlign w:val="center"/>
          </w:tcPr>
          <w:p w14:paraId="18436E9D">
            <w:pPr>
              <w:widowControl/>
              <w:jc w:val="center"/>
              <w:textAlignment w:val="center"/>
              <w:rPr>
                <w:rFonts w:hint="eastAsia" w:ascii="宋体" w:hAnsi="宋体" w:cs="宋体"/>
                <w:color w:val="000000"/>
                <w:kern w:val="0"/>
                <w:sz w:val="20"/>
                <w:szCs w:val="20"/>
                <w:lang w:bidi="ar"/>
              </w:rPr>
            </w:pPr>
          </w:p>
        </w:tc>
        <w:tc>
          <w:tcPr>
            <w:tcW w:w="900" w:type="dxa"/>
            <w:tcBorders>
              <w:top w:val="single" w:color="000000" w:sz="4" w:space="0"/>
              <w:left w:val="single" w:color="000000" w:sz="4" w:space="0"/>
              <w:bottom w:val="single" w:color="000000" w:sz="4" w:space="0"/>
              <w:right w:val="single" w:color="000000" w:sz="4" w:space="0"/>
            </w:tcBorders>
            <w:vAlign w:val="center"/>
          </w:tcPr>
          <w:p w14:paraId="27AAA4FA">
            <w:pPr>
              <w:widowControl/>
              <w:jc w:val="center"/>
              <w:textAlignment w:val="center"/>
              <w:rPr>
                <w:rFonts w:hint="eastAsia" w:ascii="宋体" w:hAnsi="宋体" w:cs="宋体"/>
                <w:color w:val="000000"/>
                <w:kern w:val="0"/>
                <w:sz w:val="20"/>
                <w:szCs w:val="20"/>
                <w:lang w:bidi="ar"/>
              </w:rPr>
            </w:pPr>
          </w:p>
        </w:tc>
        <w:tc>
          <w:tcPr>
            <w:tcW w:w="832" w:type="dxa"/>
            <w:tcBorders>
              <w:top w:val="single" w:color="000000" w:sz="4" w:space="0"/>
              <w:left w:val="single" w:color="000000" w:sz="4" w:space="0"/>
              <w:bottom w:val="single" w:color="000000" w:sz="4" w:space="0"/>
              <w:right w:val="single" w:color="000000" w:sz="4" w:space="0"/>
            </w:tcBorders>
            <w:vAlign w:val="center"/>
          </w:tcPr>
          <w:p w14:paraId="16B635BF">
            <w:pPr>
              <w:widowControl/>
              <w:jc w:val="center"/>
              <w:textAlignment w:val="center"/>
              <w:rPr>
                <w:rFonts w:hint="eastAsia" w:ascii="宋体" w:hAnsi="宋体" w:cs="宋体"/>
                <w:color w:val="000000"/>
                <w:kern w:val="0"/>
                <w:sz w:val="20"/>
                <w:szCs w:val="20"/>
                <w:lang w:bidi="ar"/>
              </w:rPr>
            </w:pPr>
          </w:p>
        </w:tc>
        <w:tc>
          <w:tcPr>
            <w:tcW w:w="1143" w:type="dxa"/>
            <w:tcBorders>
              <w:top w:val="single" w:color="000000" w:sz="4" w:space="0"/>
              <w:left w:val="single" w:color="000000" w:sz="4" w:space="0"/>
              <w:bottom w:val="single" w:color="000000" w:sz="4" w:space="0"/>
              <w:right w:val="single" w:color="000000" w:sz="4" w:space="0"/>
            </w:tcBorders>
            <w:vAlign w:val="center"/>
          </w:tcPr>
          <w:p w14:paraId="43C110E8">
            <w:pPr>
              <w:widowControl/>
              <w:jc w:val="center"/>
              <w:textAlignment w:val="center"/>
              <w:rPr>
                <w:rFonts w:hint="eastAsia" w:ascii="宋体" w:hAnsi="宋体" w:cs="宋体"/>
                <w:color w:val="000000"/>
                <w:kern w:val="0"/>
                <w:sz w:val="20"/>
                <w:szCs w:val="20"/>
                <w:lang w:bidi="ar"/>
              </w:rPr>
            </w:pPr>
          </w:p>
        </w:tc>
        <w:tc>
          <w:tcPr>
            <w:tcW w:w="763" w:type="dxa"/>
            <w:tcBorders>
              <w:top w:val="single" w:color="000000" w:sz="4" w:space="0"/>
              <w:left w:val="single" w:color="000000" w:sz="4" w:space="0"/>
              <w:bottom w:val="single" w:color="000000" w:sz="4" w:space="0"/>
              <w:right w:val="single" w:color="000000" w:sz="4" w:space="0"/>
            </w:tcBorders>
            <w:vAlign w:val="center"/>
          </w:tcPr>
          <w:p w14:paraId="651C8385">
            <w:pPr>
              <w:widowControl/>
              <w:jc w:val="center"/>
              <w:textAlignment w:val="center"/>
              <w:rPr>
                <w:rFonts w:hint="eastAsia" w:ascii="宋体" w:hAnsi="宋体" w:cs="宋体"/>
                <w:color w:val="000000"/>
                <w:kern w:val="0"/>
                <w:sz w:val="20"/>
                <w:szCs w:val="20"/>
                <w:lang w:bidi="ar"/>
              </w:rPr>
            </w:pPr>
          </w:p>
        </w:tc>
        <w:tc>
          <w:tcPr>
            <w:tcW w:w="741" w:type="dxa"/>
            <w:tcBorders>
              <w:top w:val="single" w:color="000000" w:sz="4" w:space="0"/>
              <w:left w:val="single" w:color="000000" w:sz="4" w:space="0"/>
              <w:bottom w:val="single" w:color="000000" w:sz="4" w:space="0"/>
              <w:right w:val="single" w:color="000000" w:sz="4" w:space="0"/>
            </w:tcBorders>
            <w:vAlign w:val="center"/>
          </w:tcPr>
          <w:p w14:paraId="4542C805">
            <w:pPr>
              <w:widowControl/>
              <w:jc w:val="center"/>
              <w:textAlignment w:val="center"/>
              <w:rPr>
                <w:rFonts w:hint="eastAsia" w:ascii="宋体" w:hAnsi="宋体" w:cs="宋体"/>
                <w:color w:val="000000"/>
                <w:kern w:val="0"/>
                <w:sz w:val="20"/>
                <w:szCs w:val="20"/>
                <w:lang w:bidi="ar"/>
              </w:rPr>
            </w:pPr>
          </w:p>
        </w:tc>
      </w:tr>
      <w:tr w14:paraId="27A454BB">
        <w:tblPrEx>
          <w:tblCellMar>
            <w:top w:w="0" w:type="dxa"/>
            <w:left w:w="108" w:type="dxa"/>
            <w:bottom w:w="0" w:type="dxa"/>
            <w:right w:w="108" w:type="dxa"/>
          </w:tblCellMar>
        </w:tblPrEx>
        <w:trPr>
          <w:trHeight w:val="20" w:hRule="atLeast"/>
          <w:jc w:val="center"/>
        </w:trPr>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9FFC5F">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90</w:t>
            </w:r>
          </w:p>
        </w:tc>
        <w:tc>
          <w:tcPr>
            <w:tcW w:w="2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B9CA9F">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敌鼠钠盐对照液</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D1AD96">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1mg/ml×2ml</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6E1392">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瓶</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972EE5">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568D1E">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120</w:t>
            </w:r>
          </w:p>
        </w:tc>
        <w:tc>
          <w:tcPr>
            <w:tcW w:w="992" w:type="dxa"/>
            <w:tcBorders>
              <w:top w:val="single" w:color="000000" w:sz="4" w:space="0"/>
              <w:left w:val="single" w:color="000000" w:sz="4" w:space="0"/>
              <w:bottom w:val="single" w:color="000000" w:sz="4" w:space="0"/>
              <w:right w:val="single" w:color="000000" w:sz="4" w:space="0"/>
            </w:tcBorders>
            <w:vAlign w:val="center"/>
          </w:tcPr>
          <w:p w14:paraId="3F31C06F">
            <w:pPr>
              <w:widowControl/>
              <w:jc w:val="center"/>
              <w:textAlignment w:val="center"/>
              <w:rPr>
                <w:rFonts w:hint="eastAsia" w:ascii="宋体" w:hAnsi="宋体" w:cs="宋体"/>
                <w:color w:val="000000"/>
                <w:kern w:val="0"/>
                <w:sz w:val="20"/>
                <w:szCs w:val="20"/>
                <w:lang w:bidi="ar"/>
              </w:rPr>
            </w:pPr>
          </w:p>
        </w:tc>
        <w:tc>
          <w:tcPr>
            <w:tcW w:w="1239" w:type="dxa"/>
            <w:tcBorders>
              <w:top w:val="single" w:color="000000" w:sz="4" w:space="0"/>
              <w:left w:val="single" w:color="000000" w:sz="4" w:space="0"/>
              <w:bottom w:val="single" w:color="000000" w:sz="4" w:space="0"/>
              <w:right w:val="single" w:color="000000" w:sz="4" w:space="0"/>
            </w:tcBorders>
            <w:vAlign w:val="center"/>
          </w:tcPr>
          <w:p w14:paraId="588160A9">
            <w:pPr>
              <w:widowControl/>
              <w:jc w:val="center"/>
              <w:textAlignment w:val="center"/>
              <w:rPr>
                <w:rFonts w:hint="eastAsia" w:ascii="宋体" w:hAnsi="宋体" w:cs="宋体"/>
                <w:color w:val="000000"/>
                <w:kern w:val="0"/>
                <w:sz w:val="20"/>
                <w:szCs w:val="20"/>
                <w:lang w:bidi="ar"/>
              </w:rPr>
            </w:pPr>
          </w:p>
        </w:tc>
        <w:tc>
          <w:tcPr>
            <w:tcW w:w="900" w:type="dxa"/>
            <w:tcBorders>
              <w:top w:val="single" w:color="000000" w:sz="4" w:space="0"/>
              <w:left w:val="single" w:color="000000" w:sz="4" w:space="0"/>
              <w:bottom w:val="single" w:color="000000" w:sz="4" w:space="0"/>
              <w:right w:val="single" w:color="000000" w:sz="4" w:space="0"/>
            </w:tcBorders>
            <w:vAlign w:val="center"/>
          </w:tcPr>
          <w:p w14:paraId="2955111B">
            <w:pPr>
              <w:widowControl/>
              <w:jc w:val="center"/>
              <w:textAlignment w:val="center"/>
              <w:rPr>
                <w:rFonts w:hint="eastAsia" w:ascii="宋体" w:hAnsi="宋体" w:cs="宋体"/>
                <w:color w:val="000000"/>
                <w:kern w:val="0"/>
                <w:sz w:val="20"/>
                <w:szCs w:val="20"/>
                <w:lang w:bidi="ar"/>
              </w:rPr>
            </w:pPr>
          </w:p>
        </w:tc>
        <w:tc>
          <w:tcPr>
            <w:tcW w:w="832" w:type="dxa"/>
            <w:tcBorders>
              <w:top w:val="single" w:color="000000" w:sz="4" w:space="0"/>
              <w:left w:val="single" w:color="000000" w:sz="4" w:space="0"/>
              <w:bottom w:val="single" w:color="000000" w:sz="4" w:space="0"/>
              <w:right w:val="single" w:color="000000" w:sz="4" w:space="0"/>
            </w:tcBorders>
            <w:vAlign w:val="center"/>
          </w:tcPr>
          <w:p w14:paraId="56DAD073">
            <w:pPr>
              <w:widowControl/>
              <w:jc w:val="center"/>
              <w:textAlignment w:val="center"/>
              <w:rPr>
                <w:rFonts w:hint="eastAsia" w:ascii="宋体" w:hAnsi="宋体" w:cs="宋体"/>
                <w:color w:val="000000"/>
                <w:kern w:val="0"/>
                <w:sz w:val="20"/>
                <w:szCs w:val="20"/>
                <w:lang w:bidi="ar"/>
              </w:rPr>
            </w:pPr>
          </w:p>
        </w:tc>
        <w:tc>
          <w:tcPr>
            <w:tcW w:w="1143" w:type="dxa"/>
            <w:tcBorders>
              <w:top w:val="single" w:color="000000" w:sz="4" w:space="0"/>
              <w:left w:val="single" w:color="000000" w:sz="4" w:space="0"/>
              <w:bottom w:val="single" w:color="000000" w:sz="4" w:space="0"/>
              <w:right w:val="single" w:color="000000" w:sz="4" w:space="0"/>
            </w:tcBorders>
            <w:vAlign w:val="center"/>
          </w:tcPr>
          <w:p w14:paraId="734C09AA">
            <w:pPr>
              <w:widowControl/>
              <w:jc w:val="center"/>
              <w:textAlignment w:val="center"/>
              <w:rPr>
                <w:rFonts w:hint="eastAsia" w:ascii="宋体" w:hAnsi="宋体" w:cs="宋体"/>
                <w:color w:val="000000"/>
                <w:kern w:val="0"/>
                <w:sz w:val="20"/>
                <w:szCs w:val="20"/>
                <w:lang w:bidi="ar"/>
              </w:rPr>
            </w:pPr>
          </w:p>
        </w:tc>
        <w:tc>
          <w:tcPr>
            <w:tcW w:w="763" w:type="dxa"/>
            <w:tcBorders>
              <w:top w:val="single" w:color="000000" w:sz="4" w:space="0"/>
              <w:left w:val="single" w:color="000000" w:sz="4" w:space="0"/>
              <w:bottom w:val="single" w:color="000000" w:sz="4" w:space="0"/>
              <w:right w:val="single" w:color="000000" w:sz="4" w:space="0"/>
            </w:tcBorders>
            <w:vAlign w:val="center"/>
          </w:tcPr>
          <w:p w14:paraId="3765EAE1">
            <w:pPr>
              <w:widowControl/>
              <w:jc w:val="center"/>
              <w:textAlignment w:val="center"/>
              <w:rPr>
                <w:rFonts w:hint="eastAsia" w:ascii="宋体" w:hAnsi="宋体" w:cs="宋体"/>
                <w:color w:val="000000"/>
                <w:kern w:val="0"/>
                <w:sz w:val="20"/>
                <w:szCs w:val="20"/>
                <w:lang w:bidi="ar"/>
              </w:rPr>
            </w:pPr>
          </w:p>
        </w:tc>
        <w:tc>
          <w:tcPr>
            <w:tcW w:w="741" w:type="dxa"/>
            <w:tcBorders>
              <w:top w:val="single" w:color="000000" w:sz="4" w:space="0"/>
              <w:left w:val="single" w:color="000000" w:sz="4" w:space="0"/>
              <w:bottom w:val="single" w:color="000000" w:sz="4" w:space="0"/>
              <w:right w:val="single" w:color="000000" w:sz="4" w:space="0"/>
            </w:tcBorders>
            <w:vAlign w:val="center"/>
          </w:tcPr>
          <w:p w14:paraId="17A426CA">
            <w:pPr>
              <w:widowControl/>
              <w:jc w:val="center"/>
              <w:textAlignment w:val="center"/>
              <w:rPr>
                <w:rFonts w:hint="eastAsia" w:ascii="宋体" w:hAnsi="宋体" w:cs="宋体"/>
                <w:color w:val="000000"/>
                <w:kern w:val="0"/>
                <w:sz w:val="20"/>
                <w:szCs w:val="20"/>
                <w:lang w:bidi="ar"/>
              </w:rPr>
            </w:pPr>
          </w:p>
        </w:tc>
      </w:tr>
      <w:tr w14:paraId="5C6337AF">
        <w:tblPrEx>
          <w:tblCellMar>
            <w:top w:w="0" w:type="dxa"/>
            <w:left w:w="108" w:type="dxa"/>
            <w:bottom w:w="0" w:type="dxa"/>
            <w:right w:w="108" w:type="dxa"/>
          </w:tblCellMar>
        </w:tblPrEx>
        <w:trPr>
          <w:trHeight w:val="20" w:hRule="atLeast"/>
          <w:jc w:val="center"/>
        </w:trPr>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16E067">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91</w:t>
            </w:r>
          </w:p>
        </w:tc>
        <w:tc>
          <w:tcPr>
            <w:tcW w:w="2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7690E9">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氟乙酰胺对照液（乙醇溶液）</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235BF6">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每盒可测多份样品</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EAFF74">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瓶</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371F20">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579901">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100</w:t>
            </w:r>
          </w:p>
        </w:tc>
        <w:tc>
          <w:tcPr>
            <w:tcW w:w="992" w:type="dxa"/>
            <w:tcBorders>
              <w:top w:val="single" w:color="000000" w:sz="4" w:space="0"/>
              <w:left w:val="single" w:color="000000" w:sz="4" w:space="0"/>
              <w:bottom w:val="single" w:color="000000" w:sz="4" w:space="0"/>
              <w:right w:val="single" w:color="000000" w:sz="4" w:space="0"/>
            </w:tcBorders>
            <w:vAlign w:val="center"/>
          </w:tcPr>
          <w:p w14:paraId="63DEA104">
            <w:pPr>
              <w:widowControl/>
              <w:jc w:val="center"/>
              <w:textAlignment w:val="center"/>
              <w:rPr>
                <w:rFonts w:hint="eastAsia" w:ascii="宋体" w:hAnsi="宋体" w:cs="宋体"/>
                <w:color w:val="000000"/>
                <w:kern w:val="0"/>
                <w:sz w:val="20"/>
                <w:szCs w:val="20"/>
                <w:lang w:bidi="ar"/>
              </w:rPr>
            </w:pPr>
          </w:p>
        </w:tc>
        <w:tc>
          <w:tcPr>
            <w:tcW w:w="1239" w:type="dxa"/>
            <w:tcBorders>
              <w:top w:val="single" w:color="000000" w:sz="4" w:space="0"/>
              <w:left w:val="single" w:color="000000" w:sz="4" w:space="0"/>
              <w:bottom w:val="single" w:color="000000" w:sz="4" w:space="0"/>
              <w:right w:val="single" w:color="000000" w:sz="4" w:space="0"/>
            </w:tcBorders>
            <w:vAlign w:val="center"/>
          </w:tcPr>
          <w:p w14:paraId="4BF7DC9C">
            <w:pPr>
              <w:widowControl/>
              <w:jc w:val="center"/>
              <w:textAlignment w:val="center"/>
              <w:rPr>
                <w:rFonts w:hint="eastAsia" w:ascii="宋体" w:hAnsi="宋体" w:cs="宋体"/>
                <w:color w:val="000000"/>
                <w:kern w:val="0"/>
                <w:sz w:val="20"/>
                <w:szCs w:val="20"/>
                <w:lang w:bidi="ar"/>
              </w:rPr>
            </w:pPr>
          </w:p>
        </w:tc>
        <w:tc>
          <w:tcPr>
            <w:tcW w:w="900" w:type="dxa"/>
            <w:tcBorders>
              <w:top w:val="single" w:color="000000" w:sz="4" w:space="0"/>
              <w:left w:val="single" w:color="000000" w:sz="4" w:space="0"/>
              <w:bottom w:val="single" w:color="000000" w:sz="4" w:space="0"/>
              <w:right w:val="single" w:color="000000" w:sz="4" w:space="0"/>
            </w:tcBorders>
            <w:vAlign w:val="center"/>
          </w:tcPr>
          <w:p w14:paraId="3976331A">
            <w:pPr>
              <w:widowControl/>
              <w:jc w:val="center"/>
              <w:textAlignment w:val="center"/>
              <w:rPr>
                <w:rFonts w:hint="eastAsia" w:ascii="宋体" w:hAnsi="宋体" w:cs="宋体"/>
                <w:color w:val="000000"/>
                <w:kern w:val="0"/>
                <w:sz w:val="20"/>
                <w:szCs w:val="20"/>
                <w:lang w:bidi="ar"/>
              </w:rPr>
            </w:pPr>
          </w:p>
        </w:tc>
        <w:tc>
          <w:tcPr>
            <w:tcW w:w="832" w:type="dxa"/>
            <w:tcBorders>
              <w:top w:val="single" w:color="000000" w:sz="4" w:space="0"/>
              <w:left w:val="single" w:color="000000" w:sz="4" w:space="0"/>
              <w:bottom w:val="single" w:color="000000" w:sz="4" w:space="0"/>
              <w:right w:val="single" w:color="000000" w:sz="4" w:space="0"/>
            </w:tcBorders>
            <w:vAlign w:val="center"/>
          </w:tcPr>
          <w:p w14:paraId="46843545">
            <w:pPr>
              <w:widowControl/>
              <w:jc w:val="center"/>
              <w:textAlignment w:val="center"/>
              <w:rPr>
                <w:rFonts w:hint="eastAsia" w:ascii="宋体" w:hAnsi="宋体" w:cs="宋体"/>
                <w:color w:val="000000"/>
                <w:kern w:val="0"/>
                <w:sz w:val="20"/>
                <w:szCs w:val="20"/>
                <w:lang w:bidi="ar"/>
              </w:rPr>
            </w:pPr>
          </w:p>
        </w:tc>
        <w:tc>
          <w:tcPr>
            <w:tcW w:w="1143" w:type="dxa"/>
            <w:tcBorders>
              <w:top w:val="single" w:color="000000" w:sz="4" w:space="0"/>
              <w:left w:val="single" w:color="000000" w:sz="4" w:space="0"/>
              <w:bottom w:val="single" w:color="000000" w:sz="4" w:space="0"/>
              <w:right w:val="single" w:color="000000" w:sz="4" w:space="0"/>
            </w:tcBorders>
            <w:vAlign w:val="center"/>
          </w:tcPr>
          <w:p w14:paraId="160B58BF">
            <w:pPr>
              <w:widowControl/>
              <w:jc w:val="center"/>
              <w:textAlignment w:val="center"/>
              <w:rPr>
                <w:rFonts w:hint="eastAsia" w:ascii="宋体" w:hAnsi="宋体" w:cs="宋体"/>
                <w:color w:val="000000"/>
                <w:kern w:val="0"/>
                <w:sz w:val="20"/>
                <w:szCs w:val="20"/>
                <w:lang w:bidi="ar"/>
              </w:rPr>
            </w:pPr>
          </w:p>
        </w:tc>
        <w:tc>
          <w:tcPr>
            <w:tcW w:w="763" w:type="dxa"/>
            <w:tcBorders>
              <w:top w:val="single" w:color="000000" w:sz="4" w:space="0"/>
              <w:left w:val="single" w:color="000000" w:sz="4" w:space="0"/>
              <w:bottom w:val="single" w:color="000000" w:sz="4" w:space="0"/>
              <w:right w:val="single" w:color="000000" w:sz="4" w:space="0"/>
            </w:tcBorders>
            <w:vAlign w:val="center"/>
          </w:tcPr>
          <w:p w14:paraId="62061EAE">
            <w:pPr>
              <w:widowControl/>
              <w:jc w:val="center"/>
              <w:textAlignment w:val="center"/>
              <w:rPr>
                <w:rFonts w:hint="eastAsia" w:ascii="宋体" w:hAnsi="宋体" w:cs="宋体"/>
                <w:color w:val="000000"/>
                <w:kern w:val="0"/>
                <w:sz w:val="20"/>
                <w:szCs w:val="20"/>
                <w:lang w:bidi="ar"/>
              </w:rPr>
            </w:pPr>
          </w:p>
        </w:tc>
        <w:tc>
          <w:tcPr>
            <w:tcW w:w="741" w:type="dxa"/>
            <w:tcBorders>
              <w:top w:val="single" w:color="000000" w:sz="4" w:space="0"/>
              <w:left w:val="single" w:color="000000" w:sz="4" w:space="0"/>
              <w:bottom w:val="single" w:color="000000" w:sz="4" w:space="0"/>
              <w:right w:val="single" w:color="000000" w:sz="4" w:space="0"/>
            </w:tcBorders>
            <w:vAlign w:val="center"/>
          </w:tcPr>
          <w:p w14:paraId="5CAD9847">
            <w:pPr>
              <w:widowControl/>
              <w:jc w:val="center"/>
              <w:textAlignment w:val="center"/>
              <w:rPr>
                <w:rFonts w:hint="eastAsia" w:ascii="宋体" w:hAnsi="宋体" w:cs="宋体"/>
                <w:color w:val="000000"/>
                <w:kern w:val="0"/>
                <w:sz w:val="20"/>
                <w:szCs w:val="20"/>
                <w:lang w:bidi="ar"/>
              </w:rPr>
            </w:pPr>
          </w:p>
        </w:tc>
      </w:tr>
      <w:tr w14:paraId="6F57E6E3">
        <w:tblPrEx>
          <w:tblCellMar>
            <w:top w:w="0" w:type="dxa"/>
            <w:left w:w="108" w:type="dxa"/>
            <w:bottom w:w="0" w:type="dxa"/>
            <w:right w:w="108" w:type="dxa"/>
          </w:tblCellMar>
        </w:tblPrEx>
        <w:trPr>
          <w:trHeight w:val="20" w:hRule="atLeast"/>
          <w:jc w:val="center"/>
        </w:trPr>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BDD5B5">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92</w:t>
            </w:r>
          </w:p>
        </w:tc>
        <w:tc>
          <w:tcPr>
            <w:tcW w:w="2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E0D505">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亚硝酸盐速测管</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A799C7">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每盒可测多份样品</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1069AF">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盒（或包）</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AC725B">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934021">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100</w:t>
            </w:r>
          </w:p>
        </w:tc>
        <w:tc>
          <w:tcPr>
            <w:tcW w:w="992" w:type="dxa"/>
            <w:tcBorders>
              <w:top w:val="single" w:color="000000" w:sz="4" w:space="0"/>
              <w:left w:val="single" w:color="000000" w:sz="4" w:space="0"/>
              <w:bottom w:val="single" w:color="000000" w:sz="4" w:space="0"/>
              <w:right w:val="single" w:color="000000" w:sz="4" w:space="0"/>
            </w:tcBorders>
            <w:vAlign w:val="center"/>
          </w:tcPr>
          <w:p w14:paraId="7879846B">
            <w:pPr>
              <w:widowControl/>
              <w:jc w:val="center"/>
              <w:textAlignment w:val="center"/>
              <w:rPr>
                <w:rFonts w:hint="eastAsia" w:ascii="宋体" w:hAnsi="宋体" w:cs="宋体"/>
                <w:color w:val="000000"/>
                <w:kern w:val="0"/>
                <w:sz w:val="20"/>
                <w:szCs w:val="20"/>
                <w:lang w:bidi="ar"/>
              </w:rPr>
            </w:pPr>
          </w:p>
        </w:tc>
        <w:tc>
          <w:tcPr>
            <w:tcW w:w="1239" w:type="dxa"/>
            <w:tcBorders>
              <w:top w:val="single" w:color="000000" w:sz="4" w:space="0"/>
              <w:left w:val="single" w:color="000000" w:sz="4" w:space="0"/>
              <w:bottom w:val="single" w:color="000000" w:sz="4" w:space="0"/>
              <w:right w:val="single" w:color="000000" w:sz="4" w:space="0"/>
            </w:tcBorders>
            <w:vAlign w:val="center"/>
          </w:tcPr>
          <w:p w14:paraId="78A12F23">
            <w:pPr>
              <w:widowControl/>
              <w:jc w:val="center"/>
              <w:textAlignment w:val="center"/>
              <w:rPr>
                <w:rFonts w:hint="eastAsia" w:ascii="宋体" w:hAnsi="宋体" w:cs="宋体"/>
                <w:color w:val="000000"/>
                <w:kern w:val="0"/>
                <w:sz w:val="20"/>
                <w:szCs w:val="20"/>
                <w:lang w:bidi="ar"/>
              </w:rPr>
            </w:pPr>
          </w:p>
        </w:tc>
        <w:tc>
          <w:tcPr>
            <w:tcW w:w="900" w:type="dxa"/>
            <w:tcBorders>
              <w:top w:val="single" w:color="000000" w:sz="4" w:space="0"/>
              <w:left w:val="single" w:color="000000" w:sz="4" w:space="0"/>
              <w:bottom w:val="single" w:color="000000" w:sz="4" w:space="0"/>
              <w:right w:val="single" w:color="000000" w:sz="4" w:space="0"/>
            </w:tcBorders>
            <w:vAlign w:val="center"/>
          </w:tcPr>
          <w:p w14:paraId="6BA0F0CF">
            <w:pPr>
              <w:widowControl/>
              <w:jc w:val="center"/>
              <w:textAlignment w:val="center"/>
              <w:rPr>
                <w:rFonts w:hint="eastAsia" w:ascii="宋体" w:hAnsi="宋体" w:cs="宋体"/>
                <w:color w:val="000000"/>
                <w:kern w:val="0"/>
                <w:sz w:val="20"/>
                <w:szCs w:val="20"/>
                <w:lang w:bidi="ar"/>
              </w:rPr>
            </w:pPr>
          </w:p>
        </w:tc>
        <w:tc>
          <w:tcPr>
            <w:tcW w:w="832" w:type="dxa"/>
            <w:tcBorders>
              <w:top w:val="single" w:color="000000" w:sz="4" w:space="0"/>
              <w:left w:val="single" w:color="000000" w:sz="4" w:space="0"/>
              <w:bottom w:val="single" w:color="000000" w:sz="4" w:space="0"/>
              <w:right w:val="single" w:color="000000" w:sz="4" w:space="0"/>
            </w:tcBorders>
            <w:vAlign w:val="center"/>
          </w:tcPr>
          <w:p w14:paraId="3DA59930">
            <w:pPr>
              <w:widowControl/>
              <w:jc w:val="center"/>
              <w:textAlignment w:val="center"/>
              <w:rPr>
                <w:rFonts w:hint="eastAsia" w:ascii="宋体" w:hAnsi="宋体" w:cs="宋体"/>
                <w:color w:val="000000"/>
                <w:kern w:val="0"/>
                <w:sz w:val="20"/>
                <w:szCs w:val="20"/>
                <w:lang w:bidi="ar"/>
              </w:rPr>
            </w:pPr>
          </w:p>
        </w:tc>
        <w:tc>
          <w:tcPr>
            <w:tcW w:w="1143" w:type="dxa"/>
            <w:tcBorders>
              <w:top w:val="single" w:color="000000" w:sz="4" w:space="0"/>
              <w:left w:val="single" w:color="000000" w:sz="4" w:space="0"/>
              <w:bottom w:val="single" w:color="000000" w:sz="4" w:space="0"/>
              <w:right w:val="single" w:color="000000" w:sz="4" w:space="0"/>
            </w:tcBorders>
            <w:vAlign w:val="center"/>
          </w:tcPr>
          <w:p w14:paraId="5D4C43EB">
            <w:pPr>
              <w:widowControl/>
              <w:jc w:val="center"/>
              <w:textAlignment w:val="center"/>
              <w:rPr>
                <w:rFonts w:hint="eastAsia" w:ascii="宋体" w:hAnsi="宋体" w:cs="宋体"/>
                <w:color w:val="000000"/>
                <w:kern w:val="0"/>
                <w:sz w:val="20"/>
                <w:szCs w:val="20"/>
                <w:lang w:bidi="ar"/>
              </w:rPr>
            </w:pPr>
          </w:p>
        </w:tc>
        <w:tc>
          <w:tcPr>
            <w:tcW w:w="763" w:type="dxa"/>
            <w:tcBorders>
              <w:top w:val="single" w:color="000000" w:sz="4" w:space="0"/>
              <w:left w:val="single" w:color="000000" w:sz="4" w:space="0"/>
              <w:bottom w:val="single" w:color="000000" w:sz="4" w:space="0"/>
              <w:right w:val="single" w:color="000000" w:sz="4" w:space="0"/>
            </w:tcBorders>
            <w:vAlign w:val="center"/>
          </w:tcPr>
          <w:p w14:paraId="111417D7">
            <w:pPr>
              <w:widowControl/>
              <w:jc w:val="center"/>
              <w:textAlignment w:val="center"/>
              <w:rPr>
                <w:rFonts w:hint="eastAsia" w:ascii="宋体" w:hAnsi="宋体" w:cs="宋体"/>
                <w:color w:val="000000"/>
                <w:kern w:val="0"/>
                <w:sz w:val="20"/>
                <w:szCs w:val="20"/>
                <w:lang w:bidi="ar"/>
              </w:rPr>
            </w:pPr>
          </w:p>
        </w:tc>
        <w:tc>
          <w:tcPr>
            <w:tcW w:w="741" w:type="dxa"/>
            <w:tcBorders>
              <w:top w:val="single" w:color="000000" w:sz="4" w:space="0"/>
              <w:left w:val="single" w:color="000000" w:sz="4" w:space="0"/>
              <w:bottom w:val="single" w:color="000000" w:sz="4" w:space="0"/>
              <w:right w:val="single" w:color="000000" w:sz="4" w:space="0"/>
            </w:tcBorders>
            <w:vAlign w:val="center"/>
          </w:tcPr>
          <w:p w14:paraId="69148C69">
            <w:pPr>
              <w:widowControl/>
              <w:jc w:val="center"/>
              <w:textAlignment w:val="center"/>
              <w:rPr>
                <w:rFonts w:hint="eastAsia" w:ascii="宋体" w:hAnsi="宋体" w:cs="宋体"/>
                <w:color w:val="000000"/>
                <w:kern w:val="0"/>
                <w:sz w:val="20"/>
                <w:szCs w:val="20"/>
                <w:lang w:bidi="ar"/>
              </w:rPr>
            </w:pPr>
          </w:p>
        </w:tc>
      </w:tr>
      <w:tr w14:paraId="0D548A2D">
        <w:tblPrEx>
          <w:tblCellMar>
            <w:top w:w="0" w:type="dxa"/>
            <w:left w:w="108" w:type="dxa"/>
            <w:bottom w:w="0" w:type="dxa"/>
            <w:right w:w="108" w:type="dxa"/>
          </w:tblCellMar>
        </w:tblPrEx>
        <w:trPr>
          <w:trHeight w:val="20" w:hRule="atLeast"/>
          <w:jc w:val="center"/>
        </w:trPr>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5E6A66">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93</w:t>
            </w:r>
          </w:p>
        </w:tc>
        <w:tc>
          <w:tcPr>
            <w:tcW w:w="2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E987E0">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呕吐毒素快速检测卡</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61B96A">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10次测定用量</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1D07C4">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盒（或包）</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09543B">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CF18ED">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400</w:t>
            </w:r>
          </w:p>
        </w:tc>
        <w:tc>
          <w:tcPr>
            <w:tcW w:w="992" w:type="dxa"/>
            <w:tcBorders>
              <w:top w:val="single" w:color="000000" w:sz="4" w:space="0"/>
              <w:left w:val="single" w:color="000000" w:sz="4" w:space="0"/>
              <w:bottom w:val="single" w:color="000000" w:sz="4" w:space="0"/>
              <w:right w:val="single" w:color="000000" w:sz="4" w:space="0"/>
            </w:tcBorders>
            <w:vAlign w:val="center"/>
          </w:tcPr>
          <w:p w14:paraId="34EA8E52">
            <w:pPr>
              <w:widowControl/>
              <w:jc w:val="center"/>
              <w:textAlignment w:val="center"/>
              <w:rPr>
                <w:rFonts w:hint="eastAsia" w:ascii="宋体" w:hAnsi="宋体" w:cs="宋体"/>
                <w:color w:val="000000"/>
                <w:kern w:val="0"/>
                <w:sz w:val="20"/>
                <w:szCs w:val="20"/>
                <w:lang w:bidi="ar"/>
              </w:rPr>
            </w:pPr>
          </w:p>
        </w:tc>
        <w:tc>
          <w:tcPr>
            <w:tcW w:w="1239" w:type="dxa"/>
            <w:tcBorders>
              <w:top w:val="single" w:color="000000" w:sz="4" w:space="0"/>
              <w:left w:val="single" w:color="000000" w:sz="4" w:space="0"/>
              <w:bottom w:val="single" w:color="000000" w:sz="4" w:space="0"/>
              <w:right w:val="single" w:color="000000" w:sz="4" w:space="0"/>
            </w:tcBorders>
            <w:vAlign w:val="center"/>
          </w:tcPr>
          <w:p w14:paraId="2C480EBD">
            <w:pPr>
              <w:widowControl/>
              <w:jc w:val="center"/>
              <w:textAlignment w:val="center"/>
              <w:rPr>
                <w:rFonts w:hint="eastAsia" w:ascii="宋体" w:hAnsi="宋体" w:cs="宋体"/>
                <w:color w:val="000000"/>
                <w:kern w:val="0"/>
                <w:sz w:val="20"/>
                <w:szCs w:val="20"/>
                <w:lang w:bidi="ar"/>
              </w:rPr>
            </w:pPr>
          </w:p>
        </w:tc>
        <w:tc>
          <w:tcPr>
            <w:tcW w:w="900" w:type="dxa"/>
            <w:tcBorders>
              <w:top w:val="single" w:color="000000" w:sz="4" w:space="0"/>
              <w:left w:val="single" w:color="000000" w:sz="4" w:space="0"/>
              <w:bottom w:val="single" w:color="000000" w:sz="4" w:space="0"/>
              <w:right w:val="single" w:color="000000" w:sz="4" w:space="0"/>
            </w:tcBorders>
            <w:vAlign w:val="center"/>
          </w:tcPr>
          <w:p w14:paraId="77C7D664">
            <w:pPr>
              <w:widowControl/>
              <w:jc w:val="center"/>
              <w:textAlignment w:val="center"/>
              <w:rPr>
                <w:rFonts w:hint="eastAsia" w:ascii="宋体" w:hAnsi="宋体" w:cs="宋体"/>
                <w:color w:val="000000"/>
                <w:kern w:val="0"/>
                <w:sz w:val="20"/>
                <w:szCs w:val="20"/>
                <w:lang w:bidi="ar"/>
              </w:rPr>
            </w:pPr>
          </w:p>
        </w:tc>
        <w:tc>
          <w:tcPr>
            <w:tcW w:w="832" w:type="dxa"/>
            <w:tcBorders>
              <w:top w:val="single" w:color="000000" w:sz="4" w:space="0"/>
              <w:left w:val="single" w:color="000000" w:sz="4" w:space="0"/>
              <w:bottom w:val="single" w:color="000000" w:sz="4" w:space="0"/>
              <w:right w:val="single" w:color="000000" w:sz="4" w:space="0"/>
            </w:tcBorders>
            <w:vAlign w:val="center"/>
          </w:tcPr>
          <w:p w14:paraId="0E3688B8">
            <w:pPr>
              <w:widowControl/>
              <w:jc w:val="center"/>
              <w:textAlignment w:val="center"/>
              <w:rPr>
                <w:rFonts w:hint="eastAsia" w:ascii="宋体" w:hAnsi="宋体" w:cs="宋体"/>
                <w:color w:val="000000"/>
                <w:kern w:val="0"/>
                <w:sz w:val="20"/>
                <w:szCs w:val="20"/>
                <w:lang w:bidi="ar"/>
              </w:rPr>
            </w:pPr>
          </w:p>
        </w:tc>
        <w:tc>
          <w:tcPr>
            <w:tcW w:w="1143" w:type="dxa"/>
            <w:tcBorders>
              <w:top w:val="single" w:color="000000" w:sz="4" w:space="0"/>
              <w:left w:val="single" w:color="000000" w:sz="4" w:space="0"/>
              <w:bottom w:val="single" w:color="000000" w:sz="4" w:space="0"/>
              <w:right w:val="single" w:color="000000" w:sz="4" w:space="0"/>
            </w:tcBorders>
            <w:vAlign w:val="center"/>
          </w:tcPr>
          <w:p w14:paraId="40D69337">
            <w:pPr>
              <w:widowControl/>
              <w:jc w:val="center"/>
              <w:textAlignment w:val="center"/>
              <w:rPr>
                <w:rFonts w:hint="eastAsia" w:ascii="宋体" w:hAnsi="宋体" w:cs="宋体"/>
                <w:color w:val="000000"/>
                <w:kern w:val="0"/>
                <w:sz w:val="20"/>
                <w:szCs w:val="20"/>
                <w:lang w:bidi="ar"/>
              </w:rPr>
            </w:pPr>
          </w:p>
        </w:tc>
        <w:tc>
          <w:tcPr>
            <w:tcW w:w="763" w:type="dxa"/>
            <w:tcBorders>
              <w:top w:val="single" w:color="000000" w:sz="4" w:space="0"/>
              <w:left w:val="single" w:color="000000" w:sz="4" w:space="0"/>
              <w:bottom w:val="single" w:color="000000" w:sz="4" w:space="0"/>
              <w:right w:val="single" w:color="000000" w:sz="4" w:space="0"/>
            </w:tcBorders>
            <w:vAlign w:val="center"/>
          </w:tcPr>
          <w:p w14:paraId="04177BE4">
            <w:pPr>
              <w:widowControl/>
              <w:jc w:val="center"/>
              <w:textAlignment w:val="center"/>
              <w:rPr>
                <w:rFonts w:hint="eastAsia" w:ascii="宋体" w:hAnsi="宋体" w:cs="宋体"/>
                <w:color w:val="000000"/>
                <w:kern w:val="0"/>
                <w:sz w:val="20"/>
                <w:szCs w:val="20"/>
                <w:lang w:bidi="ar"/>
              </w:rPr>
            </w:pPr>
          </w:p>
        </w:tc>
        <w:tc>
          <w:tcPr>
            <w:tcW w:w="741" w:type="dxa"/>
            <w:tcBorders>
              <w:top w:val="single" w:color="000000" w:sz="4" w:space="0"/>
              <w:left w:val="single" w:color="000000" w:sz="4" w:space="0"/>
              <w:bottom w:val="single" w:color="000000" w:sz="4" w:space="0"/>
              <w:right w:val="single" w:color="000000" w:sz="4" w:space="0"/>
            </w:tcBorders>
            <w:vAlign w:val="center"/>
          </w:tcPr>
          <w:p w14:paraId="7E0A8EA0">
            <w:pPr>
              <w:widowControl/>
              <w:jc w:val="center"/>
              <w:textAlignment w:val="center"/>
              <w:rPr>
                <w:rFonts w:hint="eastAsia" w:ascii="宋体" w:hAnsi="宋体" w:cs="宋体"/>
                <w:color w:val="000000"/>
                <w:kern w:val="0"/>
                <w:sz w:val="20"/>
                <w:szCs w:val="20"/>
                <w:lang w:bidi="ar"/>
              </w:rPr>
            </w:pPr>
          </w:p>
        </w:tc>
      </w:tr>
      <w:tr w14:paraId="75187DE5">
        <w:tblPrEx>
          <w:tblCellMar>
            <w:top w:w="0" w:type="dxa"/>
            <w:left w:w="108" w:type="dxa"/>
            <w:bottom w:w="0" w:type="dxa"/>
            <w:right w:w="108" w:type="dxa"/>
          </w:tblCellMar>
        </w:tblPrEx>
        <w:trPr>
          <w:trHeight w:val="20" w:hRule="atLeast"/>
          <w:jc w:val="center"/>
        </w:trPr>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B3E35E">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94</w:t>
            </w:r>
          </w:p>
        </w:tc>
        <w:tc>
          <w:tcPr>
            <w:tcW w:w="2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A64D04">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黄曲霉毒素B1速测卡</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D16558">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5次测定用量</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B3BA68">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盒（或包）</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BD1116">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9F899A">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140</w:t>
            </w:r>
          </w:p>
        </w:tc>
        <w:tc>
          <w:tcPr>
            <w:tcW w:w="992" w:type="dxa"/>
            <w:tcBorders>
              <w:top w:val="single" w:color="000000" w:sz="4" w:space="0"/>
              <w:left w:val="single" w:color="000000" w:sz="4" w:space="0"/>
              <w:bottom w:val="single" w:color="000000" w:sz="4" w:space="0"/>
              <w:right w:val="single" w:color="000000" w:sz="4" w:space="0"/>
            </w:tcBorders>
            <w:vAlign w:val="center"/>
          </w:tcPr>
          <w:p w14:paraId="5D7B0EB0">
            <w:pPr>
              <w:widowControl/>
              <w:jc w:val="center"/>
              <w:textAlignment w:val="center"/>
              <w:rPr>
                <w:rFonts w:hint="eastAsia" w:ascii="宋体" w:hAnsi="宋体" w:cs="宋体"/>
                <w:color w:val="000000"/>
                <w:kern w:val="0"/>
                <w:sz w:val="20"/>
                <w:szCs w:val="20"/>
                <w:lang w:bidi="ar"/>
              </w:rPr>
            </w:pPr>
          </w:p>
        </w:tc>
        <w:tc>
          <w:tcPr>
            <w:tcW w:w="1239" w:type="dxa"/>
            <w:tcBorders>
              <w:top w:val="single" w:color="000000" w:sz="4" w:space="0"/>
              <w:left w:val="single" w:color="000000" w:sz="4" w:space="0"/>
              <w:bottom w:val="single" w:color="000000" w:sz="4" w:space="0"/>
              <w:right w:val="single" w:color="000000" w:sz="4" w:space="0"/>
            </w:tcBorders>
            <w:vAlign w:val="center"/>
          </w:tcPr>
          <w:p w14:paraId="6A06F5A1">
            <w:pPr>
              <w:widowControl/>
              <w:jc w:val="center"/>
              <w:textAlignment w:val="center"/>
              <w:rPr>
                <w:rFonts w:hint="eastAsia" w:ascii="宋体" w:hAnsi="宋体" w:cs="宋体"/>
                <w:color w:val="000000"/>
                <w:kern w:val="0"/>
                <w:sz w:val="20"/>
                <w:szCs w:val="20"/>
                <w:lang w:bidi="ar"/>
              </w:rPr>
            </w:pPr>
          </w:p>
        </w:tc>
        <w:tc>
          <w:tcPr>
            <w:tcW w:w="900" w:type="dxa"/>
            <w:tcBorders>
              <w:top w:val="single" w:color="000000" w:sz="4" w:space="0"/>
              <w:left w:val="single" w:color="000000" w:sz="4" w:space="0"/>
              <w:bottom w:val="single" w:color="000000" w:sz="4" w:space="0"/>
              <w:right w:val="single" w:color="000000" w:sz="4" w:space="0"/>
            </w:tcBorders>
            <w:vAlign w:val="center"/>
          </w:tcPr>
          <w:p w14:paraId="657A1235">
            <w:pPr>
              <w:widowControl/>
              <w:jc w:val="center"/>
              <w:textAlignment w:val="center"/>
              <w:rPr>
                <w:rFonts w:hint="eastAsia" w:ascii="宋体" w:hAnsi="宋体" w:cs="宋体"/>
                <w:color w:val="000000"/>
                <w:kern w:val="0"/>
                <w:sz w:val="20"/>
                <w:szCs w:val="20"/>
                <w:lang w:bidi="ar"/>
              </w:rPr>
            </w:pPr>
          </w:p>
        </w:tc>
        <w:tc>
          <w:tcPr>
            <w:tcW w:w="832" w:type="dxa"/>
            <w:tcBorders>
              <w:top w:val="single" w:color="000000" w:sz="4" w:space="0"/>
              <w:left w:val="single" w:color="000000" w:sz="4" w:space="0"/>
              <w:bottom w:val="single" w:color="000000" w:sz="4" w:space="0"/>
              <w:right w:val="single" w:color="000000" w:sz="4" w:space="0"/>
            </w:tcBorders>
            <w:vAlign w:val="center"/>
          </w:tcPr>
          <w:p w14:paraId="780D54C4">
            <w:pPr>
              <w:widowControl/>
              <w:jc w:val="center"/>
              <w:textAlignment w:val="center"/>
              <w:rPr>
                <w:rFonts w:hint="eastAsia" w:ascii="宋体" w:hAnsi="宋体" w:cs="宋体"/>
                <w:color w:val="000000"/>
                <w:kern w:val="0"/>
                <w:sz w:val="20"/>
                <w:szCs w:val="20"/>
                <w:lang w:bidi="ar"/>
              </w:rPr>
            </w:pPr>
          </w:p>
        </w:tc>
        <w:tc>
          <w:tcPr>
            <w:tcW w:w="1143" w:type="dxa"/>
            <w:tcBorders>
              <w:top w:val="single" w:color="000000" w:sz="4" w:space="0"/>
              <w:left w:val="single" w:color="000000" w:sz="4" w:space="0"/>
              <w:bottom w:val="single" w:color="000000" w:sz="4" w:space="0"/>
              <w:right w:val="single" w:color="000000" w:sz="4" w:space="0"/>
            </w:tcBorders>
            <w:vAlign w:val="center"/>
          </w:tcPr>
          <w:p w14:paraId="45E90EB4">
            <w:pPr>
              <w:widowControl/>
              <w:jc w:val="center"/>
              <w:textAlignment w:val="center"/>
              <w:rPr>
                <w:rFonts w:hint="eastAsia" w:ascii="宋体" w:hAnsi="宋体" w:cs="宋体"/>
                <w:color w:val="000000"/>
                <w:kern w:val="0"/>
                <w:sz w:val="20"/>
                <w:szCs w:val="20"/>
                <w:lang w:bidi="ar"/>
              </w:rPr>
            </w:pPr>
          </w:p>
        </w:tc>
        <w:tc>
          <w:tcPr>
            <w:tcW w:w="763" w:type="dxa"/>
            <w:tcBorders>
              <w:top w:val="single" w:color="000000" w:sz="4" w:space="0"/>
              <w:left w:val="single" w:color="000000" w:sz="4" w:space="0"/>
              <w:bottom w:val="single" w:color="000000" w:sz="4" w:space="0"/>
              <w:right w:val="single" w:color="000000" w:sz="4" w:space="0"/>
            </w:tcBorders>
            <w:vAlign w:val="center"/>
          </w:tcPr>
          <w:p w14:paraId="3755CD6B">
            <w:pPr>
              <w:widowControl/>
              <w:jc w:val="center"/>
              <w:textAlignment w:val="center"/>
              <w:rPr>
                <w:rFonts w:hint="eastAsia" w:ascii="宋体" w:hAnsi="宋体" w:cs="宋体"/>
                <w:color w:val="000000"/>
                <w:kern w:val="0"/>
                <w:sz w:val="20"/>
                <w:szCs w:val="20"/>
                <w:lang w:bidi="ar"/>
              </w:rPr>
            </w:pPr>
          </w:p>
        </w:tc>
        <w:tc>
          <w:tcPr>
            <w:tcW w:w="741" w:type="dxa"/>
            <w:tcBorders>
              <w:top w:val="single" w:color="000000" w:sz="4" w:space="0"/>
              <w:left w:val="single" w:color="000000" w:sz="4" w:space="0"/>
              <w:bottom w:val="single" w:color="000000" w:sz="4" w:space="0"/>
              <w:right w:val="single" w:color="000000" w:sz="4" w:space="0"/>
            </w:tcBorders>
            <w:vAlign w:val="center"/>
          </w:tcPr>
          <w:p w14:paraId="560CE841">
            <w:pPr>
              <w:widowControl/>
              <w:jc w:val="center"/>
              <w:textAlignment w:val="center"/>
              <w:rPr>
                <w:rFonts w:hint="eastAsia" w:ascii="宋体" w:hAnsi="宋体" w:cs="宋体"/>
                <w:color w:val="000000"/>
                <w:kern w:val="0"/>
                <w:sz w:val="20"/>
                <w:szCs w:val="20"/>
                <w:lang w:bidi="ar"/>
              </w:rPr>
            </w:pPr>
          </w:p>
        </w:tc>
      </w:tr>
      <w:tr w14:paraId="78E5A4A9">
        <w:tblPrEx>
          <w:tblCellMar>
            <w:top w:w="0" w:type="dxa"/>
            <w:left w:w="108" w:type="dxa"/>
            <w:bottom w:w="0" w:type="dxa"/>
            <w:right w:w="108" w:type="dxa"/>
          </w:tblCellMar>
        </w:tblPrEx>
        <w:trPr>
          <w:trHeight w:val="20" w:hRule="atLeast"/>
          <w:jc w:val="center"/>
        </w:trPr>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424AA4">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95</w:t>
            </w:r>
          </w:p>
        </w:tc>
        <w:tc>
          <w:tcPr>
            <w:tcW w:w="2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7495BE">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硼砂硼酸速测包</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E97654">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每盒可测多份样品</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B2987C">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盒（或包）</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AA26F4">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BC312E">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100</w:t>
            </w:r>
          </w:p>
        </w:tc>
        <w:tc>
          <w:tcPr>
            <w:tcW w:w="992" w:type="dxa"/>
            <w:tcBorders>
              <w:top w:val="single" w:color="000000" w:sz="4" w:space="0"/>
              <w:left w:val="single" w:color="000000" w:sz="4" w:space="0"/>
              <w:bottom w:val="single" w:color="000000" w:sz="4" w:space="0"/>
              <w:right w:val="single" w:color="000000" w:sz="4" w:space="0"/>
            </w:tcBorders>
            <w:vAlign w:val="center"/>
          </w:tcPr>
          <w:p w14:paraId="3A711321">
            <w:pPr>
              <w:widowControl/>
              <w:jc w:val="center"/>
              <w:textAlignment w:val="center"/>
              <w:rPr>
                <w:rFonts w:hint="eastAsia" w:ascii="宋体" w:hAnsi="宋体" w:cs="宋体"/>
                <w:color w:val="000000"/>
                <w:kern w:val="0"/>
                <w:sz w:val="20"/>
                <w:szCs w:val="20"/>
                <w:lang w:bidi="ar"/>
              </w:rPr>
            </w:pPr>
          </w:p>
        </w:tc>
        <w:tc>
          <w:tcPr>
            <w:tcW w:w="1239" w:type="dxa"/>
            <w:tcBorders>
              <w:top w:val="single" w:color="000000" w:sz="4" w:space="0"/>
              <w:left w:val="single" w:color="000000" w:sz="4" w:space="0"/>
              <w:bottom w:val="single" w:color="000000" w:sz="4" w:space="0"/>
              <w:right w:val="single" w:color="000000" w:sz="4" w:space="0"/>
            </w:tcBorders>
            <w:vAlign w:val="center"/>
          </w:tcPr>
          <w:p w14:paraId="55D6B3DD">
            <w:pPr>
              <w:widowControl/>
              <w:jc w:val="center"/>
              <w:textAlignment w:val="center"/>
              <w:rPr>
                <w:rFonts w:hint="eastAsia" w:ascii="宋体" w:hAnsi="宋体" w:cs="宋体"/>
                <w:color w:val="000000"/>
                <w:kern w:val="0"/>
                <w:sz w:val="20"/>
                <w:szCs w:val="20"/>
                <w:lang w:bidi="ar"/>
              </w:rPr>
            </w:pPr>
          </w:p>
        </w:tc>
        <w:tc>
          <w:tcPr>
            <w:tcW w:w="900" w:type="dxa"/>
            <w:tcBorders>
              <w:top w:val="single" w:color="000000" w:sz="4" w:space="0"/>
              <w:left w:val="single" w:color="000000" w:sz="4" w:space="0"/>
              <w:bottom w:val="single" w:color="000000" w:sz="4" w:space="0"/>
              <w:right w:val="single" w:color="000000" w:sz="4" w:space="0"/>
            </w:tcBorders>
            <w:vAlign w:val="center"/>
          </w:tcPr>
          <w:p w14:paraId="7631F87A">
            <w:pPr>
              <w:widowControl/>
              <w:jc w:val="center"/>
              <w:textAlignment w:val="center"/>
              <w:rPr>
                <w:rFonts w:hint="eastAsia" w:ascii="宋体" w:hAnsi="宋体" w:cs="宋体"/>
                <w:color w:val="000000"/>
                <w:kern w:val="0"/>
                <w:sz w:val="20"/>
                <w:szCs w:val="20"/>
                <w:lang w:bidi="ar"/>
              </w:rPr>
            </w:pPr>
          </w:p>
        </w:tc>
        <w:tc>
          <w:tcPr>
            <w:tcW w:w="832" w:type="dxa"/>
            <w:tcBorders>
              <w:top w:val="single" w:color="000000" w:sz="4" w:space="0"/>
              <w:left w:val="single" w:color="000000" w:sz="4" w:space="0"/>
              <w:bottom w:val="single" w:color="000000" w:sz="4" w:space="0"/>
              <w:right w:val="single" w:color="000000" w:sz="4" w:space="0"/>
            </w:tcBorders>
            <w:vAlign w:val="center"/>
          </w:tcPr>
          <w:p w14:paraId="3E7640D2">
            <w:pPr>
              <w:widowControl/>
              <w:jc w:val="center"/>
              <w:textAlignment w:val="center"/>
              <w:rPr>
                <w:rFonts w:hint="eastAsia" w:ascii="宋体" w:hAnsi="宋体" w:cs="宋体"/>
                <w:color w:val="000000"/>
                <w:kern w:val="0"/>
                <w:sz w:val="20"/>
                <w:szCs w:val="20"/>
                <w:lang w:bidi="ar"/>
              </w:rPr>
            </w:pPr>
          </w:p>
        </w:tc>
        <w:tc>
          <w:tcPr>
            <w:tcW w:w="1143" w:type="dxa"/>
            <w:tcBorders>
              <w:top w:val="single" w:color="000000" w:sz="4" w:space="0"/>
              <w:left w:val="single" w:color="000000" w:sz="4" w:space="0"/>
              <w:bottom w:val="single" w:color="000000" w:sz="4" w:space="0"/>
              <w:right w:val="single" w:color="000000" w:sz="4" w:space="0"/>
            </w:tcBorders>
            <w:vAlign w:val="center"/>
          </w:tcPr>
          <w:p w14:paraId="1EB6F426">
            <w:pPr>
              <w:widowControl/>
              <w:jc w:val="center"/>
              <w:textAlignment w:val="center"/>
              <w:rPr>
                <w:rFonts w:hint="eastAsia" w:ascii="宋体" w:hAnsi="宋体" w:cs="宋体"/>
                <w:color w:val="000000"/>
                <w:kern w:val="0"/>
                <w:sz w:val="20"/>
                <w:szCs w:val="20"/>
                <w:lang w:bidi="ar"/>
              </w:rPr>
            </w:pPr>
          </w:p>
        </w:tc>
        <w:tc>
          <w:tcPr>
            <w:tcW w:w="763" w:type="dxa"/>
            <w:tcBorders>
              <w:top w:val="single" w:color="000000" w:sz="4" w:space="0"/>
              <w:left w:val="single" w:color="000000" w:sz="4" w:space="0"/>
              <w:bottom w:val="single" w:color="000000" w:sz="4" w:space="0"/>
              <w:right w:val="single" w:color="000000" w:sz="4" w:space="0"/>
            </w:tcBorders>
            <w:vAlign w:val="center"/>
          </w:tcPr>
          <w:p w14:paraId="4D87A044">
            <w:pPr>
              <w:widowControl/>
              <w:jc w:val="center"/>
              <w:textAlignment w:val="center"/>
              <w:rPr>
                <w:rFonts w:hint="eastAsia" w:ascii="宋体" w:hAnsi="宋体" w:cs="宋体"/>
                <w:color w:val="000000"/>
                <w:kern w:val="0"/>
                <w:sz w:val="20"/>
                <w:szCs w:val="20"/>
                <w:lang w:bidi="ar"/>
              </w:rPr>
            </w:pPr>
          </w:p>
        </w:tc>
        <w:tc>
          <w:tcPr>
            <w:tcW w:w="741" w:type="dxa"/>
            <w:tcBorders>
              <w:top w:val="single" w:color="000000" w:sz="4" w:space="0"/>
              <w:left w:val="single" w:color="000000" w:sz="4" w:space="0"/>
              <w:bottom w:val="single" w:color="000000" w:sz="4" w:space="0"/>
              <w:right w:val="single" w:color="000000" w:sz="4" w:space="0"/>
            </w:tcBorders>
            <w:vAlign w:val="center"/>
          </w:tcPr>
          <w:p w14:paraId="75DC62FB">
            <w:pPr>
              <w:widowControl/>
              <w:jc w:val="center"/>
              <w:textAlignment w:val="center"/>
              <w:rPr>
                <w:rFonts w:hint="eastAsia" w:ascii="宋体" w:hAnsi="宋体" w:cs="宋体"/>
                <w:color w:val="000000"/>
                <w:kern w:val="0"/>
                <w:sz w:val="20"/>
                <w:szCs w:val="20"/>
                <w:lang w:bidi="ar"/>
              </w:rPr>
            </w:pPr>
          </w:p>
        </w:tc>
      </w:tr>
      <w:tr w14:paraId="1973B33E">
        <w:tblPrEx>
          <w:tblCellMar>
            <w:top w:w="0" w:type="dxa"/>
            <w:left w:w="108" w:type="dxa"/>
            <w:bottom w:w="0" w:type="dxa"/>
            <w:right w:w="108" w:type="dxa"/>
          </w:tblCellMar>
        </w:tblPrEx>
        <w:trPr>
          <w:trHeight w:val="20" w:hRule="atLeast"/>
          <w:jc w:val="center"/>
        </w:trPr>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281D69">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96</w:t>
            </w:r>
          </w:p>
        </w:tc>
        <w:tc>
          <w:tcPr>
            <w:tcW w:w="2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32AB7B">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注水肉检测试纸</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DFBDCA">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每盒可测多份样品</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5EA8C3">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盒（或包）</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DC4444">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46F310">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100</w:t>
            </w:r>
          </w:p>
        </w:tc>
        <w:tc>
          <w:tcPr>
            <w:tcW w:w="992" w:type="dxa"/>
            <w:tcBorders>
              <w:top w:val="single" w:color="000000" w:sz="4" w:space="0"/>
              <w:left w:val="single" w:color="000000" w:sz="4" w:space="0"/>
              <w:bottom w:val="single" w:color="000000" w:sz="4" w:space="0"/>
              <w:right w:val="single" w:color="000000" w:sz="4" w:space="0"/>
            </w:tcBorders>
            <w:vAlign w:val="center"/>
          </w:tcPr>
          <w:p w14:paraId="5D1497D7">
            <w:pPr>
              <w:widowControl/>
              <w:jc w:val="center"/>
              <w:textAlignment w:val="center"/>
              <w:rPr>
                <w:rFonts w:hint="eastAsia" w:ascii="宋体" w:hAnsi="宋体" w:cs="宋体"/>
                <w:color w:val="000000"/>
                <w:kern w:val="0"/>
                <w:sz w:val="20"/>
                <w:szCs w:val="20"/>
                <w:lang w:bidi="ar"/>
              </w:rPr>
            </w:pPr>
          </w:p>
        </w:tc>
        <w:tc>
          <w:tcPr>
            <w:tcW w:w="1239" w:type="dxa"/>
            <w:tcBorders>
              <w:top w:val="single" w:color="000000" w:sz="4" w:space="0"/>
              <w:left w:val="single" w:color="000000" w:sz="4" w:space="0"/>
              <w:bottom w:val="single" w:color="000000" w:sz="4" w:space="0"/>
              <w:right w:val="single" w:color="000000" w:sz="4" w:space="0"/>
            </w:tcBorders>
            <w:vAlign w:val="center"/>
          </w:tcPr>
          <w:p w14:paraId="540E49C4">
            <w:pPr>
              <w:widowControl/>
              <w:jc w:val="center"/>
              <w:textAlignment w:val="center"/>
              <w:rPr>
                <w:rFonts w:hint="eastAsia" w:ascii="宋体" w:hAnsi="宋体" w:cs="宋体"/>
                <w:color w:val="000000"/>
                <w:kern w:val="0"/>
                <w:sz w:val="20"/>
                <w:szCs w:val="20"/>
                <w:lang w:bidi="ar"/>
              </w:rPr>
            </w:pPr>
          </w:p>
        </w:tc>
        <w:tc>
          <w:tcPr>
            <w:tcW w:w="900" w:type="dxa"/>
            <w:tcBorders>
              <w:top w:val="single" w:color="000000" w:sz="4" w:space="0"/>
              <w:left w:val="single" w:color="000000" w:sz="4" w:space="0"/>
              <w:bottom w:val="single" w:color="000000" w:sz="4" w:space="0"/>
              <w:right w:val="single" w:color="000000" w:sz="4" w:space="0"/>
            </w:tcBorders>
            <w:vAlign w:val="center"/>
          </w:tcPr>
          <w:p w14:paraId="4C772879">
            <w:pPr>
              <w:widowControl/>
              <w:jc w:val="center"/>
              <w:textAlignment w:val="center"/>
              <w:rPr>
                <w:rFonts w:hint="eastAsia" w:ascii="宋体" w:hAnsi="宋体" w:cs="宋体"/>
                <w:color w:val="000000"/>
                <w:kern w:val="0"/>
                <w:sz w:val="20"/>
                <w:szCs w:val="20"/>
                <w:lang w:bidi="ar"/>
              </w:rPr>
            </w:pPr>
          </w:p>
        </w:tc>
        <w:tc>
          <w:tcPr>
            <w:tcW w:w="832" w:type="dxa"/>
            <w:tcBorders>
              <w:top w:val="single" w:color="000000" w:sz="4" w:space="0"/>
              <w:left w:val="single" w:color="000000" w:sz="4" w:space="0"/>
              <w:bottom w:val="single" w:color="000000" w:sz="4" w:space="0"/>
              <w:right w:val="single" w:color="000000" w:sz="4" w:space="0"/>
            </w:tcBorders>
            <w:vAlign w:val="center"/>
          </w:tcPr>
          <w:p w14:paraId="594BAD4A">
            <w:pPr>
              <w:widowControl/>
              <w:jc w:val="center"/>
              <w:textAlignment w:val="center"/>
              <w:rPr>
                <w:rFonts w:hint="eastAsia" w:ascii="宋体" w:hAnsi="宋体" w:cs="宋体"/>
                <w:color w:val="000000"/>
                <w:kern w:val="0"/>
                <w:sz w:val="20"/>
                <w:szCs w:val="20"/>
                <w:lang w:bidi="ar"/>
              </w:rPr>
            </w:pPr>
          </w:p>
        </w:tc>
        <w:tc>
          <w:tcPr>
            <w:tcW w:w="1143" w:type="dxa"/>
            <w:tcBorders>
              <w:top w:val="single" w:color="000000" w:sz="4" w:space="0"/>
              <w:left w:val="single" w:color="000000" w:sz="4" w:space="0"/>
              <w:bottom w:val="single" w:color="000000" w:sz="4" w:space="0"/>
              <w:right w:val="single" w:color="000000" w:sz="4" w:space="0"/>
            </w:tcBorders>
            <w:vAlign w:val="center"/>
          </w:tcPr>
          <w:p w14:paraId="26ABA56C">
            <w:pPr>
              <w:widowControl/>
              <w:jc w:val="center"/>
              <w:textAlignment w:val="center"/>
              <w:rPr>
                <w:rFonts w:hint="eastAsia" w:ascii="宋体" w:hAnsi="宋体" w:cs="宋体"/>
                <w:color w:val="000000"/>
                <w:kern w:val="0"/>
                <w:sz w:val="20"/>
                <w:szCs w:val="20"/>
                <w:lang w:bidi="ar"/>
              </w:rPr>
            </w:pPr>
          </w:p>
        </w:tc>
        <w:tc>
          <w:tcPr>
            <w:tcW w:w="763" w:type="dxa"/>
            <w:tcBorders>
              <w:top w:val="single" w:color="000000" w:sz="4" w:space="0"/>
              <w:left w:val="single" w:color="000000" w:sz="4" w:space="0"/>
              <w:bottom w:val="single" w:color="000000" w:sz="4" w:space="0"/>
              <w:right w:val="single" w:color="000000" w:sz="4" w:space="0"/>
            </w:tcBorders>
            <w:vAlign w:val="center"/>
          </w:tcPr>
          <w:p w14:paraId="72E1C5EE">
            <w:pPr>
              <w:widowControl/>
              <w:jc w:val="center"/>
              <w:textAlignment w:val="center"/>
              <w:rPr>
                <w:rFonts w:hint="eastAsia" w:ascii="宋体" w:hAnsi="宋体" w:cs="宋体"/>
                <w:color w:val="000000"/>
                <w:kern w:val="0"/>
                <w:sz w:val="20"/>
                <w:szCs w:val="20"/>
                <w:lang w:bidi="ar"/>
              </w:rPr>
            </w:pPr>
          </w:p>
        </w:tc>
        <w:tc>
          <w:tcPr>
            <w:tcW w:w="741" w:type="dxa"/>
            <w:tcBorders>
              <w:top w:val="single" w:color="000000" w:sz="4" w:space="0"/>
              <w:left w:val="single" w:color="000000" w:sz="4" w:space="0"/>
              <w:bottom w:val="single" w:color="000000" w:sz="4" w:space="0"/>
              <w:right w:val="single" w:color="000000" w:sz="4" w:space="0"/>
            </w:tcBorders>
            <w:vAlign w:val="center"/>
          </w:tcPr>
          <w:p w14:paraId="7CDB8ED7">
            <w:pPr>
              <w:widowControl/>
              <w:jc w:val="center"/>
              <w:textAlignment w:val="center"/>
              <w:rPr>
                <w:rFonts w:hint="eastAsia" w:ascii="宋体" w:hAnsi="宋体" w:cs="宋体"/>
                <w:color w:val="000000"/>
                <w:kern w:val="0"/>
                <w:sz w:val="20"/>
                <w:szCs w:val="20"/>
                <w:lang w:bidi="ar"/>
              </w:rPr>
            </w:pPr>
          </w:p>
        </w:tc>
      </w:tr>
      <w:tr w14:paraId="2EB8F28B">
        <w:tblPrEx>
          <w:tblCellMar>
            <w:top w:w="0" w:type="dxa"/>
            <w:left w:w="108" w:type="dxa"/>
            <w:bottom w:w="0" w:type="dxa"/>
            <w:right w:w="108" w:type="dxa"/>
          </w:tblCellMar>
        </w:tblPrEx>
        <w:trPr>
          <w:trHeight w:val="20" w:hRule="atLeast"/>
          <w:jc w:val="center"/>
        </w:trPr>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D0CDDC">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97</w:t>
            </w:r>
          </w:p>
        </w:tc>
        <w:tc>
          <w:tcPr>
            <w:tcW w:w="2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F56415">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甲醛定性速测管</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0FC62C">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20份样品用量</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29F536">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盒（或包）</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609006">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917F09">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50</w:t>
            </w:r>
          </w:p>
        </w:tc>
        <w:tc>
          <w:tcPr>
            <w:tcW w:w="992" w:type="dxa"/>
            <w:tcBorders>
              <w:top w:val="single" w:color="000000" w:sz="4" w:space="0"/>
              <w:left w:val="single" w:color="000000" w:sz="4" w:space="0"/>
              <w:bottom w:val="single" w:color="000000" w:sz="4" w:space="0"/>
              <w:right w:val="single" w:color="000000" w:sz="4" w:space="0"/>
            </w:tcBorders>
            <w:vAlign w:val="center"/>
          </w:tcPr>
          <w:p w14:paraId="22221812">
            <w:pPr>
              <w:widowControl/>
              <w:jc w:val="center"/>
              <w:textAlignment w:val="center"/>
              <w:rPr>
                <w:rFonts w:hint="eastAsia" w:ascii="宋体" w:hAnsi="宋体" w:cs="宋体"/>
                <w:color w:val="000000"/>
                <w:kern w:val="0"/>
                <w:sz w:val="20"/>
                <w:szCs w:val="20"/>
                <w:lang w:bidi="ar"/>
              </w:rPr>
            </w:pPr>
          </w:p>
        </w:tc>
        <w:tc>
          <w:tcPr>
            <w:tcW w:w="1239" w:type="dxa"/>
            <w:tcBorders>
              <w:top w:val="single" w:color="000000" w:sz="4" w:space="0"/>
              <w:left w:val="single" w:color="000000" w:sz="4" w:space="0"/>
              <w:bottom w:val="single" w:color="000000" w:sz="4" w:space="0"/>
              <w:right w:val="single" w:color="000000" w:sz="4" w:space="0"/>
            </w:tcBorders>
            <w:vAlign w:val="center"/>
          </w:tcPr>
          <w:p w14:paraId="364E99EF">
            <w:pPr>
              <w:widowControl/>
              <w:jc w:val="center"/>
              <w:textAlignment w:val="center"/>
              <w:rPr>
                <w:rFonts w:hint="eastAsia" w:ascii="宋体" w:hAnsi="宋体" w:cs="宋体"/>
                <w:color w:val="000000"/>
                <w:kern w:val="0"/>
                <w:sz w:val="20"/>
                <w:szCs w:val="20"/>
                <w:lang w:bidi="ar"/>
              </w:rPr>
            </w:pPr>
          </w:p>
        </w:tc>
        <w:tc>
          <w:tcPr>
            <w:tcW w:w="900" w:type="dxa"/>
            <w:tcBorders>
              <w:top w:val="single" w:color="000000" w:sz="4" w:space="0"/>
              <w:left w:val="single" w:color="000000" w:sz="4" w:space="0"/>
              <w:bottom w:val="single" w:color="000000" w:sz="4" w:space="0"/>
              <w:right w:val="single" w:color="000000" w:sz="4" w:space="0"/>
            </w:tcBorders>
            <w:vAlign w:val="center"/>
          </w:tcPr>
          <w:p w14:paraId="08392137">
            <w:pPr>
              <w:widowControl/>
              <w:jc w:val="center"/>
              <w:textAlignment w:val="center"/>
              <w:rPr>
                <w:rFonts w:hint="eastAsia" w:ascii="宋体" w:hAnsi="宋体" w:cs="宋体"/>
                <w:color w:val="000000"/>
                <w:kern w:val="0"/>
                <w:sz w:val="20"/>
                <w:szCs w:val="20"/>
                <w:lang w:bidi="ar"/>
              </w:rPr>
            </w:pPr>
          </w:p>
        </w:tc>
        <w:tc>
          <w:tcPr>
            <w:tcW w:w="832" w:type="dxa"/>
            <w:tcBorders>
              <w:top w:val="single" w:color="000000" w:sz="4" w:space="0"/>
              <w:left w:val="single" w:color="000000" w:sz="4" w:space="0"/>
              <w:bottom w:val="single" w:color="000000" w:sz="4" w:space="0"/>
              <w:right w:val="single" w:color="000000" w:sz="4" w:space="0"/>
            </w:tcBorders>
            <w:vAlign w:val="center"/>
          </w:tcPr>
          <w:p w14:paraId="6C719881">
            <w:pPr>
              <w:widowControl/>
              <w:jc w:val="center"/>
              <w:textAlignment w:val="center"/>
              <w:rPr>
                <w:rFonts w:hint="eastAsia" w:ascii="宋体" w:hAnsi="宋体" w:cs="宋体"/>
                <w:color w:val="000000"/>
                <w:kern w:val="0"/>
                <w:sz w:val="20"/>
                <w:szCs w:val="20"/>
                <w:lang w:bidi="ar"/>
              </w:rPr>
            </w:pPr>
          </w:p>
        </w:tc>
        <w:tc>
          <w:tcPr>
            <w:tcW w:w="1143" w:type="dxa"/>
            <w:tcBorders>
              <w:top w:val="single" w:color="000000" w:sz="4" w:space="0"/>
              <w:left w:val="single" w:color="000000" w:sz="4" w:space="0"/>
              <w:bottom w:val="single" w:color="000000" w:sz="4" w:space="0"/>
              <w:right w:val="single" w:color="000000" w:sz="4" w:space="0"/>
            </w:tcBorders>
            <w:vAlign w:val="center"/>
          </w:tcPr>
          <w:p w14:paraId="14A66567">
            <w:pPr>
              <w:widowControl/>
              <w:jc w:val="center"/>
              <w:textAlignment w:val="center"/>
              <w:rPr>
                <w:rFonts w:hint="eastAsia" w:ascii="宋体" w:hAnsi="宋体" w:cs="宋体"/>
                <w:color w:val="000000"/>
                <w:kern w:val="0"/>
                <w:sz w:val="20"/>
                <w:szCs w:val="20"/>
                <w:lang w:bidi="ar"/>
              </w:rPr>
            </w:pPr>
          </w:p>
        </w:tc>
        <w:tc>
          <w:tcPr>
            <w:tcW w:w="763" w:type="dxa"/>
            <w:tcBorders>
              <w:top w:val="single" w:color="000000" w:sz="4" w:space="0"/>
              <w:left w:val="single" w:color="000000" w:sz="4" w:space="0"/>
              <w:bottom w:val="single" w:color="000000" w:sz="4" w:space="0"/>
              <w:right w:val="single" w:color="000000" w:sz="4" w:space="0"/>
            </w:tcBorders>
            <w:vAlign w:val="center"/>
          </w:tcPr>
          <w:p w14:paraId="13DC68F2">
            <w:pPr>
              <w:widowControl/>
              <w:jc w:val="center"/>
              <w:textAlignment w:val="center"/>
              <w:rPr>
                <w:rFonts w:hint="eastAsia" w:ascii="宋体" w:hAnsi="宋体" w:cs="宋体"/>
                <w:color w:val="000000"/>
                <w:kern w:val="0"/>
                <w:sz w:val="20"/>
                <w:szCs w:val="20"/>
                <w:lang w:bidi="ar"/>
              </w:rPr>
            </w:pPr>
          </w:p>
        </w:tc>
        <w:tc>
          <w:tcPr>
            <w:tcW w:w="741" w:type="dxa"/>
            <w:tcBorders>
              <w:top w:val="single" w:color="000000" w:sz="4" w:space="0"/>
              <w:left w:val="single" w:color="000000" w:sz="4" w:space="0"/>
              <w:bottom w:val="single" w:color="000000" w:sz="4" w:space="0"/>
              <w:right w:val="single" w:color="000000" w:sz="4" w:space="0"/>
            </w:tcBorders>
            <w:vAlign w:val="center"/>
          </w:tcPr>
          <w:p w14:paraId="21BCFF69">
            <w:pPr>
              <w:widowControl/>
              <w:jc w:val="center"/>
              <w:textAlignment w:val="center"/>
              <w:rPr>
                <w:rFonts w:hint="eastAsia" w:ascii="宋体" w:hAnsi="宋体" w:cs="宋体"/>
                <w:color w:val="000000"/>
                <w:kern w:val="0"/>
                <w:sz w:val="20"/>
                <w:szCs w:val="20"/>
                <w:lang w:bidi="ar"/>
              </w:rPr>
            </w:pPr>
          </w:p>
        </w:tc>
      </w:tr>
      <w:tr w14:paraId="077E0891">
        <w:tblPrEx>
          <w:tblCellMar>
            <w:top w:w="0" w:type="dxa"/>
            <w:left w:w="108" w:type="dxa"/>
            <w:bottom w:w="0" w:type="dxa"/>
            <w:right w:w="108" w:type="dxa"/>
          </w:tblCellMar>
        </w:tblPrEx>
        <w:trPr>
          <w:trHeight w:val="20" w:hRule="atLeast"/>
          <w:jc w:val="center"/>
        </w:trPr>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8DD291">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98</w:t>
            </w:r>
          </w:p>
        </w:tc>
        <w:tc>
          <w:tcPr>
            <w:tcW w:w="2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4F2CC4">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二氧化硫速测盒</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D18B66">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50次测定用量</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8F3796">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盒（或包）</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1B7071">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D5BD94">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140</w:t>
            </w:r>
          </w:p>
        </w:tc>
        <w:tc>
          <w:tcPr>
            <w:tcW w:w="992" w:type="dxa"/>
            <w:tcBorders>
              <w:top w:val="single" w:color="000000" w:sz="4" w:space="0"/>
              <w:left w:val="single" w:color="000000" w:sz="4" w:space="0"/>
              <w:bottom w:val="single" w:color="000000" w:sz="4" w:space="0"/>
              <w:right w:val="single" w:color="000000" w:sz="4" w:space="0"/>
            </w:tcBorders>
            <w:vAlign w:val="center"/>
          </w:tcPr>
          <w:p w14:paraId="7DE1AC8D">
            <w:pPr>
              <w:widowControl/>
              <w:jc w:val="center"/>
              <w:textAlignment w:val="center"/>
              <w:rPr>
                <w:rFonts w:hint="eastAsia" w:ascii="宋体" w:hAnsi="宋体" w:cs="宋体"/>
                <w:color w:val="000000"/>
                <w:kern w:val="0"/>
                <w:sz w:val="20"/>
                <w:szCs w:val="20"/>
                <w:lang w:bidi="ar"/>
              </w:rPr>
            </w:pPr>
          </w:p>
        </w:tc>
        <w:tc>
          <w:tcPr>
            <w:tcW w:w="1239" w:type="dxa"/>
            <w:tcBorders>
              <w:top w:val="single" w:color="000000" w:sz="4" w:space="0"/>
              <w:left w:val="single" w:color="000000" w:sz="4" w:space="0"/>
              <w:bottom w:val="single" w:color="000000" w:sz="4" w:space="0"/>
              <w:right w:val="single" w:color="000000" w:sz="4" w:space="0"/>
            </w:tcBorders>
            <w:vAlign w:val="center"/>
          </w:tcPr>
          <w:p w14:paraId="35A312A6">
            <w:pPr>
              <w:widowControl/>
              <w:jc w:val="center"/>
              <w:textAlignment w:val="center"/>
              <w:rPr>
                <w:rFonts w:hint="eastAsia" w:ascii="宋体" w:hAnsi="宋体" w:cs="宋体"/>
                <w:color w:val="000000"/>
                <w:kern w:val="0"/>
                <w:sz w:val="20"/>
                <w:szCs w:val="20"/>
                <w:lang w:bidi="ar"/>
              </w:rPr>
            </w:pPr>
          </w:p>
        </w:tc>
        <w:tc>
          <w:tcPr>
            <w:tcW w:w="900" w:type="dxa"/>
            <w:tcBorders>
              <w:top w:val="single" w:color="000000" w:sz="4" w:space="0"/>
              <w:left w:val="single" w:color="000000" w:sz="4" w:space="0"/>
              <w:bottom w:val="single" w:color="000000" w:sz="4" w:space="0"/>
              <w:right w:val="single" w:color="000000" w:sz="4" w:space="0"/>
            </w:tcBorders>
            <w:vAlign w:val="center"/>
          </w:tcPr>
          <w:p w14:paraId="21187750">
            <w:pPr>
              <w:widowControl/>
              <w:jc w:val="center"/>
              <w:textAlignment w:val="center"/>
              <w:rPr>
                <w:rFonts w:hint="eastAsia" w:ascii="宋体" w:hAnsi="宋体" w:cs="宋体"/>
                <w:color w:val="000000"/>
                <w:kern w:val="0"/>
                <w:sz w:val="20"/>
                <w:szCs w:val="20"/>
                <w:lang w:bidi="ar"/>
              </w:rPr>
            </w:pPr>
          </w:p>
        </w:tc>
        <w:tc>
          <w:tcPr>
            <w:tcW w:w="832" w:type="dxa"/>
            <w:tcBorders>
              <w:top w:val="single" w:color="000000" w:sz="4" w:space="0"/>
              <w:left w:val="single" w:color="000000" w:sz="4" w:space="0"/>
              <w:bottom w:val="single" w:color="000000" w:sz="4" w:space="0"/>
              <w:right w:val="single" w:color="000000" w:sz="4" w:space="0"/>
            </w:tcBorders>
            <w:vAlign w:val="center"/>
          </w:tcPr>
          <w:p w14:paraId="2F98FDCD">
            <w:pPr>
              <w:widowControl/>
              <w:jc w:val="center"/>
              <w:textAlignment w:val="center"/>
              <w:rPr>
                <w:rFonts w:hint="eastAsia" w:ascii="宋体" w:hAnsi="宋体" w:cs="宋体"/>
                <w:color w:val="000000"/>
                <w:kern w:val="0"/>
                <w:sz w:val="20"/>
                <w:szCs w:val="20"/>
                <w:lang w:bidi="ar"/>
              </w:rPr>
            </w:pPr>
          </w:p>
        </w:tc>
        <w:tc>
          <w:tcPr>
            <w:tcW w:w="1143" w:type="dxa"/>
            <w:tcBorders>
              <w:top w:val="single" w:color="000000" w:sz="4" w:space="0"/>
              <w:left w:val="single" w:color="000000" w:sz="4" w:space="0"/>
              <w:bottom w:val="single" w:color="000000" w:sz="4" w:space="0"/>
              <w:right w:val="single" w:color="000000" w:sz="4" w:space="0"/>
            </w:tcBorders>
            <w:vAlign w:val="center"/>
          </w:tcPr>
          <w:p w14:paraId="011C7EAD">
            <w:pPr>
              <w:widowControl/>
              <w:jc w:val="center"/>
              <w:textAlignment w:val="center"/>
              <w:rPr>
                <w:rFonts w:hint="eastAsia" w:ascii="宋体" w:hAnsi="宋体" w:cs="宋体"/>
                <w:color w:val="000000"/>
                <w:kern w:val="0"/>
                <w:sz w:val="20"/>
                <w:szCs w:val="20"/>
                <w:lang w:bidi="ar"/>
              </w:rPr>
            </w:pPr>
          </w:p>
        </w:tc>
        <w:tc>
          <w:tcPr>
            <w:tcW w:w="763" w:type="dxa"/>
            <w:tcBorders>
              <w:top w:val="single" w:color="000000" w:sz="4" w:space="0"/>
              <w:left w:val="single" w:color="000000" w:sz="4" w:space="0"/>
              <w:bottom w:val="single" w:color="000000" w:sz="4" w:space="0"/>
              <w:right w:val="single" w:color="000000" w:sz="4" w:space="0"/>
            </w:tcBorders>
            <w:vAlign w:val="center"/>
          </w:tcPr>
          <w:p w14:paraId="5B7940C9">
            <w:pPr>
              <w:widowControl/>
              <w:jc w:val="center"/>
              <w:textAlignment w:val="center"/>
              <w:rPr>
                <w:rFonts w:hint="eastAsia" w:ascii="宋体" w:hAnsi="宋体" w:cs="宋体"/>
                <w:color w:val="000000"/>
                <w:kern w:val="0"/>
                <w:sz w:val="20"/>
                <w:szCs w:val="20"/>
                <w:lang w:bidi="ar"/>
              </w:rPr>
            </w:pPr>
          </w:p>
        </w:tc>
        <w:tc>
          <w:tcPr>
            <w:tcW w:w="741" w:type="dxa"/>
            <w:tcBorders>
              <w:top w:val="single" w:color="000000" w:sz="4" w:space="0"/>
              <w:left w:val="single" w:color="000000" w:sz="4" w:space="0"/>
              <w:bottom w:val="single" w:color="000000" w:sz="4" w:space="0"/>
              <w:right w:val="single" w:color="000000" w:sz="4" w:space="0"/>
            </w:tcBorders>
            <w:vAlign w:val="center"/>
          </w:tcPr>
          <w:p w14:paraId="040C4113">
            <w:pPr>
              <w:widowControl/>
              <w:jc w:val="center"/>
              <w:textAlignment w:val="center"/>
              <w:rPr>
                <w:rFonts w:hint="eastAsia" w:ascii="宋体" w:hAnsi="宋体" w:cs="宋体"/>
                <w:color w:val="000000"/>
                <w:kern w:val="0"/>
                <w:sz w:val="20"/>
                <w:szCs w:val="20"/>
                <w:lang w:bidi="ar"/>
              </w:rPr>
            </w:pPr>
          </w:p>
        </w:tc>
      </w:tr>
      <w:tr w14:paraId="076012DF">
        <w:tblPrEx>
          <w:tblCellMar>
            <w:top w:w="0" w:type="dxa"/>
            <w:left w:w="108" w:type="dxa"/>
            <w:bottom w:w="0" w:type="dxa"/>
            <w:right w:w="108" w:type="dxa"/>
          </w:tblCellMar>
        </w:tblPrEx>
        <w:trPr>
          <w:trHeight w:val="20" w:hRule="atLeast"/>
          <w:jc w:val="center"/>
        </w:trPr>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0E33B5">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99</w:t>
            </w:r>
          </w:p>
        </w:tc>
        <w:tc>
          <w:tcPr>
            <w:tcW w:w="2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554F1F">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瘦肉精三联速测卡</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869A9D">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每盒可测多份样品</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471551">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盒（或包）</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113879">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0AF1F8">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100</w:t>
            </w:r>
          </w:p>
        </w:tc>
        <w:tc>
          <w:tcPr>
            <w:tcW w:w="992" w:type="dxa"/>
            <w:tcBorders>
              <w:top w:val="single" w:color="000000" w:sz="4" w:space="0"/>
              <w:left w:val="single" w:color="000000" w:sz="4" w:space="0"/>
              <w:bottom w:val="single" w:color="000000" w:sz="4" w:space="0"/>
              <w:right w:val="single" w:color="000000" w:sz="4" w:space="0"/>
            </w:tcBorders>
            <w:vAlign w:val="center"/>
          </w:tcPr>
          <w:p w14:paraId="35E0C71B">
            <w:pPr>
              <w:widowControl/>
              <w:jc w:val="center"/>
              <w:textAlignment w:val="center"/>
              <w:rPr>
                <w:rFonts w:hint="eastAsia" w:ascii="宋体" w:hAnsi="宋体" w:cs="宋体"/>
                <w:color w:val="000000"/>
                <w:kern w:val="0"/>
                <w:sz w:val="20"/>
                <w:szCs w:val="20"/>
                <w:lang w:bidi="ar"/>
              </w:rPr>
            </w:pPr>
          </w:p>
        </w:tc>
        <w:tc>
          <w:tcPr>
            <w:tcW w:w="1239" w:type="dxa"/>
            <w:tcBorders>
              <w:top w:val="single" w:color="000000" w:sz="4" w:space="0"/>
              <w:left w:val="single" w:color="000000" w:sz="4" w:space="0"/>
              <w:bottom w:val="single" w:color="000000" w:sz="4" w:space="0"/>
              <w:right w:val="single" w:color="000000" w:sz="4" w:space="0"/>
            </w:tcBorders>
            <w:vAlign w:val="center"/>
          </w:tcPr>
          <w:p w14:paraId="46330F9F">
            <w:pPr>
              <w:widowControl/>
              <w:jc w:val="center"/>
              <w:textAlignment w:val="center"/>
              <w:rPr>
                <w:rFonts w:hint="eastAsia" w:ascii="宋体" w:hAnsi="宋体" w:cs="宋体"/>
                <w:color w:val="000000"/>
                <w:kern w:val="0"/>
                <w:sz w:val="20"/>
                <w:szCs w:val="20"/>
                <w:lang w:bidi="ar"/>
              </w:rPr>
            </w:pPr>
          </w:p>
        </w:tc>
        <w:tc>
          <w:tcPr>
            <w:tcW w:w="900" w:type="dxa"/>
            <w:tcBorders>
              <w:top w:val="single" w:color="000000" w:sz="4" w:space="0"/>
              <w:left w:val="single" w:color="000000" w:sz="4" w:space="0"/>
              <w:bottom w:val="single" w:color="000000" w:sz="4" w:space="0"/>
              <w:right w:val="single" w:color="000000" w:sz="4" w:space="0"/>
            </w:tcBorders>
            <w:vAlign w:val="center"/>
          </w:tcPr>
          <w:p w14:paraId="320FC6C1">
            <w:pPr>
              <w:widowControl/>
              <w:jc w:val="center"/>
              <w:textAlignment w:val="center"/>
              <w:rPr>
                <w:rFonts w:hint="eastAsia" w:ascii="宋体" w:hAnsi="宋体" w:cs="宋体"/>
                <w:color w:val="000000"/>
                <w:kern w:val="0"/>
                <w:sz w:val="20"/>
                <w:szCs w:val="20"/>
                <w:lang w:bidi="ar"/>
              </w:rPr>
            </w:pPr>
          </w:p>
        </w:tc>
        <w:tc>
          <w:tcPr>
            <w:tcW w:w="832" w:type="dxa"/>
            <w:tcBorders>
              <w:top w:val="single" w:color="000000" w:sz="4" w:space="0"/>
              <w:left w:val="single" w:color="000000" w:sz="4" w:space="0"/>
              <w:bottom w:val="single" w:color="000000" w:sz="4" w:space="0"/>
              <w:right w:val="single" w:color="000000" w:sz="4" w:space="0"/>
            </w:tcBorders>
            <w:vAlign w:val="center"/>
          </w:tcPr>
          <w:p w14:paraId="63993553">
            <w:pPr>
              <w:widowControl/>
              <w:jc w:val="center"/>
              <w:textAlignment w:val="center"/>
              <w:rPr>
                <w:rFonts w:hint="eastAsia" w:ascii="宋体" w:hAnsi="宋体" w:cs="宋体"/>
                <w:color w:val="000000"/>
                <w:kern w:val="0"/>
                <w:sz w:val="20"/>
                <w:szCs w:val="20"/>
                <w:lang w:bidi="ar"/>
              </w:rPr>
            </w:pPr>
          </w:p>
        </w:tc>
        <w:tc>
          <w:tcPr>
            <w:tcW w:w="1143" w:type="dxa"/>
            <w:tcBorders>
              <w:top w:val="single" w:color="000000" w:sz="4" w:space="0"/>
              <w:left w:val="single" w:color="000000" w:sz="4" w:space="0"/>
              <w:bottom w:val="single" w:color="000000" w:sz="4" w:space="0"/>
              <w:right w:val="single" w:color="000000" w:sz="4" w:space="0"/>
            </w:tcBorders>
            <w:vAlign w:val="center"/>
          </w:tcPr>
          <w:p w14:paraId="0757D545">
            <w:pPr>
              <w:widowControl/>
              <w:jc w:val="center"/>
              <w:textAlignment w:val="center"/>
              <w:rPr>
                <w:rFonts w:hint="eastAsia" w:ascii="宋体" w:hAnsi="宋体" w:cs="宋体"/>
                <w:color w:val="000000"/>
                <w:kern w:val="0"/>
                <w:sz w:val="20"/>
                <w:szCs w:val="20"/>
                <w:lang w:bidi="ar"/>
              </w:rPr>
            </w:pPr>
          </w:p>
        </w:tc>
        <w:tc>
          <w:tcPr>
            <w:tcW w:w="763" w:type="dxa"/>
            <w:tcBorders>
              <w:top w:val="single" w:color="000000" w:sz="4" w:space="0"/>
              <w:left w:val="single" w:color="000000" w:sz="4" w:space="0"/>
              <w:bottom w:val="single" w:color="000000" w:sz="4" w:space="0"/>
              <w:right w:val="single" w:color="000000" w:sz="4" w:space="0"/>
            </w:tcBorders>
            <w:vAlign w:val="center"/>
          </w:tcPr>
          <w:p w14:paraId="260C1500">
            <w:pPr>
              <w:widowControl/>
              <w:jc w:val="center"/>
              <w:textAlignment w:val="center"/>
              <w:rPr>
                <w:rFonts w:hint="eastAsia" w:ascii="宋体" w:hAnsi="宋体" w:cs="宋体"/>
                <w:color w:val="000000"/>
                <w:kern w:val="0"/>
                <w:sz w:val="20"/>
                <w:szCs w:val="20"/>
                <w:lang w:bidi="ar"/>
              </w:rPr>
            </w:pPr>
          </w:p>
        </w:tc>
        <w:tc>
          <w:tcPr>
            <w:tcW w:w="741" w:type="dxa"/>
            <w:tcBorders>
              <w:top w:val="single" w:color="000000" w:sz="4" w:space="0"/>
              <w:left w:val="single" w:color="000000" w:sz="4" w:space="0"/>
              <w:bottom w:val="single" w:color="000000" w:sz="4" w:space="0"/>
              <w:right w:val="single" w:color="000000" w:sz="4" w:space="0"/>
            </w:tcBorders>
            <w:vAlign w:val="center"/>
          </w:tcPr>
          <w:p w14:paraId="69B3770C">
            <w:pPr>
              <w:widowControl/>
              <w:jc w:val="center"/>
              <w:textAlignment w:val="center"/>
              <w:rPr>
                <w:rFonts w:hint="eastAsia" w:ascii="宋体" w:hAnsi="宋体" w:cs="宋体"/>
                <w:color w:val="000000"/>
                <w:kern w:val="0"/>
                <w:sz w:val="20"/>
                <w:szCs w:val="20"/>
                <w:lang w:bidi="ar"/>
              </w:rPr>
            </w:pPr>
          </w:p>
        </w:tc>
      </w:tr>
      <w:tr w14:paraId="5668DC73">
        <w:tblPrEx>
          <w:tblCellMar>
            <w:top w:w="0" w:type="dxa"/>
            <w:left w:w="108" w:type="dxa"/>
            <w:bottom w:w="0" w:type="dxa"/>
            <w:right w:w="108" w:type="dxa"/>
          </w:tblCellMar>
        </w:tblPrEx>
        <w:trPr>
          <w:trHeight w:val="20" w:hRule="atLeast"/>
          <w:jc w:val="center"/>
        </w:trPr>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553369">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100</w:t>
            </w:r>
          </w:p>
        </w:tc>
        <w:tc>
          <w:tcPr>
            <w:tcW w:w="2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D2DABD">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生熟豆浆速测试剂包</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140DBC">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50份样品用量</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062984">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盒（或包）</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885826">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175DD7">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90</w:t>
            </w:r>
          </w:p>
        </w:tc>
        <w:tc>
          <w:tcPr>
            <w:tcW w:w="992" w:type="dxa"/>
            <w:tcBorders>
              <w:top w:val="single" w:color="000000" w:sz="4" w:space="0"/>
              <w:left w:val="single" w:color="000000" w:sz="4" w:space="0"/>
              <w:bottom w:val="single" w:color="000000" w:sz="4" w:space="0"/>
              <w:right w:val="single" w:color="000000" w:sz="4" w:space="0"/>
            </w:tcBorders>
            <w:vAlign w:val="center"/>
          </w:tcPr>
          <w:p w14:paraId="284287BE">
            <w:pPr>
              <w:widowControl/>
              <w:jc w:val="center"/>
              <w:textAlignment w:val="center"/>
              <w:rPr>
                <w:rFonts w:hint="eastAsia" w:ascii="宋体" w:hAnsi="宋体" w:cs="宋体"/>
                <w:color w:val="000000"/>
                <w:kern w:val="0"/>
                <w:sz w:val="20"/>
                <w:szCs w:val="20"/>
                <w:lang w:bidi="ar"/>
              </w:rPr>
            </w:pPr>
          </w:p>
        </w:tc>
        <w:tc>
          <w:tcPr>
            <w:tcW w:w="1239" w:type="dxa"/>
            <w:tcBorders>
              <w:top w:val="single" w:color="000000" w:sz="4" w:space="0"/>
              <w:left w:val="single" w:color="000000" w:sz="4" w:space="0"/>
              <w:bottom w:val="single" w:color="000000" w:sz="4" w:space="0"/>
              <w:right w:val="single" w:color="000000" w:sz="4" w:space="0"/>
            </w:tcBorders>
            <w:vAlign w:val="center"/>
          </w:tcPr>
          <w:p w14:paraId="21557697">
            <w:pPr>
              <w:widowControl/>
              <w:jc w:val="center"/>
              <w:textAlignment w:val="center"/>
              <w:rPr>
                <w:rFonts w:hint="eastAsia" w:ascii="宋体" w:hAnsi="宋体" w:cs="宋体"/>
                <w:color w:val="000000"/>
                <w:kern w:val="0"/>
                <w:sz w:val="20"/>
                <w:szCs w:val="20"/>
                <w:lang w:bidi="ar"/>
              </w:rPr>
            </w:pPr>
          </w:p>
        </w:tc>
        <w:tc>
          <w:tcPr>
            <w:tcW w:w="900" w:type="dxa"/>
            <w:tcBorders>
              <w:top w:val="single" w:color="000000" w:sz="4" w:space="0"/>
              <w:left w:val="single" w:color="000000" w:sz="4" w:space="0"/>
              <w:bottom w:val="single" w:color="000000" w:sz="4" w:space="0"/>
              <w:right w:val="single" w:color="000000" w:sz="4" w:space="0"/>
            </w:tcBorders>
            <w:vAlign w:val="center"/>
          </w:tcPr>
          <w:p w14:paraId="3D3FAD0B">
            <w:pPr>
              <w:widowControl/>
              <w:jc w:val="center"/>
              <w:textAlignment w:val="center"/>
              <w:rPr>
                <w:rFonts w:hint="eastAsia" w:ascii="宋体" w:hAnsi="宋体" w:cs="宋体"/>
                <w:color w:val="000000"/>
                <w:kern w:val="0"/>
                <w:sz w:val="20"/>
                <w:szCs w:val="20"/>
                <w:lang w:bidi="ar"/>
              </w:rPr>
            </w:pPr>
          </w:p>
        </w:tc>
        <w:tc>
          <w:tcPr>
            <w:tcW w:w="832" w:type="dxa"/>
            <w:tcBorders>
              <w:top w:val="single" w:color="000000" w:sz="4" w:space="0"/>
              <w:left w:val="single" w:color="000000" w:sz="4" w:space="0"/>
              <w:bottom w:val="single" w:color="000000" w:sz="4" w:space="0"/>
              <w:right w:val="single" w:color="000000" w:sz="4" w:space="0"/>
            </w:tcBorders>
            <w:vAlign w:val="center"/>
          </w:tcPr>
          <w:p w14:paraId="63191D51">
            <w:pPr>
              <w:widowControl/>
              <w:jc w:val="center"/>
              <w:textAlignment w:val="center"/>
              <w:rPr>
                <w:rFonts w:hint="eastAsia" w:ascii="宋体" w:hAnsi="宋体" w:cs="宋体"/>
                <w:color w:val="000000"/>
                <w:kern w:val="0"/>
                <w:sz w:val="20"/>
                <w:szCs w:val="20"/>
                <w:lang w:bidi="ar"/>
              </w:rPr>
            </w:pPr>
          </w:p>
        </w:tc>
        <w:tc>
          <w:tcPr>
            <w:tcW w:w="1143" w:type="dxa"/>
            <w:tcBorders>
              <w:top w:val="single" w:color="000000" w:sz="4" w:space="0"/>
              <w:left w:val="single" w:color="000000" w:sz="4" w:space="0"/>
              <w:bottom w:val="single" w:color="000000" w:sz="4" w:space="0"/>
              <w:right w:val="single" w:color="000000" w:sz="4" w:space="0"/>
            </w:tcBorders>
            <w:vAlign w:val="center"/>
          </w:tcPr>
          <w:p w14:paraId="787047CD">
            <w:pPr>
              <w:widowControl/>
              <w:jc w:val="center"/>
              <w:textAlignment w:val="center"/>
              <w:rPr>
                <w:rFonts w:hint="eastAsia" w:ascii="宋体" w:hAnsi="宋体" w:cs="宋体"/>
                <w:color w:val="000000"/>
                <w:kern w:val="0"/>
                <w:sz w:val="20"/>
                <w:szCs w:val="20"/>
                <w:lang w:bidi="ar"/>
              </w:rPr>
            </w:pPr>
          </w:p>
        </w:tc>
        <w:tc>
          <w:tcPr>
            <w:tcW w:w="763" w:type="dxa"/>
            <w:tcBorders>
              <w:top w:val="single" w:color="000000" w:sz="4" w:space="0"/>
              <w:left w:val="single" w:color="000000" w:sz="4" w:space="0"/>
              <w:bottom w:val="single" w:color="000000" w:sz="4" w:space="0"/>
              <w:right w:val="single" w:color="000000" w:sz="4" w:space="0"/>
            </w:tcBorders>
            <w:vAlign w:val="center"/>
          </w:tcPr>
          <w:p w14:paraId="1ACCAFB2">
            <w:pPr>
              <w:widowControl/>
              <w:jc w:val="center"/>
              <w:textAlignment w:val="center"/>
              <w:rPr>
                <w:rFonts w:hint="eastAsia" w:ascii="宋体" w:hAnsi="宋体" w:cs="宋体"/>
                <w:color w:val="000000"/>
                <w:kern w:val="0"/>
                <w:sz w:val="20"/>
                <w:szCs w:val="20"/>
                <w:lang w:bidi="ar"/>
              </w:rPr>
            </w:pPr>
          </w:p>
        </w:tc>
        <w:tc>
          <w:tcPr>
            <w:tcW w:w="741" w:type="dxa"/>
            <w:tcBorders>
              <w:top w:val="single" w:color="000000" w:sz="4" w:space="0"/>
              <w:left w:val="single" w:color="000000" w:sz="4" w:space="0"/>
              <w:bottom w:val="single" w:color="000000" w:sz="4" w:space="0"/>
              <w:right w:val="single" w:color="000000" w:sz="4" w:space="0"/>
            </w:tcBorders>
            <w:vAlign w:val="center"/>
          </w:tcPr>
          <w:p w14:paraId="3958DAB2">
            <w:pPr>
              <w:widowControl/>
              <w:jc w:val="center"/>
              <w:textAlignment w:val="center"/>
              <w:rPr>
                <w:rFonts w:hint="eastAsia" w:ascii="宋体" w:hAnsi="宋体" w:cs="宋体"/>
                <w:color w:val="000000"/>
                <w:kern w:val="0"/>
                <w:sz w:val="20"/>
                <w:szCs w:val="20"/>
                <w:lang w:bidi="ar"/>
              </w:rPr>
            </w:pPr>
          </w:p>
        </w:tc>
      </w:tr>
      <w:tr w14:paraId="74159A6E">
        <w:tblPrEx>
          <w:tblCellMar>
            <w:top w:w="0" w:type="dxa"/>
            <w:left w:w="108" w:type="dxa"/>
            <w:bottom w:w="0" w:type="dxa"/>
            <w:right w:w="108" w:type="dxa"/>
          </w:tblCellMar>
        </w:tblPrEx>
        <w:trPr>
          <w:trHeight w:val="20" w:hRule="atLeast"/>
          <w:jc w:val="center"/>
        </w:trPr>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F0FE58">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101</w:t>
            </w:r>
          </w:p>
        </w:tc>
        <w:tc>
          <w:tcPr>
            <w:tcW w:w="2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DFE2C1">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氰化物检测试剂包</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1E1FE0">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每盒可测多份样品</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665F18">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盒（或包）</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8E79D0">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BE890A">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100</w:t>
            </w:r>
          </w:p>
        </w:tc>
        <w:tc>
          <w:tcPr>
            <w:tcW w:w="992" w:type="dxa"/>
            <w:tcBorders>
              <w:top w:val="single" w:color="000000" w:sz="4" w:space="0"/>
              <w:left w:val="single" w:color="000000" w:sz="4" w:space="0"/>
              <w:bottom w:val="single" w:color="000000" w:sz="4" w:space="0"/>
              <w:right w:val="single" w:color="000000" w:sz="4" w:space="0"/>
            </w:tcBorders>
            <w:vAlign w:val="center"/>
          </w:tcPr>
          <w:p w14:paraId="0AEE37A6">
            <w:pPr>
              <w:widowControl/>
              <w:jc w:val="center"/>
              <w:textAlignment w:val="center"/>
              <w:rPr>
                <w:rFonts w:hint="eastAsia" w:ascii="宋体" w:hAnsi="宋体" w:cs="宋体"/>
                <w:color w:val="000000"/>
                <w:kern w:val="0"/>
                <w:sz w:val="20"/>
                <w:szCs w:val="20"/>
                <w:lang w:bidi="ar"/>
              </w:rPr>
            </w:pPr>
          </w:p>
        </w:tc>
        <w:tc>
          <w:tcPr>
            <w:tcW w:w="1239" w:type="dxa"/>
            <w:tcBorders>
              <w:top w:val="single" w:color="000000" w:sz="4" w:space="0"/>
              <w:left w:val="single" w:color="000000" w:sz="4" w:space="0"/>
              <w:bottom w:val="single" w:color="000000" w:sz="4" w:space="0"/>
              <w:right w:val="single" w:color="000000" w:sz="4" w:space="0"/>
            </w:tcBorders>
            <w:vAlign w:val="center"/>
          </w:tcPr>
          <w:p w14:paraId="243DC031">
            <w:pPr>
              <w:widowControl/>
              <w:jc w:val="center"/>
              <w:textAlignment w:val="center"/>
              <w:rPr>
                <w:rFonts w:hint="eastAsia" w:ascii="宋体" w:hAnsi="宋体" w:cs="宋体"/>
                <w:color w:val="000000"/>
                <w:kern w:val="0"/>
                <w:sz w:val="20"/>
                <w:szCs w:val="20"/>
                <w:lang w:bidi="ar"/>
              </w:rPr>
            </w:pPr>
          </w:p>
        </w:tc>
        <w:tc>
          <w:tcPr>
            <w:tcW w:w="900" w:type="dxa"/>
            <w:tcBorders>
              <w:top w:val="single" w:color="000000" w:sz="4" w:space="0"/>
              <w:left w:val="single" w:color="000000" w:sz="4" w:space="0"/>
              <w:bottom w:val="single" w:color="000000" w:sz="4" w:space="0"/>
              <w:right w:val="single" w:color="000000" w:sz="4" w:space="0"/>
            </w:tcBorders>
            <w:vAlign w:val="center"/>
          </w:tcPr>
          <w:p w14:paraId="0A3AD9C7">
            <w:pPr>
              <w:widowControl/>
              <w:jc w:val="center"/>
              <w:textAlignment w:val="center"/>
              <w:rPr>
                <w:rFonts w:hint="eastAsia" w:ascii="宋体" w:hAnsi="宋体" w:cs="宋体"/>
                <w:color w:val="000000"/>
                <w:kern w:val="0"/>
                <w:sz w:val="20"/>
                <w:szCs w:val="20"/>
                <w:lang w:bidi="ar"/>
              </w:rPr>
            </w:pPr>
          </w:p>
        </w:tc>
        <w:tc>
          <w:tcPr>
            <w:tcW w:w="832" w:type="dxa"/>
            <w:tcBorders>
              <w:top w:val="single" w:color="000000" w:sz="4" w:space="0"/>
              <w:left w:val="single" w:color="000000" w:sz="4" w:space="0"/>
              <w:bottom w:val="single" w:color="000000" w:sz="4" w:space="0"/>
              <w:right w:val="single" w:color="000000" w:sz="4" w:space="0"/>
            </w:tcBorders>
            <w:vAlign w:val="center"/>
          </w:tcPr>
          <w:p w14:paraId="5E63C1DA">
            <w:pPr>
              <w:widowControl/>
              <w:jc w:val="center"/>
              <w:textAlignment w:val="center"/>
              <w:rPr>
                <w:rFonts w:hint="eastAsia" w:ascii="宋体" w:hAnsi="宋体" w:cs="宋体"/>
                <w:color w:val="000000"/>
                <w:kern w:val="0"/>
                <w:sz w:val="20"/>
                <w:szCs w:val="20"/>
                <w:lang w:bidi="ar"/>
              </w:rPr>
            </w:pPr>
          </w:p>
        </w:tc>
        <w:tc>
          <w:tcPr>
            <w:tcW w:w="1143" w:type="dxa"/>
            <w:tcBorders>
              <w:top w:val="single" w:color="000000" w:sz="4" w:space="0"/>
              <w:left w:val="single" w:color="000000" w:sz="4" w:space="0"/>
              <w:bottom w:val="single" w:color="000000" w:sz="4" w:space="0"/>
              <w:right w:val="single" w:color="000000" w:sz="4" w:space="0"/>
            </w:tcBorders>
            <w:vAlign w:val="center"/>
          </w:tcPr>
          <w:p w14:paraId="0ECC5D52">
            <w:pPr>
              <w:widowControl/>
              <w:jc w:val="center"/>
              <w:textAlignment w:val="center"/>
              <w:rPr>
                <w:rFonts w:hint="eastAsia" w:ascii="宋体" w:hAnsi="宋体" w:cs="宋体"/>
                <w:color w:val="000000"/>
                <w:kern w:val="0"/>
                <w:sz w:val="20"/>
                <w:szCs w:val="20"/>
                <w:lang w:bidi="ar"/>
              </w:rPr>
            </w:pPr>
          </w:p>
        </w:tc>
        <w:tc>
          <w:tcPr>
            <w:tcW w:w="763" w:type="dxa"/>
            <w:tcBorders>
              <w:top w:val="single" w:color="000000" w:sz="4" w:space="0"/>
              <w:left w:val="single" w:color="000000" w:sz="4" w:space="0"/>
              <w:bottom w:val="single" w:color="000000" w:sz="4" w:space="0"/>
              <w:right w:val="single" w:color="000000" w:sz="4" w:space="0"/>
            </w:tcBorders>
            <w:vAlign w:val="center"/>
          </w:tcPr>
          <w:p w14:paraId="209F1E87">
            <w:pPr>
              <w:widowControl/>
              <w:jc w:val="center"/>
              <w:textAlignment w:val="center"/>
              <w:rPr>
                <w:rFonts w:hint="eastAsia" w:ascii="宋体" w:hAnsi="宋体" w:cs="宋体"/>
                <w:color w:val="000000"/>
                <w:kern w:val="0"/>
                <w:sz w:val="20"/>
                <w:szCs w:val="20"/>
                <w:lang w:bidi="ar"/>
              </w:rPr>
            </w:pPr>
          </w:p>
        </w:tc>
        <w:tc>
          <w:tcPr>
            <w:tcW w:w="741" w:type="dxa"/>
            <w:tcBorders>
              <w:top w:val="single" w:color="000000" w:sz="4" w:space="0"/>
              <w:left w:val="single" w:color="000000" w:sz="4" w:space="0"/>
              <w:bottom w:val="single" w:color="000000" w:sz="4" w:space="0"/>
              <w:right w:val="single" w:color="000000" w:sz="4" w:space="0"/>
            </w:tcBorders>
            <w:vAlign w:val="center"/>
          </w:tcPr>
          <w:p w14:paraId="66B5088C">
            <w:pPr>
              <w:widowControl/>
              <w:jc w:val="center"/>
              <w:textAlignment w:val="center"/>
              <w:rPr>
                <w:rFonts w:hint="eastAsia" w:ascii="宋体" w:hAnsi="宋体" w:cs="宋体"/>
                <w:color w:val="000000"/>
                <w:kern w:val="0"/>
                <w:sz w:val="20"/>
                <w:szCs w:val="20"/>
                <w:lang w:bidi="ar"/>
              </w:rPr>
            </w:pPr>
          </w:p>
        </w:tc>
      </w:tr>
      <w:tr w14:paraId="07B25A2C">
        <w:tblPrEx>
          <w:tblCellMar>
            <w:top w:w="0" w:type="dxa"/>
            <w:left w:w="108" w:type="dxa"/>
            <w:bottom w:w="0" w:type="dxa"/>
            <w:right w:w="108" w:type="dxa"/>
          </w:tblCellMar>
        </w:tblPrEx>
        <w:trPr>
          <w:trHeight w:val="20" w:hRule="atLeast"/>
          <w:jc w:val="center"/>
        </w:trPr>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A0C2B2">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102</w:t>
            </w:r>
          </w:p>
        </w:tc>
        <w:tc>
          <w:tcPr>
            <w:tcW w:w="2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16B091">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鼠药安妥检测试纸</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5756B6">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每盒可测多份样品</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D6D797">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盒（或包）</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947F65">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4EC578">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100</w:t>
            </w:r>
          </w:p>
        </w:tc>
        <w:tc>
          <w:tcPr>
            <w:tcW w:w="992" w:type="dxa"/>
            <w:tcBorders>
              <w:top w:val="single" w:color="000000" w:sz="4" w:space="0"/>
              <w:left w:val="single" w:color="000000" w:sz="4" w:space="0"/>
              <w:bottom w:val="single" w:color="000000" w:sz="4" w:space="0"/>
              <w:right w:val="single" w:color="000000" w:sz="4" w:space="0"/>
            </w:tcBorders>
            <w:vAlign w:val="center"/>
          </w:tcPr>
          <w:p w14:paraId="4A14571D">
            <w:pPr>
              <w:widowControl/>
              <w:jc w:val="center"/>
              <w:textAlignment w:val="center"/>
              <w:rPr>
                <w:rFonts w:hint="eastAsia" w:ascii="宋体" w:hAnsi="宋体" w:cs="宋体"/>
                <w:color w:val="000000"/>
                <w:kern w:val="0"/>
                <w:sz w:val="20"/>
                <w:szCs w:val="20"/>
                <w:lang w:bidi="ar"/>
              </w:rPr>
            </w:pPr>
          </w:p>
        </w:tc>
        <w:tc>
          <w:tcPr>
            <w:tcW w:w="1239" w:type="dxa"/>
            <w:tcBorders>
              <w:top w:val="single" w:color="000000" w:sz="4" w:space="0"/>
              <w:left w:val="single" w:color="000000" w:sz="4" w:space="0"/>
              <w:bottom w:val="single" w:color="000000" w:sz="4" w:space="0"/>
              <w:right w:val="single" w:color="000000" w:sz="4" w:space="0"/>
            </w:tcBorders>
            <w:vAlign w:val="center"/>
          </w:tcPr>
          <w:p w14:paraId="173CC202">
            <w:pPr>
              <w:widowControl/>
              <w:jc w:val="center"/>
              <w:textAlignment w:val="center"/>
              <w:rPr>
                <w:rFonts w:hint="eastAsia" w:ascii="宋体" w:hAnsi="宋体" w:cs="宋体"/>
                <w:color w:val="000000"/>
                <w:kern w:val="0"/>
                <w:sz w:val="20"/>
                <w:szCs w:val="20"/>
                <w:lang w:bidi="ar"/>
              </w:rPr>
            </w:pPr>
          </w:p>
        </w:tc>
        <w:tc>
          <w:tcPr>
            <w:tcW w:w="900" w:type="dxa"/>
            <w:tcBorders>
              <w:top w:val="single" w:color="000000" w:sz="4" w:space="0"/>
              <w:left w:val="single" w:color="000000" w:sz="4" w:space="0"/>
              <w:bottom w:val="single" w:color="000000" w:sz="4" w:space="0"/>
              <w:right w:val="single" w:color="000000" w:sz="4" w:space="0"/>
            </w:tcBorders>
            <w:vAlign w:val="center"/>
          </w:tcPr>
          <w:p w14:paraId="75EAA23B">
            <w:pPr>
              <w:widowControl/>
              <w:jc w:val="center"/>
              <w:textAlignment w:val="center"/>
              <w:rPr>
                <w:rFonts w:hint="eastAsia" w:ascii="宋体" w:hAnsi="宋体" w:cs="宋体"/>
                <w:color w:val="000000"/>
                <w:kern w:val="0"/>
                <w:sz w:val="20"/>
                <w:szCs w:val="20"/>
                <w:lang w:bidi="ar"/>
              </w:rPr>
            </w:pPr>
          </w:p>
        </w:tc>
        <w:tc>
          <w:tcPr>
            <w:tcW w:w="832" w:type="dxa"/>
            <w:tcBorders>
              <w:top w:val="single" w:color="000000" w:sz="4" w:space="0"/>
              <w:left w:val="single" w:color="000000" w:sz="4" w:space="0"/>
              <w:bottom w:val="single" w:color="000000" w:sz="4" w:space="0"/>
              <w:right w:val="single" w:color="000000" w:sz="4" w:space="0"/>
            </w:tcBorders>
            <w:vAlign w:val="center"/>
          </w:tcPr>
          <w:p w14:paraId="3B6F9EAB">
            <w:pPr>
              <w:widowControl/>
              <w:jc w:val="center"/>
              <w:textAlignment w:val="center"/>
              <w:rPr>
                <w:rFonts w:hint="eastAsia" w:ascii="宋体" w:hAnsi="宋体" w:cs="宋体"/>
                <w:color w:val="000000"/>
                <w:kern w:val="0"/>
                <w:sz w:val="20"/>
                <w:szCs w:val="20"/>
                <w:lang w:bidi="ar"/>
              </w:rPr>
            </w:pPr>
          </w:p>
        </w:tc>
        <w:tc>
          <w:tcPr>
            <w:tcW w:w="1143" w:type="dxa"/>
            <w:tcBorders>
              <w:top w:val="single" w:color="000000" w:sz="4" w:space="0"/>
              <w:left w:val="single" w:color="000000" w:sz="4" w:space="0"/>
              <w:bottom w:val="single" w:color="000000" w:sz="4" w:space="0"/>
              <w:right w:val="single" w:color="000000" w:sz="4" w:space="0"/>
            </w:tcBorders>
            <w:vAlign w:val="center"/>
          </w:tcPr>
          <w:p w14:paraId="14F2AE10">
            <w:pPr>
              <w:widowControl/>
              <w:jc w:val="center"/>
              <w:textAlignment w:val="center"/>
              <w:rPr>
                <w:rFonts w:hint="eastAsia" w:ascii="宋体" w:hAnsi="宋体" w:cs="宋体"/>
                <w:color w:val="000000"/>
                <w:kern w:val="0"/>
                <w:sz w:val="20"/>
                <w:szCs w:val="20"/>
                <w:lang w:bidi="ar"/>
              </w:rPr>
            </w:pPr>
          </w:p>
        </w:tc>
        <w:tc>
          <w:tcPr>
            <w:tcW w:w="763" w:type="dxa"/>
            <w:tcBorders>
              <w:top w:val="single" w:color="000000" w:sz="4" w:space="0"/>
              <w:left w:val="single" w:color="000000" w:sz="4" w:space="0"/>
              <w:bottom w:val="single" w:color="000000" w:sz="4" w:space="0"/>
              <w:right w:val="single" w:color="000000" w:sz="4" w:space="0"/>
            </w:tcBorders>
            <w:vAlign w:val="center"/>
          </w:tcPr>
          <w:p w14:paraId="5CBA3215">
            <w:pPr>
              <w:widowControl/>
              <w:jc w:val="center"/>
              <w:textAlignment w:val="center"/>
              <w:rPr>
                <w:rFonts w:hint="eastAsia" w:ascii="宋体" w:hAnsi="宋体" w:cs="宋体"/>
                <w:color w:val="000000"/>
                <w:kern w:val="0"/>
                <w:sz w:val="20"/>
                <w:szCs w:val="20"/>
                <w:lang w:bidi="ar"/>
              </w:rPr>
            </w:pPr>
          </w:p>
        </w:tc>
        <w:tc>
          <w:tcPr>
            <w:tcW w:w="741" w:type="dxa"/>
            <w:tcBorders>
              <w:top w:val="single" w:color="000000" w:sz="4" w:space="0"/>
              <w:left w:val="single" w:color="000000" w:sz="4" w:space="0"/>
              <w:bottom w:val="single" w:color="000000" w:sz="4" w:space="0"/>
              <w:right w:val="single" w:color="000000" w:sz="4" w:space="0"/>
            </w:tcBorders>
            <w:vAlign w:val="center"/>
          </w:tcPr>
          <w:p w14:paraId="5634F0C1">
            <w:pPr>
              <w:widowControl/>
              <w:jc w:val="center"/>
              <w:textAlignment w:val="center"/>
              <w:rPr>
                <w:rFonts w:hint="eastAsia" w:ascii="宋体" w:hAnsi="宋体" w:cs="宋体"/>
                <w:color w:val="000000"/>
                <w:kern w:val="0"/>
                <w:sz w:val="20"/>
                <w:szCs w:val="20"/>
                <w:lang w:bidi="ar"/>
              </w:rPr>
            </w:pPr>
          </w:p>
        </w:tc>
      </w:tr>
      <w:tr w14:paraId="46839309">
        <w:tblPrEx>
          <w:tblCellMar>
            <w:top w:w="0" w:type="dxa"/>
            <w:left w:w="108" w:type="dxa"/>
            <w:bottom w:w="0" w:type="dxa"/>
            <w:right w:w="108" w:type="dxa"/>
          </w:tblCellMar>
        </w:tblPrEx>
        <w:trPr>
          <w:trHeight w:val="20" w:hRule="atLeast"/>
          <w:jc w:val="center"/>
        </w:trPr>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BF8054">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103</w:t>
            </w:r>
          </w:p>
        </w:tc>
        <w:tc>
          <w:tcPr>
            <w:tcW w:w="2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A2ED9B">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乳品中糊精速测试剂</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6BB08D">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每盒可测多份样品</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CA0599">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盒（或包）</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4DCFFF">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5CC782">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100</w:t>
            </w:r>
          </w:p>
        </w:tc>
        <w:tc>
          <w:tcPr>
            <w:tcW w:w="992" w:type="dxa"/>
            <w:tcBorders>
              <w:top w:val="single" w:color="000000" w:sz="4" w:space="0"/>
              <w:left w:val="single" w:color="000000" w:sz="4" w:space="0"/>
              <w:bottom w:val="single" w:color="000000" w:sz="4" w:space="0"/>
              <w:right w:val="single" w:color="000000" w:sz="4" w:space="0"/>
            </w:tcBorders>
            <w:vAlign w:val="center"/>
          </w:tcPr>
          <w:p w14:paraId="1B795AF4">
            <w:pPr>
              <w:widowControl/>
              <w:jc w:val="center"/>
              <w:textAlignment w:val="center"/>
              <w:rPr>
                <w:rFonts w:hint="eastAsia" w:ascii="宋体" w:hAnsi="宋体" w:cs="宋体"/>
                <w:color w:val="000000"/>
                <w:kern w:val="0"/>
                <w:sz w:val="20"/>
                <w:szCs w:val="20"/>
                <w:lang w:bidi="ar"/>
              </w:rPr>
            </w:pPr>
          </w:p>
        </w:tc>
        <w:tc>
          <w:tcPr>
            <w:tcW w:w="1239" w:type="dxa"/>
            <w:tcBorders>
              <w:top w:val="single" w:color="000000" w:sz="4" w:space="0"/>
              <w:left w:val="single" w:color="000000" w:sz="4" w:space="0"/>
              <w:bottom w:val="single" w:color="000000" w:sz="4" w:space="0"/>
              <w:right w:val="single" w:color="000000" w:sz="4" w:space="0"/>
            </w:tcBorders>
            <w:vAlign w:val="center"/>
          </w:tcPr>
          <w:p w14:paraId="6518B470">
            <w:pPr>
              <w:widowControl/>
              <w:jc w:val="center"/>
              <w:textAlignment w:val="center"/>
              <w:rPr>
                <w:rFonts w:hint="eastAsia" w:ascii="宋体" w:hAnsi="宋体" w:cs="宋体"/>
                <w:color w:val="000000"/>
                <w:kern w:val="0"/>
                <w:sz w:val="20"/>
                <w:szCs w:val="20"/>
                <w:lang w:bidi="ar"/>
              </w:rPr>
            </w:pPr>
          </w:p>
        </w:tc>
        <w:tc>
          <w:tcPr>
            <w:tcW w:w="900" w:type="dxa"/>
            <w:tcBorders>
              <w:top w:val="single" w:color="000000" w:sz="4" w:space="0"/>
              <w:left w:val="single" w:color="000000" w:sz="4" w:space="0"/>
              <w:bottom w:val="single" w:color="000000" w:sz="4" w:space="0"/>
              <w:right w:val="single" w:color="000000" w:sz="4" w:space="0"/>
            </w:tcBorders>
            <w:vAlign w:val="center"/>
          </w:tcPr>
          <w:p w14:paraId="6C3AC7AF">
            <w:pPr>
              <w:widowControl/>
              <w:jc w:val="center"/>
              <w:textAlignment w:val="center"/>
              <w:rPr>
                <w:rFonts w:hint="eastAsia" w:ascii="宋体" w:hAnsi="宋体" w:cs="宋体"/>
                <w:color w:val="000000"/>
                <w:kern w:val="0"/>
                <w:sz w:val="20"/>
                <w:szCs w:val="20"/>
                <w:lang w:bidi="ar"/>
              </w:rPr>
            </w:pPr>
          </w:p>
        </w:tc>
        <w:tc>
          <w:tcPr>
            <w:tcW w:w="832" w:type="dxa"/>
            <w:tcBorders>
              <w:top w:val="single" w:color="000000" w:sz="4" w:space="0"/>
              <w:left w:val="single" w:color="000000" w:sz="4" w:space="0"/>
              <w:bottom w:val="single" w:color="000000" w:sz="4" w:space="0"/>
              <w:right w:val="single" w:color="000000" w:sz="4" w:space="0"/>
            </w:tcBorders>
            <w:vAlign w:val="center"/>
          </w:tcPr>
          <w:p w14:paraId="3F6B499C">
            <w:pPr>
              <w:widowControl/>
              <w:jc w:val="center"/>
              <w:textAlignment w:val="center"/>
              <w:rPr>
                <w:rFonts w:hint="eastAsia" w:ascii="宋体" w:hAnsi="宋体" w:cs="宋体"/>
                <w:color w:val="000000"/>
                <w:kern w:val="0"/>
                <w:sz w:val="20"/>
                <w:szCs w:val="20"/>
                <w:lang w:bidi="ar"/>
              </w:rPr>
            </w:pPr>
          </w:p>
        </w:tc>
        <w:tc>
          <w:tcPr>
            <w:tcW w:w="1143" w:type="dxa"/>
            <w:tcBorders>
              <w:top w:val="single" w:color="000000" w:sz="4" w:space="0"/>
              <w:left w:val="single" w:color="000000" w:sz="4" w:space="0"/>
              <w:bottom w:val="single" w:color="000000" w:sz="4" w:space="0"/>
              <w:right w:val="single" w:color="000000" w:sz="4" w:space="0"/>
            </w:tcBorders>
            <w:vAlign w:val="center"/>
          </w:tcPr>
          <w:p w14:paraId="24755755">
            <w:pPr>
              <w:widowControl/>
              <w:jc w:val="center"/>
              <w:textAlignment w:val="center"/>
              <w:rPr>
                <w:rFonts w:hint="eastAsia" w:ascii="宋体" w:hAnsi="宋体" w:cs="宋体"/>
                <w:color w:val="000000"/>
                <w:kern w:val="0"/>
                <w:sz w:val="20"/>
                <w:szCs w:val="20"/>
                <w:lang w:bidi="ar"/>
              </w:rPr>
            </w:pPr>
          </w:p>
        </w:tc>
        <w:tc>
          <w:tcPr>
            <w:tcW w:w="763" w:type="dxa"/>
            <w:tcBorders>
              <w:top w:val="single" w:color="000000" w:sz="4" w:space="0"/>
              <w:left w:val="single" w:color="000000" w:sz="4" w:space="0"/>
              <w:bottom w:val="single" w:color="000000" w:sz="4" w:space="0"/>
              <w:right w:val="single" w:color="000000" w:sz="4" w:space="0"/>
            </w:tcBorders>
            <w:vAlign w:val="center"/>
          </w:tcPr>
          <w:p w14:paraId="4E32CC0F">
            <w:pPr>
              <w:widowControl/>
              <w:jc w:val="center"/>
              <w:textAlignment w:val="center"/>
              <w:rPr>
                <w:rFonts w:hint="eastAsia" w:ascii="宋体" w:hAnsi="宋体" w:cs="宋体"/>
                <w:color w:val="000000"/>
                <w:kern w:val="0"/>
                <w:sz w:val="20"/>
                <w:szCs w:val="20"/>
                <w:lang w:bidi="ar"/>
              </w:rPr>
            </w:pPr>
          </w:p>
        </w:tc>
        <w:tc>
          <w:tcPr>
            <w:tcW w:w="741" w:type="dxa"/>
            <w:tcBorders>
              <w:top w:val="single" w:color="000000" w:sz="4" w:space="0"/>
              <w:left w:val="single" w:color="000000" w:sz="4" w:space="0"/>
              <w:bottom w:val="single" w:color="000000" w:sz="4" w:space="0"/>
              <w:right w:val="single" w:color="000000" w:sz="4" w:space="0"/>
            </w:tcBorders>
            <w:vAlign w:val="center"/>
          </w:tcPr>
          <w:p w14:paraId="40709195">
            <w:pPr>
              <w:widowControl/>
              <w:jc w:val="center"/>
              <w:textAlignment w:val="center"/>
              <w:rPr>
                <w:rFonts w:hint="eastAsia" w:ascii="宋体" w:hAnsi="宋体" w:cs="宋体"/>
                <w:color w:val="000000"/>
                <w:kern w:val="0"/>
                <w:sz w:val="20"/>
                <w:szCs w:val="20"/>
                <w:lang w:bidi="ar"/>
              </w:rPr>
            </w:pPr>
          </w:p>
        </w:tc>
      </w:tr>
      <w:tr w14:paraId="51189C4D">
        <w:tblPrEx>
          <w:tblCellMar>
            <w:top w:w="0" w:type="dxa"/>
            <w:left w:w="108" w:type="dxa"/>
            <w:bottom w:w="0" w:type="dxa"/>
            <w:right w:w="108" w:type="dxa"/>
          </w:tblCellMar>
        </w:tblPrEx>
        <w:trPr>
          <w:trHeight w:val="20" w:hRule="atLeast"/>
          <w:jc w:val="center"/>
        </w:trPr>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201836">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104</w:t>
            </w:r>
          </w:p>
        </w:tc>
        <w:tc>
          <w:tcPr>
            <w:tcW w:w="2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0B44A1">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乌洛托品甲醛速测管</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CFF3D2">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50份样品试剂用量</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B280A9">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盒（或包）</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67CF38">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634DF1">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260</w:t>
            </w:r>
          </w:p>
        </w:tc>
        <w:tc>
          <w:tcPr>
            <w:tcW w:w="992" w:type="dxa"/>
            <w:tcBorders>
              <w:top w:val="single" w:color="000000" w:sz="4" w:space="0"/>
              <w:left w:val="single" w:color="000000" w:sz="4" w:space="0"/>
              <w:bottom w:val="single" w:color="000000" w:sz="4" w:space="0"/>
              <w:right w:val="single" w:color="000000" w:sz="4" w:space="0"/>
            </w:tcBorders>
            <w:vAlign w:val="center"/>
          </w:tcPr>
          <w:p w14:paraId="7889BD5E">
            <w:pPr>
              <w:widowControl/>
              <w:jc w:val="center"/>
              <w:textAlignment w:val="center"/>
              <w:rPr>
                <w:rFonts w:hint="eastAsia" w:ascii="宋体" w:hAnsi="宋体" w:cs="宋体"/>
                <w:color w:val="000000"/>
                <w:kern w:val="0"/>
                <w:sz w:val="20"/>
                <w:szCs w:val="20"/>
                <w:lang w:bidi="ar"/>
              </w:rPr>
            </w:pPr>
          </w:p>
        </w:tc>
        <w:tc>
          <w:tcPr>
            <w:tcW w:w="1239" w:type="dxa"/>
            <w:tcBorders>
              <w:top w:val="single" w:color="000000" w:sz="4" w:space="0"/>
              <w:left w:val="single" w:color="000000" w:sz="4" w:space="0"/>
              <w:bottom w:val="single" w:color="000000" w:sz="4" w:space="0"/>
              <w:right w:val="single" w:color="000000" w:sz="4" w:space="0"/>
            </w:tcBorders>
            <w:vAlign w:val="center"/>
          </w:tcPr>
          <w:p w14:paraId="7AB2C21B">
            <w:pPr>
              <w:widowControl/>
              <w:jc w:val="center"/>
              <w:textAlignment w:val="center"/>
              <w:rPr>
                <w:rFonts w:hint="eastAsia" w:ascii="宋体" w:hAnsi="宋体" w:cs="宋体"/>
                <w:color w:val="000000"/>
                <w:kern w:val="0"/>
                <w:sz w:val="20"/>
                <w:szCs w:val="20"/>
                <w:lang w:bidi="ar"/>
              </w:rPr>
            </w:pPr>
          </w:p>
        </w:tc>
        <w:tc>
          <w:tcPr>
            <w:tcW w:w="900" w:type="dxa"/>
            <w:tcBorders>
              <w:top w:val="single" w:color="000000" w:sz="4" w:space="0"/>
              <w:left w:val="single" w:color="000000" w:sz="4" w:space="0"/>
              <w:bottom w:val="single" w:color="000000" w:sz="4" w:space="0"/>
              <w:right w:val="single" w:color="000000" w:sz="4" w:space="0"/>
            </w:tcBorders>
            <w:vAlign w:val="center"/>
          </w:tcPr>
          <w:p w14:paraId="0F0FA3DA">
            <w:pPr>
              <w:widowControl/>
              <w:jc w:val="center"/>
              <w:textAlignment w:val="center"/>
              <w:rPr>
                <w:rFonts w:hint="eastAsia" w:ascii="宋体" w:hAnsi="宋体" w:cs="宋体"/>
                <w:color w:val="000000"/>
                <w:kern w:val="0"/>
                <w:sz w:val="20"/>
                <w:szCs w:val="20"/>
                <w:lang w:bidi="ar"/>
              </w:rPr>
            </w:pPr>
          </w:p>
        </w:tc>
        <w:tc>
          <w:tcPr>
            <w:tcW w:w="832" w:type="dxa"/>
            <w:tcBorders>
              <w:top w:val="single" w:color="000000" w:sz="4" w:space="0"/>
              <w:left w:val="single" w:color="000000" w:sz="4" w:space="0"/>
              <w:bottom w:val="single" w:color="000000" w:sz="4" w:space="0"/>
              <w:right w:val="single" w:color="000000" w:sz="4" w:space="0"/>
            </w:tcBorders>
            <w:vAlign w:val="center"/>
          </w:tcPr>
          <w:p w14:paraId="461A1161">
            <w:pPr>
              <w:widowControl/>
              <w:jc w:val="center"/>
              <w:textAlignment w:val="center"/>
              <w:rPr>
                <w:rFonts w:hint="eastAsia" w:ascii="宋体" w:hAnsi="宋体" w:cs="宋体"/>
                <w:color w:val="000000"/>
                <w:kern w:val="0"/>
                <w:sz w:val="20"/>
                <w:szCs w:val="20"/>
                <w:lang w:bidi="ar"/>
              </w:rPr>
            </w:pPr>
          </w:p>
        </w:tc>
        <w:tc>
          <w:tcPr>
            <w:tcW w:w="1143" w:type="dxa"/>
            <w:tcBorders>
              <w:top w:val="single" w:color="000000" w:sz="4" w:space="0"/>
              <w:left w:val="single" w:color="000000" w:sz="4" w:space="0"/>
              <w:bottom w:val="single" w:color="000000" w:sz="4" w:space="0"/>
              <w:right w:val="single" w:color="000000" w:sz="4" w:space="0"/>
            </w:tcBorders>
            <w:vAlign w:val="center"/>
          </w:tcPr>
          <w:p w14:paraId="6C0D5785">
            <w:pPr>
              <w:widowControl/>
              <w:jc w:val="center"/>
              <w:textAlignment w:val="center"/>
              <w:rPr>
                <w:rFonts w:hint="eastAsia" w:ascii="宋体" w:hAnsi="宋体" w:cs="宋体"/>
                <w:color w:val="000000"/>
                <w:kern w:val="0"/>
                <w:sz w:val="20"/>
                <w:szCs w:val="20"/>
                <w:lang w:bidi="ar"/>
              </w:rPr>
            </w:pPr>
          </w:p>
        </w:tc>
        <w:tc>
          <w:tcPr>
            <w:tcW w:w="763" w:type="dxa"/>
            <w:tcBorders>
              <w:top w:val="single" w:color="000000" w:sz="4" w:space="0"/>
              <w:left w:val="single" w:color="000000" w:sz="4" w:space="0"/>
              <w:bottom w:val="single" w:color="000000" w:sz="4" w:space="0"/>
              <w:right w:val="single" w:color="000000" w:sz="4" w:space="0"/>
            </w:tcBorders>
            <w:vAlign w:val="center"/>
          </w:tcPr>
          <w:p w14:paraId="5B65D48D">
            <w:pPr>
              <w:widowControl/>
              <w:jc w:val="center"/>
              <w:textAlignment w:val="center"/>
              <w:rPr>
                <w:rFonts w:hint="eastAsia" w:ascii="宋体" w:hAnsi="宋体" w:cs="宋体"/>
                <w:color w:val="000000"/>
                <w:kern w:val="0"/>
                <w:sz w:val="20"/>
                <w:szCs w:val="20"/>
                <w:lang w:bidi="ar"/>
              </w:rPr>
            </w:pPr>
          </w:p>
        </w:tc>
        <w:tc>
          <w:tcPr>
            <w:tcW w:w="741" w:type="dxa"/>
            <w:tcBorders>
              <w:top w:val="single" w:color="000000" w:sz="4" w:space="0"/>
              <w:left w:val="single" w:color="000000" w:sz="4" w:space="0"/>
              <w:bottom w:val="single" w:color="000000" w:sz="4" w:space="0"/>
              <w:right w:val="single" w:color="000000" w:sz="4" w:space="0"/>
            </w:tcBorders>
            <w:vAlign w:val="center"/>
          </w:tcPr>
          <w:p w14:paraId="6B4FA539">
            <w:pPr>
              <w:widowControl/>
              <w:jc w:val="center"/>
              <w:textAlignment w:val="center"/>
              <w:rPr>
                <w:rFonts w:hint="eastAsia" w:ascii="宋体" w:hAnsi="宋体" w:cs="宋体"/>
                <w:color w:val="000000"/>
                <w:kern w:val="0"/>
                <w:sz w:val="20"/>
                <w:szCs w:val="20"/>
                <w:lang w:bidi="ar"/>
              </w:rPr>
            </w:pPr>
          </w:p>
        </w:tc>
      </w:tr>
      <w:tr w14:paraId="40E73AEF">
        <w:tblPrEx>
          <w:tblCellMar>
            <w:top w:w="0" w:type="dxa"/>
            <w:left w:w="108" w:type="dxa"/>
            <w:bottom w:w="0" w:type="dxa"/>
            <w:right w:w="108" w:type="dxa"/>
          </w:tblCellMar>
        </w:tblPrEx>
        <w:trPr>
          <w:trHeight w:val="20" w:hRule="atLeast"/>
          <w:jc w:val="center"/>
        </w:trPr>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893F9D">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105</w:t>
            </w:r>
          </w:p>
        </w:tc>
        <w:tc>
          <w:tcPr>
            <w:tcW w:w="2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6671F3">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硝酸盐速测管</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8D5BD7">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10份样品用量</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5BD235">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盒（或包）</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7B1D36">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E1AD73">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100</w:t>
            </w:r>
          </w:p>
        </w:tc>
        <w:tc>
          <w:tcPr>
            <w:tcW w:w="992" w:type="dxa"/>
            <w:tcBorders>
              <w:top w:val="single" w:color="000000" w:sz="4" w:space="0"/>
              <w:left w:val="single" w:color="000000" w:sz="4" w:space="0"/>
              <w:bottom w:val="single" w:color="000000" w:sz="4" w:space="0"/>
              <w:right w:val="single" w:color="000000" w:sz="4" w:space="0"/>
            </w:tcBorders>
            <w:vAlign w:val="center"/>
          </w:tcPr>
          <w:p w14:paraId="7D594529">
            <w:pPr>
              <w:widowControl/>
              <w:jc w:val="center"/>
              <w:textAlignment w:val="center"/>
              <w:rPr>
                <w:rFonts w:hint="eastAsia" w:ascii="宋体" w:hAnsi="宋体" w:cs="宋体"/>
                <w:color w:val="000000"/>
                <w:kern w:val="0"/>
                <w:sz w:val="20"/>
                <w:szCs w:val="20"/>
                <w:lang w:bidi="ar"/>
              </w:rPr>
            </w:pPr>
          </w:p>
        </w:tc>
        <w:tc>
          <w:tcPr>
            <w:tcW w:w="1239" w:type="dxa"/>
            <w:tcBorders>
              <w:top w:val="single" w:color="000000" w:sz="4" w:space="0"/>
              <w:left w:val="single" w:color="000000" w:sz="4" w:space="0"/>
              <w:bottom w:val="single" w:color="000000" w:sz="4" w:space="0"/>
              <w:right w:val="single" w:color="000000" w:sz="4" w:space="0"/>
            </w:tcBorders>
            <w:vAlign w:val="center"/>
          </w:tcPr>
          <w:p w14:paraId="05908197">
            <w:pPr>
              <w:widowControl/>
              <w:jc w:val="center"/>
              <w:textAlignment w:val="center"/>
              <w:rPr>
                <w:rFonts w:hint="eastAsia" w:ascii="宋体" w:hAnsi="宋体" w:cs="宋体"/>
                <w:color w:val="000000"/>
                <w:kern w:val="0"/>
                <w:sz w:val="20"/>
                <w:szCs w:val="20"/>
                <w:lang w:bidi="ar"/>
              </w:rPr>
            </w:pPr>
          </w:p>
        </w:tc>
        <w:tc>
          <w:tcPr>
            <w:tcW w:w="900" w:type="dxa"/>
            <w:tcBorders>
              <w:top w:val="single" w:color="000000" w:sz="4" w:space="0"/>
              <w:left w:val="single" w:color="000000" w:sz="4" w:space="0"/>
              <w:bottom w:val="single" w:color="000000" w:sz="4" w:space="0"/>
              <w:right w:val="single" w:color="000000" w:sz="4" w:space="0"/>
            </w:tcBorders>
            <w:vAlign w:val="center"/>
          </w:tcPr>
          <w:p w14:paraId="72E410F5">
            <w:pPr>
              <w:widowControl/>
              <w:jc w:val="center"/>
              <w:textAlignment w:val="center"/>
              <w:rPr>
                <w:rFonts w:hint="eastAsia" w:ascii="宋体" w:hAnsi="宋体" w:cs="宋体"/>
                <w:color w:val="000000"/>
                <w:kern w:val="0"/>
                <w:sz w:val="20"/>
                <w:szCs w:val="20"/>
                <w:lang w:bidi="ar"/>
              </w:rPr>
            </w:pPr>
          </w:p>
        </w:tc>
        <w:tc>
          <w:tcPr>
            <w:tcW w:w="832" w:type="dxa"/>
            <w:tcBorders>
              <w:top w:val="single" w:color="000000" w:sz="4" w:space="0"/>
              <w:left w:val="single" w:color="000000" w:sz="4" w:space="0"/>
              <w:bottom w:val="single" w:color="000000" w:sz="4" w:space="0"/>
              <w:right w:val="single" w:color="000000" w:sz="4" w:space="0"/>
            </w:tcBorders>
            <w:vAlign w:val="center"/>
          </w:tcPr>
          <w:p w14:paraId="78FBF896">
            <w:pPr>
              <w:widowControl/>
              <w:jc w:val="center"/>
              <w:textAlignment w:val="center"/>
              <w:rPr>
                <w:rFonts w:hint="eastAsia" w:ascii="宋体" w:hAnsi="宋体" w:cs="宋体"/>
                <w:color w:val="000000"/>
                <w:kern w:val="0"/>
                <w:sz w:val="20"/>
                <w:szCs w:val="20"/>
                <w:lang w:bidi="ar"/>
              </w:rPr>
            </w:pPr>
          </w:p>
        </w:tc>
        <w:tc>
          <w:tcPr>
            <w:tcW w:w="1143" w:type="dxa"/>
            <w:tcBorders>
              <w:top w:val="single" w:color="000000" w:sz="4" w:space="0"/>
              <w:left w:val="single" w:color="000000" w:sz="4" w:space="0"/>
              <w:bottom w:val="single" w:color="000000" w:sz="4" w:space="0"/>
              <w:right w:val="single" w:color="000000" w:sz="4" w:space="0"/>
            </w:tcBorders>
            <w:vAlign w:val="center"/>
          </w:tcPr>
          <w:p w14:paraId="2F7EC4F9">
            <w:pPr>
              <w:widowControl/>
              <w:jc w:val="center"/>
              <w:textAlignment w:val="center"/>
              <w:rPr>
                <w:rFonts w:hint="eastAsia" w:ascii="宋体" w:hAnsi="宋体" w:cs="宋体"/>
                <w:color w:val="000000"/>
                <w:kern w:val="0"/>
                <w:sz w:val="20"/>
                <w:szCs w:val="20"/>
                <w:lang w:bidi="ar"/>
              </w:rPr>
            </w:pPr>
          </w:p>
        </w:tc>
        <w:tc>
          <w:tcPr>
            <w:tcW w:w="763" w:type="dxa"/>
            <w:tcBorders>
              <w:top w:val="single" w:color="000000" w:sz="4" w:space="0"/>
              <w:left w:val="single" w:color="000000" w:sz="4" w:space="0"/>
              <w:bottom w:val="single" w:color="000000" w:sz="4" w:space="0"/>
              <w:right w:val="single" w:color="000000" w:sz="4" w:space="0"/>
            </w:tcBorders>
            <w:vAlign w:val="center"/>
          </w:tcPr>
          <w:p w14:paraId="06918A73">
            <w:pPr>
              <w:widowControl/>
              <w:jc w:val="center"/>
              <w:textAlignment w:val="center"/>
              <w:rPr>
                <w:rFonts w:hint="eastAsia" w:ascii="宋体" w:hAnsi="宋体" w:cs="宋体"/>
                <w:color w:val="000000"/>
                <w:kern w:val="0"/>
                <w:sz w:val="20"/>
                <w:szCs w:val="20"/>
                <w:lang w:bidi="ar"/>
              </w:rPr>
            </w:pPr>
          </w:p>
        </w:tc>
        <w:tc>
          <w:tcPr>
            <w:tcW w:w="741" w:type="dxa"/>
            <w:tcBorders>
              <w:top w:val="single" w:color="000000" w:sz="4" w:space="0"/>
              <w:left w:val="single" w:color="000000" w:sz="4" w:space="0"/>
              <w:bottom w:val="single" w:color="000000" w:sz="4" w:space="0"/>
              <w:right w:val="single" w:color="000000" w:sz="4" w:space="0"/>
            </w:tcBorders>
            <w:vAlign w:val="center"/>
          </w:tcPr>
          <w:p w14:paraId="4945366C">
            <w:pPr>
              <w:widowControl/>
              <w:jc w:val="center"/>
              <w:textAlignment w:val="center"/>
              <w:rPr>
                <w:rFonts w:hint="eastAsia" w:ascii="宋体" w:hAnsi="宋体" w:cs="宋体"/>
                <w:color w:val="000000"/>
                <w:kern w:val="0"/>
                <w:sz w:val="20"/>
                <w:szCs w:val="20"/>
                <w:lang w:bidi="ar"/>
              </w:rPr>
            </w:pPr>
          </w:p>
        </w:tc>
      </w:tr>
      <w:tr w14:paraId="180CA142">
        <w:tblPrEx>
          <w:tblCellMar>
            <w:top w:w="0" w:type="dxa"/>
            <w:left w:w="108" w:type="dxa"/>
            <w:bottom w:w="0" w:type="dxa"/>
            <w:right w:w="108" w:type="dxa"/>
          </w:tblCellMar>
        </w:tblPrEx>
        <w:trPr>
          <w:trHeight w:val="20" w:hRule="atLeast"/>
          <w:jc w:val="center"/>
        </w:trPr>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95A673">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106</w:t>
            </w:r>
          </w:p>
        </w:tc>
        <w:tc>
          <w:tcPr>
            <w:tcW w:w="2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504690">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重金属镉快速检测试剂盒</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0A5FC9">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10次/盒</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E5CB35">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盒（或包）</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CA6DB6">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3A5C0B">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100</w:t>
            </w:r>
          </w:p>
        </w:tc>
        <w:tc>
          <w:tcPr>
            <w:tcW w:w="992" w:type="dxa"/>
            <w:tcBorders>
              <w:top w:val="single" w:color="000000" w:sz="4" w:space="0"/>
              <w:left w:val="single" w:color="000000" w:sz="4" w:space="0"/>
              <w:bottom w:val="single" w:color="000000" w:sz="4" w:space="0"/>
              <w:right w:val="single" w:color="000000" w:sz="4" w:space="0"/>
            </w:tcBorders>
            <w:vAlign w:val="center"/>
          </w:tcPr>
          <w:p w14:paraId="28C026F1">
            <w:pPr>
              <w:widowControl/>
              <w:jc w:val="center"/>
              <w:textAlignment w:val="center"/>
              <w:rPr>
                <w:rFonts w:hint="eastAsia" w:ascii="宋体" w:hAnsi="宋体" w:cs="宋体"/>
                <w:color w:val="000000"/>
                <w:kern w:val="0"/>
                <w:sz w:val="20"/>
                <w:szCs w:val="20"/>
                <w:lang w:bidi="ar"/>
              </w:rPr>
            </w:pPr>
          </w:p>
        </w:tc>
        <w:tc>
          <w:tcPr>
            <w:tcW w:w="1239" w:type="dxa"/>
            <w:tcBorders>
              <w:top w:val="single" w:color="000000" w:sz="4" w:space="0"/>
              <w:left w:val="single" w:color="000000" w:sz="4" w:space="0"/>
              <w:bottom w:val="single" w:color="000000" w:sz="4" w:space="0"/>
              <w:right w:val="single" w:color="000000" w:sz="4" w:space="0"/>
            </w:tcBorders>
            <w:vAlign w:val="center"/>
          </w:tcPr>
          <w:p w14:paraId="1D73004E">
            <w:pPr>
              <w:widowControl/>
              <w:jc w:val="center"/>
              <w:textAlignment w:val="center"/>
              <w:rPr>
                <w:rFonts w:hint="eastAsia" w:ascii="宋体" w:hAnsi="宋体" w:cs="宋体"/>
                <w:color w:val="000000"/>
                <w:kern w:val="0"/>
                <w:sz w:val="20"/>
                <w:szCs w:val="20"/>
                <w:lang w:bidi="ar"/>
              </w:rPr>
            </w:pPr>
          </w:p>
        </w:tc>
        <w:tc>
          <w:tcPr>
            <w:tcW w:w="900" w:type="dxa"/>
            <w:tcBorders>
              <w:top w:val="single" w:color="000000" w:sz="4" w:space="0"/>
              <w:left w:val="single" w:color="000000" w:sz="4" w:space="0"/>
              <w:bottom w:val="single" w:color="000000" w:sz="4" w:space="0"/>
              <w:right w:val="single" w:color="000000" w:sz="4" w:space="0"/>
            </w:tcBorders>
            <w:vAlign w:val="center"/>
          </w:tcPr>
          <w:p w14:paraId="44122BF0">
            <w:pPr>
              <w:widowControl/>
              <w:jc w:val="center"/>
              <w:textAlignment w:val="center"/>
              <w:rPr>
                <w:rFonts w:hint="eastAsia" w:ascii="宋体" w:hAnsi="宋体" w:cs="宋体"/>
                <w:color w:val="000000"/>
                <w:kern w:val="0"/>
                <w:sz w:val="20"/>
                <w:szCs w:val="20"/>
                <w:lang w:bidi="ar"/>
              </w:rPr>
            </w:pPr>
          </w:p>
        </w:tc>
        <w:tc>
          <w:tcPr>
            <w:tcW w:w="832" w:type="dxa"/>
            <w:tcBorders>
              <w:top w:val="single" w:color="000000" w:sz="4" w:space="0"/>
              <w:left w:val="single" w:color="000000" w:sz="4" w:space="0"/>
              <w:bottom w:val="single" w:color="000000" w:sz="4" w:space="0"/>
              <w:right w:val="single" w:color="000000" w:sz="4" w:space="0"/>
            </w:tcBorders>
            <w:vAlign w:val="center"/>
          </w:tcPr>
          <w:p w14:paraId="5924F865">
            <w:pPr>
              <w:widowControl/>
              <w:jc w:val="center"/>
              <w:textAlignment w:val="center"/>
              <w:rPr>
                <w:rFonts w:hint="eastAsia" w:ascii="宋体" w:hAnsi="宋体" w:cs="宋体"/>
                <w:color w:val="000000"/>
                <w:kern w:val="0"/>
                <w:sz w:val="20"/>
                <w:szCs w:val="20"/>
                <w:lang w:bidi="ar"/>
              </w:rPr>
            </w:pPr>
          </w:p>
        </w:tc>
        <w:tc>
          <w:tcPr>
            <w:tcW w:w="1143" w:type="dxa"/>
            <w:tcBorders>
              <w:top w:val="single" w:color="000000" w:sz="4" w:space="0"/>
              <w:left w:val="single" w:color="000000" w:sz="4" w:space="0"/>
              <w:bottom w:val="single" w:color="000000" w:sz="4" w:space="0"/>
              <w:right w:val="single" w:color="000000" w:sz="4" w:space="0"/>
            </w:tcBorders>
            <w:vAlign w:val="center"/>
          </w:tcPr>
          <w:p w14:paraId="301A21D5">
            <w:pPr>
              <w:widowControl/>
              <w:jc w:val="center"/>
              <w:textAlignment w:val="center"/>
              <w:rPr>
                <w:rFonts w:hint="eastAsia" w:ascii="宋体" w:hAnsi="宋体" w:cs="宋体"/>
                <w:color w:val="000000"/>
                <w:kern w:val="0"/>
                <w:sz w:val="20"/>
                <w:szCs w:val="20"/>
                <w:lang w:bidi="ar"/>
              </w:rPr>
            </w:pPr>
          </w:p>
        </w:tc>
        <w:tc>
          <w:tcPr>
            <w:tcW w:w="763" w:type="dxa"/>
            <w:tcBorders>
              <w:top w:val="single" w:color="000000" w:sz="4" w:space="0"/>
              <w:left w:val="single" w:color="000000" w:sz="4" w:space="0"/>
              <w:bottom w:val="single" w:color="000000" w:sz="4" w:space="0"/>
              <w:right w:val="single" w:color="000000" w:sz="4" w:space="0"/>
            </w:tcBorders>
            <w:vAlign w:val="center"/>
          </w:tcPr>
          <w:p w14:paraId="11FF5167">
            <w:pPr>
              <w:widowControl/>
              <w:jc w:val="center"/>
              <w:textAlignment w:val="center"/>
              <w:rPr>
                <w:rFonts w:hint="eastAsia" w:ascii="宋体" w:hAnsi="宋体" w:cs="宋体"/>
                <w:color w:val="000000"/>
                <w:kern w:val="0"/>
                <w:sz w:val="20"/>
                <w:szCs w:val="20"/>
                <w:lang w:bidi="ar"/>
              </w:rPr>
            </w:pPr>
          </w:p>
        </w:tc>
        <w:tc>
          <w:tcPr>
            <w:tcW w:w="741" w:type="dxa"/>
            <w:tcBorders>
              <w:top w:val="single" w:color="000000" w:sz="4" w:space="0"/>
              <w:left w:val="single" w:color="000000" w:sz="4" w:space="0"/>
              <w:bottom w:val="single" w:color="000000" w:sz="4" w:space="0"/>
              <w:right w:val="single" w:color="000000" w:sz="4" w:space="0"/>
            </w:tcBorders>
            <w:vAlign w:val="center"/>
          </w:tcPr>
          <w:p w14:paraId="2D584614">
            <w:pPr>
              <w:widowControl/>
              <w:jc w:val="center"/>
              <w:textAlignment w:val="center"/>
              <w:rPr>
                <w:rFonts w:hint="eastAsia" w:ascii="宋体" w:hAnsi="宋体" w:cs="宋体"/>
                <w:color w:val="000000"/>
                <w:kern w:val="0"/>
                <w:sz w:val="20"/>
                <w:szCs w:val="20"/>
                <w:lang w:bidi="ar"/>
              </w:rPr>
            </w:pPr>
          </w:p>
        </w:tc>
      </w:tr>
      <w:tr w14:paraId="7DA090E7">
        <w:tblPrEx>
          <w:tblCellMar>
            <w:top w:w="0" w:type="dxa"/>
            <w:left w:w="108" w:type="dxa"/>
            <w:bottom w:w="0" w:type="dxa"/>
            <w:right w:w="108" w:type="dxa"/>
          </w:tblCellMar>
        </w:tblPrEx>
        <w:trPr>
          <w:trHeight w:val="20" w:hRule="atLeast"/>
          <w:jc w:val="center"/>
        </w:trPr>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FDB6A2">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107</w:t>
            </w:r>
          </w:p>
        </w:tc>
        <w:tc>
          <w:tcPr>
            <w:tcW w:w="2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11246A">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三聚氰胺速测卡</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CA8A41">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5片装</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F2C9B7">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盒（或包）</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7FD380">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79AC8B">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180</w:t>
            </w:r>
          </w:p>
        </w:tc>
        <w:tc>
          <w:tcPr>
            <w:tcW w:w="992" w:type="dxa"/>
            <w:tcBorders>
              <w:top w:val="single" w:color="000000" w:sz="4" w:space="0"/>
              <w:left w:val="single" w:color="000000" w:sz="4" w:space="0"/>
              <w:bottom w:val="single" w:color="000000" w:sz="4" w:space="0"/>
              <w:right w:val="single" w:color="000000" w:sz="4" w:space="0"/>
            </w:tcBorders>
            <w:vAlign w:val="center"/>
          </w:tcPr>
          <w:p w14:paraId="5929E006">
            <w:pPr>
              <w:widowControl/>
              <w:jc w:val="center"/>
              <w:textAlignment w:val="center"/>
              <w:rPr>
                <w:rFonts w:hint="eastAsia" w:ascii="宋体" w:hAnsi="宋体" w:cs="宋体"/>
                <w:color w:val="000000"/>
                <w:kern w:val="0"/>
                <w:sz w:val="20"/>
                <w:szCs w:val="20"/>
                <w:lang w:bidi="ar"/>
              </w:rPr>
            </w:pPr>
          </w:p>
        </w:tc>
        <w:tc>
          <w:tcPr>
            <w:tcW w:w="1239" w:type="dxa"/>
            <w:tcBorders>
              <w:top w:val="single" w:color="000000" w:sz="4" w:space="0"/>
              <w:left w:val="single" w:color="000000" w:sz="4" w:space="0"/>
              <w:bottom w:val="single" w:color="000000" w:sz="4" w:space="0"/>
              <w:right w:val="single" w:color="000000" w:sz="4" w:space="0"/>
            </w:tcBorders>
            <w:vAlign w:val="center"/>
          </w:tcPr>
          <w:p w14:paraId="3B75A6D7">
            <w:pPr>
              <w:widowControl/>
              <w:jc w:val="center"/>
              <w:textAlignment w:val="center"/>
              <w:rPr>
                <w:rFonts w:hint="eastAsia" w:ascii="宋体" w:hAnsi="宋体" w:cs="宋体"/>
                <w:color w:val="000000"/>
                <w:kern w:val="0"/>
                <w:sz w:val="20"/>
                <w:szCs w:val="20"/>
                <w:lang w:bidi="ar"/>
              </w:rPr>
            </w:pPr>
          </w:p>
        </w:tc>
        <w:tc>
          <w:tcPr>
            <w:tcW w:w="900" w:type="dxa"/>
            <w:tcBorders>
              <w:top w:val="single" w:color="000000" w:sz="4" w:space="0"/>
              <w:left w:val="single" w:color="000000" w:sz="4" w:space="0"/>
              <w:bottom w:val="single" w:color="000000" w:sz="4" w:space="0"/>
              <w:right w:val="single" w:color="000000" w:sz="4" w:space="0"/>
            </w:tcBorders>
            <w:vAlign w:val="center"/>
          </w:tcPr>
          <w:p w14:paraId="38433ADB">
            <w:pPr>
              <w:widowControl/>
              <w:jc w:val="center"/>
              <w:textAlignment w:val="center"/>
              <w:rPr>
                <w:rFonts w:hint="eastAsia" w:ascii="宋体" w:hAnsi="宋体" w:cs="宋体"/>
                <w:color w:val="000000"/>
                <w:kern w:val="0"/>
                <w:sz w:val="20"/>
                <w:szCs w:val="20"/>
                <w:lang w:bidi="ar"/>
              </w:rPr>
            </w:pPr>
          </w:p>
        </w:tc>
        <w:tc>
          <w:tcPr>
            <w:tcW w:w="832" w:type="dxa"/>
            <w:tcBorders>
              <w:top w:val="single" w:color="000000" w:sz="4" w:space="0"/>
              <w:left w:val="single" w:color="000000" w:sz="4" w:space="0"/>
              <w:bottom w:val="single" w:color="000000" w:sz="4" w:space="0"/>
              <w:right w:val="single" w:color="000000" w:sz="4" w:space="0"/>
            </w:tcBorders>
            <w:vAlign w:val="center"/>
          </w:tcPr>
          <w:p w14:paraId="2DB18B07">
            <w:pPr>
              <w:widowControl/>
              <w:jc w:val="center"/>
              <w:textAlignment w:val="center"/>
              <w:rPr>
                <w:rFonts w:hint="eastAsia" w:ascii="宋体" w:hAnsi="宋体" w:cs="宋体"/>
                <w:color w:val="000000"/>
                <w:kern w:val="0"/>
                <w:sz w:val="20"/>
                <w:szCs w:val="20"/>
                <w:lang w:bidi="ar"/>
              </w:rPr>
            </w:pPr>
          </w:p>
        </w:tc>
        <w:tc>
          <w:tcPr>
            <w:tcW w:w="1143" w:type="dxa"/>
            <w:tcBorders>
              <w:top w:val="single" w:color="000000" w:sz="4" w:space="0"/>
              <w:left w:val="single" w:color="000000" w:sz="4" w:space="0"/>
              <w:bottom w:val="single" w:color="000000" w:sz="4" w:space="0"/>
              <w:right w:val="single" w:color="000000" w:sz="4" w:space="0"/>
            </w:tcBorders>
            <w:vAlign w:val="center"/>
          </w:tcPr>
          <w:p w14:paraId="25334C94">
            <w:pPr>
              <w:widowControl/>
              <w:jc w:val="center"/>
              <w:textAlignment w:val="center"/>
              <w:rPr>
                <w:rFonts w:hint="eastAsia" w:ascii="宋体" w:hAnsi="宋体" w:cs="宋体"/>
                <w:color w:val="000000"/>
                <w:kern w:val="0"/>
                <w:sz w:val="20"/>
                <w:szCs w:val="20"/>
                <w:lang w:bidi="ar"/>
              </w:rPr>
            </w:pPr>
          </w:p>
        </w:tc>
        <w:tc>
          <w:tcPr>
            <w:tcW w:w="763" w:type="dxa"/>
            <w:tcBorders>
              <w:top w:val="single" w:color="000000" w:sz="4" w:space="0"/>
              <w:left w:val="single" w:color="000000" w:sz="4" w:space="0"/>
              <w:bottom w:val="single" w:color="000000" w:sz="4" w:space="0"/>
              <w:right w:val="single" w:color="000000" w:sz="4" w:space="0"/>
            </w:tcBorders>
            <w:vAlign w:val="center"/>
          </w:tcPr>
          <w:p w14:paraId="14C2B9CE">
            <w:pPr>
              <w:widowControl/>
              <w:jc w:val="center"/>
              <w:textAlignment w:val="center"/>
              <w:rPr>
                <w:rFonts w:hint="eastAsia" w:ascii="宋体" w:hAnsi="宋体" w:cs="宋体"/>
                <w:color w:val="000000"/>
                <w:kern w:val="0"/>
                <w:sz w:val="20"/>
                <w:szCs w:val="20"/>
                <w:lang w:bidi="ar"/>
              </w:rPr>
            </w:pPr>
          </w:p>
        </w:tc>
        <w:tc>
          <w:tcPr>
            <w:tcW w:w="741" w:type="dxa"/>
            <w:tcBorders>
              <w:top w:val="single" w:color="000000" w:sz="4" w:space="0"/>
              <w:left w:val="single" w:color="000000" w:sz="4" w:space="0"/>
              <w:bottom w:val="single" w:color="000000" w:sz="4" w:space="0"/>
              <w:right w:val="single" w:color="000000" w:sz="4" w:space="0"/>
            </w:tcBorders>
            <w:vAlign w:val="center"/>
          </w:tcPr>
          <w:p w14:paraId="40C5DB57">
            <w:pPr>
              <w:widowControl/>
              <w:jc w:val="center"/>
              <w:textAlignment w:val="center"/>
              <w:rPr>
                <w:rFonts w:hint="eastAsia" w:ascii="宋体" w:hAnsi="宋体" w:cs="宋体"/>
                <w:color w:val="000000"/>
                <w:kern w:val="0"/>
                <w:sz w:val="20"/>
                <w:szCs w:val="20"/>
                <w:lang w:bidi="ar"/>
              </w:rPr>
            </w:pPr>
          </w:p>
        </w:tc>
      </w:tr>
      <w:tr w14:paraId="0475538C">
        <w:tblPrEx>
          <w:tblCellMar>
            <w:top w:w="0" w:type="dxa"/>
            <w:left w:w="108" w:type="dxa"/>
            <w:bottom w:w="0" w:type="dxa"/>
            <w:right w:w="108" w:type="dxa"/>
          </w:tblCellMar>
        </w:tblPrEx>
        <w:trPr>
          <w:trHeight w:val="20" w:hRule="atLeast"/>
          <w:jc w:val="center"/>
        </w:trPr>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7FE01D">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108</w:t>
            </w:r>
          </w:p>
        </w:tc>
        <w:tc>
          <w:tcPr>
            <w:tcW w:w="2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5A06A2">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盐酸克伦特罗速测卡</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C29F15">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5片装</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DAE832">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盒（或包）</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02F717">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5C200B">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100</w:t>
            </w:r>
          </w:p>
        </w:tc>
        <w:tc>
          <w:tcPr>
            <w:tcW w:w="992" w:type="dxa"/>
            <w:tcBorders>
              <w:top w:val="single" w:color="000000" w:sz="4" w:space="0"/>
              <w:left w:val="single" w:color="000000" w:sz="4" w:space="0"/>
              <w:bottom w:val="single" w:color="000000" w:sz="4" w:space="0"/>
              <w:right w:val="single" w:color="000000" w:sz="4" w:space="0"/>
            </w:tcBorders>
            <w:vAlign w:val="center"/>
          </w:tcPr>
          <w:p w14:paraId="118FDEFB">
            <w:pPr>
              <w:widowControl/>
              <w:jc w:val="center"/>
              <w:textAlignment w:val="center"/>
              <w:rPr>
                <w:rFonts w:hint="eastAsia" w:ascii="宋体" w:hAnsi="宋体" w:cs="宋体"/>
                <w:color w:val="000000"/>
                <w:kern w:val="0"/>
                <w:sz w:val="20"/>
                <w:szCs w:val="20"/>
                <w:lang w:bidi="ar"/>
              </w:rPr>
            </w:pPr>
          </w:p>
        </w:tc>
        <w:tc>
          <w:tcPr>
            <w:tcW w:w="1239" w:type="dxa"/>
            <w:tcBorders>
              <w:top w:val="single" w:color="000000" w:sz="4" w:space="0"/>
              <w:left w:val="single" w:color="000000" w:sz="4" w:space="0"/>
              <w:bottom w:val="single" w:color="000000" w:sz="4" w:space="0"/>
              <w:right w:val="single" w:color="000000" w:sz="4" w:space="0"/>
            </w:tcBorders>
            <w:vAlign w:val="center"/>
          </w:tcPr>
          <w:p w14:paraId="5763666F">
            <w:pPr>
              <w:widowControl/>
              <w:jc w:val="center"/>
              <w:textAlignment w:val="center"/>
              <w:rPr>
                <w:rFonts w:hint="eastAsia" w:ascii="宋体" w:hAnsi="宋体" w:cs="宋体"/>
                <w:color w:val="000000"/>
                <w:kern w:val="0"/>
                <w:sz w:val="20"/>
                <w:szCs w:val="20"/>
                <w:lang w:bidi="ar"/>
              </w:rPr>
            </w:pPr>
          </w:p>
        </w:tc>
        <w:tc>
          <w:tcPr>
            <w:tcW w:w="900" w:type="dxa"/>
            <w:tcBorders>
              <w:top w:val="single" w:color="000000" w:sz="4" w:space="0"/>
              <w:left w:val="single" w:color="000000" w:sz="4" w:space="0"/>
              <w:bottom w:val="single" w:color="000000" w:sz="4" w:space="0"/>
              <w:right w:val="single" w:color="000000" w:sz="4" w:space="0"/>
            </w:tcBorders>
            <w:vAlign w:val="center"/>
          </w:tcPr>
          <w:p w14:paraId="6FAC922C">
            <w:pPr>
              <w:widowControl/>
              <w:jc w:val="center"/>
              <w:textAlignment w:val="center"/>
              <w:rPr>
                <w:rFonts w:hint="eastAsia" w:ascii="宋体" w:hAnsi="宋体" w:cs="宋体"/>
                <w:color w:val="000000"/>
                <w:kern w:val="0"/>
                <w:sz w:val="20"/>
                <w:szCs w:val="20"/>
                <w:lang w:bidi="ar"/>
              </w:rPr>
            </w:pPr>
          </w:p>
        </w:tc>
        <w:tc>
          <w:tcPr>
            <w:tcW w:w="832" w:type="dxa"/>
            <w:tcBorders>
              <w:top w:val="single" w:color="000000" w:sz="4" w:space="0"/>
              <w:left w:val="single" w:color="000000" w:sz="4" w:space="0"/>
              <w:bottom w:val="single" w:color="000000" w:sz="4" w:space="0"/>
              <w:right w:val="single" w:color="000000" w:sz="4" w:space="0"/>
            </w:tcBorders>
            <w:vAlign w:val="center"/>
          </w:tcPr>
          <w:p w14:paraId="1454F6EF">
            <w:pPr>
              <w:widowControl/>
              <w:jc w:val="center"/>
              <w:textAlignment w:val="center"/>
              <w:rPr>
                <w:rFonts w:hint="eastAsia" w:ascii="宋体" w:hAnsi="宋体" w:cs="宋体"/>
                <w:color w:val="000000"/>
                <w:kern w:val="0"/>
                <w:sz w:val="20"/>
                <w:szCs w:val="20"/>
                <w:lang w:bidi="ar"/>
              </w:rPr>
            </w:pPr>
          </w:p>
        </w:tc>
        <w:tc>
          <w:tcPr>
            <w:tcW w:w="1143" w:type="dxa"/>
            <w:tcBorders>
              <w:top w:val="single" w:color="000000" w:sz="4" w:space="0"/>
              <w:left w:val="single" w:color="000000" w:sz="4" w:space="0"/>
              <w:bottom w:val="single" w:color="000000" w:sz="4" w:space="0"/>
              <w:right w:val="single" w:color="000000" w:sz="4" w:space="0"/>
            </w:tcBorders>
            <w:vAlign w:val="center"/>
          </w:tcPr>
          <w:p w14:paraId="3FAD2BD6">
            <w:pPr>
              <w:widowControl/>
              <w:jc w:val="center"/>
              <w:textAlignment w:val="center"/>
              <w:rPr>
                <w:rFonts w:hint="eastAsia" w:ascii="宋体" w:hAnsi="宋体" w:cs="宋体"/>
                <w:color w:val="000000"/>
                <w:kern w:val="0"/>
                <w:sz w:val="20"/>
                <w:szCs w:val="20"/>
                <w:lang w:bidi="ar"/>
              </w:rPr>
            </w:pPr>
          </w:p>
        </w:tc>
        <w:tc>
          <w:tcPr>
            <w:tcW w:w="763" w:type="dxa"/>
            <w:tcBorders>
              <w:top w:val="single" w:color="000000" w:sz="4" w:space="0"/>
              <w:left w:val="single" w:color="000000" w:sz="4" w:space="0"/>
              <w:bottom w:val="single" w:color="000000" w:sz="4" w:space="0"/>
              <w:right w:val="single" w:color="000000" w:sz="4" w:space="0"/>
            </w:tcBorders>
            <w:vAlign w:val="center"/>
          </w:tcPr>
          <w:p w14:paraId="2BBDCAE8">
            <w:pPr>
              <w:widowControl/>
              <w:jc w:val="center"/>
              <w:textAlignment w:val="center"/>
              <w:rPr>
                <w:rFonts w:hint="eastAsia" w:ascii="宋体" w:hAnsi="宋体" w:cs="宋体"/>
                <w:color w:val="000000"/>
                <w:kern w:val="0"/>
                <w:sz w:val="20"/>
                <w:szCs w:val="20"/>
                <w:lang w:bidi="ar"/>
              </w:rPr>
            </w:pPr>
          </w:p>
        </w:tc>
        <w:tc>
          <w:tcPr>
            <w:tcW w:w="741" w:type="dxa"/>
            <w:tcBorders>
              <w:top w:val="single" w:color="000000" w:sz="4" w:space="0"/>
              <w:left w:val="single" w:color="000000" w:sz="4" w:space="0"/>
              <w:bottom w:val="single" w:color="000000" w:sz="4" w:space="0"/>
              <w:right w:val="single" w:color="000000" w:sz="4" w:space="0"/>
            </w:tcBorders>
            <w:vAlign w:val="center"/>
          </w:tcPr>
          <w:p w14:paraId="777E0157">
            <w:pPr>
              <w:widowControl/>
              <w:jc w:val="center"/>
              <w:textAlignment w:val="center"/>
              <w:rPr>
                <w:rFonts w:hint="eastAsia" w:ascii="宋体" w:hAnsi="宋体" w:cs="宋体"/>
                <w:color w:val="000000"/>
                <w:kern w:val="0"/>
                <w:sz w:val="20"/>
                <w:szCs w:val="20"/>
                <w:lang w:bidi="ar"/>
              </w:rPr>
            </w:pPr>
          </w:p>
        </w:tc>
      </w:tr>
      <w:tr w14:paraId="239FEDC2">
        <w:tblPrEx>
          <w:tblCellMar>
            <w:top w:w="0" w:type="dxa"/>
            <w:left w:w="108" w:type="dxa"/>
            <w:bottom w:w="0" w:type="dxa"/>
            <w:right w:w="108" w:type="dxa"/>
          </w:tblCellMar>
        </w:tblPrEx>
        <w:trPr>
          <w:trHeight w:val="20" w:hRule="atLeast"/>
          <w:jc w:val="center"/>
        </w:trPr>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16E8B4">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109</w:t>
            </w:r>
          </w:p>
        </w:tc>
        <w:tc>
          <w:tcPr>
            <w:tcW w:w="2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AF9296">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敌鼠钠盐测试包</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3E6763">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每盒可测多份样品</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E3EDCB">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包</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7CC335">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F75ED1">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100</w:t>
            </w:r>
          </w:p>
        </w:tc>
        <w:tc>
          <w:tcPr>
            <w:tcW w:w="992" w:type="dxa"/>
            <w:tcBorders>
              <w:top w:val="single" w:color="000000" w:sz="4" w:space="0"/>
              <w:left w:val="single" w:color="000000" w:sz="4" w:space="0"/>
              <w:bottom w:val="single" w:color="000000" w:sz="4" w:space="0"/>
              <w:right w:val="single" w:color="000000" w:sz="4" w:space="0"/>
            </w:tcBorders>
            <w:vAlign w:val="center"/>
          </w:tcPr>
          <w:p w14:paraId="01C92BF1">
            <w:pPr>
              <w:widowControl/>
              <w:jc w:val="center"/>
              <w:textAlignment w:val="center"/>
              <w:rPr>
                <w:rFonts w:hint="eastAsia" w:ascii="宋体" w:hAnsi="宋体" w:cs="宋体"/>
                <w:color w:val="000000"/>
                <w:kern w:val="0"/>
                <w:sz w:val="20"/>
                <w:szCs w:val="20"/>
                <w:lang w:bidi="ar"/>
              </w:rPr>
            </w:pPr>
          </w:p>
        </w:tc>
        <w:tc>
          <w:tcPr>
            <w:tcW w:w="1239" w:type="dxa"/>
            <w:tcBorders>
              <w:top w:val="single" w:color="000000" w:sz="4" w:space="0"/>
              <w:left w:val="single" w:color="000000" w:sz="4" w:space="0"/>
              <w:bottom w:val="single" w:color="000000" w:sz="4" w:space="0"/>
              <w:right w:val="single" w:color="000000" w:sz="4" w:space="0"/>
            </w:tcBorders>
            <w:vAlign w:val="center"/>
          </w:tcPr>
          <w:p w14:paraId="6C435B7D">
            <w:pPr>
              <w:widowControl/>
              <w:jc w:val="center"/>
              <w:textAlignment w:val="center"/>
              <w:rPr>
                <w:rFonts w:hint="eastAsia" w:ascii="宋体" w:hAnsi="宋体" w:cs="宋体"/>
                <w:color w:val="000000"/>
                <w:kern w:val="0"/>
                <w:sz w:val="20"/>
                <w:szCs w:val="20"/>
                <w:lang w:bidi="ar"/>
              </w:rPr>
            </w:pPr>
          </w:p>
        </w:tc>
        <w:tc>
          <w:tcPr>
            <w:tcW w:w="900" w:type="dxa"/>
            <w:tcBorders>
              <w:top w:val="single" w:color="000000" w:sz="4" w:space="0"/>
              <w:left w:val="single" w:color="000000" w:sz="4" w:space="0"/>
              <w:bottom w:val="single" w:color="000000" w:sz="4" w:space="0"/>
              <w:right w:val="single" w:color="000000" w:sz="4" w:space="0"/>
            </w:tcBorders>
            <w:vAlign w:val="center"/>
          </w:tcPr>
          <w:p w14:paraId="7BCD120B">
            <w:pPr>
              <w:widowControl/>
              <w:jc w:val="center"/>
              <w:textAlignment w:val="center"/>
              <w:rPr>
                <w:rFonts w:hint="eastAsia" w:ascii="宋体" w:hAnsi="宋体" w:cs="宋体"/>
                <w:color w:val="000000"/>
                <w:kern w:val="0"/>
                <w:sz w:val="20"/>
                <w:szCs w:val="20"/>
                <w:lang w:bidi="ar"/>
              </w:rPr>
            </w:pPr>
          </w:p>
        </w:tc>
        <w:tc>
          <w:tcPr>
            <w:tcW w:w="832" w:type="dxa"/>
            <w:tcBorders>
              <w:top w:val="single" w:color="000000" w:sz="4" w:space="0"/>
              <w:left w:val="single" w:color="000000" w:sz="4" w:space="0"/>
              <w:bottom w:val="single" w:color="000000" w:sz="4" w:space="0"/>
              <w:right w:val="single" w:color="000000" w:sz="4" w:space="0"/>
            </w:tcBorders>
            <w:vAlign w:val="center"/>
          </w:tcPr>
          <w:p w14:paraId="53698FBA">
            <w:pPr>
              <w:widowControl/>
              <w:jc w:val="center"/>
              <w:textAlignment w:val="center"/>
              <w:rPr>
                <w:rFonts w:hint="eastAsia" w:ascii="宋体" w:hAnsi="宋体" w:cs="宋体"/>
                <w:color w:val="000000"/>
                <w:kern w:val="0"/>
                <w:sz w:val="20"/>
                <w:szCs w:val="20"/>
                <w:lang w:bidi="ar"/>
              </w:rPr>
            </w:pPr>
          </w:p>
        </w:tc>
        <w:tc>
          <w:tcPr>
            <w:tcW w:w="1143" w:type="dxa"/>
            <w:tcBorders>
              <w:top w:val="single" w:color="000000" w:sz="4" w:space="0"/>
              <w:left w:val="single" w:color="000000" w:sz="4" w:space="0"/>
              <w:bottom w:val="single" w:color="000000" w:sz="4" w:space="0"/>
              <w:right w:val="single" w:color="000000" w:sz="4" w:space="0"/>
            </w:tcBorders>
            <w:vAlign w:val="center"/>
          </w:tcPr>
          <w:p w14:paraId="0BC8CED4">
            <w:pPr>
              <w:widowControl/>
              <w:jc w:val="center"/>
              <w:textAlignment w:val="center"/>
              <w:rPr>
                <w:rFonts w:hint="eastAsia" w:ascii="宋体" w:hAnsi="宋体" w:cs="宋体"/>
                <w:color w:val="000000"/>
                <w:kern w:val="0"/>
                <w:sz w:val="20"/>
                <w:szCs w:val="20"/>
                <w:lang w:bidi="ar"/>
              </w:rPr>
            </w:pPr>
          </w:p>
        </w:tc>
        <w:tc>
          <w:tcPr>
            <w:tcW w:w="763" w:type="dxa"/>
            <w:tcBorders>
              <w:top w:val="single" w:color="000000" w:sz="4" w:space="0"/>
              <w:left w:val="single" w:color="000000" w:sz="4" w:space="0"/>
              <w:bottom w:val="single" w:color="000000" w:sz="4" w:space="0"/>
              <w:right w:val="single" w:color="000000" w:sz="4" w:space="0"/>
            </w:tcBorders>
            <w:vAlign w:val="center"/>
          </w:tcPr>
          <w:p w14:paraId="27229BCC">
            <w:pPr>
              <w:widowControl/>
              <w:jc w:val="center"/>
              <w:textAlignment w:val="center"/>
              <w:rPr>
                <w:rFonts w:hint="eastAsia" w:ascii="宋体" w:hAnsi="宋体" w:cs="宋体"/>
                <w:color w:val="000000"/>
                <w:kern w:val="0"/>
                <w:sz w:val="20"/>
                <w:szCs w:val="20"/>
                <w:lang w:bidi="ar"/>
              </w:rPr>
            </w:pPr>
          </w:p>
        </w:tc>
        <w:tc>
          <w:tcPr>
            <w:tcW w:w="741" w:type="dxa"/>
            <w:tcBorders>
              <w:top w:val="single" w:color="000000" w:sz="4" w:space="0"/>
              <w:left w:val="single" w:color="000000" w:sz="4" w:space="0"/>
              <w:bottom w:val="single" w:color="000000" w:sz="4" w:space="0"/>
              <w:right w:val="single" w:color="000000" w:sz="4" w:space="0"/>
            </w:tcBorders>
            <w:vAlign w:val="center"/>
          </w:tcPr>
          <w:p w14:paraId="67B489D2">
            <w:pPr>
              <w:widowControl/>
              <w:jc w:val="center"/>
              <w:textAlignment w:val="center"/>
              <w:rPr>
                <w:rFonts w:hint="eastAsia" w:ascii="宋体" w:hAnsi="宋体" w:cs="宋体"/>
                <w:color w:val="000000"/>
                <w:kern w:val="0"/>
                <w:sz w:val="20"/>
                <w:szCs w:val="20"/>
                <w:lang w:bidi="ar"/>
              </w:rPr>
            </w:pPr>
          </w:p>
        </w:tc>
      </w:tr>
      <w:tr w14:paraId="2F6E6039">
        <w:tblPrEx>
          <w:tblCellMar>
            <w:top w:w="0" w:type="dxa"/>
            <w:left w:w="108" w:type="dxa"/>
            <w:bottom w:w="0" w:type="dxa"/>
            <w:right w:w="108" w:type="dxa"/>
          </w:tblCellMar>
        </w:tblPrEx>
        <w:trPr>
          <w:trHeight w:val="20" w:hRule="atLeast"/>
          <w:jc w:val="center"/>
        </w:trPr>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05B958">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110</w:t>
            </w:r>
          </w:p>
        </w:tc>
        <w:tc>
          <w:tcPr>
            <w:tcW w:w="2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CF2978">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镍单元素溶液标准物质</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8DD274">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GBW(E)080128</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FEEEFD">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瓶</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E66176">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39E491">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45</w:t>
            </w:r>
          </w:p>
        </w:tc>
        <w:tc>
          <w:tcPr>
            <w:tcW w:w="992" w:type="dxa"/>
            <w:tcBorders>
              <w:top w:val="single" w:color="000000" w:sz="4" w:space="0"/>
              <w:left w:val="single" w:color="000000" w:sz="4" w:space="0"/>
              <w:bottom w:val="single" w:color="000000" w:sz="4" w:space="0"/>
              <w:right w:val="single" w:color="000000" w:sz="4" w:space="0"/>
            </w:tcBorders>
            <w:vAlign w:val="center"/>
          </w:tcPr>
          <w:p w14:paraId="65515666">
            <w:pPr>
              <w:widowControl/>
              <w:jc w:val="center"/>
              <w:textAlignment w:val="center"/>
              <w:rPr>
                <w:rFonts w:hint="eastAsia" w:ascii="宋体" w:hAnsi="宋体" w:cs="宋体"/>
                <w:color w:val="000000"/>
                <w:kern w:val="0"/>
                <w:sz w:val="20"/>
                <w:szCs w:val="20"/>
                <w:lang w:bidi="ar"/>
              </w:rPr>
            </w:pPr>
          </w:p>
        </w:tc>
        <w:tc>
          <w:tcPr>
            <w:tcW w:w="1239" w:type="dxa"/>
            <w:tcBorders>
              <w:top w:val="single" w:color="000000" w:sz="4" w:space="0"/>
              <w:left w:val="single" w:color="000000" w:sz="4" w:space="0"/>
              <w:bottom w:val="single" w:color="000000" w:sz="4" w:space="0"/>
              <w:right w:val="single" w:color="000000" w:sz="4" w:space="0"/>
            </w:tcBorders>
            <w:vAlign w:val="center"/>
          </w:tcPr>
          <w:p w14:paraId="07F6B2ED">
            <w:pPr>
              <w:widowControl/>
              <w:jc w:val="center"/>
              <w:textAlignment w:val="center"/>
              <w:rPr>
                <w:rFonts w:hint="eastAsia" w:ascii="宋体" w:hAnsi="宋体" w:cs="宋体"/>
                <w:color w:val="000000"/>
                <w:kern w:val="0"/>
                <w:sz w:val="20"/>
                <w:szCs w:val="20"/>
                <w:lang w:bidi="ar"/>
              </w:rPr>
            </w:pPr>
          </w:p>
        </w:tc>
        <w:tc>
          <w:tcPr>
            <w:tcW w:w="900" w:type="dxa"/>
            <w:tcBorders>
              <w:top w:val="single" w:color="000000" w:sz="4" w:space="0"/>
              <w:left w:val="single" w:color="000000" w:sz="4" w:space="0"/>
              <w:bottom w:val="single" w:color="000000" w:sz="4" w:space="0"/>
              <w:right w:val="single" w:color="000000" w:sz="4" w:space="0"/>
            </w:tcBorders>
            <w:vAlign w:val="center"/>
          </w:tcPr>
          <w:p w14:paraId="77D70F14">
            <w:pPr>
              <w:widowControl/>
              <w:jc w:val="center"/>
              <w:textAlignment w:val="center"/>
              <w:rPr>
                <w:rFonts w:hint="eastAsia" w:ascii="宋体" w:hAnsi="宋体" w:cs="宋体"/>
                <w:color w:val="000000"/>
                <w:kern w:val="0"/>
                <w:sz w:val="20"/>
                <w:szCs w:val="20"/>
                <w:lang w:bidi="ar"/>
              </w:rPr>
            </w:pPr>
          </w:p>
        </w:tc>
        <w:tc>
          <w:tcPr>
            <w:tcW w:w="832" w:type="dxa"/>
            <w:tcBorders>
              <w:top w:val="single" w:color="000000" w:sz="4" w:space="0"/>
              <w:left w:val="single" w:color="000000" w:sz="4" w:space="0"/>
              <w:bottom w:val="single" w:color="000000" w:sz="4" w:space="0"/>
              <w:right w:val="single" w:color="000000" w:sz="4" w:space="0"/>
            </w:tcBorders>
            <w:vAlign w:val="center"/>
          </w:tcPr>
          <w:p w14:paraId="631F2F1A">
            <w:pPr>
              <w:widowControl/>
              <w:jc w:val="center"/>
              <w:textAlignment w:val="center"/>
              <w:rPr>
                <w:rFonts w:hint="eastAsia" w:ascii="宋体" w:hAnsi="宋体" w:cs="宋体"/>
                <w:color w:val="000000"/>
                <w:kern w:val="0"/>
                <w:sz w:val="20"/>
                <w:szCs w:val="20"/>
                <w:lang w:bidi="ar"/>
              </w:rPr>
            </w:pPr>
          </w:p>
        </w:tc>
        <w:tc>
          <w:tcPr>
            <w:tcW w:w="1143" w:type="dxa"/>
            <w:tcBorders>
              <w:top w:val="single" w:color="000000" w:sz="4" w:space="0"/>
              <w:left w:val="single" w:color="000000" w:sz="4" w:space="0"/>
              <w:bottom w:val="single" w:color="000000" w:sz="4" w:space="0"/>
              <w:right w:val="single" w:color="000000" w:sz="4" w:space="0"/>
            </w:tcBorders>
            <w:vAlign w:val="center"/>
          </w:tcPr>
          <w:p w14:paraId="083D98D6">
            <w:pPr>
              <w:widowControl/>
              <w:jc w:val="center"/>
              <w:textAlignment w:val="center"/>
              <w:rPr>
                <w:rFonts w:hint="eastAsia" w:ascii="宋体" w:hAnsi="宋体" w:cs="宋体"/>
                <w:color w:val="000000"/>
                <w:kern w:val="0"/>
                <w:sz w:val="20"/>
                <w:szCs w:val="20"/>
                <w:lang w:bidi="ar"/>
              </w:rPr>
            </w:pPr>
          </w:p>
        </w:tc>
        <w:tc>
          <w:tcPr>
            <w:tcW w:w="763" w:type="dxa"/>
            <w:tcBorders>
              <w:top w:val="single" w:color="000000" w:sz="4" w:space="0"/>
              <w:left w:val="single" w:color="000000" w:sz="4" w:space="0"/>
              <w:bottom w:val="single" w:color="000000" w:sz="4" w:space="0"/>
              <w:right w:val="single" w:color="000000" w:sz="4" w:space="0"/>
            </w:tcBorders>
            <w:vAlign w:val="center"/>
          </w:tcPr>
          <w:p w14:paraId="2E605C13">
            <w:pPr>
              <w:widowControl/>
              <w:jc w:val="center"/>
              <w:textAlignment w:val="center"/>
              <w:rPr>
                <w:rFonts w:hint="eastAsia" w:ascii="宋体" w:hAnsi="宋体" w:cs="宋体"/>
                <w:color w:val="000000"/>
                <w:kern w:val="0"/>
                <w:sz w:val="20"/>
                <w:szCs w:val="20"/>
                <w:lang w:bidi="ar"/>
              </w:rPr>
            </w:pPr>
          </w:p>
        </w:tc>
        <w:tc>
          <w:tcPr>
            <w:tcW w:w="741" w:type="dxa"/>
            <w:tcBorders>
              <w:top w:val="single" w:color="000000" w:sz="4" w:space="0"/>
              <w:left w:val="single" w:color="000000" w:sz="4" w:space="0"/>
              <w:bottom w:val="single" w:color="000000" w:sz="4" w:space="0"/>
              <w:right w:val="single" w:color="000000" w:sz="4" w:space="0"/>
            </w:tcBorders>
            <w:vAlign w:val="center"/>
          </w:tcPr>
          <w:p w14:paraId="7E603926">
            <w:pPr>
              <w:widowControl/>
              <w:jc w:val="center"/>
              <w:textAlignment w:val="center"/>
              <w:rPr>
                <w:rFonts w:hint="eastAsia" w:ascii="宋体" w:hAnsi="宋体" w:cs="宋体"/>
                <w:color w:val="000000"/>
                <w:kern w:val="0"/>
                <w:sz w:val="20"/>
                <w:szCs w:val="20"/>
                <w:lang w:bidi="ar"/>
              </w:rPr>
            </w:pPr>
          </w:p>
        </w:tc>
      </w:tr>
      <w:tr w14:paraId="74D28B7B">
        <w:tblPrEx>
          <w:tblCellMar>
            <w:top w:w="0" w:type="dxa"/>
            <w:left w:w="108" w:type="dxa"/>
            <w:bottom w:w="0" w:type="dxa"/>
            <w:right w:w="108" w:type="dxa"/>
          </w:tblCellMar>
        </w:tblPrEx>
        <w:trPr>
          <w:trHeight w:val="20" w:hRule="atLeast"/>
          <w:jc w:val="center"/>
        </w:trPr>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A0FAD5">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111</w:t>
            </w:r>
          </w:p>
        </w:tc>
        <w:tc>
          <w:tcPr>
            <w:tcW w:w="2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70175C">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银单元素溶液标准物质</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0528A1">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GBW(E)080610</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0CFEDE">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瓶</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6AA2F8">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B7392D">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48</w:t>
            </w:r>
          </w:p>
        </w:tc>
        <w:tc>
          <w:tcPr>
            <w:tcW w:w="992" w:type="dxa"/>
            <w:tcBorders>
              <w:top w:val="single" w:color="000000" w:sz="4" w:space="0"/>
              <w:left w:val="single" w:color="000000" w:sz="4" w:space="0"/>
              <w:bottom w:val="single" w:color="000000" w:sz="4" w:space="0"/>
              <w:right w:val="single" w:color="000000" w:sz="4" w:space="0"/>
            </w:tcBorders>
            <w:vAlign w:val="center"/>
          </w:tcPr>
          <w:p w14:paraId="72FE0034">
            <w:pPr>
              <w:widowControl/>
              <w:jc w:val="center"/>
              <w:textAlignment w:val="center"/>
              <w:rPr>
                <w:rFonts w:hint="eastAsia" w:ascii="宋体" w:hAnsi="宋体" w:cs="宋体"/>
                <w:color w:val="000000"/>
                <w:kern w:val="0"/>
                <w:sz w:val="20"/>
                <w:szCs w:val="20"/>
                <w:lang w:bidi="ar"/>
              </w:rPr>
            </w:pPr>
          </w:p>
        </w:tc>
        <w:tc>
          <w:tcPr>
            <w:tcW w:w="1239" w:type="dxa"/>
            <w:tcBorders>
              <w:top w:val="single" w:color="000000" w:sz="4" w:space="0"/>
              <w:left w:val="single" w:color="000000" w:sz="4" w:space="0"/>
              <w:bottom w:val="single" w:color="000000" w:sz="4" w:space="0"/>
              <w:right w:val="single" w:color="000000" w:sz="4" w:space="0"/>
            </w:tcBorders>
            <w:vAlign w:val="center"/>
          </w:tcPr>
          <w:p w14:paraId="2C4E5720">
            <w:pPr>
              <w:widowControl/>
              <w:jc w:val="center"/>
              <w:textAlignment w:val="center"/>
              <w:rPr>
                <w:rFonts w:hint="eastAsia" w:ascii="宋体" w:hAnsi="宋体" w:cs="宋体"/>
                <w:color w:val="000000"/>
                <w:kern w:val="0"/>
                <w:sz w:val="20"/>
                <w:szCs w:val="20"/>
                <w:lang w:bidi="ar"/>
              </w:rPr>
            </w:pPr>
          </w:p>
        </w:tc>
        <w:tc>
          <w:tcPr>
            <w:tcW w:w="900" w:type="dxa"/>
            <w:tcBorders>
              <w:top w:val="single" w:color="000000" w:sz="4" w:space="0"/>
              <w:left w:val="single" w:color="000000" w:sz="4" w:space="0"/>
              <w:bottom w:val="single" w:color="000000" w:sz="4" w:space="0"/>
              <w:right w:val="single" w:color="000000" w:sz="4" w:space="0"/>
            </w:tcBorders>
            <w:vAlign w:val="center"/>
          </w:tcPr>
          <w:p w14:paraId="4E41A4B8">
            <w:pPr>
              <w:widowControl/>
              <w:jc w:val="center"/>
              <w:textAlignment w:val="center"/>
              <w:rPr>
                <w:rFonts w:hint="eastAsia" w:ascii="宋体" w:hAnsi="宋体" w:cs="宋体"/>
                <w:color w:val="000000"/>
                <w:kern w:val="0"/>
                <w:sz w:val="20"/>
                <w:szCs w:val="20"/>
                <w:lang w:bidi="ar"/>
              </w:rPr>
            </w:pPr>
          </w:p>
        </w:tc>
        <w:tc>
          <w:tcPr>
            <w:tcW w:w="832" w:type="dxa"/>
            <w:tcBorders>
              <w:top w:val="single" w:color="000000" w:sz="4" w:space="0"/>
              <w:left w:val="single" w:color="000000" w:sz="4" w:space="0"/>
              <w:bottom w:val="single" w:color="000000" w:sz="4" w:space="0"/>
              <w:right w:val="single" w:color="000000" w:sz="4" w:space="0"/>
            </w:tcBorders>
            <w:vAlign w:val="center"/>
          </w:tcPr>
          <w:p w14:paraId="03FA48A0">
            <w:pPr>
              <w:widowControl/>
              <w:jc w:val="center"/>
              <w:textAlignment w:val="center"/>
              <w:rPr>
                <w:rFonts w:hint="eastAsia" w:ascii="宋体" w:hAnsi="宋体" w:cs="宋体"/>
                <w:color w:val="000000"/>
                <w:kern w:val="0"/>
                <w:sz w:val="20"/>
                <w:szCs w:val="20"/>
                <w:lang w:bidi="ar"/>
              </w:rPr>
            </w:pPr>
          </w:p>
        </w:tc>
        <w:tc>
          <w:tcPr>
            <w:tcW w:w="1143" w:type="dxa"/>
            <w:tcBorders>
              <w:top w:val="single" w:color="000000" w:sz="4" w:space="0"/>
              <w:left w:val="single" w:color="000000" w:sz="4" w:space="0"/>
              <w:bottom w:val="single" w:color="000000" w:sz="4" w:space="0"/>
              <w:right w:val="single" w:color="000000" w:sz="4" w:space="0"/>
            </w:tcBorders>
            <w:vAlign w:val="center"/>
          </w:tcPr>
          <w:p w14:paraId="140D0CFB">
            <w:pPr>
              <w:widowControl/>
              <w:jc w:val="center"/>
              <w:textAlignment w:val="center"/>
              <w:rPr>
                <w:rFonts w:hint="eastAsia" w:ascii="宋体" w:hAnsi="宋体" w:cs="宋体"/>
                <w:color w:val="000000"/>
                <w:kern w:val="0"/>
                <w:sz w:val="20"/>
                <w:szCs w:val="20"/>
                <w:lang w:bidi="ar"/>
              </w:rPr>
            </w:pPr>
          </w:p>
        </w:tc>
        <w:tc>
          <w:tcPr>
            <w:tcW w:w="763" w:type="dxa"/>
            <w:tcBorders>
              <w:top w:val="single" w:color="000000" w:sz="4" w:space="0"/>
              <w:left w:val="single" w:color="000000" w:sz="4" w:space="0"/>
              <w:bottom w:val="single" w:color="000000" w:sz="4" w:space="0"/>
              <w:right w:val="single" w:color="000000" w:sz="4" w:space="0"/>
            </w:tcBorders>
            <w:vAlign w:val="center"/>
          </w:tcPr>
          <w:p w14:paraId="05BD4851">
            <w:pPr>
              <w:widowControl/>
              <w:jc w:val="center"/>
              <w:textAlignment w:val="center"/>
              <w:rPr>
                <w:rFonts w:hint="eastAsia" w:ascii="宋体" w:hAnsi="宋体" w:cs="宋体"/>
                <w:color w:val="000000"/>
                <w:kern w:val="0"/>
                <w:sz w:val="20"/>
                <w:szCs w:val="20"/>
                <w:lang w:bidi="ar"/>
              </w:rPr>
            </w:pPr>
          </w:p>
        </w:tc>
        <w:tc>
          <w:tcPr>
            <w:tcW w:w="741" w:type="dxa"/>
            <w:tcBorders>
              <w:top w:val="single" w:color="000000" w:sz="4" w:space="0"/>
              <w:left w:val="single" w:color="000000" w:sz="4" w:space="0"/>
              <w:bottom w:val="single" w:color="000000" w:sz="4" w:space="0"/>
              <w:right w:val="single" w:color="000000" w:sz="4" w:space="0"/>
            </w:tcBorders>
            <w:vAlign w:val="center"/>
          </w:tcPr>
          <w:p w14:paraId="6831ED38">
            <w:pPr>
              <w:widowControl/>
              <w:jc w:val="center"/>
              <w:textAlignment w:val="center"/>
              <w:rPr>
                <w:rFonts w:hint="eastAsia" w:ascii="宋体" w:hAnsi="宋体" w:cs="宋体"/>
                <w:color w:val="000000"/>
                <w:kern w:val="0"/>
                <w:sz w:val="20"/>
                <w:szCs w:val="20"/>
                <w:lang w:bidi="ar"/>
              </w:rPr>
            </w:pPr>
          </w:p>
        </w:tc>
      </w:tr>
      <w:tr w14:paraId="70D18DE4">
        <w:tblPrEx>
          <w:tblCellMar>
            <w:top w:w="0" w:type="dxa"/>
            <w:left w:w="108" w:type="dxa"/>
            <w:bottom w:w="0" w:type="dxa"/>
            <w:right w:w="108" w:type="dxa"/>
          </w:tblCellMar>
        </w:tblPrEx>
        <w:trPr>
          <w:trHeight w:val="20" w:hRule="atLeast"/>
          <w:jc w:val="center"/>
        </w:trPr>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F7E3B8">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112</w:t>
            </w:r>
          </w:p>
        </w:tc>
        <w:tc>
          <w:tcPr>
            <w:tcW w:w="2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889E37">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十字交叉雾化器</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D47ED7">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锥形，含喷嘴一套</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61CD34">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件</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A89681">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4FDE2E">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15373</w:t>
            </w:r>
          </w:p>
        </w:tc>
        <w:tc>
          <w:tcPr>
            <w:tcW w:w="992" w:type="dxa"/>
            <w:tcBorders>
              <w:top w:val="single" w:color="000000" w:sz="4" w:space="0"/>
              <w:left w:val="single" w:color="000000" w:sz="4" w:space="0"/>
              <w:bottom w:val="single" w:color="000000" w:sz="4" w:space="0"/>
              <w:right w:val="single" w:color="000000" w:sz="4" w:space="0"/>
            </w:tcBorders>
            <w:vAlign w:val="center"/>
          </w:tcPr>
          <w:p w14:paraId="55A02A9B">
            <w:pPr>
              <w:widowControl/>
              <w:jc w:val="center"/>
              <w:textAlignment w:val="center"/>
              <w:rPr>
                <w:rFonts w:hint="eastAsia" w:ascii="宋体" w:hAnsi="宋体" w:cs="宋体"/>
                <w:color w:val="000000"/>
                <w:kern w:val="0"/>
                <w:sz w:val="20"/>
                <w:szCs w:val="20"/>
                <w:lang w:bidi="ar"/>
              </w:rPr>
            </w:pPr>
          </w:p>
        </w:tc>
        <w:tc>
          <w:tcPr>
            <w:tcW w:w="1239" w:type="dxa"/>
            <w:tcBorders>
              <w:top w:val="single" w:color="000000" w:sz="4" w:space="0"/>
              <w:left w:val="single" w:color="000000" w:sz="4" w:space="0"/>
              <w:bottom w:val="single" w:color="000000" w:sz="4" w:space="0"/>
              <w:right w:val="single" w:color="000000" w:sz="4" w:space="0"/>
            </w:tcBorders>
            <w:vAlign w:val="center"/>
          </w:tcPr>
          <w:p w14:paraId="3737A2F3">
            <w:pPr>
              <w:widowControl/>
              <w:jc w:val="center"/>
              <w:textAlignment w:val="center"/>
              <w:rPr>
                <w:rFonts w:hint="eastAsia" w:ascii="宋体" w:hAnsi="宋体" w:cs="宋体"/>
                <w:color w:val="000000"/>
                <w:kern w:val="0"/>
                <w:sz w:val="20"/>
                <w:szCs w:val="20"/>
                <w:lang w:bidi="ar"/>
              </w:rPr>
            </w:pPr>
          </w:p>
        </w:tc>
        <w:tc>
          <w:tcPr>
            <w:tcW w:w="900" w:type="dxa"/>
            <w:tcBorders>
              <w:top w:val="single" w:color="000000" w:sz="4" w:space="0"/>
              <w:left w:val="single" w:color="000000" w:sz="4" w:space="0"/>
              <w:bottom w:val="single" w:color="000000" w:sz="4" w:space="0"/>
              <w:right w:val="single" w:color="000000" w:sz="4" w:space="0"/>
            </w:tcBorders>
            <w:vAlign w:val="center"/>
          </w:tcPr>
          <w:p w14:paraId="6A4A24D3">
            <w:pPr>
              <w:widowControl/>
              <w:jc w:val="center"/>
              <w:textAlignment w:val="center"/>
              <w:rPr>
                <w:rFonts w:hint="eastAsia" w:ascii="宋体" w:hAnsi="宋体" w:cs="宋体"/>
                <w:color w:val="000000"/>
                <w:kern w:val="0"/>
                <w:sz w:val="20"/>
                <w:szCs w:val="20"/>
                <w:lang w:bidi="ar"/>
              </w:rPr>
            </w:pPr>
          </w:p>
        </w:tc>
        <w:tc>
          <w:tcPr>
            <w:tcW w:w="832" w:type="dxa"/>
            <w:tcBorders>
              <w:top w:val="single" w:color="000000" w:sz="4" w:space="0"/>
              <w:left w:val="single" w:color="000000" w:sz="4" w:space="0"/>
              <w:bottom w:val="single" w:color="000000" w:sz="4" w:space="0"/>
              <w:right w:val="single" w:color="000000" w:sz="4" w:space="0"/>
            </w:tcBorders>
            <w:vAlign w:val="center"/>
          </w:tcPr>
          <w:p w14:paraId="17CBA7B6">
            <w:pPr>
              <w:widowControl/>
              <w:jc w:val="center"/>
              <w:textAlignment w:val="center"/>
              <w:rPr>
                <w:rFonts w:hint="eastAsia" w:ascii="宋体" w:hAnsi="宋体" w:cs="宋体"/>
                <w:color w:val="000000"/>
                <w:kern w:val="0"/>
                <w:sz w:val="20"/>
                <w:szCs w:val="20"/>
                <w:lang w:bidi="ar"/>
              </w:rPr>
            </w:pPr>
          </w:p>
        </w:tc>
        <w:tc>
          <w:tcPr>
            <w:tcW w:w="1143" w:type="dxa"/>
            <w:tcBorders>
              <w:top w:val="single" w:color="000000" w:sz="4" w:space="0"/>
              <w:left w:val="single" w:color="000000" w:sz="4" w:space="0"/>
              <w:bottom w:val="single" w:color="000000" w:sz="4" w:space="0"/>
              <w:right w:val="single" w:color="000000" w:sz="4" w:space="0"/>
            </w:tcBorders>
            <w:vAlign w:val="center"/>
          </w:tcPr>
          <w:p w14:paraId="244F2A61">
            <w:pPr>
              <w:widowControl/>
              <w:jc w:val="center"/>
              <w:textAlignment w:val="center"/>
              <w:rPr>
                <w:rFonts w:hint="eastAsia" w:ascii="宋体" w:hAnsi="宋体" w:cs="宋体"/>
                <w:color w:val="000000"/>
                <w:kern w:val="0"/>
                <w:sz w:val="20"/>
                <w:szCs w:val="20"/>
                <w:lang w:bidi="ar"/>
              </w:rPr>
            </w:pPr>
          </w:p>
        </w:tc>
        <w:tc>
          <w:tcPr>
            <w:tcW w:w="763" w:type="dxa"/>
            <w:tcBorders>
              <w:top w:val="single" w:color="000000" w:sz="4" w:space="0"/>
              <w:left w:val="single" w:color="000000" w:sz="4" w:space="0"/>
              <w:bottom w:val="single" w:color="000000" w:sz="4" w:space="0"/>
              <w:right w:val="single" w:color="000000" w:sz="4" w:space="0"/>
            </w:tcBorders>
            <w:vAlign w:val="center"/>
          </w:tcPr>
          <w:p w14:paraId="45901EE8">
            <w:pPr>
              <w:widowControl/>
              <w:jc w:val="center"/>
              <w:textAlignment w:val="center"/>
              <w:rPr>
                <w:rFonts w:hint="eastAsia" w:ascii="宋体" w:hAnsi="宋体" w:cs="宋体"/>
                <w:color w:val="000000"/>
                <w:kern w:val="0"/>
                <w:sz w:val="20"/>
                <w:szCs w:val="20"/>
                <w:lang w:bidi="ar"/>
              </w:rPr>
            </w:pPr>
          </w:p>
        </w:tc>
        <w:tc>
          <w:tcPr>
            <w:tcW w:w="741" w:type="dxa"/>
            <w:tcBorders>
              <w:top w:val="single" w:color="000000" w:sz="4" w:space="0"/>
              <w:left w:val="single" w:color="000000" w:sz="4" w:space="0"/>
              <w:bottom w:val="single" w:color="000000" w:sz="4" w:space="0"/>
              <w:right w:val="single" w:color="000000" w:sz="4" w:space="0"/>
            </w:tcBorders>
            <w:vAlign w:val="center"/>
          </w:tcPr>
          <w:p w14:paraId="23FBBAAB">
            <w:pPr>
              <w:widowControl/>
              <w:jc w:val="center"/>
              <w:textAlignment w:val="center"/>
              <w:rPr>
                <w:rFonts w:hint="eastAsia" w:ascii="宋体" w:hAnsi="宋体" w:cs="宋体"/>
                <w:color w:val="000000"/>
                <w:kern w:val="0"/>
                <w:sz w:val="20"/>
                <w:szCs w:val="20"/>
                <w:lang w:bidi="ar"/>
              </w:rPr>
            </w:pPr>
          </w:p>
        </w:tc>
      </w:tr>
      <w:tr w14:paraId="65157D71">
        <w:tblPrEx>
          <w:tblCellMar>
            <w:top w:w="0" w:type="dxa"/>
            <w:left w:w="108" w:type="dxa"/>
            <w:bottom w:w="0" w:type="dxa"/>
            <w:right w:w="108" w:type="dxa"/>
          </w:tblCellMar>
        </w:tblPrEx>
        <w:trPr>
          <w:trHeight w:val="20" w:hRule="atLeast"/>
          <w:jc w:val="center"/>
        </w:trPr>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F087D8">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113</w:t>
            </w:r>
          </w:p>
        </w:tc>
        <w:tc>
          <w:tcPr>
            <w:tcW w:w="2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B039C8">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水平观测窗</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A64E85">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圆形，石英材质</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86D08C">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件</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98ED68">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83EBDE">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2418</w:t>
            </w:r>
          </w:p>
        </w:tc>
        <w:tc>
          <w:tcPr>
            <w:tcW w:w="992" w:type="dxa"/>
            <w:tcBorders>
              <w:top w:val="single" w:color="000000" w:sz="4" w:space="0"/>
              <w:left w:val="single" w:color="000000" w:sz="4" w:space="0"/>
              <w:bottom w:val="single" w:color="000000" w:sz="4" w:space="0"/>
              <w:right w:val="single" w:color="000000" w:sz="4" w:space="0"/>
            </w:tcBorders>
            <w:vAlign w:val="center"/>
          </w:tcPr>
          <w:p w14:paraId="1E4AC0D7">
            <w:pPr>
              <w:widowControl/>
              <w:jc w:val="center"/>
              <w:textAlignment w:val="center"/>
              <w:rPr>
                <w:rFonts w:hint="eastAsia" w:ascii="宋体" w:hAnsi="宋体" w:cs="宋体"/>
                <w:color w:val="000000"/>
                <w:kern w:val="0"/>
                <w:sz w:val="20"/>
                <w:szCs w:val="20"/>
                <w:lang w:bidi="ar"/>
              </w:rPr>
            </w:pPr>
          </w:p>
        </w:tc>
        <w:tc>
          <w:tcPr>
            <w:tcW w:w="1239" w:type="dxa"/>
            <w:tcBorders>
              <w:top w:val="single" w:color="000000" w:sz="4" w:space="0"/>
              <w:left w:val="single" w:color="000000" w:sz="4" w:space="0"/>
              <w:bottom w:val="single" w:color="000000" w:sz="4" w:space="0"/>
              <w:right w:val="single" w:color="000000" w:sz="4" w:space="0"/>
            </w:tcBorders>
            <w:vAlign w:val="center"/>
          </w:tcPr>
          <w:p w14:paraId="37932700">
            <w:pPr>
              <w:widowControl/>
              <w:jc w:val="center"/>
              <w:textAlignment w:val="center"/>
              <w:rPr>
                <w:rFonts w:hint="eastAsia" w:ascii="宋体" w:hAnsi="宋体" w:cs="宋体"/>
                <w:color w:val="000000"/>
                <w:kern w:val="0"/>
                <w:sz w:val="20"/>
                <w:szCs w:val="20"/>
                <w:lang w:bidi="ar"/>
              </w:rPr>
            </w:pPr>
          </w:p>
        </w:tc>
        <w:tc>
          <w:tcPr>
            <w:tcW w:w="900" w:type="dxa"/>
            <w:tcBorders>
              <w:top w:val="single" w:color="000000" w:sz="4" w:space="0"/>
              <w:left w:val="single" w:color="000000" w:sz="4" w:space="0"/>
              <w:bottom w:val="single" w:color="000000" w:sz="4" w:space="0"/>
              <w:right w:val="single" w:color="000000" w:sz="4" w:space="0"/>
            </w:tcBorders>
            <w:vAlign w:val="center"/>
          </w:tcPr>
          <w:p w14:paraId="0AE7ADB1">
            <w:pPr>
              <w:widowControl/>
              <w:jc w:val="center"/>
              <w:textAlignment w:val="center"/>
              <w:rPr>
                <w:rFonts w:hint="eastAsia" w:ascii="宋体" w:hAnsi="宋体" w:cs="宋体"/>
                <w:color w:val="000000"/>
                <w:kern w:val="0"/>
                <w:sz w:val="20"/>
                <w:szCs w:val="20"/>
                <w:lang w:bidi="ar"/>
              </w:rPr>
            </w:pPr>
          </w:p>
        </w:tc>
        <w:tc>
          <w:tcPr>
            <w:tcW w:w="832" w:type="dxa"/>
            <w:tcBorders>
              <w:top w:val="single" w:color="000000" w:sz="4" w:space="0"/>
              <w:left w:val="single" w:color="000000" w:sz="4" w:space="0"/>
              <w:bottom w:val="single" w:color="000000" w:sz="4" w:space="0"/>
              <w:right w:val="single" w:color="000000" w:sz="4" w:space="0"/>
            </w:tcBorders>
            <w:vAlign w:val="center"/>
          </w:tcPr>
          <w:p w14:paraId="32EDE7FB">
            <w:pPr>
              <w:widowControl/>
              <w:jc w:val="center"/>
              <w:textAlignment w:val="center"/>
              <w:rPr>
                <w:rFonts w:hint="eastAsia" w:ascii="宋体" w:hAnsi="宋体" w:cs="宋体"/>
                <w:color w:val="000000"/>
                <w:kern w:val="0"/>
                <w:sz w:val="20"/>
                <w:szCs w:val="20"/>
                <w:lang w:bidi="ar"/>
              </w:rPr>
            </w:pPr>
          </w:p>
        </w:tc>
        <w:tc>
          <w:tcPr>
            <w:tcW w:w="1143" w:type="dxa"/>
            <w:tcBorders>
              <w:top w:val="single" w:color="000000" w:sz="4" w:space="0"/>
              <w:left w:val="single" w:color="000000" w:sz="4" w:space="0"/>
              <w:bottom w:val="single" w:color="000000" w:sz="4" w:space="0"/>
              <w:right w:val="single" w:color="000000" w:sz="4" w:space="0"/>
            </w:tcBorders>
            <w:vAlign w:val="center"/>
          </w:tcPr>
          <w:p w14:paraId="3885A8E4">
            <w:pPr>
              <w:widowControl/>
              <w:jc w:val="center"/>
              <w:textAlignment w:val="center"/>
              <w:rPr>
                <w:rFonts w:hint="eastAsia" w:ascii="宋体" w:hAnsi="宋体" w:cs="宋体"/>
                <w:color w:val="000000"/>
                <w:kern w:val="0"/>
                <w:sz w:val="20"/>
                <w:szCs w:val="20"/>
                <w:lang w:bidi="ar"/>
              </w:rPr>
            </w:pPr>
          </w:p>
        </w:tc>
        <w:tc>
          <w:tcPr>
            <w:tcW w:w="763" w:type="dxa"/>
            <w:tcBorders>
              <w:top w:val="single" w:color="000000" w:sz="4" w:space="0"/>
              <w:left w:val="single" w:color="000000" w:sz="4" w:space="0"/>
              <w:bottom w:val="single" w:color="000000" w:sz="4" w:space="0"/>
              <w:right w:val="single" w:color="000000" w:sz="4" w:space="0"/>
            </w:tcBorders>
            <w:vAlign w:val="center"/>
          </w:tcPr>
          <w:p w14:paraId="081ADBFD">
            <w:pPr>
              <w:widowControl/>
              <w:jc w:val="center"/>
              <w:textAlignment w:val="center"/>
              <w:rPr>
                <w:rFonts w:hint="eastAsia" w:ascii="宋体" w:hAnsi="宋体" w:cs="宋体"/>
                <w:color w:val="000000"/>
                <w:kern w:val="0"/>
                <w:sz w:val="20"/>
                <w:szCs w:val="20"/>
                <w:lang w:bidi="ar"/>
              </w:rPr>
            </w:pPr>
          </w:p>
        </w:tc>
        <w:tc>
          <w:tcPr>
            <w:tcW w:w="741" w:type="dxa"/>
            <w:tcBorders>
              <w:top w:val="single" w:color="000000" w:sz="4" w:space="0"/>
              <w:left w:val="single" w:color="000000" w:sz="4" w:space="0"/>
              <w:bottom w:val="single" w:color="000000" w:sz="4" w:space="0"/>
              <w:right w:val="single" w:color="000000" w:sz="4" w:space="0"/>
            </w:tcBorders>
            <w:vAlign w:val="center"/>
          </w:tcPr>
          <w:p w14:paraId="183A64F8">
            <w:pPr>
              <w:widowControl/>
              <w:jc w:val="center"/>
              <w:textAlignment w:val="center"/>
              <w:rPr>
                <w:rFonts w:hint="eastAsia" w:ascii="宋体" w:hAnsi="宋体" w:cs="宋体"/>
                <w:color w:val="000000"/>
                <w:kern w:val="0"/>
                <w:sz w:val="20"/>
                <w:szCs w:val="20"/>
                <w:lang w:bidi="ar"/>
              </w:rPr>
            </w:pPr>
          </w:p>
        </w:tc>
      </w:tr>
      <w:tr w14:paraId="5D233D37">
        <w:tblPrEx>
          <w:tblCellMar>
            <w:top w:w="0" w:type="dxa"/>
            <w:left w:w="108" w:type="dxa"/>
            <w:bottom w:w="0" w:type="dxa"/>
            <w:right w:w="108" w:type="dxa"/>
          </w:tblCellMar>
        </w:tblPrEx>
        <w:trPr>
          <w:trHeight w:val="20" w:hRule="atLeast"/>
          <w:jc w:val="center"/>
        </w:trPr>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12DAB9">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114</w:t>
            </w:r>
          </w:p>
        </w:tc>
        <w:tc>
          <w:tcPr>
            <w:tcW w:w="2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AC4D9E">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垂直观测窗</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726EF3">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柱状，石英材质</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0953E2">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件</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A16ABA">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428287">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3351</w:t>
            </w:r>
          </w:p>
        </w:tc>
        <w:tc>
          <w:tcPr>
            <w:tcW w:w="992" w:type="dxa"/>
            <w:tcBorders>
              <w:top w:val="single" w:color="000000" w:sz="4" w:space="0"/>
              <w:left w:val="single" w:color="000000" w:sz="4" w:space="0"/>
              <w:bottom w:val="single" w:color="000000" w:sz="4" w:space="0"/>
              <w:right w:val="single" w:color="000000" w:sz="4" w:space="0"/>
            </w:tcBorders>
            <w:vAlign w:val="center"/>
          </w:tcPr>
          <w:p w14:paraId="6EEC1C56">
            <w:pPr>
              <w:widowControl/>
              <w:jc w:val="center"/>
              <w:textAlignment w:val="center"/>
              <w:rPr>
                <w:rFonts w:hint="eastAsia" w:ascii="宋体" w:hAnsi="宋体" w:cs="宋体"/>
                <w:color w:val="000000"/>
                <w:kern w:val="0"/>
                <w:sz w:val="20"/>
                <w:szCs w:val="20"/>
                <w:lang w:bidi="ar"/>
              </w:rPr>
            </w:pPr>
          </w:p>
        </w:tc>
        <w:tc>
          <w:tcPr>
            <w:tcW w:w="1239" w:type="dxa"/>
            <w:tcBorders>
              <w:top w:val="single" w:color="000000" w:sz="4" w:space="0"/>
              <w:left w:val="single" w:color="000000" w:sz="4" w:space="0"/>
              <w:bottom w:val="single" w:color="000000" w:sz="4" w:space="0"/>
              <w:right w:val="single" w:color="000000" w:sz="4" w:space="0"/>
            </w:tcBorders>
            <w:vAlign w:val="center"/>
          </w:tcPr>
          <w:p w14:paraId="03577548">
            <w:pPr>
              <w:widowControl/>
              <w:jc w:val="center"/>
              <w:textAlignment w:val="center"/>
              <w:rPr>
                <w:rFonts w:hint="eastAsia" w:ascii="宋体" w:hAnsi="宋体" w:cs="宋体"/>
                <w:color w:val="000000"/>
                <w:kern w:val="0"/>
                <w:sz w:val="20"/>
                <w:szCs w:val="20"/>
                <w:lang w:bidi="ar"/>
              </w:rPr>
            </w:pPr>
          </w:p>
        </w:tc>
        <w:tc>
          <w:tcPr>
            <w:tcW w:w="900" w:type="dxa"/>
            <w:tcBorders>
              <w:top w:val="single" w:color="000000" w:sz="4" w:space="0"/>
              <w:left w:val="single" w:color="000000" w:sz="4" w:space="0"/>
              <w:bottom w:val="single" w:color="000000" w:sz="4" w:space="0"/>
              <w:right w:val="single" w:color="000000" w:sz="4" w:space="0"/>
            </w:tcBorders>
            <w:vAlign w:val="center"/>
          </w:tcPr>
          <w:p w14:paraId="53B2D541">
            <w:pPr>
              <w:widowControl/>
              <w:jc w:val="center"/>
              <w:textAlignment w:val="center"/>
              <w:rPr>
                <w:rFonts w:hint="eastAsia" w:ascii="宋体" w:hAnsi="宋体" w:cs="宋体"/>
                <w:color w:val="000000"/>
                <w:kern w:val="0"/>
                <w:sz w:val="20"/>
                <w:szCs w:val="20"/>
                <w:lang w:bidi="ar"/>
              </w:rPr>
            </w:pPr>
          </w:p>
        </w:tc>
        <w:tc>
          <w:tcPr>
            <w:tcW w:w="832" w:type="dxa"/>
            <w:tcBorders>
              <w:top w:val="single" w:color="000000" w:sz="4" w:space="0"/>
              <w:left w:val="single" w:color="000000" w:sz="4" w:space="0"/>
              <w:bottom w:val="single" w:color="000000" w:sz="4" w:space="0"/>
              <w:right w:val="single" w:color="000000" w:sz="4" w:space="0"/>
            </w:tcBorders>
            <w:vAlign w:val="center"/>
          </w:tcPr>
          <w:p w14:paraId="08DAFACF">
            <w:pPr>
              <w:widowControl/>
              <w:jc w:val="center"/>
              <w:textAlignment w:val="center"/>
              <w:rPr>
                <w:rFonts w:hint="eastAsia" w:ascii="宋体" w:hAnsi="宋体" w:cs="宋体"/>
                <w:color w:val="000000"/>
                <w:kern w:val="0"/>
                <w:sz w:val="20"/>
                <w:szCs w:val="20"/>
                <w:lang w:bidi="ar"/>
              </w:rPr>
            </w:pPr>
          </w:p>
        </w:tc>
        <w:tc>
          <w:tcPr>
            <w:tcW w:w="1143" w:type="dxa"/>
            <w:tcBorders>
              <w:top w:val="single" w:color="000000" w:sz="4" w:space="0"/>
              <w:left w:val="single" w:color="000000" w:sz="4" w:space="0"/>
              <w:bottom w:val="single" w:color="000000" w:sz="4" w:space="0"/>
              <w:right w:val="single" w:color="000000" w:sz="4" w:space="0"/>
            </w:tcBorders>
            <w:vAlign w:val="center"/>
          </w:tcPr>
          <w:p w14:paraId="45A6A46E">
            <w:pPr>
              <w:widowControl/>
              <w:jc w:val="center"/>
              <w:textAlignment w:val="center"/>
              <w:rPr>
                <w:rFonts w:hint="eastAsia" w:ascii="宋体" w:hAnsi="宋体" w:cs="宋体"/>
                <w:color w:val="000000"/>
                <w:kern w:val="0"/>
                <w:sz w:val="20"/>
                <w:szCs w:val="20"/>
                <w:lang w:bidi="ar"/>
              </w:rPr>
            </w:pPr>
          </w:p>
        </w:tc>
        <w:tc>
          <w:tcPr>
            <w:tcW w:w="763" w:type="dxa"/>
            <w:tcBorders>
              <w:top w:val="single" w:color="000000" w:sz="4" w:space="0"/>
              <w:left w:val="single" w:color="000000" w:sz="4" w:space="0"/>
              <w:bottom w:val="single" w:color="000000" w:sz="4" w:space="0"/>
              <w:right w:val="single" w:color="000000" w:sz="4" w:space="0"/>
            </w:tcBorders>
            <w:vAlign w:val="center"/>
          </w:tcPr>
          <w:p w14:paraId="7709A4AF">
            <w:pPr>
              <w:widowControl/>
              <w:jc w:val="center"/>
              <w:textAlignment w:val="center"/>
              <w:rPr>
                <w:rFonts w:hint="eastAsia" w:ascii="宋体" w:hAnsi="宋体" w:cs="宋体"/>
                <w:color w:val="000000"/>
                <w:kern w:val="0"/>
                <w:sz w:val="20"/>
                <w:szCs w:val="20"/>
                <w:lang w:bidi="ar"/>
              </w:rPr>
            </w:pPr>
          </w:p>
        </w:tc>
        <w:tc>
          <w:tcPr>
            <w:tcW w:w="741" w:type="dxa"/>
            <w:tcBorders>
              <w:top w:val="single" w:color="000000" w:sz="4" w:space="0"/>
              <w:left w:val="single" w:color="000000" w:sz="4" w:space="0"/>
              <w:bottom w:val="single" w:color="000000" w:sz="4" w:space="0"/>
              <w:right w:val="single" w:color="000000" w:sz="4" w:space="0"/>
            </w:tcBorders>
            <w:vAlign w:val="center"/>
          </w:tcPr>
          <w:p w14:paraId="0F49FC13">
            <w:pPr>
              <w:widowControl/>
              <w:jc w:val="center"/>
              <w:textAlignment w:val="center"/>
              <w:rPr>
                <w:rFonts w:hint="eastAsia" w:ascii="宋体" w:hAnsi="宋体" w:cs="宋体"/>
                <w:color w:val="000000"/>
                <w:kern w:val="0"/>
                <w:sz w:val="20"/>
                <w:szCs w:val="20"/>
                <w:lang w:bidi="ar"/>
              </w:rPr>
            </w:pPr>
          </w:p>
        </w:tc>
      </w:tr>
      <w:tr w14:paraId="38665303">
        <w:tblPrEx>
          <w:tblCellMar>
            <w:top w:w="0" w:type="dxa"/>
            <w:left w:w="108" w:type="dxa"/>
            <w:bottom w:w="0" w:type="dxa"/>
            <w:right w:w="108" w:type="dxa"/>
          </w:tblCellMar>
        </w:tblPrEx>
        <w:trPr>
          <w:trHeight w:val="20" w:hRule="atLeast"/>
          <w:jc w:val="center"/>
        </w:trPr>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FCEE02">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115</w:t>
            </w:r>
          </w:p>
        </w:tc>
        <w:tc>
          <w:tcPr>
            <w:tcW w:w="2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E3BC20">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氧化铝中心管</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F88489">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氧化铝，圆柱形</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5A55F0">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件</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DF4762">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F59177">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3651</w:t>
            </w:r>
          </w:p>
        </w:tc>
        <w:tc>
          <w:tcPr>
            <w:tcW w:w="992" w:type="dxa"/>
            <w:tcBorders>
              <w:top w:val="single" w:color="000000" w:sz="4" w:space="0"/>
              <w:left w:val="single" w:color="000000" w:sz="4" w:space="0"/>
              <w:bottom w:val="single" w:color="000000" w:sz="4" w:space="0"/>
              <w:right w:val="single" w:color="000000" w:sz="4" w:space="0"/>
            </w:tcBorders>
            <w:vAlign w:val="center"/>
          </w:tcPr>
          <w:p w14:paraId="7AC11BC5">
            <w:pPr>
              <w:widowControl/>
              <w:jc w:val="center"/>
              <w:textAlignment w:val="center"/>
              <w:rPr>
                <w:rFonts w:hint="eastAsia" w:ascii="宋体" w:hAnsi="宋体" w:cs="宋体"/>
                <w:color w:val="000000"/>
                <w:kern w:val="0"/>
                <w:sz w:val="20"/>
                <w:szCs w:val="20"/>
                <w:lang w:bidi="ar"/>
              </w:rPr>
            </w:pPr>
          </w:p>
        </w:tc>
        <w:tc>
          <w:tcPr>
            <w:tcW w:w="1239" w:type="dxa"/>
            <w:tcBorders>
              <w:top w:val="single" w:color="000000" w:sz="4" w:space="0"/>
              <w:left w:val="single" w:color="000000" w:sz="4" w:space="0"/>
              <w:bottom w:val="single" w:color="000000" w:sz="4" w:space="0"/>
              <w:right w:val="single" w:color="000000" w:sz="4" w:space="0"/>
            </w:tcBorders>
            <w:vAlign w:val="center"/>
          </w:tcPr>
          <w:p w14:paraId="1DE423F3">
            <w:pPr>
              <w:widowControl/>
              <w:jc w:val="center"/>
              <w:textAlignment w:val="center"/>
              <w:rPr>
                <w:rFonts w:hint="eastAsia" w:ascii="宋体" w:hAnsi="宋体" w:cs="宋体"/>
                <w:color w:val="000000"/>
                <w:kern w:val="0"/>
                <w:sz w:val="20"/>
                <w:szCs w:val="20"/>
                <w:lang w:bidi="ar"/>
              </w:rPr>
            </w:pPr>
          </w:p>
        </w:tc>
        <w:tc>
          <w:tcPr>
            <w:tcW w:w="900" w:type="dxa"/>
            <w:tcBorders>
              <w:top w:val="single" w:color="000000" w:sz="4" w:space="0"/>
              <w:left w:val="single" w:color="000000" w:sz="4" w:space="0"/>
              <w:bottom w:val="single" w:color="000000" w:sz="4" w:space="0"/>
              <w:right w:val="single" w:color="000000" w:sz="4" w:space="0"/>
            </w:tcBorders>
            <w:vAlign w:val="center"/>
          </w:tcPr>
          <w:p w14:paraId="6CE72E9A">
            <w:pPr>
              <w:widowControl/>
              <w:jc w:val="center"/>
              <w:textAlignment w:val="center"/>
              <w:rPr>
                <w:rFonts w:hint="eastAsia" w:ascii="宋体" w:hAnsi="宋体" w:cs="宋体"/>
                <w:color w:val="000000"/>
                <w:kern w:val="0"/>
                <w:sz w:val="20"/>
                <w:szCs w:val="20"/>
                <w:lang w:bidi="ar"/>
              </w:rPr>
            </w:pPr>
          </w:p>
        </w:tc>
        <w:tc>
          <w:tcPr>
            <w:tcW w:w="832" w:type="dxa"/>
            <w:tcBorders>
              <w:top w:val="single" w:color="000000" w:sz="4" w:space="0"/>
              <w:left w:val="single" w:color="000000" w:sz="4" w:space="0"/>
              <w:bottom w:val="single" w:color="000000" w:sz="4" w:space="0"/>
              <w:right w:val="single" w:color="000000" w:sz="4" w:space="0"/>
            </w:tcBorders>
            <w:vAlign w:val="center"/>
          </w:tcPr>
          <w:p w14:paraId="7AB03CA4">
            <w:pPr>
              <w:widowControl/>
              <w:jc w:val="center"/>
              <w:textAlignment w:val="center"/>
              <w:rPr>
                <w:rFonts w:hint="eastAsia" w:ascii="宋体" w:hAnsi="宋体" w:cs="宋体"/>
                <w:color w:val="000000"/>
                <w:kern w:val="0"/>
                <w:sz w:val="20"/>
                <w:szCs w:val="20"/>
                <w:lang w:bidi="ar"/>
              </w:rPr>
            </w:pPr>
          </w:p>
        </w:tc>
        <w:tc>
          <w:tcPr>
            <w:tcW w:w="1143" w:type="dxa"/>
            <w:tcBorders>
              <w:top w:val="single" w:color="000000" w:sz="4" w:space="0"/>
              <w:left w:val="single" w:color="000000" w:sz="4" w:space="0"/>
              <w:bottom w:val="single" w:color="000000" w:sz="4" w:space="0"/>
              <w:right w:val="single" w:color="000000" w:sz="4" w:space="0"/>
            </w:tcBorders>
            <w:vAlign w:val="center"/>
          </w:tcPr>
          <w:p w14:paraId="7C114782">
            <w:pPr>
              <w:widowControl/>
              <w:jc w:val="center"/>
              <w:textAlignment w:val="center"/>
              <w:rPr>
                <w:rFonts w:hint="eastAsia" w:ascii="宋体" w:hAnsi="宋体" w:cs="宋体"/>
                <w:color w:val="000000"/>
                <w:kern w:val="0"/>
                <w:sz w:val="20"/>
                <w:szCs w:val="20"/>
                <w:lang w:bidi="ar"/>
              </w:rPr>
            </w:pPr>
          </w:p>
        </w:tc>
        <w:tc>
          <w:tcPr>
            <w:tcW w:w="763" w:type="dxa"/>
            <w:tcBorders>
              <w:top w:val="single" w:color="000000" w:sz="4" w:space="0"/>
              <w:left w:val="single" w:color="000000" w:sz="4" w:space="0"/>
              <w:bottom w:val="single" w:color="000000" w:sz="4" w:space="0"/>
              <w:right w:val="single" w:color="000000" w:sz="4" w:space="0"/>
            </w:tcBorders>
            <w:vAlign w:val="center"/>
          </w:tcPr>
          <w:p w14:paraId="5A0E101A">
            <w:pPr>
              <w:widowControl/>
              <w:jc w:val="center"/>
              <w:textAlignment w:val="center"/>
              <w:rPr>
                <w:rFonts w:hint="eastAsia" w:ascii="宋体" w:hAnsi="宋体" w:cs="宋体"/>
                <w:color w:val="000000"/>
                <w:kern w:val="0"/>
                <w:sz w:val="20"/>
                <w:szCs w:val="20"/>
                <w:lang w:bidi="ar"/>
              </w:rPr>
            </w:pPr>
          </w:p>
        </w:tc>
        <w:tc>
          <w:tcPr>
            <w:tcW w:w="741" w:type="dxa"/>
            <w:tcBorders>
              <w:top w:val="single" w:color="000000" w:sz="4" w:space="0"/>
              <w:left w:val="single" w:color="000000" w:sz="4" w:space="0"/>
              <w:bottom w:val="single" w:color="000000" w:sz="4" w:space="0"/>
              <w:right w:val="single" w:color="000000" w:sz="4" w:space="0"/>
            </w:tcBorders>
            <w:vAlign w:val="center"/>
          </w:tcPr>
          <w:p w14:paraId="25B2C2EC">
            <w:pPr>
              <w:widowControl/>
              <w:jc w:val="center"/>
              <w:textAlignment w:val="center"/>
              <w:rPr>
                <w:rFonts w:hint="eastAsia" w:ascii="宋体" w:hAnsi="宋体" w:cs="宋体"/>
                <w:color w:val="000000"/>
                <w:kern w:val="0"/>
                <w:sz w:val="20"/>
                <w:szCs w:val="20"/>
                <w:lang w:bidi="ar"/>
              </w:rPr>
            </w:pPr>
          </w:p>
        </w:tc>
      </w:tr>
      <w:tr w14:paraId="53CCDAC2">
        <w:tblPrEx>
          <w:tblCellMar>
            <w:top w:w="0" w:type="dxa"/>
            <w:left w:w="108" w:type="dxa"/>
            <w:bottom w:w="0" w:type="dxa"/>
            <w:right w:w="108" w:type="dxa"/>
          </w:tblCellMar>
        </w:tblPrEx>
        <w:trPr>
          <w:trHeight w:val="20" w:hRule="atLeast"/>
          <w:jc w:val="center"/>
        </w:trPr>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8F1AF1">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116</w:t>
            </w:r>
          </w:p>
        </w:tc>
        <w:tc>
          <w:tcPr>
            <w:tcW w:w="2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32D698">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进样毛细管</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0A844C">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PVC,3m</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6091ED">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件</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CA302B">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0F033C">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929</w:t>
            </w:r>
          </w:p>
        </w:tc>
        <w:tc>
          <w:tcPr>
            <w:tcW w:w="992" w:type="dxa"/>
            <w:tcBorders>
              <w:top w:val="single" w:color="000000" w:sz="4" w:space="0"/>
              <w:left w:val="single" w:color="000000" w:sz="4" w:space="0"/>
              <w:bottom w:val="single" w:color="000000" w:sz="4" w:space="0"/>
              <w:right w:val="single" w:color="000000" w:sz="4" w:space="0"/>
            </w:tcBorders>
            <w:vAlign w:val="center"/>
          </w:tcPr>
          <w:p w14:paraId="5D42A1F0">
            <w:pPr>
              <w:widowControl/>
              <w:jc w:val="center"/>
              <w:textAlignment w:val="center"/>
              <w:rPr>
                <w:rFonts w:hint="eastAsia" w:ascii="宋体" w:hAnsi="宋体" w:cs="宋体"/>
                <w:color w:val="000000"/>
                <w:kern w:val="0"/>
                <w:sz w:val="20"/>
                <w:szCs w:val="20"/>
                <w:lang w:bidi="ar"/>
              </w:rPr>
            </w:pPr>
          </w:p>
        </w:tc>
        <w:tc>
          <w:tcPr>
            <w:tcW w:w="1239" w:type="dxa"/>
            <w:tcBorders>
              <w:top w:val="single" w:color="000000" w:sz="4" w:space="0"/>
              <w:left w:val="single" w:color="000000" w:sz="4" w:space="0"/>
              <w:bottom w:val="single" w:color="000000" w:sz="4" w:space="0"/>
              <w:right w:val="single" w:color="000000" w:sz="4" w:space="0"/>
            </w:tcBorders>
            <w:vAlign w:val="center"/>
          </w:tcPr>
          <w:p w14:paraId="442D466C">
            <w:pPr>
              <w:widowControl/>
              <w:jc w:val="center"/>
              <w:textAlignment w:val="center"/>
              <w:rPr>
                <w:rFonts w:hint="eastAsia" w:ascii="宋体" w:hAnsi="宋体" w:cs="宋体"/>
                <w:color w:val="000000"/>
                <w:kern w:val="0"/>
                <w:sz w:val="20"/>
                <w:szCs w:val="20"/>
                <w:lang w:bidi="ar"/>
              </w:rPr>
            </w:pPr>
          </w:p>
        </w:tc>
        <w:tc>
          <w:tcPr>
            <w:tcW w:w="900" w:type="dxa"/>
            <w:tcBorders>
              <w:top w:val="single" w:color="000000" w:sz="4" w:space="0"/>
              <w:left w:val="single" w:color="000000" w:sz="4" w:space="0"/>
              <w:bottom w:val="single" w:color="000000" w:sz="4" w:space="0"/>
              <w:right w:val="single" w:color="000000" w:sz="4" w:space="0"/>
            </w:tcBorders>
            <w:vAlign w:val="center"/>
          </w:tcPr>
          <w:p w14:paraId="045C66C9">
            <w:pPr>
              <w:widowControl/>
              <w:jc w:val="center"/>
              <w:textAlignment w:val="center"/>
              <w:rPr>
                <w:rFonts w:hint="eastAsia" w:ascii="宋体" w:hAnsi="宋体" w:cs="宋体"/>
                <w:color w:val="000000"/>
                <w:kern w:val="0"/>
                <w:sz w:val="20"/>
                <w:szCs w:val="20"/>
                <w:lang w:bidi="ar"/>
              </w:rPr>
            </w:pPr>
          </w:p>
        </w:tc>
        <w:tc>
          <w:tcPr>
            <w:tcW w:w="832" w:type="dxa"/>
            <w:tcBorders>
              <w:top w:val="single" w:color="000000" w:sz="4" w:space="0"/>
              <w:left w:val="single" w:color="000000" w:sz="4" w:space="0"/>
              <w:bottom w:val="single" w:color="000000" w:sz="4" w:space="0"/>
              <w:right w:val="single" w:color="000000" w:sz="4" w:space="0"/>
            </w:tcBorders>
            <w:vAlign w:val="center"/>
          </w:tcPr>
          <w:p w14:paraId="17BF477B">
            <w:pPr>
              <w:widowControl/>
              <w:jc w:val="center"/>
              <w:textAlignment w:val="center"/>
              <w:rPr>
                <w:rFonts w:hint="eastAsia" w:ascii="宋体" w:hAnsi="宋体" w:cs="宋体"/>
                <w:color w:val="000000"/>
                <w:kern w:val="0"/>
                <w:sz w:val="20"/>
                <w:szCs w:val="20"/>
                <w:lang w:bidi="ar"/>
              </w:rPr>
            </w:pPr>
          </w:p>
        </w:tc>
        <w:tc>
          <w:tcPr>
            <w:tcW w:w="1143" w:type="dxa"/>
            <w:tcBorders>
              <w:top w:val="single" w:color="000000" w:sz="4" w:space="0"/>
              <w:left w:val="single" w:color="000000" w:sz="4" w:space="0"/>
              <w:bottom w:val="single" w:color="000000" w:sz="4" w:space="0"/>
              <w:right w:val="single" w:color="000000" w:sz="4" w:space="0"/>
            </w:tcBorders>
            <w:vAlign w:val="center"/>
          </w:tcPr>
          <w:p w14:paraId="08D4499B">
            <w:pPr>
              <w:widowControl/>
              <w:jc w:val="center"/>
              <w:textAlignment w:val="center"/>
              <w:rPr>
                <w:rFonts w:hint="eastAsia" w:ascii="宋体" w:hAnsi="宋体" w:cs="宋体"/>
                <w:color w:val="000000"/>
                <w:kern w:val="0"/>
                <w:sz w:val="20"/>
                <w:szCs w:val="20"/>
                <w:lang w:bidi="ar"/>
              </w:rPr>
            </w:pPr>
          </w:p>
        </w:tc>
        <w:tc>
          <w:tcPr>
            <w:tcW w:w="763" w:type="dxa"/>
            <w:tcBorders>
              <w:top w:val="single" w:color="000000" w:sz="4" w:space="0"/>
              <w:left w:val="single" w:color="000000" w:sz="4" w:space="0"/>
              <w:bottom w:val="single" w:color="000000" w:sz="4" w:space="0"/>
              <w:right w:val="single" w:color="000000" w:sz="4" w:space="0"/>
            </w:tcBorders>
            <w:vAlign w:val="center"/>
          </w:tcPr>
          <w:p w14:paraId="6B3D83EB">
            <w:pPr>
              <w:widowControl/>
              <w:jc w:val="center"/>
              <w:textAlignment w:val="center"/>
              <w:rPr>
                <w:rFonts w:hint="eastAsia" w:ascii="宋体" w:hAnsi="宋体" w:cs="宋体"/>
                <w:color w:val="000000"/>
                <w:kern w:val="0"/>
                <w:sz w:val="20"/>
                <w:szCs w:val="20"/>
                <w:lang w:bidi="ar"/>
              </w:rPr>
            </w:pPr>
          </w:p>
        </w:tc>
        <w:tc>
          <w:tcPr>
            <w:tcW w:w="741" w:type="dxa"/>
            <w:tcBorders>
              <w:top w:val="single" w:color="000000" w:sz="4" w:space="0"/>
              <w:left w:val="single" w:color="000000" w:sz="4" w:space="0"/>
              <w:bottom w:val="single" w:color="000000" w:sz="4" w:space="0"/>
              <w:right w:val="single" w:color="000000" w:sz="4" w:space="0"/>
            </w:tcBorders>
            <w:vAlign w:val="center"/>
          </w:tcPr>
          <w:p w14:paraId="0A97A7A2">
            <w:pPr>
              <w:widowControl/>
              <w:jc w:val="center"/>
              <w:textAlignment w:val="center"/>
              <w:rPr>
                <w:rFonts w:hint="eastAsia" w:ascii="宋体" w:hAnsi="宋体" w:cs="宋体"/>
                <w:color w:val="000000"/>
                <w:kern w:val="0"/>
                <w:sz w:val="20"/>
                <w:szCs w:val="20"/>
                <w:lang w:bidi="ar"/>
              </w:rPr>
            </w:pPr>
          </w:p>
        </w:tc>
      </w:tr>
      <w:tr w14:paraId="37EA946F">
        <w:tblPrEx>
          <w:tblCellMar>
            <w:top w:w="0" w:type="dxa"/>
            <w:left w:w="108" w:type="dxa"/>
            <w:bottom w:w="0" w:type="dxa"/>
            <w:right w:w="108" w:type="dxa"/>
          </w:tblCellMar>
        </w:tblPrEx>
        <w:trPr>
          <w:trHeight w:val="20" w:hRule="atLeast"/>
          <w:jc w:val="center"/>
        </w:trPr>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7DAD0C">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117</w:t>
            </w:r>
          </w:p>
        </w:tc>
        <w:tc>
          <w:tcPr>
            <w:tcW w:w="2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F30425">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宝石喷嘴1</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D38735">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Peek材质，红蓝各一颗</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4BFD89">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件</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69010E">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EB8BB8">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2078</w:t>
            </w:r>
          </w:p>
        </w:tc>
        <w:tc>
          <w:tcPr>
            <w:tcW w:w="992" w:type="dxa"/>
            <w:tcBorders>
              <w:top w:val="single" w:color="000000" w:sz="4" w:space="0"/>
              <w:left w:val="single" w:color="000000" w:sz="4" w:space="0"/>
              <w:bottom w:val="single" w:color="000000" w:sz="4" w:space="0"/>
              <w:right w:val="single" w:color="000000" w:sz="4" w:space="0"/>
            </w:tcBorders>
            <w:vAlign w:val="center"/>
          </w:tcPr>
          <w:p w14:paraId="5E502EED">
            <w:pPr>
              <w:widowControl/>
              <w:jc w:val="center"/>
              <w:textAlignment w:val="center"/>
              <w:rPr>
                <w:rFonts w:hint="eastAsia" w:ascii="宋体" w:hAnsi="宋体" w:cs="宋体"/>
                <w:color w:val="000000"/>
                <w:kern w:val="0"/>
                <w:sz w:val="20"/>
                <w:szCs w:val="20"/>
                <w:lang w:bidi="ar"/>
              </w:rPr>
            </w:pPr>
          </w:p>
        </w:tc>
        <w:tc>
          <w:tcPr>
            <w:tcW w:w="1239" w:type="dxa"/>
            <w:tcBorders>
              <w:top w:val="single" w:color="000000" w:sz="4" w:space="0"/>
              <w:left w:val="single" w:color="000000" w:sz="4" w:space="0"/>
              <w:bottom w:val="single" w:color="000000" w:sz="4" w:space="0"/>
              <w:right w:val="single" w:color="000000" w:sz="4" w:space="0"/>
            </w:tcBorders>
            <w:vAlign w:val="center"/>
          </w:tcPr>
          <w:p w14:paraId="38CA9F36">
            <w:pPr>
              <w:widowControl/>
              <w:jc w:val="center"/>
              <w:textAlignment w:val="center"/>
              <w:rPr>
                <w:rFonts w:hint="eastAsia" w:ascii="宋体" w:hAnsi="宋体" w:cs="宋体"/>
                <w:color w:val="000000"/>
                <w:kern w:val="0"/>
                <w:sz w:val="20"/>
                <w:szCs w:val="20"/>
                <w:lang w:bidi="ar"/>
              </w:rPr>
            </w:pPr>
          </w:p>
        </w:tc>
        <w:tc>
          <w:tcPr>
            <w:tcW w:w="900" w:type="dxa"/>
            <w:tcBorders>
              <w:top w:val="single" w:color="000000" w:sz="4" w:space="0"/>
              <w:left w:val="single" w:color="000000" w:sz="4" w:space="0"/>
              <w:bottom w:val="single" w:color="000000" w:sz="4" w:space="0"/>
              <w:right w:val="single" w:color="000000" w:sz="4" w:space="0"/>
            </w:tcBorders>
            <w:vAlign w:val="center"/>
          </w:tcPr>
          <w:p w14:paraId="70338D2F">
            <w:pPr>
              <w:widowControl/>
              <w:jc w:val="center"/>
              <w:textAlignment w:val="center"/>
              <w:rPr>
                <w:rFonts w:hint="eastAsia" w:ascii="宋体" w:hAnsi="宋体" w:cs="宋体"/>
                <w:color w:val="000000"/>
                <w:kern w:val="0"/>
                <w:sz w:val="20"/>
                <w:szCs w:val="20"/>
                <w:lang w:bidi="ar"/>
              </w:rPr>
            </w:pPr>
          </w:p>
        </w:tc>
        <w:tc>
          <w:tcPr>
            <w:tcW w:w="832" w:type="dxa"/>
            <w:tcBorders>
              <w:top w:val="single" w:color="000000" w:sz="4" w:space="0"/>
              <w:left w:val="single" w:color="000000" w:sz="4" w:space="0"/>
              <w:bottom w:val="single" w:color="000000" w:sz="4" w:space="0"/>
              <w:right w:val="single" w:color="000000" w:sz="4" w:space="0"/>
            </w:tcBorders>
            <w:vAlign w:val="center"/>
          </w:tcPr>
          <w:p w14:paraId="47C1A9A7">
            <w:pPr>
              <w:widowControl/>
              <w:jc w:val="center"/>
              <w:textAlignment w:val="center"/>
              <w:rPr>
                <w:rFonts w:hint="eastAsia" w:ascii="宋体" w:hAnsi="宋体" w:cs="宋体"/>
                <w:color w:val="000000"/>
                <w:kern w:val="0"/>
                <w:sz w:val="20"/>
                <w:szCs w:val="20"/>
                <w:lang w:bidi="ar"/>
              </w:rPr>
            </w:pPr>
          </w:p>
        </w:tc>
        <w:tc>
          <w:tcPr>
            <w:tcW w:w="1143" w:type="dxa"/>
            <w:tcBorders>
              <w:top w:val="single" w:color="000000" w:sz="4" w:space="0"/>
              <w:left w:val="single" w:color="000000" w:sz="4" w:space="0"/>
              <w:bottom w:val="single" w:color="000000" w:sz="4" w:space="0"/>
              <w:right w:val="single" w:color="000000" w:sz="4" w:space="0"/>
            </w:tcBorders>
            <w:vAlign w:val="center"/>
          </w:tcPr>
          <w:p w14:paraId="672E9552">
            <w:pPr>
              <w:widowControl/>
              <w:jc w:val="center"/>
              <w:textAlignment w:val="center"/>
              <w:rPr>
                <w:rFonts w:hint="eastAsia" w:ascii="宋体" w:hAnsi="宋体" w:cs="宋体"/>
                <w:color w:val="000000"/>
                <w:kern w:val="0"/>
                <w:sz w:val="20"/>
                <w:szCs w:val="20"/>
                <w:lang w:bidi="ar"/>
              </w:rPr>
            </w:pPr>
          </w:p>
        </w:tc>
        <w:tc>
          <w:tcPr>
            <w:tcW w:w="763" w:type="dxa"/>
            <w:tcBorders>
              <w:top w:val="single" w:color="000000" w:sz="4" w:space="0"/>
              <w:left w:val="single" w:color="000000" w:sz="4" w:space="0"/>
              <w:bottom w:val="single" w:color="000000" w:sz="4" w:space="0"/>
              <w:right w:val="single" w:color="000000" w:sz="4" w:space="0"/>
            </w:tcBorders>
            <w:vAlign w:val="center"/>
          </w:tcPr>
          <w:p w14:paraId="61C92B3A">
            <w:pPr>
              <w:widowControl/>
              <w:jc w:val="center"/>
              <w:textAlignment w:val="center"/>
              <w:rPr>
                <w:rFonts w:hint="eastAsia" w:ascii="宋体" w:hAnsi="宋体" w:cs="宋体"/>
                <w:color w:val="000000"/>
                <w:kern w:val="0"/>
                <w:sz w:val="20"/>
                <w:szCs w:val="20"/>
                <w:lang w:bidi="ar"/>
              </w:rPr>
            </w:pPr>
          </w:p>
        </w:tc>
        <w:tc>
          <w:tcPr>
            <w:tcW w:w="741" w:type="dxa"/>
            <w:tcBorders>
              <w:top w:val="single" w:color="000000" w:sz="4" w:space="0"/>
              <w:left w:val="single" w:color="000000" w:sz="4" w:space="0"/>
              <w:bottom w:val="single" w:color="000000" w:sz="4" w:space="0"/>
              <w:right w:val="single" w:color="000000" w:sz="4" w:space="0"/>
            </w:tcBorders>
            <w:vAlign w:val="center"/>
          </w:tcPr>
          <w:p w14:paraId="2878EE3E">
            <w:pPr>
              <w:widowControl/>
              <w:jc w:val="center"/>
              <w:textAlignment w:val="center"/>
              <w:rPr>
                <w:rFonts w:hint="eastAsia" w:ascii="宋体" w:hAnsi="宋体" w:cs="宋体"/>
                <w:color w:val="000000"/>
                <w:kern w:val="0"/>
                <w:sz w:val="20"/>
                <w:szCs w:val="20"/>
                <w:lang w:bidi="ar"/>
              </w:rPr>
            </w:pPr>
          </w:p>
        </w:tc>
      </w:tr>
      <w:tr w14:paraId="37EA3F84">
        <w:tblPrEx>
          <w:tblCellMar>
            <w:top w:w="0" w:type="dxa"/>
            <w:left w:w="108" w:type="dxa"/>
            <w:bottom w:w="0" w:type="dxa"/>
            <w:right w:w="108" w:type="dxa"/>
          </w:tblCellMar>
        </w:tblPrEx>
        <w:trPr>
          <w:trHeight w:val="20" w:hRule="atLeast"/>
          <w:jc w:val="center"/>
        </w:trPr>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840CE4">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118</w:t>
            </w:r>
          </w:p>
        </w:tc>
        <w:tc>
          <w:tcPr>
            <w:tcW w:w="2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47C1E6">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宝石喷嘴2</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18242B">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Peek材质，红蓝各一颗</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237AAB">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件</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34AA62">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E231D7">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2585</w:t>
            </w:r>
          </w:p>
        </w:tc>
        <w:tc>
          <w:tcPr>
            <w:tcW w:w="992" w:type="dxa"/>
            <w:tcBorders>
              <w:top w:val="single" w:color="000000" w:sz="4" w:space="0"/>
              <w:left w:val="single" w:color="000000" w:sz="4" w:space="0"/>
              <w:bottom w:val="single" w:color="000000" w:sz="4" w:space="0"/>
              <w:right w:val="single" w:color="000000" w:sz="4" w:space="0"/>
            </w:tcBorders>
            <w:vAlign w:val="center"/>
          </w:tcPr>
          <w:p w14:paraId="2EE134DD">
            <w:pPr>
              <w:widowControl/>
              <w:jc w:val="center"/>
              <w:textAlignment w:val="center"/>
              <w:rPr>
                <w:rFonts w:hint="eastAsia" w:ascii="宋体" w:hAnsi="宋体" w:cs="宋体"/>
                <w:color w:val="000000"/>
                <w:kern w:val="0"/>
                <w:sz w:val="20"/>
                <w:szCs w:val="20"/>
                <w:lang w:bidi="ar"/>
              </w:rPr>
            </w:pPr>
          </w:p>
        </w:tc>
        <w:tc>
          <w:tcPr>
            <w:tcW w:w="1239" w:type="dxa"/>
            <w:tcBorders>
              <w:top w:val="single" w:color="000000" w:sz="4" w:space="0"/>
              <w:left w:val="single" w:color="000000" w:sz="4" w:space="0"/>
              <w:bottom w:val="single" w:color="000000" w:sz="4" w:space="0"/>
              <w:right w:val="single" w:color="000000" w:sz="4" w:space="0"/>
            </w:tcBorders>
            <w:vAlign w:val="center"/>
          </w:tcPr>
          <w:p w14:paraId="5BD458C8">
            <w:pPr>
              <w:widowControl/>
              <w:jc w:val="center"/>
              <w:textAlignment w:val="center"/>
              <w:rPr>
                <w:rFonts w:hint="eastAsia" w:ascii="宋体" w:hAnsi="宋体" w:cs="宋体"/>
                <w:color w:val="000000"/>
                <w:kern w:val="0"/>
                <w:sz w:val="20"/>
                <w:szCs w:val="20"/>
                <w:lang w:bidi="ar"/>
              </w:rPr>
            </w:pPr>
          </w:p>
        </w:tc>
        <w:tc>
          <w:tcPr>
            <w:tcW w:w="900" w:type="dxa"/>
            <w:tcBorders>
              <w:top w:val="single" w:color="000000" w:sz="4" w:space="0"/>
              <w:left w:val="single" w:color="000000" w:sz="4" w:space="0"/>
              <w:bottom w:val="single" w:color="000000" w:sz="4" w:space="0"/>
              <w:right w:val="single" w:color="000000" w:sz="4" w:space="0"/>
            </w:tcBorders>
            <w:vAlign w:val="center"/>
          </w:tcPr>
          <w:p w14:paraId="13D64513">
            <w:pPr>
              <w:widowControl/>
              <w:jc w:val="center"/>
              <w:textAlignment w:val="center"/>
              <w:rPr>
                <w:rFonts w:hint="eastAsia" w:ascii="宋体" w:hAnsi="宋体" w:cs="宋体"/>
                <w:color w:val="000000"/>
                <w:kern w:val="0"/>
                <w:sz w:val="20"/>
                <w:szCs w:val="20"/>
                <w:lang w:bidi="ar"/>
              </w:rPr>
            </w:pPr>
          </w:p>
        </w:tc>
        <w:tc>
          <w:tcPr>
            <w:tcW w:w="832" w:type="dxa"/>
            <w:tcBorders>
              <w:top w:val="single" w:color="000000" w:sz="4" w:space="0"/>
              <w:left w:val="single" w:color="000000" w:sz="4" w:space="0"/>
              <w:bottom w:val="single" w:color="000000" w:sz="4" w:space="0"/>
              <w:right w:val="single" w:color="000000" w:sz="4" w:space="0"/>
            </w:tcBorders>
            <w:vAlign w:val="center"/>
          </w:tcPr>
          <w:p w14:paraId="73A61E5B">
            <w:pPr>
              <w:widowControl/>
              <w:jc w:val="center"/>
              <w:textAlignment w:val="center"/>
              <w:rPr>
                <w:rFonts w:hint="eastAsia" w:ascii="宋体" w:hAnsi="宋体" w:cs="宋体"/>
                <w:color w:val="000000"/>
                <w:kern w:val="0"/>
                <w:sz w:val="20"/>
                <w:szCs w:val="20"/>
                <w:lang w:bidi="ar"/>
              </w:rPr>
            </w:pPr>
          </w:p>
        </w:tc>
        <w:tc>
          <w:tcPr>
            <w:tcW w:w="1143" w:type="dxa"/>
            <w:tcBorders>
              <w:top w:val="single" w:color="000000" w:sz="4" w:space="0"/>
              <w:left w:val="single" w:color="000000" w:sz="4" w:space="0"/>
              <w:bottom w:val="single" w:color="000000" w:sz="4" w:space="0"/>
              <w:right w:val="single" w:color="000000" w:sz="4" w:space="0"/>
            </w:tcBorders>
            <w:vAlign w:val="center"/>
          </w:tcPr>
          <w:p w14:paraId="3FB5CBA0">
            <w:pPr>
              <w:widowControl/>
              <w:jc w:val="center"/>
              <w:textAlignment w:val="center"/>
              <w:rPr>
                <w:rFonts w:hint="eastAsia" w:ascii="宋体" w:hAnsi="宋体" w:cs="宋体"/>
                <w:color w:val="000000"/>
                <w:kern w:val="0"/>
                <w:sz w:val="20"/>
                <w:szCs w:val="20"/>
                <w:lang w:bidi="ar"/>
              </w:rPr>
            </w:pPr>
          </w:p>
        </w:tc>
        <w:tc>
          <w:tcPr>
            <w:tcW w:w="763" w:type="dxa"/>
            <w:tcBorders>
              <w:top w:val="single" w:color="000000" w:sz="4" w:space="0"/>
              <w:left w:val="single" w:color="000000" w:sz="4" w:space="0"/>
              <w:bottom w:val="single" w:color="000000" w:sz="4" w:space="0"/>
              <w:right w:val="single" w:color="000000" w:sz="4" w:space="0"/>
            </w:tcBorders>
            <w:vAlign w:val="center"/>
          </w:tcPr>
          <w:p w14:paraId="318C82E4">
            <w:pPr>
              <w:widowControl/>
              <w:jc w:val="center"/>
              <w:textAlignment w:val="center"/>
              <w:rPr>
                <w:rFonts w:hint="eastAsia" w:ascii="宋体" w:hAnsi="宋体" w:cs="宋体"/>
                <w:color w:val="000000"/>
                <w:kern w:val="0"/>
                <w:sz w:val="20"/>
                <w:szCs w:val="20"/>
                <w:lang w:bidi="ar"/>
              </w:rPr>
            </w:pPr>
          </w:p>
        </w:tc>
        <w:tc>
          <w:tcPr>
            <w:tcW w:w="741" w:type="dxa"/>
            <w:tcBorders>
              <w:top w:val="single" w:color="000000" w:sz="4" w:space="0"/>
              <w:left w:val="single" w:color="000000" w:sz="4" w:space="0"/>
              <w:bottom w:val="single" w:color="000000" w:sz="4" w:space="0"/>
              <w:right w:val="single" w:color="000000" w:sz="4" w:space="0"/>
            </w:tcBorders>
            <w:vAlign w:val="center"/>
          </w:tcPr>
          <w:p w14:paraId="60DF0430">
            <w:pPr>
              <w:widowControl/>
              <w:jc w:val="center"/>
              <w:textAlignment w:val="center"/>
              <w:rPr>
                <w:rFonts w:hint="eastAsia" w:ascii="宋体" w:hAnsi="宋体" w:cs="宋体"/>
                <w:color w:val="000000"/>
                <w:kern w:val="0"/>
                <w:sz w:val="20"/>
                <w:szCs w:val="20"/>
                <w:lang w:bidi="ar"/>
              </w:rPr>
            </w:pPr>
          </w:p>
        </w:tc>
      </w:tr>
      <w:tr w14:paraId="4BF0C33C">
        <w:tblPrEx>
          <w:tblCellMar>
            <w:top w:w="0" w:type="dxa"/>
            <w:left w:w="108" w:type="dxa"/>
            <w:bottom w:w="0" w:type="dxa"/>
            <w:right w:w="108" w:type="dxa"/>
          </w:tblCellMar>
        </w:tblPrEx>
        <w:trPr>
          <w:trHeight w:val="20" w:hRule="atLeast"/>
          <w:jc w:val="center"/>
        </w:trPr>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8F1565">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119</w:t>
            </w:r>
          </w:p>
        </w:tc>
        <w:tc>
          <w:tcPr>
            <w:tcW w:w="2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6A2A48">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ICP-MS冷却液</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F4EA53">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1L独立包装，每箱10瓶</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A42715">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箱</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577AFC">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54CC2B">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8730</w:t>
            </w:r>
          </w:p>
        </w:tc>
        <w:tc>
          <w:tcPr>
            <w:tcW w:w="992" w:type="dxa"/>
            <w:tcBorders>
              <w:top w:val="single" w:color="000000" w:sz="4" w:space="0"/>
              <w:left w:val="single" w:color="000000" w:sz="4" w:space="0"/>
              <w:bottom w:val="single" w:color="000000" w:sz="4" w:space="0"/>
              <w:right w:val="single" w:color="000000" w:sz="4" w:space="0"/>
            </w:tcBorders>
            <w:vAlign w:val="center"/>
          </w:tcPr>
          <w:p w14:paraId="02931B9F">
            <w:pPr>
              <w:widowControl/>
              <w:jc w:val="center"/>
              <w:textAlignment w:val="center"/>
              <w:rPr>
                <w:rFonts w:hint="eastAsia" w:ascii="宋体" w:hAnsi="宋体" w:cs="宋体"/>
                <w:color w:val="000000"/>
                <w:kern w:val="0"/>
                <w:sz w:val="20"/>
                <w:szCs w:val="20"/>
                <w:lang w:bidi="ar"/>
              </w:rPr>
            </w:pPr>
          </w:p>
        </w:tc>
        <w:tc>
          <w:tcPr>
            <w:tcW w:w="1239" w:type="dxa"/>
            <w:tcBorders>
              <w:top w:val="single" w:color="000000" w:sz="4" w:space="0"/>
              <w:left w:val="single" w:color="000000" w:sz="4" w:space="0"/>
              <w:bottom w:val="single" w:color="000000" w:sz="4" w:space="0"/>
              <w:right w:val="single" w:color="000000" w:sz="4" w:space="0"/>
            </w:tcBorders>
            <w:vAlign w:val="center"/>
          </w:tcPr>
          <w:p w14:paraId="105BF5B3">
            <w:pPr>
              <w:widowControl/>
              <w:jc w:val="center"/>
              <w:textAlignment w:val="center"/>
              <w:rPr>
                <w:rFonts w:hint="eastAsia" w:ascii="宋体" w:hAnsi="宋体" w:cs="宋体"/>
                <w:color w:val="000000"/>
                <w:kern w:val="0"/>
                <w:sz w:val="20"/>
                <w:szCs w:val="20"/>
                <w:lang w:bidi="ar"/>
              </w:rPr>
            </w:pPr>
          </w:p>
        </w:tc>
        <w:tc>
          <w:tcPr>
            <w:tcW w:w="900" w:type="dxa"/>
            <w:tcBorders>
              <w:top w:val="single" w:color="000000" w:sz="4" w:space="0"/>
              <w:left w:val="single" w:color="000000" w:sz="4" w:space="0"/>
              <w:bottom w:val="single" w:color="000000" w:sz="4" w:space="0"/>
              <w:right w:val="single" w:color="000000" w:sz="4" w:space="0"/>
            </w:tcBorders>
            <w:vAlign w:val="center"/>
          </w:tcPr>
          <w:p w14:paraId="546E80F1">
            <w:pPr>
              <w:widowControl/>
              <w:jc w:val="center"/>
              <w:textAlignment w:val="center"/>
              <w:rPr>
                <w:rFonts w:hint="eastAsia" w:ascii="宋体" w:hAnsi="宋体" w:cs="宋体"/>
                <w:color w:val="000000"/>
                <w:kern w:val="0"/>
                <w:sz w:val="20"/>
                <w:szCs w:val="20"/>
                <w:lang w:bidi="ar"/>
              </w:rPr>
            </w:pPr>
          </w:p>
        </w:tc>
        <w:tc>
          <w:tcPr>
            <w:tcW w:w="832" w:type="dxa"/>
            <w:tcBorders>
              <w:top w:val="single" w:color="000000" w:sz="4" w:space="0"/>
              <w:left w:val="single" w:color="000000" w:sz="4" w:space="0"/>
              <w:bottom w:val="single" w:color="000000" w:sz="4" w:space="0"/>
              <w:right w:val="single" w:color="000000" w:sz="4" w:space="0"/>
            </w:tcBorders>
            <w:vAlign w:val="center"/>
          </w:tcPr>
          <w:p w14:paraId="4366C747">
            <w:pPr>
              <w:widowControl/>
              <w:jc w:val="center"/>
              <w:textAlignment w:val="center"/>
              <w:rPr>
                <w:rFonts w:hint="eastAsia" w:ascii="宋体" w:hAnsi="宋体" w:cs="宋体"/>
                <w:color w:val="000000"/>
                <w:kern w:val="0"/>
                <w:sz w:val="20"/>
                <w:szCs w:val="20"/>
                <w:lang w:bidi="ar"/>
              </w:rPr>
            </w:pPr>
          </w:p>
        </w:tc>
        <w:tc>
          <w:tcPr>
            <w:tcW w:w="1143" w:type="dxa"/>
            <w:tcBorders>
              <w:top w:val="single" w:color="000000" w:sz="4" w:space="0"/>
              <w:left w:val="single" w:color="000000" w:sz="4" w:space="0"/>
              <w:bottom w:val="single" w:color="000000" w:sz="4" w:space="0"/>
              <w:right w:val="single" w:color="000000" w:sz="4" w:space="0"/>
            </w:tcBorders>
            <w:vAlign w:val="center"/>
          </w:tcPr>
          <w:p w14:paraId="33C946FC">
            <w:pPr>
              <w:widowControl/>
              <w:jc w:val="center"/>
              <w:textAlignment w:val="center"/>
              <w:rPr>
                <w:rFonts w:hint="eastAsia" w:ascii="宋体" w:hAnsi="宋体" w:cs="宋体"/>
                <w:color w:val="000000"/>
                <w:kern w:val="0"/>
                <w:sz w:val="20"/>
                <w:szCs w:val="20"/>
                <w:lang w:bidi="ar"/>
              </w:rPr>
            </w:pPr>
          </w:p>
        </w:tc>
        <w:tc>
          <w:tcPr>
            <w:tcW w:w="763" w:type="dxa"/>
            <w:tcBorders>
              <w:top w:val="single" w:color="000000" w:sz="4" w:space="0"/>
              <w:left w:val="single" w:color="000000" w:sz="4" w:space="0"/>
              <w:bottom w:val="single" w:color="000000" w:sz="4" w:space="0"/>
              <w:right w:val="single" w:color="000000" w:sz="4" w:space="0"/>
            </w:tcBorders>
            <w:vAlign w:val="center"/>
          </w:tcPr>
          <w:p w14:paraId="46E66F51">
            <w:pPr>
              <w:widowControl/>
              <w:jc w:val="center"/>
              <w:textAlignment w:val="center"/>
              <w:rPr>
                <w:rFonts w:hint="eastAsia" w:ascii="宋体" w:hAnsi="宋体" w:cs="宋体"/>
                <w:color w:val="000000"/>
                <w:kern w:val="0"/>
                <w:sz w:val="20"/>
                <w:szCs w:val="20"/>
                <w:lang w:bidi="ar"/>
              </w:rPr>
            </w:pPr>
          </w:p>
        </w:tc>
        <w:tc>
          <w:tcPr>
            <w:tcW w:w="741" w:type="dxa"/>
            <w:tcBorders>
              <w:top w:val="single" w:color="000000" w:sz="4" w:space="0"/>
              <w:left w:val="single" w:color="000000" w:sz="4" w:space="0"/>
              <w:bottom w:val="single" w:color="000000" w:sz="4" w:space="0"/>
              <w:right w:val="single" w:color="000000" w:sz="4" w:space="0"/>
            </w:tcBorders>
            <w:vAlign w:val="center"/>
          </w:tcPr>
          <w:p w14:paraId="24335C2E">
            <w:pPr>
              <w:widowControl/>
              <w:jc w:val="center"/>
              <w:textAlignment w:val="center"/>
              <w:rPr>
                <w:rFonts w:hint="eastAsia" w:ascii="宋体" w:hAnsi="宋体" w:cs="宋体"/>
                <w:color w:val="000000"/>
                <w:kern w:val="0"/>
                <w:sz w:val="20"/>
                <w:szCs w:val="20"/>
                <w:lang w:bidi="ar"/>
              </w:rPr>
            </w:pPr>
          </w:p>
        </w:tc>
      </w:tr>
      <w:tr w14:paraId="183B71BE">
        <w:tblPrEx>
          <w:tblCellMar>
            <w:top w:w="0" w:type="dxa"/>
            <w:left w:w="108" w:type="dxa"/>
            <w:bottom w:w="0" w:type="dxa"/>
            <w:right w:w="108" w:type="dxa"/>
          </w:tblCellMar>
        </w:tblPrEx>
        <w:trPr>
          <w:trHeight w:val="20" w:hRule="atLeast"/>
          <w:jc w:val="center"/>
        </w:trPr>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1ACC56">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120</w:t>
            </w:r>
          </w:p>
        </w:tc>
        <w:tc>
          <w:tcPr>
            <w:tcW w:w="2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513AF0">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ICP冷却液</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B13DA0">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1.8L独立包装，每箱5瓶</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9C20D6">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箱</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D01468">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AD8268">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5111</w:t>
            </w:r>
          </w:p>
        </w:tc>
        <w:tc>
          <w:tcPr>
            <w:tcW w:w="992" w:type="dxa"/>
            <w:tcBorders>
              <w:top w:val="single" w:color="000000" w:sz="4" w:space="0"/>
              <w:left w:val="single" w:color="000000" w:sz="4" w:space="0"/>
              <w:bottom w:val="single" w:color="000000" w:sz="4" w:space="0"/>
              <w:right w:val="single" w:color="000000" w:sz="4" w:space="0"/>
            </w:tcBorders>
            <w:vAlign w:val="center"/>
          </w:tcPr>
          <w:p w14:paraId="3AB6224F">
            <w:pPr>
              <w:widowControl/>
              <w:jc w:val="center"/>
              <w:textAlignment w:val="center"/>
              <w:rPr>
                <w:rFonts w:hint="eastAsia" w:ascii="宋体" w:hAnsi="宋体" w:cs="宋体"/>
                <w:color w:val="000000"/>
                <w:kern w:val="0"/>
                <w:sz w:val="20"/>
                <w:szCs w:val="20"/>
                <w:lang w:bidi="ar"/>
              </w:rPr>
            </w:pPr>
          </w:p>
        </w:tc>
        <w:tc>
          <w:tcPr>
            <w:tcW w:w="1239" w:type="dxa"/>
            <w:tcBorders>
              <w:top w:val="single" w:color="000000" w:sz="4" w:space="0"/>
              <w:left w:val="single" w:color="000000" w:sz="4" w:space="0"/>
              <w:bottom w:val="single" w:color="000000" w:sz="4" w:space="0"/>
              <w:right w:val="single" w:color="000000" w:sz="4" w:space="0"/>
            </w:tcBorders>
            <w:vAlign w:val="center"/>
          </w:tcPr>
          <w:p w14:paraId="194C5C6E">
            <w:pPr>
              <w:widowControl/>
              <w:jc w:val="center"/>
              <w:textAlignment w:val="center"/>
              <w:rPr>
                <w:rFonts w:hint="eastAsia" w:ascii="宋体" w:hAnsi="宋体" w:cs="宋体"/>
                <w:color w:val="000000"/>
                <w:kern w:val="0"/>
                <w:sz w:val="20"/>
                <w:szCs w:val="20"/>
                <w:lang w:bidi="ar"/>
              </w:rPr>
            </w:pPr>
          </w:p>
        </w:tc>
        <w:tc>
          <w:tcPr>
            <w:tcW w:w="900" w:type="dxa"/>
            <w:tcBorders>
              <w:top w:val="single" w:color="000000" w:sz="4" w:space="0"/>
              <w:left w:val="single" w:color="000000" w:sz="4" w:space="0"/>
              <w:bottom w:val="single" w:color="000000" w:sz="4" w:space="0"/>
              <w:right w:val="single" w:color="000000" w:sz="4" w:space="0"/>
            </w:tcBorders>
            <w:vAlign w:val="center"/>
          </w:tcPr>
          <w:p w14:paraId="5CE8C4A7">
            <w:pPr>
              <w:widowControl/>
              <w:jc w:val="center"/>
              <w:textAlignment w:val="center"/>
              <w:rPr>
                <w:rFonts w:hint="eastAsia" w:ascii="宋体" w:hAnsi="宋体" w:cs="宋体"/>
                <w:color w:val="000000"/>
                <w:kern w:val="0"/>
                <w:sz w:val="20"/>
                <w:szCs w:val="20"/>
                <w:lang w:bidi="ar"/>
              </w:rPr>
            </w:pPr>
          </w:p>
        </w:tc>
        <w:tc>
          <w:tcPr>
            <w:tcW w:w="832" w:type="dxa"/>
            <w:tcBorders>
              <w:top w:val="single" w:color="000000" w:sz="4" w:space="0"/>
              <w:left w:val="single" w:color="000000" w:sz="4" w:space="0"/>
              <w:bottom w:val="single" w:color="000000" w:sz="4" w:space="0"/>
              <w:right w:val="single" w:color="000000" w:sz="4" w:space="0"/>
            </w:tcBorders>
            <w:vAlign w:val="center"/>
          </w:tcPr>
          <w:p w14:paraId="50017F6C">
            <w:pPr>
              <w:widowControl/>
              <w:jc w:val="center"/>
              <w:textAlignment w:val="center"/>
              <w:rPr>
                <w:rFonts w:hint="eastAsia" w:ascii="宋体" w:hAnsi="宋体" w:cs="宋体"/>
                <w:color w:val="000000"/>
                <w:kern w:val="0"/>
                <w:sz w:val="20"/>
                <w:szCs w:val="20"/>
                <w:lang w:bidi="ar"/>
              </w:rPr>
            </w:pPr>
          </w:p>
        </w:tc>
        <w:tc>
          <w:tcPr>
            <w:tcW w:w="1143" w:type="dxa"/>
            <w:tcBorders>
              <w:top w:val="single" w:color="000000" w:sz="4" w:space="0"/>
              <w:left w:val="single" w:color="000000" w:sz="4" w:space="0"/>
              <w:bottom w:val="single" w:color="000000" w:sz="4" w:space="0"/>
              <w:right w:val="single" w:color="000000" w:sz="4" w:space="0"/>
            </w:tcBorders>
            <w:vAlign w:val="center"/>
          </w:tcPr>
          <w:p w14:paraId="425CFAB1">
            <w:pPr>
              <w:widowControl/>
              <w:jc w:val="center"/>
              <w:textAlignment w:val="center"/>
              <w:rPr>
                <w:rFonts w:hint="eastAsia" w:ascii="宋体" w:hAnsi="宋体" w:cs="宋体"/>
                <w:color w:val="000000"/>
                <w:kern w:val="0"/>
                <w:sz w:val="20"/>
                <w:szCs w:val="20"/>
                <w:lang w:bidi="ar"/>
              </w:rPr>
            </w:pPr>
          </w:p>
        </w:tc>
        <w:tc>
          <w:tcPr>
            <w:tcW w:w="763" w:type="dxa"/>
            <w:tcBorders>
              <w:top w:val="single" w:color="000000" w:sz="4" w:space="0"/>
              <w:left w:val="single" w:color="000000" w:sz="4" w:space="0"/>
              <w:bottom w:val="single" w:color="000000" w:sz="4" w:space="0"/>
              <w:right w:val="single" w:color="000000" w:sz="4" w:space="0"/>
            </w:tcBorders>
            <w:vAlign w:val="center"/>
          </w:tcPr>
          <w:p w14:paraId="593F0C93">
            <w:pPr>
              <w:widowControl/>
              <w:jc w:val="center"/>
              <w:textAlignment w:val="center"/>
              <w:rPr>
                <w:rFonts w:hint="eastAsia" w:ascii="宋体" w:hAnsi="宋体" w:cs="宋体"/>
                <w:color w:val="000000"/>
                <w:kern w:val="0"/>
                <w:sz w:val="20"/>
                <w:szCs w:val="20"/>
                <w:lang w:bidi="ar"/>
              </w:rPr>
            </w:pPr>
          </w:p>
        </w:tc>
        <w:tc>
          <w:tcPr>
            <w:tcW w:w="741" w:type="dxa"/>
            <w:tcBorders>
              <w:top w:val="single" w:color="000000" w:sz="4" w:space="0"/>
              <w:left w:val="single" w:color="000000" w:sz="4" w:space="0"/>
              <w:bottom w:val="single" w:color="000000" w:sz="4" w:space="0"/>
              <w:right w:val="single" w:color="000000" w:sz="4" w:space="0"/>
            </w:tcBorders>
            <w:vAlign w:val="center"/>
          </w:tcPr>
          <w:p w14:paraId="50512D2D">
            <w:pPr>
              <w:widowControl/>
              <w:jc w:val="center"/>
              <w:textAlignment w:val="center"/>
              <w:rPr>
                <w:rFonts w:hint="eastAsia" w:ascii="宋体" w:hAnsi="宋体" w:cs="宋体"/>
                <w:color w:val="000000"/>
                <w:kern w:val="0"/>
                <w:sz w:val="20"/>
                <w:szCs w:val="20"/>
                <w:lang w:bidi="ar"/>
              </w:rPr>
            </w:pPr>
          </w:p>
        </w:tc>
      </w:tr>
      <w:tr w14:paraId="24264306">
        <w:tblPrEx>
          <w:tblCellMar>
            <w:top w:w="0" w:type="dxa"/>
            <w:left w:w="108" w:type="dxa"/>
            <w:bottom w:w="0" w:type="dxa"/>
            <w:right w:w="108" w:type="dxa"/>
          </w:tblCellMar>
        </w:tblPrEx>
        <w:trPr>
          <w:trHeight w:val="20" w:hRule="atLeast"/>
          <w:jc w:val="center"/>
        </w:trPr>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AAD3B4">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121</w:t>
            </w:r>
          </w:p>
        </w:tc>
        <w:tc>
          <w:tcPr>
            <w:tcW w:w="2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668B30">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一次性塑料采水瓶</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F58519">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食品级PP材质</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C4004B">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个</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3A6AEB">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1000</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4BC6D4">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0.8</w:t>
            </w:r>
          </w:p>
        </w:tc>
        <w:tc>
          <w:tcPr>
            <w:tcW w:w="992" w:type="dxa"/>
            <w:tcBorders>
              <w:top w:val="single" w:color="000000" w:sz="4" w:space="0"/>
              <w:left w:val="single" w:color="000000" w:sz="4" w:space="0"/>
              <w:bottom w:val="single" w:color="000000" w:sz="4" w:space="0"/>
              <w:right w:val="single" w:color="000000" w:sz="4" w:space="0"/>
            </w:tcBorders>
            <w:vAlign w:val="center"/>
          </w:tcPr>
          <w:p w14:paraId="17CE0AA0">
            <w:pPr>
              <w:widowControl/>
              <w:jc w:val="center"/>
              <w:textAlignment w:val="center"/>
              <w:rPr>
                <w:rFonts w:hint="eastAsia" w:ascii="宋体" w:hAnsi="宋体" w:cs="宋体"/>
                <w:color w:val="000000"/>
                <w:kern w:val="0"/>
                <w:sz w:val="20"/>
                <w:szCs w:val="20"/>
                <w:lang w:bidi="ar"/>
              </w:rPr>
            </w:pPr>
          </w:p>
        </w:tc>
        <w:tc>
          <w:tcPr>
            <w:tcW w:w="1239" w:type="dxa"/>
            <w:tcBorders>
              <w:top w:val="single" w:color="000000" w:sz="4" w:space="0"/>
              <w:left w:val="single" w:color="000000" w:sz="4" w:space="0"/>
              <w:bottom w:val="single" w:color="000000" w:sz="4" w:space="0"/>
              <w:right w:val="single" w:color="000000" w:sz="4" w:space="0"/>
            </w:tcBorders>
            <w:vAlign w:val="center"/>
          </w:tcPr>
          <w:p w14:paraId="1E6BE558">
            <w:pPr>
              <w:widowControl/>
              <w:jc w:val="center"/>
              <w:textAlignment w:val="center"/>
              <w:rPr>
                <w:rFonts w:hint="eastAsia" w:ascii="宋体" w:hAnsi="宋体" w:cs="宋体"/>
                <w:color w:val="000000"/>
                <w:kern w:val="0"/>
                <w:sz w:val="20"/>
                <w:szCs w:val="20"/>
                <w:lang w:bidi="ar"/>
              </w:rPr>
            </w:pPr>
          </w:p>
        </w:tc>
        <w:tc>
          <w:tcPr>
            <w:tcW w:w="900" w:type="dxa"/>
            <w:tcBorders>
              <w:top w:val="single" w:color="000000" w:sz="4" w:space="0"/>
              <w:left w:val="single" w:color="000000" w:sz="4" w:space="0"/>
              <w:bottom w:val="single" w:color="000000" w:sz="4" w:space="0"/>
              <w:right w:val="single" w:color="000000" w:sz="4" w:space="0"/>
            </w:tcBorders>
            <w:vAlign w:val="center"/>
          </w:tcPr>
          <w:p w14:paraId="2B86F11B">
            <w:pPr>
              <w:widowControl/>
              <w:jc w:val="center"/>
              <w:textAlignment w:val="center"/>
              <w:rPr>
                <w:rFonts w:hint="eastAsia" w:ascii="宋体" w:hAnsi="宋体" w:cs="宋体"/>
                <w:color w:val="000000"/>
                <w:kern w:val="0"/>
                <w:sz w:val="20"/>
                <w:szCs w:val="20"/>
                <w:lang w:bidi="ar"/>
              </w:rPr>
            </w:pPr>
          </w:p>
        </w:tc>
        <w:tc>
          <w:tcPr>
            <w:tcW w:w="832" w:type="dxa"/>
            <w:tcBorders>
              <w:top w:val="single" w:color="000000" w:sz="4" w:space="0"/>
              <w:left w:val="single" w:color="000000" w:sz="4" w:space="0"/>
              <w:bottom w:val="single" w:color="000000" w:sz="4" w:space="0"/>
              <w:right w:val="single" w:color="000000" w:sz="4" w:space="0"/>
            </w:tcBorders>
            <w:vAlign w:val="center"/>
          </w:tcPr>
          <w:p w14:paraId="45AF444B">
            <w:pPr>
              <w:widowControl/>
              <w:jc w:val="center"/>
              <w:textAlignment w:val="center"/>
              <w:rPr>
                <w:rFonts w:hint="eastAsia" w:ascii="宋体" w:hAnsi="宋体" w:cs="宋体"/>
                <w:color w:val="000000"/>
                <w:kern w:val="0"/>
                <w:sz w:val="20"/>
                <w:szCs w:val="20"/>
                <w:lang w:bidi="ar"/>
              </w:rPr>
            </w:pPr>
          </w:p>
        </w:tc>
        <w:tc>
          <w:tcPr>
            <w:tcW w:w="1143" w:type="dxa"/>
            <w:tcBorders>
              <w:top w:val="single" w:color="000000" w:sz="4" w:space="0"/>
              <w:left w:val="single" w:color="000000" w:sz="4" w:space="0"/>
              <w:bottom w:val="single" w:color="000000" w:sz="4" w:space="0"/>
              <w:right w:val="single" w:color="000000" w:sz="4" w:space="0"/>
            </w:tcBorders>
            <w:vAlign w:val="center"/>
          </w:tcPr>
          <w:p w14:paraId="671EE8FC">
            <w:pPr>
              <w:widowControl/>
              <w:jc w:val="center"/>
              <w:textAlignment w:val="center"/>
              <w:rPr>
                <w:rFonts w:hint="eastAsia" w:ascii="宋体" w:hAnsi="宋体" w:cs="宋体"/>
                <w:color w:val="000000"/>
                <w:kern w:val="0"/>
                <w:sz w:val="20"/>
                <w:szCs w:val="20"/>
                <w:lang w:bidi="ar"/>
              </w:rPr>
            </w:pPr>
          </w:p>
        </w:tc>
        <w:tc>
          <w:tcPr>
            <w:tcW w:w="763" w:type="dxa"/>
            <w:tcBorders>
              <w:top w:val="single" w:color="000000" w:sz="4" w:space="0"/>
              <w:left w:val="single" w:color="000000" w:sz="4" w:space="0"/>
              <w:bottom w:val="single" w:color="000000" w:sz="4" w:space="0"/>
              <w:right w:val="single" w:color="000000" w:sz="4" w:space="0"/>
            </w:tcBorders>
            <w:vAlign w:val="center"/>
          </w:tcPr>
          <w:p w14:paraId="68BADA7B">
            <w:pPr>
              <w:widowControl/>
              <w:jc w:val="center"/>
              <w:textAlignment w:val="center"/>
              <w:rPr>
                <w:rFonts w:hint="eastAsia" w:ascii="宋体" w:hAnsi="宋体" w:cs="宋体"/>
                <w:color w:val="000000"/>
                <w:kern w:val="0"/>
                <w:sz w:val="20"/>
                <w:szCs w:val="20"/>
                <w:lang w:bidi="ar"/>
              </w:rPr>
            </w:pPr>
          </w:p>
        </w:tc>
        <w:tc>
          <w:tcPr>
            <w:tcW w:w="741" w:type="dxa"/>
            <w:tcBorders>
              <w:top w:val="single" w:color="000000" w:sz="4" w:space="0"/>
              <w:left w:val="single" w:color="000000" w:sz="4" w:space="0"/>
              <w:bottom w:val="single" w:color="000000" w:sz="4" w:space="0"/>
              <w:right w:val="single" w:color="000000" w:sz="4" w:space="0"/>
            </w:tcBorders>
            <w:vAlign w:val="center"/>
          </w:tcPr>
          <w:p w14:paraId="181977E3">
            <w:pPr>
              <w:widowControl/>
              <w:jc w:val="center"/>
              <w:textAlignment w:val="center"/>
              <w:rPr>
                <w:rFonts w:hint="eastAsia" w:ascii="宋体" w:hAnsi="宋体" w:cs="宋体"/>
                <w:color w:val="000000"/>
                <w:kern w:val="0"/>
                <w:sz w:val="20"/>
                <w:szCs w:val="20"/>
                <w:lang w:bidi="ar"/>
              </w:rPr>
            </w:pPr>
          </w:p>
        </w:tc>
      </w:tr>
      <w:tr w14:paraId="3E30F65C">
        <w:tblPrEx>
          <w:tblCellMar>
            <w:top w:w="0" w:type="dxa"/>
            <w:left w:w="108" w:type="dxa"/>
            <w:bottom w:w="0" w:type="dxa"/>
            <w:right w:w="108" w:type="dxa"/>
          </w:tblCellMar>
        </w:tblPrEx>
        <w:trPr>
          <w:trHeight w:val="20" w:hRule="atLeast"/>
          <w:jc w:val="center"/>
        </w:trPr>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64AAA4">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122</w:t>
            </w:r>
          </w:p>
        </w:tc>
        <w:tc>
          <w:tcPr>
            <w:tcW w:w="2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309178">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废液缸</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0F5B4A">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5L容量，圆形，带盖</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5801DD">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个</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13A50C">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4</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508DFE">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89.5</w:t>
            </w:r>
          </w:p>
        </w:tc>
        <w:tc>
          <w:tcPr>
            <w:tcW w:w="992" w:type="dxa"/>
            <w:tcBorders>
              <w:top w:val="single" w:color="000000" w:sz="4" w:space="0"/>
              <w:left w:val="single" w:color="000000" w:sz="4" w:space="0"/>
              <w:bottom w:val="single" w:color="000000" w:sz="4" w:space="0"/>
              <w:right w:val="single" w:color="000000" w:sz="4" w:space="0"/>
            </w:tcBorders>
            <w:vAlign w:val="center"/>
          </w:tcPr>
          <w:p w14:paraId="664D8A8A">
            <w:pPr>
              <w:widowControl/>
              <w:jc w:val="center"/>
              <w:textAlignment w:val="center"/>
              <w:rPr>
                <w:rFonts w:hint="eastAsia" w:ascii="宋体" w:hAnsi="宋体" w:cs="宋体"/>
                <w:color w:val="000000"/>
                <w:kern w:val="0"/>
                <w:sz w:val="20"/>
                <w:szCs w:val="20"/>
                <w:lang w:bidi="ar"/>
              </w:rPr>
            </w:pPr>
          </w:p>
        </w:tc>
        <w:tc>
          <w:tcPr>
            <w:tcW w:w="1239" w:type="dxa"/>
            <w:tcBorders>
              <w:top w:val="single" w:color="000000" w:sz="4" w:space="0"/>
              <w:left w:val="single" w:color="000000" w:sz="4" w:space="0"/>
              <w:bottom w:val="single" w:color="000000" w:sz="4" w:space="0"/>
              <w:right w:val="single" w:color="000000" w:sz="4" w:space="0"/>
            </w:tcBorders>
            <w:vAlign w:val="center"/>
          </w:tcPr>
          <w:p w14:paraId="2D233196">
            <w:pPr>
              <w:widowControl/>
              <w:jc w:val="center"/>
              <w:textAlignment w:val="center"/>
              <w:rPr>
                <w:rFonts w:hint="eastAsia" w:ascii="宋体" w:hAnsi="宋体" w:cs="宋体"/>
                <w:color w:val="000000"/>
                <w:kern w:val="0"/>
                <w:sz w:val="20"/>
                <w:szCs w:val="20"/>
                <w:lang w:bidi="ar"/>
              </w:rPr>
            </w:pPr>
          </w:p>
        </w:tc>
        <w:tc>
          <w:tcPr>
            <w:tcW w:w="900" w:type="dxa"/>
            <w:tcBorders>
              <w:top w:val="single" w:color="000000" w:sz="4" w:space="0"/>
              <w:left w:val="single" w:color="000000" w:sz="4" w:space="0"/>
              <w:bottom w:val="single" w:color="000000" w:sz="4" w:space="0"/>
              <w:right w:val="single" w:color="000000" w:sz="4" w:space="0"/>
            </w:tcBorders>
            <w:vAlign w:val="center"/>
          </w:tcPr>
          <w:p w14:paraId="3BE5ED8A">
            <w:pPr>
              <w:widowControl/>
              <w:jc w:val="center"/>
              <w:textAlignment w:val="center"/>
              <w:rPr>
                <w:rFonts w:hint="eastAsia" w:ascii="宋体" w:hAnsi="宋体" w:cs="宋体"/>
                <w:color w:val="000000"/>
                <w:kern w:val="0"/>
                <w:sz w:val="20"/>
                <w:szCs w:val="20"/>
                <w:lang w:bidi="ar"/>
              </w:rPr>
            </w:pPr>
          </w:p>
        </w:tc>
        <w:tc>
          <w:tcPr>
            <w:tcW w:w="832" w:type="dxa"/>
            <w:tcBorders>
              <w:top w:val="single" w:color="000000" w:sz="4" w:space="0"/>
              <w:left w:val="single" w:color="000000" w:sz="4" w:space="0"/>
              <w:bottom w:val="single" w:color="000000" w:sz="4" w:space="0"/>
              <w:right w:val="single" w:color="000000" w:sz="4" w:space="0"/>
            </w:tcBorders>
            <w:vAlign w:val="center"/>
          </w:tcPr>
          <w:p w14:paraId="49684C80">
            <w:pPr>
              <w:widowControl/>
              <w:jc w:val="center"/>
              <w:textAlignment w:val="center"/>
              <w:rPr>
                <w:rFonts w:hint="eastAsia" w:ascii="宋体" w:hAnsi="宋体" w:cs="宋体"/>
                <w:color w:val="000000"/>
                <w:kern w:val="0"/>
                <w:sz w:val="20"/>
                <w:szCs w:val="20"/>
                <w:lang w:bidi="ar"/>
              </w:rPr>
            </w:pPr>
          </w:p>
        </w:tc>
        <w:tc>
          <w:tcPr>
            <w:tcW w:w="1143" w:type="dxa"/>
            <w:tcBorders>
              <w:top w:val="single" w:color="000000" w:sz="4" w:space="0"/>
              <w:left w:val="single" w:color="000000" w:sz="4" w:space="0"/>
              <w:bottom w:val="single" w:color="000000" w:sz="4" w:space="0"/>
              <w:right w:val="single" w:color="000000" w:sz="4" w:space="0"/>
            </w:tcBorders>
            <w:vAlign w:val="center"/>
          </w:tcPr>
          <w:p w14:paraId="2B9884D4">
            <w:pPr>
              <w:widowControl/>
              <w:jc w:val="center"/>
              <w:textAlignment w:val="center"/>
              <w:rPr>
                <w:rFonts w:hint="eastAsia" w:ascii="宋体" w:hAnsi="宋体" w:cs="宋体"/>
                <w:color w:val="000000"/>
                <w:kern w:val="0"/>
                <w:sz w:val="20"/>
                <w:szCs w:val="20"/>
                <w:lang w:bidi="ar"/>
              </w:rPr>
            </w:pPr>
          </w:p>
        </w:tc>
        <w:tc>
          <w:tcPr>
            <w:tcW w:w="763" w:type="dxa"/>
            <w:tcBorders>
              <w:top w:val="single" w:color="000000" w:sz="4" w:space="0"/>
              <w:left w:val="single" w:color="000000" w:sz="4" w:space="0"/>
              <w:bottom w:val="single" w:color="000000" w:sz="4" w:space="0"/>
              <w:right w:val="single" w:color="000000" w:sz="4" w:space="0"/>
            </w:tcBorders>
            <w:vAlign w:val="center"/>
          </w:tcPr>
          <w:p w14:paraId="310F0646">
            <w:pPr>
              <w:widowControl/>
              <w:jc w:val="center"/>
              <w:textAlignment w:val="center"/>
              <w:rPr>
                <w:rFonts w:hint="eastAsia" w:ascii="宋体" w:hAnsi="宋体" w:cs="宋体"/>
                <w:color w:val="000000"/>
                <w:kern w:val="0"/>
                <w:sz w:val="20"/>
                <w:szCs w:val="20"/>
                <w:lang w:bidi="ar"/>
              </w:rPr>
            </w:pPr>
          </w:p>
        </w:tc>
        <w:tc>
          <w:tcPr>
            <w:tcW w:w="741" w:type="dxa"/>
            <w:tcBorders>
              <w:top w:val="single" w:color="000000" w:sz="4" w:space="0"/>
              <w:left w:val="single" w:color="000000" w:sz="4" w:space="0"/>
              <w:bottom w:val="single" w:color="000000" w:sz="4" w:space="0"/>
              <w:right w:val="single" w:color="000000" w:sz="4" w:space="0"/>
            </w:tcBorders>
            <w:vAlign w:val="center"/>
          </w:tcPr>
          <w:p w14:paraId="59233E64">
            <w:pPr>
              <w:widowControl/>
              <w:jc w:val="center"/>
              <w:textAlignment w:val="center"/>
              <w:rPr>
                <w:rFonts w:hint="eastAsia" w:ascii="宋体" w:hAnsi="宋体" w:cs="宋体"/>
                <w:color w:val="000000"/>
                <w:kern w:val="0"/>
                <w:sz w:val="20"/>
                <w:szCs w:val="20"/>
                <w:lang w:bidi="ar"/>
              </w:rPr>
            </w:pPr>
          </w:p>
        </w:tc>
      </w:tr>
      <w:tr w14:paraId="3F026AB2">
        <w:tblPrEx>
          <w:tblCellMar>
            <w:top w:w="0" w:type="dxa"/>
            <w:left w:w="108" w:type="dxa"/>
            <w:bottom w:w="0" w:type="dxa"/>
            <w:right w:w="108" w:type="dxa"/>
          </w:tblCellMar>
        </w:tblPrEx>
        <w:trPr>
          <w:trHeight w:val="20" w:hRule="atLeast"/>
          <w:jc w:val="center"/>
        </w:trPr>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589330">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123</w:t>
            </w:r>
          </w:p>
        </w:tc>
        <w:tc>
          <w:tcPr>
            <w:tcW w:w="2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4E8994">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PET标签1</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6AD197">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银色、防水40mm*30mm</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34A63D">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卷</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5F8DC3">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10</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56322D">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16</w:t>
            </w:r>
          </w:p>
        </w:tc>
        <w:tc>
          <w:tcPr>
            <w:tcW w:w="992" w:type="dxa"/>
            <w:tcBorders>
              <w:top w:val="single" w:color="000000" w:sz="4" w:space="0"/>
              <w:left w:val="single" w:color="000000" w:sz="4" w:space="0"/>
              <w:bottom w:val="single" w:color="000000" w:sz="4" w:space="0"/>
              <w:right w:val="single" w:color="000000" w:sz="4" w:space="0"/>
            </w:tcBorders>
            <w:vAlign w:val="center"/>
          </w:tcPr>
          <w:p w14:paraId="3AA5DCBE">
            <w:pPr>
              <w:widowControl/>
              <w:jc w:val="center"/>
              <w:textAlignment w:val="center"/>
              <w:rPr>
                <w:rFonts w:hint="eastAsia" w:ascii="宋体" w:hAnsi="宋体" w:cs="宋体"/>
                <w:color w:val="000000"/>
                <w:kern w:val="0"/>
                <w:sz w:val="20"/>
                <w:szCs w:val="20"/>
                <w:lang w:bidi="ar"/>
              </w:rPr>
            </w:pPr>
          </w:p>
        </w:tc>
        <w:tc>
          <w:tcPr>
            <w:tcW w:w="1239" w:type="dxa"/>
            <w:tcBorders>
              <w:top w:val="single" w:color="000000" w:sz="4" w:space="0"/>
              <w:left w:val="single" w:color="000000" w:sz="4" w:space="0"/>
              <w:bottom w:val="single" w:color="000000" w:sz="4" w:space="0"/>
              <w:right w:val="single" w:color="000000" w:sz="4" w:space="0"/>
            </w:tcBorders>
            <w:vAlign w:val="center"/>
          </w:tcPr>
          <w:p w14:paraId="72BCAACD">
            <w:pPr>
              <w:widowControl/>
              <w:jc w:val="center"/>
              <w:textAlignment w:val="center"/>
              <w:rPr>
                <w:rFonts w:hint="eastAsia" w:ascii="宋体" w:hAnsi="宋体" w:cs="宋体"/>
                <w:color w:val="000000"/>
                <w:kern w:val="0"/>
                <w:sz w:val="20"/>
                <w:szCs w:val="20"/>
                <w:lang w:bidi="ar"/>
              </w:rPr>
            </w:pPr>
          </w:p>
        </w:tc>
        <w:tc>
          <w:tcPr>
            <w:tcW w:w="900" w:type="dxa"/>
            <w:tcBorders>
              <w:top w:val="single" w:color="000000" w:sz="4" w:space="0"/>
              <w:left w:val="single" w:color="000000" w:sz="4" w:space="0"/>
              <w:bottom w:val="single" w:color="000000" w:sz="4" w:space="0"/>
              <w:right w:val="single" w:color="000000" w:sz="4" w:space="0"/>
            </w:tcBorders>
            <w:vAlign w:val="center"/>
          </w:tcPr>
          <w:p w14:paraId="34C2F720">
            <w:pPr>
              <w:widowControl/>
              <w:jc w:val="center"/>
              <w:textAlignment w:val="center"/>
              <w:rPr>
                <w:rFonts w:hint="eastAsia" w:ascii="宋体" w:hAnsi="宋体" w:cs="宋体"/>
                <w:color w:val="000000"/>
                <w:kern w:val="0"/>
                <w:sz w:val="20"/>
                <w:szCs w:val="20"/>
                <w:lang w:bidi="ar"/>
              </w:rPr>
            </w:pPr>
          </w:p>
        </w:tc>
        <w:tc>
          <w:tcPr>
            <w:tcW w:w="832" w:type="dxa"/>
            <w:tcBorders>
              <w:top w:val="single" w:color="000000" w:sz="4" w:space="0"/>
              <w:left w:val="single" w:color="000000" w:sz="4" w:space="0"/>
              <w:bottom w:val="single" w:color="000000" w:sz="4" w:space="0"/>
              <w:right w:val="single" w:color="000000" w:sz="4" w:space="0"/>
            </w:tcBorders>
            <w:vAlign w:val="center"/>
          </w:tcPr>
          <w:p w14:paraId="31BDD112">
            <w:pPr>
              <w:widowControl/>
              <w:jc w:val="center"/>
              <w:textAlignment w:val="center"/>
              <w:rPr>
                <w:rFonts w:hint="eastAsia" w:ascii="宋体" w:hAnsi="宋体" w:cs="宋体"/>
                <w:color w:val="000000"/>
                <w:kern w:val="0"/>
                <w:sz w:val="20"/>
                <w:szCs w:val="20"/>
                <w:lang w:bidi="ar"/>
              </w:rPr>
            </w:pPr>
          </w:p>
        </w:tc>
        <w:tc>
          <w:tcPr>
            <w:tcW w:w="1143" w:type="dxa"/>
            <w:tcBorders>
              <w:top w:val="single" w:color="000000" w:sz="4" w:space="0"/>
              <w:left w:val="single" w:color="000000" w:sz="4" w:space="0"/>
              <w:bottom w:val="single" w:color="000000" w:sz="4" w:space="0"/>
              <w:right w:val="single" w:color="000000" w:sz="4" w:space="0"/>
            </w:tcBorders>
            <w:vAlign w:val="center"/>
          </w:tcPr>
          <w:p w14:paraId="117B072F">
            <w:pPr>
              <w:widowControl/>
              <w:jc w:val="center"/>
              <w:textAlignment w:val="center"/>
              <w:rPr>
                <w:rFonts w:hint="eastAsia" w:ascii="宋体" w:hAnsi="宋体" w:cs="宋体"/>
                <w:color w:val="000000"/>
                <w:kern w:val="0"/>
                <w:sz w:val="20"/>
                <w:szCs w:val="20"/>
                <w:lang w:bidi="ar"/>
              </w:rPr>
            </w:pPr>
          </w:p>
        </w:tc>
        <w:tc>
          <w:tcPr>
            <w:tcW w:w="763" w:type="dxa"/>
            <w:tcBorders>
              <w:top w:val="single" w:color="000000" w:sz="4" w:space="0"/>
              <w:left w:val="single" w:color="000000" w:sz="4" w:space="0"/>
              <w:bottom w:val="single" w:color="000000" w:sz="4" w:space="0"/>
              <w:right w:val="single" w:color="000000" w:sz="4" w:space="0"/>
            </w:tcBorders>
            <w:vAlign w:val="center"/>
          </w:tcPr>
          <w:p w14:paraId="4D964865">
            <w:pPr>
              <w:widowControl/>
              <w:jc w:val="center"/>
              <w:textAlignment w:val="center"/>
              <w:rPr>
                <w:rFonts w:hint="eastAsia" w:ascii="宋体" w:hAnsi="宋体" w:cs="宋体"/>
                <w:color w:val="000000"/>
                <w:kern w:val="0"/>
                <w:sz w:val="20"/>
                <w:szCs w:val="20"/>
                <w:lang w:bidi="ar"/>
              </w:rPr>
            </w:pPr>
          </w:p>
        </w:tc>
        <w:tc>
          <w:tcPr>
            <w:tcW w:w="741" w:type="dxa"/>
            <w:tcBorders>
              <w:top w:val="single" w:color="000000" w:sz="4" w:space="0"/>
              <w:left w:val="single" w:color="000000" w:sz="4" w:space="0"/>
              <w:bottom w:val="single" w:color="000000" w:sz="4" w:space="0"/>
              <w:right w:val="single" w:color="000000" w:sz="4" w:space="0"/>
            </w:tcBorders>
            <w:vAlign w:val="center"/>
          </w:tcPr>
          <w:p w14:paraId="138CCAEB">
            <w:pPr>
              <w:widowControl/>
              <w:jc w:val="center"/>
              <w:textAlignment w:val="center"/>
              <w:rPr>
                <w:rFonts w:hint="eastAsia" w:ascii="宋体" w:hAnsi="宋体" w:cs="宋体"/>
                <w:color w:val="000000"/>
                <w:kern w:val="0"/>
                <w:sz w:val="20"/>
                <w:szCs w:val="20"/>
                <w:lang w:bidi="ar"/>
              </w:rPr>
            </w:pPr>
          </w:p>
        </w:tc>
      </w:tr>
      <w:tr w14:paraId="61651241">
        <w:tblPrEx>
          <w:tblCellMar>
            <w:top w:w="0" w:type="dxa"/>
            <w:left w:w="108" w:type="dxa"/>
            <w:bottom w:w="0" w:type="dxa"/>
            <w:right w:w="108" w:type="dxa"/>
          </w:tblCellMar>
        </w:tblPrEx>
        <w:trPr>
          <w:trHeight w:val="20" w:hRule="atLeast"/>
          <w:jc w:val="center"/>
        </w:trPr>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D1E074">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124</w:t>
            </w:r>
          </w:p>
        </w:tc>
        <w:tc>
          <w:tcPr>
            <w:tcW w:w="2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6F8408">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PET标签2</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9AB870">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银色、防水30mm*20mm</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B45B50">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卷</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C1126B">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10</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7445BF">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15.5</w:t>
            </w:r>
          </w:p>
        </w:tc>
        <w:tc>
          <w:tcPr>
            <w:tcW w:w="992" w:type="dxa"/>
            <w:tcBorders>
              <w:top w:val="single" w:color="000000" w:sz="4" w:space="0"/>
              <w:left w:val="single" w:color="000000" w:sz="4" w:space="0"/>
              <w:bottom w:val="single" w:color="000000" w:sz="4" w:space="0"/>
              <w:right w:val="single" w:color="000000" w:sz="4" w:space="0"/>
            </w:tcBorders>
            <w:vAlign w:val="center"/>
          </w:tcPr>
          <w:p w14:paraId="0ABB1DBE">
            <w:pPr>
              <w:widowControl/>
              <w:jc w:val="center"/>
              <w:textAlignment w:val="center"/>
              <w:rPr>
                <w:rFonts w:hint="eastAsia" w:ascii="宋体" w:hAnsi="宋体" w:cs="宋体"/>
                <w:color w:val="000000"/>
                <w:kern w:val="0"/>
                <w:sz w:val="20"/>
                <w:szCs w:val="20"/>
                <w:lang w:bidi="ar"/>
              </w:rPr>
            </w:pPr>
          </w:p>
        </w:tc>
        <w:tc>
          <w:tcPr>
            <w:tcW w:w="1239" w:type="dxa"/>
            <w:tcBorders>
              <w:top w:val="single" w:color="000000" w:sz="4" w:space="0"/>
              <w:left w:val="single" w:color="000000" w:sz="4" w:space="0"/>
              <w:bottom w:val="single" w:color="000000" w:sz="4" w:space="0"/>
              <w:right w:val="single" w:color="000000" w:sz="4" w:space="0"/>
            </w:tcBorders>
            <w:vAlign w:val="center"/>
          </w:tcPr>
          <w:p w14:paraId="4A186D98">
            <w:pPr>
              <w:widowControl/>
              <w:jc w:val="center"/>
              <w:textAlignment w:val="center"/>
              <w:rPr>
                <w:rFonts w:hint="eastAsia" w:ascii="宋体" w:hAnsi="宋体" w:cs="宋体"/>
                <w:color w:val="000000"/>
                <w:kern w:val="0"/>
                <w:sz w:val="20"/>
                <w:szCs w:val="20"/>
                <w:lang w:bidi="ar"/>
              </w:rPr>
            </w:pPr>
          </w:p>
        </w:tc>
        <w:tc>
          <w:tcPr>
            <w:tcW w:w="900" w:type="dxa"/>
            <w:tcBorders>
              <w:top w:val="single" w:color="000000" w:sz="4" w:space="0"/>
              <w:left w:val="single" w:color="000000" w:sz="4" w:space="0"/>
              <w:bottom w:val="single" w:color="000000" w:sz="4" w:space="0"/>
              <w:right w:val="single" w:color="000000" w:sz="4" w:space="0"/>
            </w:tcBorders>
            <w:vAlign w:val="center"/>
          </w:tcPr>
          <w:p w14:paraId="1470D680">
            <w:pPr>
              <w:widowControl/>
              <w:jc w:val="center"/>
              <w:textAlignment w:val="center"/>
              <w:rPr>
                <w:rFonts w:hint="eastAsia" w:ascii="宋体" w:hAnsi="宋体" w:cs="宋体"/>
                <w:color w:val="000000"/>
                <w:kern w:val="0"/>
                <w:sz w:val="20"/>
                <w:szCs w:val="20"/>
                <w:lang w:bidi="ar"/>
              </w:rPr>
            </w:pPr>
          </w:p>
        </w:tc>
        <w:tc>
          <w:tcPr>
            <w:tcW w:w="832" w:type="dxa"/>
            <w:tcBorders>
              <w:top w:val="single" w:color="000000" w:sz="4" w:space="0"/>
              <w:left w:val="single" w:color="000000" w:sz="4" w:space="0"/>
              <w:bottom w:val="single" w:color="000000" w:sz="4" w:space="0"/>
              <w:right w:val="single" w:color="000000" w:sz="4" w:space="0"/>
            </w:tcBorders>
            <w:vAlign w:val="center"/>
          </w:tcPr>
          <w:p w14:paraId="5CC66A46">
            <w:pPr>
              <w:widowControl/>
              <w:jc w:val="center"/>
              <w:textAlignment w:val="center"/>
              <w:rPr>
                <w:rFonts w:hint="eastAsia" w:ascii="宋体" w:hAnsi="宋体" w:cs="宋体"/>
                <w:color w:val="000000"/>
                <w:kern w:val="0"/>
                <w:sz w:val="20"/>
                <w:szCs w:val="20"/>
                <w:lang w:bidi="ar"/>
              </w:rPr>
            </w:pPr>
          </w:p>
        </w:tc>
        <w:tc>
          <w:tcPr>
            <w:tcW w:w="1143" w:type="dxa"/>
            <w:tcBorders>
              <w:top w:val="single" w:color="000000" w:sz="4" w:space="0"/>
              <w:left w:val="single" w:color="000000" w:sz="4" w:space="0"/>
              <w:bottom w:val="single" w:color="000000" w:sz="4" w:space="0"/>
              <w:right w:val="single" w:color="000000" w:sz="4" w:space="0"/>
            </w:tcBorders>
            <w:vAlign w:val="center"/>
          </w:tcPr>
          <w:p w14:paraId="3CCC02BA">
            <w:pPr>
              <w:widowControl/>
              <w:jc w:val="center"/>
              <w:textAlignment w:val="center"/>
              <w:rPr>
                <w:rFonts w:hint="eastAsia" w:ascii="宋体" w:hAnsi="宋体" w:cs="宋体"/>
                <w:color w:val="000000"/>
                <w:kern w:val="0"/>
                <w:sz w:val="20"/>
                <w:szCs w:val="20"/>
                <w:lang w:bidi="ar"/>
              </w:rPr>
            </w:pPr>
          </w:p>
        </w:tc>
        <w:tc>
          <w:tcPr>
            <w:tcW w:w="763" w:type="dxa"/>
            <w:tcBorders>
              <w:top w:val="single" w:color="000000" w:sz="4" w:space="0"/>
              <w:left w:val="single" w:color="000000" w:sz="4" w:space="0"/>
              <w:bottom w:val="single" w:color="000000" w:sz="4" w:space="0"/>
              <w:right w:val="single" w:color="000000" w:sz="4" w:space="0"/>
            </w:tcBorders>
            <w:vAlign w:val="center"/>
          </w:tcPr>
          <w:p w14:paraId="560036D8">
            <w:pPr>
              <w:widowControl/>
              <w:jc w:val="center"/>
              <w:textAlignment w:val="center"/>
              <w:rPr>
                <w:rFonts w:hint="eastAsia" w:ascii="宋体" w:hAnsi="宋体" w:cs="宋体"/>
                <w:color w:val="000000"/>
                <w:kern w:val="0"/>
                <w:sz w:val="20"/>
                <w:szCs w:val="20"/>
                <w:lang w:bidi="ar"/>
              </w:rPr>
            </w:pPr>
          </w:p>
        </w:tc>
        <w:tc>
          <w:tcPr>
            <w:tcW w:w="741" w:type="dxa"/>
            <w:tcBorders>
              <w:top w:val="single" w:color="000000" w:sz="4" w:space="0"/>
              <w:left w:val="single" w:color="000000" w:sz="4" w:space="0"/>
              <w:bottom w:val="single" w:color="000000" w:sz="4" w:space="0"/>
              <w:right w:val="single" w:color="000000" w:sz="4" w:space="0"/>
            </w:tcBorders>
            <w:vAlign w:val="center"/>
          </w:tcPr>
          <w:p w14:paraId="18988490">
            <w:pPr>
              <w:widowControl/>
              <w:jc w:val="center"/>
              <w:textAlignment w:val="center"/>
              <w:rPr>
                <w:rFonts w:hint="eastAsia" w:ascii="宋体" w:hAnsi="宋体" w:cs="宋体"/>
                <w:color w:val="000000"/>
                <w:kern w:val="0"/>
                <w:sz w:val="20"/>
                <w:szCs w:val="20"/>
                <w:lang w:bidi="ar"/>
              </w:rPr>
            </w:pPr>
          </w:p>
        </w:tc>
      </w:tr>
      <w:tr w14:paraId="10C5A4CF">
        <w:tblPrEx>
          <w:tblCellMar>
            <w:top w:w="0" w:type="dxa"/>
            <w:left w:w="108" w:type="dxa"/>
            <w:bottom w:w="0" w:type="dxa"/>
            <w:right w:w="108" w:type="dxa"/>
          </w:tblCellMar>
        </w:tblPrEx>
        <w:trPr>
          <w:trHeight w:val="20" w:hRule="atLeast"/>
          <w:jc w:val="center"/>
        </w:trPr>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724F88">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125</w:t>
            </w:r>
          </w:p>
        </w:tc>
        <w:tc>
          <w:tcPr>
            <w:tcW w:w="2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CF0B2E">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PET标签3</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6F973D">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银色、防水50mm*30mm</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3A532B">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卷</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996FCF">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10</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0BC061">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37</w:t>
            </w:r>
          </w:p>
        </w:tc>
        <w:tc>
          <w:tcPr>
            <w:tcW w:w="992" w:type="dxa"/>
            <w:tcBorders>
              <w:top w:val="single" w:color="000000" w:sz="4" w:space="0"/>
              <w:left w:val="single" w:color="000000" w:sz="4" w:space="0"/>
              <w:bottom w:val="single" w:color="000000" w:sz="4" w:space="0"/>
              <w:right w:val="single" w:color="000000" w:sz="4" w:space="0"/>
            </w:tcBorders>
            <w:vAlign w:val="center"/>
          </w:tcPr>
          <w:p w14:paraId="0FD6EBC2">
            <w:pPr>
              <w:widowControl/>
              <w:jc w:val="center"/>
              <w:textAlignment w:val="center"/>
              <w:rPr>
                <w:rFonts w:hint="eastAsia" w:ascii="宋体" w:hAnsi="宋体" w:cs="宋体"/>
                <w:color w:val="000000"/>
                <w:kern w:val="0"/>
                <w:sz w:val="20"/>
                <w:szCs w:val="20"/>
                <w:lang w:bidi="ar"/>
              </w:rPr>
            </w:pPr>
          </w:p>
        </w:tc>
        <w:tc>
          <w:tcPr>
            <w:tcW w:w="1239" w:type="dxa"/>
            <w:tcBorders>
              <w:top w:val="single" w:color="000000" w:sz="4" w:space="0"/>
              <w:left w:val="single" w:color="000000" w:sz="4" w:space="0"/>
              <w:bottom w:val="single" w:color="000000" w:sz="4" w:space="0"/>
              <w:right w:val="single" w:color="000000" w:sz="4" w:space="0"/>
            </w:tcBorders>
            <w:vAlign w:val="center"/>
          </w:tcPr>
          <w:p w14:paraId="3C537516">
            <w:pPr>
              <w:widowControl/>
              <w:jc w:val="center"/>
              <w:textAlignment w:val="center"/>
              <w:rPr>
                <w:rFonts w:hint="eastAsia" w:ascii="宋体" w:hAnsi="宋体" w:cs="宋体"/>
                <w:color w:val="000000"/>
                <w:kern w:val="0"/>
                <w:sz w:val="20"/>
                <w:szCs w:val="20"/>
                <w:lang w:bidi="ar"/>
              </w:rPr>
            </w:pPr>
          </w:p>
        </w:tc>
        <w:tc>
          <w:tcPr>
            <w:tcW w:w="900" w:type="dxa"/>
            <w:tcBorders>
              <w:top w:val="single" w:color="000000" w:sz="4" w:space="0"/>
              <w:left w:val="single" w:color="000000" w:sz="4" w:space="0"/>
              <w:bottom w:val="single" w:color="000000" w:sz="4" w:space="0"/>
              <w:right w:val="single" w:color="000000" w:sz="4" w:space="0"/>
            </w:tcBorders>
            <w:vAlign w:val="center"/>
          </w:tcPr>
          <w:p w14:paraId="72BC4F7C">
            <w:pPr>
              <w:widowControl/>
              <w:jc w:val="center"/>
              <w:textAlignment w:val="center"/>
              <w:rPr>
                <w:rFonts w:hint="eastAsia" w:ascii="宋体" w:hAnsi="宋体" w:cs="宋体"/>
                <w:color w:val="000000"/>
                <w:kern w:val="0"/>
                <w:sz w:val="20"/>
                <w:szCs w:val="20"/>
                <w:lang w:bidi="ar"/>
              </w:rPr>
            </w:pPr>
          </w:p>
        </w:tc>
        <w:tc>
          <w:tcPr>
            <w:tcW w:w="832" w:type="dxa"/>
            <w:tcBorders>
              <w:top w:val="single" w:color="000000" w:sz="4" w:space="0"/>
              <w:left w:val="single" w:color="000000" w:sz="4" w:space="0"/>
              <w:bottom w:val="single" w:color="000000" w:sz="4" w:space="0"/>
              <w:right w:val="single" w:color="000000" w:sz="4" w:space="0"/>
            </w:tcBorders>
            <w:vAlign w:val="center"/>
          </w:tcPr>
          <w:p w14:paraId="136916BE">
            <w:pPr>
              <w:widowControl/>
              <w:jc w:val="center"/>
              <w:textAlignment w:val="center"/>
              <w:rPr>
                <w:rFonts w:hint="eastAsia" w:ascii="宋体" w:hAnsi="宋体" w:cs="宋体"/>
                <w:color w:val="000000"/>
                <w:kern w:val="0"/>
                <w:sz w:val="20"/>
                <w:szCs w:val="20"/>
                <w:lang w:bidi="ar"/>
              </w:rPr>
            </w:pPr>
          </w:p>
        </w:tc>
        <w:tc>
          <w:tcPr>
            <w:tcW w:w="1143" w:type="dxa"/>
            <w:tcBorders>
              <w:top w:val="single" w:color="000000" w:sz="4" w:space="0"/>
              <w:left w:val="single" w:color="000000" w:sz="4" w:space="0"/>
              <w:bottom w:val="single" w:color="000000" w:sz="4" w:space="0"/>
              <w:right w:val="single" w:color="000000" w:sz="4" w:space="0"/>
            </w:tcBorders>
            <w:vAlign w:val="center"/>
          </w:tcPr>
          <w:p w14:paraId="43E3EFD3">
            <w:pPr>
              <w:widowControl/>
              <w:jc w:val="center"/>
              <w:textAlignment w:val="center"/>
              <w:rPr>
                <w:rFonts w:hint="eastAsia" w:ascii="宋体" w:hAnsi="宋体" w:cs="宋体"/>
                <w:color w:val="000000"/>
                <w:kern w:val="0"/>
                <w:sz w:val="20"/>
                <w:szCs w:val="20"/>
                <w:lang w:bidi="ar"/>
              </w:rPr>
            </w:pPr>
          </w:p>
        </w:tc>
        <w:tc>
          <w:tcPr>
            <w:tcW w:w="763" w:type="dxa"/>
            <w:tcBorders>
              <w:top w:val="single" w:color="000000" w:sz="4" w:space="0"/>
              <w:left w:val="single" w:color="000000" w:sz="4" w:space="0"/>
              <w:bottom w:val="single" w:color="000000" w:sz="4" w:space="0"/>
              <w:right w:val="single" w:color="000000" w:sz="4" w:space="0"/>
            </w:tcBorders>
            <w:vAlign w:val="center"/>
          </w:tcPr>
          <w:p w14:paraId="1D27D379">
            <w:pPr>
              <w:widowControl/>
              <w:jc w:val="center"/>
              <w:textAlignment w:val="center"/>
              <w:rPr>
                <w:rFonts w:hint="eastAsia" w:ascii="宋体" w:hAnsi="宋体" w:cs="宋体"/>
                <w:color w:val="000000"/>
                <w:kern w:val="0"/>
                <w:sz w:val="20"/>
                <w:szCs w:val="20"/>
                <w:lang w:bidi="ar"/>
              </w:rPr>
            </w:pPr>
          </w:p>
        </w:tc>
        <w:tc>
          <w:tcPr>
            <w:tcW w:w="741" w:type="dxa"/>
            <w:tcBorders>
              <w:top w:val="single" w:color="000000" w:sz="4" w:space="0"/>
              <w:left w:val="single" w:color="000000" w:sz="4" w:space="0"/>
              <w:bottom w:val="single" w:color="000000" w:sz="4" w:space="0"/>
              <w:right w:val="single" w:color="000000" w:sz="4" w:space="0"/>
            </w:tcBorders>
            <w:vAlign w:val="center"/>
          </w:tcPr>
          <w:p w14:paraId="48ABAF0F">
            <w:pPr>
              <w:widowControl/>
              <w:jc w:val="center"/>
              <w:textAlignment w:val="center"/>
              <w:rPr>
                <w:rFonts w:hint="eastAsia" w:ascii="宋体" w:hAnsi="宋体" w:cs="宋体"/>
                <w:color w:val="000000"/>
                <w:kern w:val="0"/>
                <w:sz w:val="20"/>
                <w:szCs w:val="20"/>
                <w:lang w:bidi="ar"/>
              </w:rPr>
            </w:pPr>
          </w:p>
        </w:tc>
      </w:tr>
      <w:tr w14:paraId="6711DF94">
        <w:tblPrEx>
          <w:tblCellMar>
            <w:top w:w="0" w:type="dxa"/>
            <w:left w:w="108" w:type="dxa"/>
            <w:bottom w:w="0" w:type="dxa"/>
            <w:right w:w="108" w:type="dxa"/>
          </w:tblCellMar>
        </w:tblPrEx>
        <w:trPr>
          <w:trHeight w:val="20" w:hRule="atLeast"/>
          <w:jc w:val="center"/>
        </w:trPr>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5AE974">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126</w:t>
            </w:r>
          </w:p>
        </w:tc>
        <w:tc>
          <w:tcPr>
            <w:tcW w:w="2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D19D9D">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PET标签4</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2DA57E">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银色、防水70mm*40mm</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1E54D7">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卷</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814CA3">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10</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141EED">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30</w:t>
            </w:r>
          </w:p>
        </w:tc>
        <w:tc>
          <w:tcPr>
            <w:tcW w:w="992" w:type="dxa"/>
            <w:tcBorders>
              <w:top w:val="single" w:color="000000" w:sz="4" w:space="0"/>
              <w:left w:val="single" w:color="000000" w:sz="4" w:space="0"/>
              <w:bottom w:val="single" w:color="000000" w:sz="4" w:space="0"/>
              <w:right w:val="single" w:color="000000" w:sz="4" w:space="0"/>
            </w:tcBorders>
            <w:vAlign w:val="center"/>
          </w:tcPr>
          <w:p w14:paraId="12CBA8F2">
            <w:pPr>
              <w:widowControl/>
              <w:jc w:val="center"/>
              <w:textAlignment w:val="center"/>
              <w:rPr>
                <w:rFonts w:hint="eastAsia" w:ascii="宋体" w:hAnsi="宋体" w:cs="宋体"/>
                <w:color w:val="000000"/>
                <w:kern w:val="0"/>
                <w:sz w:val="20"/>
                <w:szCs w:val="20"/>
                <w:lang w:bidi="ar"/>
              </w:rPr>
            </w:pPr>
          </w:p>
        </w:tc>
        <w:tc>
          <w:tcPr>
            <w:tcW w:w="1239" w:type="dxa"/>
            <w:tcBorders>
              <w:top w:val="single" w:color="000000" w:sz="4" w:space="0"/>
              <w:left w:val="single" w:color="000000" w:sz="4" w:space="0"/>
              <w:bottom w:val="single" w:color="000000" w:sz="4" w:space="0"/>
              <w:right w:val="single" w:color="000000" w:sz="4" w:space="0"/>
            </w:tcBorders>
            <w:vAlign w:val="center"/>
          </w:tcPr>
          <w:p w14:paraId="129D82F4">
            <w:pPr>
              <w:widowControl/>
              <w:jc w:val="center"/>
              <w:textAlignment w:val="center"/>
              <w:rPr>
                <w:rFonts w:hint="eastAsia" w:ascii="宋体" w:hAnsi="宋体" w:cs="宋体"/>
                <w:color w:val="000000"/>
                <w:kern w:val="0"/>
                <w:sz w:val="20"/>
                <w:szCs w:val="20"/>
                <w:lang w:bidi="ar"/>
              </w:rPr>
            </w:pPr>
          </w:p>
        </w:tc>
        <w:tc>
          <w:tcPr>
            <w:tcW w:w="900" w:type="dxa"/>
            <w:tcBorders>
              <w:top w:val="single" w:color="000000" w:sz="4" w:space="0"/>
              <w:left w:val="single" w:color="000000" w:sz="4" w:space="0"/>
              <w:bottom w:val="single" w:color="000000" w:sz="4" w:space="0"/>
              <w:right w:val="single" w:color="000000" w:sz="4" w:space="0"/>
            </w:tcBorders>
            <w:vAlign w:val="center"/>
          </w:tcPr>
          <w:p w14:paraId="44712100">
            <w:pPr>
              <w:widowControl/>
              <w:jc w:val="center"/>
              <w:textAlignment w:val="center"/>
              <w:rPr>
                <w:rFonts w:hint="eastAsia" w:ascii="宋体" w:hAnsi="宋体" w:cs="宋体"/>
                <w:color w:val="000000"/>
                <w:kern w:val="0"/>
                <w:sz w:val="20"/>
                <w:szCs w:val="20"/>
                <w:lang w:bidi="ar"/>
              </w:rPr>
            </w:pPr>
          </w:p>
        </w:tc>
        <w:tc>
          <w:tcPr>
            <w:tcW w:w="832" w:type="dxa"/>
            <w:tcBorders>
              <w:top w:val="single" w:color="000000" w:sz="4" w:space="0"/>
              <w:left w:val="single" w:color="000000" w:sz="4" w:space="0"/>
              <w:bottom w:val="single" w:color="000000" w:sz="4" w:space="0"/>
              <w:right w:val="single" w:color="000000" w:sz="4" w:space="0"/>
            </w:tcBorders>
            <w:vAlign w:val="center"/>
          </w:tcPr>
          <w:p w14:paraId="5AA3FD81">
            <w:pPr>
              <w:widowControl/>
              <w:jc w:val="center"/>
              <w:textAlignment w:val="center"/>
              <w:rPr>
                <w:rFonts w:hint="eastAsia" w:ascii="宋体" w:hAnsi="宋体" w:cs="宋体"/>
                <w:color w:val="000000"/>
                <w:kern w:val="0"/>
                <w:sz w:val="20"/>
                <w:szCs w:val="20"/>
                <w:lang w:bidi="ar"/>
              </w:rPr>
            </w:pPr>
          </w:p>
        </w:tc>
        <w:tc>
          <w:tcPr>
            <w:tcW w:w="1143" w:type="dxa"/>
            <w:tcBorders>
              <w:top w:val="single" w:color="000000" w:sz="4" w:space="0"/>
              <w:left w:val="single" w:color="000000" w:sz="4" w:space="0"/>
              <w:bottom w:val="single" w:color="000000" w:sz="4" w:space="0"/>
              <w:right w:val="single" w:color="000000" w:sz="4" w:space="0"/>
            </w:tcBorders>
            <w:vAlign w:val="center"/>
          </w:tcPr>
          <w:p w14:paraId="30C58B4F">
            <w:pPr>
              <w:widowControl/>
              <w:jc w:val="center"/>
              <w:textAlignment w:val="center"/>
              <w:rPr>
                <w:rFonts w:hint="eastAsia" w:ascii="宋体" w:hAnsi="宋体" w:cs="宋体"/>
                <w:color w:val="000000"/>
                <w:kern w:val="0"/>
                <w:sz w:val="20"/>
                <w:szCs w:val="20"/>
                <w:lang w:bidi="ar"/>
              </w:rPr>
            </w:pPr>
          </w:p>
        </w:tc>
        <w:tc>
          <w:tcPr>
            <w:tcW w:w="763" w:type="dxa"/>
            <w:tcBorders>
              <w:top w:val="single" w:color="000000" w:sz="4" w:space="0"/>
              <w:left w:val="single" w:color="000000" w:sz="4" w:space="0"/>
              <w:bottom w:val="single" w:color="000000" w:sz="4" w:space="0"/>
              <w:right w:val="single" w:color="000000" w:sz="4" w:space="0"/>
            </w:tcBorders>
            <w:vAlign w:val="center"/>
          </w:tcPr>
          <w:p w14:paraId="7DC53BF8">
            <w:pPr>
              <w:widowControl/>
              <w:jc w:val="center"/>
              <w:textAlignment w:val="center"/>
              <w:rPr>
                <w:rFonts w:hint="eastAsia" w:ascii="宋体" w:hAnsi="宋体" w:cs="宋体"/>
                <w:color w:val="000000"/>
                <w:kern w:val="0"/>
                <w:sz w:val="20"/>
                <w:szCs w:val="20"/>
                <w:lang w:bidi="ar"/>
              </w:rPr>
            </w:pPr>
          </w:p>
        </w:tc>
        <w:tc>
          <w:tcPr>
            <w:tcW w:w="741" w:type="dxa"/>
            <w:tcBorders>
              <w:top w:val="single" w:color="000000" w:sz="4" w:space="0"/>
              <w:left w:val="single" w:color="000000" w:sz="4" w:space="0"/>
              <w:bottom w:val="single" w:color="000000" w:sz="4" w:space="0"/>
              <w:right w:val="single" w:color="000000" w:sz="4" w:space="0"/>
            </w:tcBorders>
            <w:vAlign w:val="center"/>
          </w:tcPr>
          <w:p w14:paraId="76A2D37B">
            <w:pPr>
              <w:widowControl/>
              <w:jc w:val="center"/>
              <w:textAlignment w:val="center"/>
              <w:rPr>
                <w:rFonts w:hint="eastAsia" w:ascii="宋体" w:hAnsi="宋体" w:cs="宋体"/>
                <w:color w:val="000000"/>
                <w:kern w:val="0"/>
                <w:sz w:val="20"/>
                <w:szCs w:val="20"/>
                <w:lang w:bidi="ar"/>
              </w:rPr>
            </w:pPr>
          </w:p>
        </w:tc>
      </w:tr>
      <w:tr w14:paraId="1A712659">
        <w:tblPrEx>
          <w:tblCellMar>
            <w:top w:w="0" w:type="dxa"/>
            <w:left w:w="108" w:type="dxa"/>
            <w:bottom w:w="0" w:type="dxa"/>
            <w:right w:w="108" w:type="dxa"/>
          </w:tblCellMar>
        </w:tblPrEx>
        <w:trPr>
          <w:trHeight w:val="20" w:hRule="atLeast"/>
          <w:jc w:val="center"/>
        </w:trPr>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78FB9A">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127</w:t>
            </w:r>
          </w:p>
        </w:tc>
        <w:tc>
          <w:tcPr>
            <w:tcW w:w="2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112986">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PET标签5</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EDD61F">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银色、防水100mm*80mm</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E33876">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卷</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325260">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10</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E8CAB8">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32</w:t>
            </w:r>
          </w:p>
        </w:tc>
        <w:tc>
          <w:tcPr>
            <w:tcW w:w="992" w:type="dxa"/>
            <w:tcBorders>
              <w:top w:val="single" w:color="000000" w:sz="4" w:space="0"/>
              <w:left w:val="single" w:color="000000" w:sz="4" w:space="0"/>
              <w:bottom w:val="single" w:color="000000" w:sz="4" w:space="0"/>
              <w:right w:val="single" w:color="000000" w:sz="4" w:space="0"/>
            </w:tcBorders>
            <w:vAlign w:val="center"/>
          </w:tcPr>
          <w:p w14:paraId="245BD265">
            <w:pPr>
              <w:widowControl/>
              <w:jc w:val="center"/>
              <w:textAlignment w:val="center"/>
              <w:rPr>
                <w:rFonts w:hint="eastAsia" w:ascii="宋体" w:hAnsi="宋体" w:cs="宋体"/>
                <w:color w:val="000000"/>
                <w:kern w:val="0"/>
                <w:sz w:val="20"/>
                <w:szCs w:val="20"/>
                <w:lang w:bidi="ar"/>
              </w:rPr>
            </w:pPr>
          </w:p>
        </w:tc>
        <w:tc>
          <w:tcPr>
            <w:tcW w:w="1239" w:type="dxa"/>
            <w:tcBorders>
              <w:top w:val="single" w:color="000000" w:sz="4" w:space="0"/>
              <w:left w:val="single" w:color="000000" w:sz="4" w:space="0"/>
              <w:bottom w:val="single" w:color="000000" w:sz="4" w:space="0"/>
              <w:right w:val="single" w:color="000000" w:sz="4" w:space="0"/>
            </w:tcBorders>
            <w:vAlign w:val="center"/>
          </w:tcPr>
          <w:p w14:paraId="29137970">
            <w:pPr>
              <w:widowControl/>
              <w:jc w:val="center"/>
              <w:textAlignment w:val="center"/>
              <w:rPr>
                <w:rFonts w:hint="eastAsia" w:ascii="宋体" w:hAnsi="宋体" w:cs="宋体"/>
                <w:color w:val="000000"/>
                <w:kern w:val="0"/>
                <w:sz w:val="20"/>
                <w:szCs w:val="20"/>
                <w:lang w:bidi="ar"/>
              </w:rPr>
            </w:pPr>
          </w:p>
        </w:tc>
        <w:tc>
          <w:tcPr>
            <w:tcW w:w="900" w:type="dxa"/>
            <w:tcBorders>
              <w:top w:val="single" w:color="000000" w:sz="4" w:space="0"/>
              <w:left w:val="single" w:color="000000" w:sz="4" w:space="0"/>
              <w:bottom w:val="single" w:color="000000" w:sz="4" w:space="0"/>
              <w:right w:val="single" w:color="000000" w:sz="4" w:space="0"/>
            </w:tcBorders>
            <w:vAlign w:val="center"/>
          </w:tcPr>
          <w:p w14:paraId="47A8ACCF">
            <w:pPr>
              <w:widowControl/>
              <w:jc w:val="center"/>
              <w:textAlignment w:val="center"/>
              <w:rPr>
                <w:rFonts w:hint="eastAsia" w:ascii="宋体" w:hAnsi="宋体" w:cs="宋体"/>
                <w:color w:val="000000"/>
                <w:kern w:val="0"/>
                <w:sz w:val="20"/>
                <w:szCs w:val="20"/>
                <w:lang w:bidi="ar"/>
              </w:rPr>
            </w:pPr>
          </w:p>
        </w:tc>
        <w:tc>
          <w:tcPr>
            <w:tcW w:w="832" w:type="dxa"/>
            <w:tcBorders>
              <w:top w:val="single" w:color="000000" w:sz="4" w:space="0"/>
              <w:left w:val="single" w:color="000000" w:sz="4" w:space="0"/>
              <w:bottom w:val="single" w:color="000000" w:sz="4" w:space="0"/>
              <w:right w:val="single" w:color="000000" w:sz="4" w:space="0"/>
            </w:tcBorders>
            <w:vAlign w:val="center"/>
          </w:tcPr>
          <w:p w14:paraId="6EC80F99">
            <w:pPr>
              <w:widowControl/>
              <w:jc w:val="center"/>
              <w:textAlignment w:val="center"/>
              <w:rPr>
                <w:rFonts w:hint="eastAsia" w:ascii="宋体" w:hAnsi="宋体" w:cs="宋体"/>
                <w:color w:val="000000"/>
                <w:kern w:val="0"/>
                <w:sz w:val="20"/>
                <w:szCs w:val="20"/>
                <w:lang w:bidi="ar"/>
              </w:rPr>
            </w:pPr>
          </w:p>
        </w:tc>
        <w:tc>
          <w:tcPr>
            <w:tcW w:w="1143" w:type="dxa"/>
            <w:tcBorders>
              <w:top w:val="single" w:color="000000" w:sz="4" w:space="0"/>
              <w:left w:val="single" w:color="000000" w:sz="4" w:space="0"/>
              <w:bottom w:val="single" w:color="000000" w:sz="4" w:space="0"/>
              <w:right w:val="single" w:color="000000" w:sz="4" w:space="0"/>
            </w:tcBorders>
            <w:vAlign w:val="center"/>
          </w:tcPr>
          <w:p w14:paraId="59A8C0D9">
            <w:pPr>
              <w:widowControl/>
              <w:jc w:val="center"/>
              <w:textAlignment w:val="center"/>
              <w:rPr>
                <w:rFonts w:hint="eastAsia" w:ascii="宋体" w:hAnsi="宋体" w:cs="宋体"/>
                <w:color w:val="000000"/>
                <w:kern w:val="0"/>
                <w:sz w:val="20"/>
                <w:szCs w:val="20"/>
                <w:lang w:bidi="ar"/>
              </w:rPr>
            </w:pPr>
          </w:p>
        </w:tc>
        <w:tc>
          <w:tcPr>
            <w:tcW w:w="763" w:type="dxa"/>
            <w:tcBorders>
              <w:top w:val="single" w:color="000000" w:sz="4" w:space="0"/>
              <w:left w:val="single" w:color="000000" w:sz="4" w:space="0"/>
              <w:bottom w:val="single" w:color="000000" w:sz="4" w:space="0"/>
              <w:right w:val="single" w:color="000000" w:sz="4" w:space="0"/>
            </w:tcBorders>
            <w:vAlign w:val="center"/>
          </w:tcPr>
          <w:p w14:paraId="79ED0E53">
            <w:pPr>
              <w:widowControl/>
              <w:jc w:val="center"/>
              <w:textAlignment w:val="center"/>
              <w:rPr>
                <w:rFonts w:hint="eastAsia" w:ascii="宋体" w:hAnsi="宋体" w:cs="宋体"/>
                <w:color w:val="000000"/>
                <w:kern w:val="0"/>
                <w:sz w:val="20"/>
                <w:szCs w:val="20"/>
                <w:lang w:bidi="ar"/>
              </w:rPr>
            </w:pPr>
          </w:p>
        </w:tc>
        <w:tc>
          <w:tcPr>
            <w:tcW w:w="741" w:type="dxa"/>
            <w:tcBorders>
              <w:top w:val="single" w:color="000000" w:sz="4" w:space="0"/>
              <w:left w:val="single" w:color="000000" w:sz="4" w:space="0"/>
              <w:bottom w:val="single" w:color="000000" w:sz="4" w:space="0"/>
              <w:right w:val="single" w:color="000000" w:sz="4" w:space="0"/>
            </w:tcBorders>
            <w:vAlign w:val="center"/>
          </w:tcPr>
          <w:p w14:paraId="2F136947">
            <w:pPr>
              <w:widowControl/>
              <w:jc w:val="center"/>
              <w:textAlignment w:val="center"/>
              <w:rPr>
                <w:rFonts w:hint="eastAsia" w:ascii="宋体" w:hAnsi="宋体" w:cs="宋体"/>
                <w:color w:val="000000"/>
                <w:kern w:val="0"/>
                <w:sz w:val="20"/>
                <w:szCs w:val="20"/>
                <w:lang w:bidi="ar"/>
              </w:rPr>
            </w:pPr>
          </w:p>
        </w:tc>
      </w:tr>
      <w:tr w14:paraId="5555E186">
        <w:tblPrEx>
          <w:tblCellMar>
            <w:top w:w="0" w:type="dxa"/>
            <w:left w:w="108" w:type="dxa"/>
            <w:bottom w:w="0" w:type="dxa"/>
            <w:right w:w="108" w:type="dxa"/>
          </w:tblCellMar>
        </w:tblPrEx>
        <w:trPr>
          <w:trHeight w:val="20" w:hRule="atLeast"/>
          <w:jc w:val="center"/>
        </w:trPr>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A70244">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128</w:t>
            </w:r>
          </w:p>
        </w:tc>
        <w:tc>
          <w:tcPr>
            <w:tcW w:w="2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CBF46B">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PET标签6</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CABFD2">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银色、防水20mm*10mm</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5DA025">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卷</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50981E">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10</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1010E5">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23</w:t>
            </w:r>
          </w:p>
        </w:tc>
        <w:tc>
          <w:tcPr>
            <w:tcW w:w="992" w:type="dxa"/>
            <w:tcBorders>
              <w:top w:val="single" w:color="000000" w:sz="4" w:space="0"/>
              <w:left w:val="single" w:color="000000" w:sz="4" w:space="0"/>
              <w:bottom w:val="single" w:color="000000" w:sz="4" w:space="0"/>
              <w:right w:val="single" w:color="000000" w:sz="4" w:space="0"/>
            </w:tcBorders>
            <w:vAlign w:val="center"/>
          </w:tcPr>
          <w:p w14:paraId="143ED178">
            <w:pPr>
              <w:widowControl/>
              <w:jc w:val="center"/>
              <w:textAlignment w:val="center"/>
              <w:rPr>
                <w:rFonts w:hint="eastAsia" w:ascii="宋体" w:hAnsi="宋体" w:cs="宋体"/>
                <w:color w:val="000000"/>
                <w:kern w:val="0"/>
                <w:sz w:val="20"/>
                <w:szCs w:val="20"/>
                <w:lang w:bidi="ar"/>
              </w:rPr>
            </w:pPr>
          </w:p>
        </w:tc>
        <w:tc>
          <w:tcPr>
            <w:tcW w:w="1239" w:type="dxa"/>
            <w:tcBorders>
              <w:top w:val="single" w:color="000000" w:sz="4" w:space="0"/>
              <w:left w:val="single" w:color="000000" w:sz="4" w:space="0"/>
              <w:bottom w:val="single" w:color="000000" w:sz="4" w:space="0"/>
              <w:right w:val="single" w:color="000000" w:sz="4" w:space="0"/>
            </w:tcBorders>
            <w:vAlign w:val="center"/>
          </w:tcPr>
          <w:p w14:paraId="583E20D5">
            <w:pPr>
              <w:widowControl/>
              <w:jc w:val="center"/>
              <w:textAlignment w:val="center"/>
              <w:rPr>
                <w:rFonts w:hint="eastAsia" w:ascii="宋体" w:hAnsi="宋体" w:cs="宋体"/>
                <w:color w:val="000000"/>
                <w:kern w:val="0"/>
                <w:sz w:val="20"/>
                <w:szCs w:val="20"/>
                <w:lang w:bidi="ar"/>
              </w:rPr>
            </w:pPr>
          </w:p>
        </w:tc>
        <w:tc>
          <w:tcPr>
            <w:tcW w:w="900" w:type="dxa"/>
            <w:tcBorders>
              <w:top w:val="single" w:color="000000" w:sz="4" w:space="0"/>
              <w:left w:val="single" w:color="000000" w:sz="4" w:space="0"/>
              <w:bottom w:val="single" w:color="000000" w:sz="4" w:space="0"/>
              <w:right w:val="single" w:color="000000" w:sz="4" w:space="0"/>
            </w:tcBorders>
            <w:vAlign w:val="center"/>
          </w:tcPr>
          <w:p w14:paraId="388C315F">
            <w:pPr>
              <w:widowControl/>
              <w:jc w:val="center"/>
              <w:textAlignment w:val="center"/>
              <w:rPr>
                <w:rFonts w:hint="eastAsia" w:ascii="宋体" w:hAnsi="宋体" w:cs="宋体"/>
                <w:color w:val="000000"/>
                <w:kern w:val="0"/>
                <w:sz w:val="20"/>
                <w:szCs w:val="20"/>
                <w:lang w:bidi="ar"/>
              </w:rPr>
            </w:pPr>
          </w:p>
        </w:tc>
        <w:tc>
          <w:tcPr>
            <w:tcW w:w="832" w:type="dxa"/>
            <w:tcBorders>
              <w:top w:val="single" w:color="000000" w:sz="4" w:space="0"/>
              <w:left w:val="single" w:color="000000" w:sz="4" w:space="0"/>
              <w:bottom w:val="single" w:color="000000" w:sz="4" w:space="0"/>
              <w:right w:val="single" w:color="000000" w:sz="4" w:space="0"/>
            </w:tcBorders>
            <w:vAlign w:val="center"/>
          </w:tcPr>
          <w:p w14:paraId="10765B56">
            <w:pPr>
              <w:widowControl/>
              <w:jc w:val="center"/>
              <w:textAlignment w:val="center"/>
              <w:rPr>
                <w:rFonts w:hint="eastAsia" w:ascii="宋体" w:hAnsi="宋体" w:cs="宋体"/>
                <w:color w:val="000000"/>
                <w:kern w:val="0"/>
                <w:sz w:val="20"/>
                <w:szCs w:val="20"/>
                <w:lang w:bidi="ar"/>
              </w:rPr>
            </w:pPr>
          </w:p>
        </w:tc>
        <w:tc>
          <w:tcPr>
            <w:tcW w:w="1143" w:type="dxa"/>
            <w:tcBorders>
              <w:top w:val="single" w:color="000000" w:sz="4" w:space="0"/>
              <w:left w:val="single" w:color="000000" w:sz="4" w:space="0"/>
              <w:bottom w:val="single" w:color="000000" w:sz="4" w:space="0"/>
              <w:right w:val="single" w:color="000000" w:sz="4" w:space="0"/>
            </w:tcBorders>
            <w:vAlign w:val="center"/>
          </w:tcPr>
          <w:p w14:paraId="1B4E7080">
            <w:pPr>
              <w:widowControl/>
              <w:jc w:val="center"/>
              <w:textAlignment w:val="center"/>
              <w:rPr>
                <w:rFonts w:hint="eastAsia" w:ascii="宋体" w:hAnsi="宋体" w:cs="宋体"/>
                <w:color w:val="000000"/>
                <w:kern w:val="0"/>
                <w:sz w:val="20"/>
                <w:szCs w:val="20"/>
                <w:lang w:bidi="ar"/>
              </w:rPr>
            </w:pPr>
          </w:p>
        </w:tc>
        <w:tc>
          <w:tcPr>
            <w:tcW w:w="763" w:type="dxa"/>
            <w:tcBorders>
              <w:top w:val="single" w:color="000000" w:sz="4" w:space="0"/>
              <w:left w:val="single" w:color="000000" w:sz="4" w:space="0"/>
              <w:bottom w:val="single" w:color="000000" w:sz="4" w:space="0"/>
              <w:right w:val="single" w:color="000000" w:sz="4" w:space="0"/>
            </w:tcBorders>
            <w:vAlign w:val="center"/>
          </w:tcPr>
          <w:p w14:paraId="404C4A11">
            <w:pPr>
              <w:widowControl/>
              <w:jc w:val="center"/>
              <w:textAlignment w:val="center"/>
              <w:rPr>
                <w:rFonts w:hint="eastAsia" w:ascii="宋体" w:hAnsi="宋体" w:cs="宋体"/>
                <w:color w:val="000000"/>
                <w:kern w:val="0"/>
                <w:sz w:val="20"/>
                <w:szCs w:val="20"/>
                <w:lang w:bidi="ar"/>
              </w:rPr>
            </w:pPr>
          </w:p>
        </w:tc>
        <w:tc>
          <w:tcPr>
            <w:tcW w:w="741" w:type="dxa"/>
            <w:tcBorders>
              <w:top w:val="single" w:color="000000" w:sz="4" w:space="0"/>
              <w:left w:val="single" w:color="000000" w:sz="4" w:space="0"/>
              <w:bottom w:val="single" w:color="000000" w:sz="4" w:space="0"/>
              <w:right w:val="single" w:color="000000" w:sz="4" w:space="0"/>
            </w:tcBorders>
            <w:vAlign w:val="center"/>
          </w:tcPr>
          <w:p w14:paraId="1C110A3F">
            <w:pPr>
              <w:widowControl/>
              <w:jc w:val="center"/>
              <w:textAlignment w:val="center"/>
              <w:rPr>
                <w:rFonts w:hint="eastAsia" w:ascii="宋体" w:hAnsi="宋体" w:cs="宋体"/>
                <w:color w:val="000000"/>
                <w:kern w:val="0"/>
                <w:sz w:val="20"/>
                <w:szCs w:val="20"/>
                <w:lang w:bidi="ar"/>
              </w:rPr>
            </w:pPr>
          </w:p>
        </w:tc>
      </w:tr>
      <w:tr w14:paraId="48CD144B">
        <w:tblPrEx>
          <w:tblCellMar>
            <w:top w:w="0" w:type="dxa"/>
            <w:left w:w="108" w:type="dxa"/>
            <w:bottom w:w="0" w:type="dxa"/>
            <w:right w:w="108" w:type="dxa"/>
          </w:tblCellMar>
        </w:tblPrEx>
        <w:trPr>
          <w:trHeight w:val="20" w:hRule="atLeast"/>
          <w:jc w:val="center"/>
        </w:trPr>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1D564F">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129</w:t>
            </w:r>
          </w:p>
        </w:tc>
        <w:tc>
          <w:tcPr>
            <w:tcW w:w="2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C52A1E">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样品标签1</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F6F5AC">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60mm*40mm（720张）</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F3459F">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卷</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1D4BDF">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10</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123B22">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37</w:t>
            </w:r>
          </w:p>
        </w:tc>
        <w:tc>
          <w:tcPr>
            <w:tcW w:w="992" w:type="dxa"/>
            <w:tcBorders>
              <w:top w:val="single" w:color="000000" w:sz="4" w:space="0"/>
              <w:left w:val="single" w:color="000000" w:sz="4" w:space="0"/>
              <w:bottom w:val="single" w:color="000000" w:sz="4" w:space="0"/>
              <w:right w:val="single" w:color="000000" w:sz="4" w:space="0"/>
            </w:tcBorders>
            <w:vAlign w:val="center"/>
          </w:tcPr>
          <w:p w14:paraId="67CDEB4A">
            <w:pPr>
              <w:widowControl/>
              <w:jc w:val="center"/>
              <w:textAlignment w:val="center"/>
              <w:rPr>
                <w:rFonts w:hint="eastAsia" w:ascii="宋体" w:hAnsi="宋体" w:cs="宋体"/>
                <w:color w:val="000000"/>
                <w:kern w:val="0"/>
                <w:sz w:val="20"/>
                <w:szCs w:val="20"/>
                <w:lang w:bidi="ar"/>
              </w:rPr>
            </w:pPr>
          </w:p>
        </w:tc>
        <w:tc>
          <w:tcPr>
            <w:tcW w:w="1239" w:type="dxa"/>
            <w:tcBorders>
              <w:top w:val="single" w:color="000000" w:sz="4" w:space="0"/>
              <w:left w:val="single" w:color="000000" w:sz="4" w:space="0"/>
              <w:bottom w:val="single" w:color="000000" w:sz="4" w:space="0"/>
              <w:right w:val="single" w:color="000000" w:sz="4" w:space="0"/>
            </w:tcBorders>
            <w:vAlign w:val="center"/>
          </w:tcPr>
          <w:p w14:paraId="62839494">
            <w:pPr>
              <w:widowControl/>
              <w:jc w:val="center"/>
              <w:textAlignment w:val="center"/>
              <w:rPr>
                <w:rFonts w:hint="eastAsia" w:ascii="宋体" w:hAnsi="宋体" w:cs="宋体"/>
                <w:color w:val="000000"/>
                <w:kern w:val="0"/>
                <w:sz w:val="20"/>
                <w:szCs w:val="20"/>
                <w:lang w:bidi="ar"/>
              </w:rPr>
            </w:pPr>
          </w:p>
        </w:tc>
        <w:tc>
          <w:tcPr>
            <w:tcW w:w="900" w:type="dxa"/>
            <w:tcBorders>
              <w:top w:val="single" w:color="000000" w:sz="4" w:space="0"/>
              <w:left w:val="single" w:color="000000" w:sz="4" w:space="0"/>
              <w:bottom w:val="single" w:color="000000" w:sz="4" w:space="0"/>
              <w:right w:val="single" w:color="000000" w:sz="4" w:space="0"/>
            </w:tcBorders>
            <w:vAlign w:val="center"/>
          </w:tcPr>
          <w:p w14:paraId="4698E928">
            <w:pPr>
              <w:widowControl/>
              <w:jc w:val="center"/>
              <w:textAlignment w:val="center"/>
              <w:rPr>
                <w:rFonts w:hint="eastAsia" w:ascii="宋体" w:hAnsi="宋体" w:cs="宋体"/>
                <w:color w:val="000000"/>
                <w:kern w:val="0"/>
                <w:sz w:val="20"/>
                <w:szCs w:val="20"/>
                <w:lang w:bidi="ar"/>
              </w:rPr>
            </w:pPr>
          </w:p>
        </w:tc>
        <w:tc>
          <w:tcPr>
            <w:tcW w:w="832" w:type="dxa"/>
            <w:tcBorders>
              <w:top w:val="single" w:color="000000" w:sz="4" w:space="0"/>
              <w:left w:val="single" w:color="000000" w:sz="4" w:space="0"/>
              <w:bottom w:val="single" w:color="000000" w:sz="4" w:space="0"/>
              <w:right w:val="single" w:color="000000" w:sz="4" w:space="0"/>
            </w:tcBorders>
            <w:vAlign w:val="center"/>
          </w:tcPr>
          <w:p w14:paraId="5A0766F5">
            <w:pPr>
              <w:widowControl/>
              <w:jc w:val="center"/>
              <w:textAlignment w:val="center"/>
              <w:rPr>
                <w:rFonts w:hint="eastAsia" w:ascii="宋体" w:hAnsi="宋体" w:cs="宋体"/>
                <w:color w:val="000000"/>
                <w:kern w:val="0"/>
                <w:sz w:val="20"/>
                <w:szCs w:val="20"/>
                <w:lang w:bidi="ar"/>
              </w:rPr>
            </w:pPr>
          </w:p>
        </w:tc>
        <w:tc>
          <w:tcPr>
            <w:tcW w:w="1143" w:type="dxa"/>
            <w:tcBorders>
              <w:top w:val="single" w:color="000000" w:sz="4" w:space="0"/>
              <w:left w:val="single" w:color="000000" w:sz="4" w:space="0"/>
              <w:bottom w:val="single" w:color="000000" w:sz="4" w:space="0"/>
              <w:right w:val="single" w:color="000000" w:sz="4" w:space="0"/>
            </w:tcBorders>
            <w:vAlign w:val="center"/>
          </w:tcPr>
          <w:p w14:paraId="49FE2FFC">
            <w:pPr>
              <w:widowControl/>
              <w:jc w:val="center"/>
              <w:textAlignment w:val="center"/>
              <w:rPr>
                <w:rFonts w:hint="eastAsia" w:ascii="宋体" w:hAnsi="宋体" w:cs="宋体"/>
                <w:color w:val="000000"/>
                <w:kern w:val="0"/>
                <w:sz w:val="20"/>
                <w:szCs w:val="20"/>
                <w:lang w:bidi="ar"/>
              </w:rPr>
            </w:pPr>
          </w:p>
        </w:tc>
        <w:tc>
          <w:tcPr>
            <w:tcW w:w="763" w:type="dxa"/>
            <w:tcBorders>
              <w:top w:val="single" w:color="000000" w:sz="4" w:space="0"/>
              <w:left w:val="single" w:color="000000" w:sz="4" w:space="0"/>
              <w:bottom w:val="single" w:color="000000" w:sz="4" w:space="0"/>
              <w:right w:val="single" w:color="000000" w:sz="4" w:space="0"/>
            </w:tcBorders>
            <w:vAlign w:val="center"/>
          </w:tcPr>
          <w:p w14:paraId="35C7AE55">
            <w:pPr>
              <w:widowControl/>
              <w:jc w:val="center"/>
              <w:textAlignment w:val="center"/>
              <w:rPr>
                <w:rFonts w:hint="eastAsia" w:ascii="宋体" w:hAnsi="宋体" w:cs="宋体"/>
                <w:color w:val="000000"/>
                <w:kern w:val="0"/>
                <w:sz w:val="20"/>
                <w:szCs w:val="20"/>
                <w:lang w:bidi="ar"/>
              </w:rPr>
            </w:pPr>
          </w:p>
        </w:tc>
        <w:tc>
          <w:tcPr>
            <w:tcW w:w="741" w:type="dxa"/>
            <w:tcBorders>
              <w:top w:val="single" w:color="000000" w:sz="4" w:space="0"/>
              <w:left w:val="single" w:color="000000" w:sz="4" w:space="0"/>
              <w:bottom w:val="single" w:color="000000" w:sz="4" w:space="0"/>
              <w:right w:val="single" w:color="000000" w:sz="4" w:space="0"/>
            </w:tcBorders>
            <w:vAlign w:val="center"/>
          </w:tcPr>
          <w:p w14:paraId="233BF0BF">
            <w:pPr>
              <w:widowControl/>
              <w:jc w:val="center"/>
              <w:textAlignment w:val="center"/>
              <w:rPr>
                <w:rFonts w:hint="eastAsia" w:ascii="宋体" w:hAnsi="宋体" w:cs="宋体"/>
                <w:color w:val="000000"/>
                <w:kern w:val="0"/>
                <w:sz w:val="20"/>
                <w:szCs w:val="20"/>
                <w:lang w:bidi="ar"/>
              </w:rPr>
            </w:pPr>
          </w:p>
        </w:tc>
      </w:tr>
      <w:tr w14:paraId="3ACF113C">
        <w:tblPrEx>
          <w:tblCellMar>
            <w:top w:w="0" w:type="dxa"/>
            <w:left w:w="108" w:type="dxa"/>
            <w:bottom w:w="0" w:type="dxa"/>
            <w:right w:w="108" w:type="dxa"/>
          </w:tblCellMar>
        </w:tblPrEx>
        <w:trPr>
          <w:trHeight w:val="20" w:hRule="atLeast"/>
          <w:jc w:val="center"/>
        </w:trPr>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6E1CA8">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130</w:t>
            </w:r>
          </w:p>
        </w:tc>
        <w:tc>
          <w:tcPr>
            <w:tcW w:w="2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DB7357">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样品标签2</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A85753">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70mm*50mm（560张）</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51579F">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卷</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D63CC0">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10</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BAE4DC">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42</w:t>
            </w:r>
          </w:p>
        </w:tc>
        <w:tc>
          <w:tcPr>
            <w:tcW w:w="992" w:type="dxa"/>
            <w:tcBorders>
              <w:top w:val="single" w:color="000000" w:sz="4" w:space="0"/>
              <w:left w:val="single" w:color="000000" w:sz="4" w:space="0"/>
              <w:bottom w:val="single" w:color="000000" w:sz="4" w:space="0"/>
              <w:right w:val="single" w:color="000000" w:sz="4" w:space="0"/>
            </w:tcBorders>
            <w:vAlign w:val="center"/>
          </w:tcPr>
          <w:p w14:paraId="7B60588A">
            <w:pPr>
              <w:widowControl/>
              <w:jc w:val="center"/>
              <w:textAlignment w:val="center"/>
              <w:rPr>
                <w:rFonts w:hint="eastAsia" w:ascii="宋体" w:hAnsi="宋体" w:cs="宋体"/>
                <w:color w:val="000000"/>
                <w:kern w:val="0"/>
                <w:sz w:val="20"/>
                <w:szCs w:val="20"/>
                <w:lang w:bidi="ar"/>
              </w:rPr>
            </w:pPr>
          </w:p>
        </w:tc>
        <w:tc>
          <w:tcPr>
            <w:tcW w:w="1239" w:type="dxa"/>
            <w:tcBorders>
              <w:top w:val="single" w:color="000000" w:sz="4" w:space="0"/>
              <w:left w:val="single" w:color="000000" w:sz="4" w:space="0"/>
              <w:bottom w:val="single" w:color="000000" w:sz="4" w:space="0"/>
              <w:right w:val="single" w:color="000000" w:sz="4" w:space="0"/>
            </w:tcBorders>
            <w:vAlign w:val="center"/>
          </w:tcPr>
          <w:p w14:paraId="5AC8B5F2">
            <w:pPr>
              <w:widowControl/>
              <w:jc w:val="center"/>
              <w:textAlignment w:val="center"/>
              <w:rPr>
                <w:rFonts w:hint="eastAsia" w:ascii="宋体" w:hAnsi="宋体" w:cs="宋体"/>
                <w:color w:val="000000"/>
                <w:kern w:val="0"/>
                <w:sz w:val="20"/>
                <w:szCs w:val="20"/>
                <w:lang w:bidi="ar"/>
              </w:rPr>
            </w:pPr>
          </w:p>
        </w:tc>
        <w:tc>
          <w:tcPr>
            <w:tcW w:w="900" w:type="dxa"/>
            <w:tcBorders>
              <w:top w:val="single" w:color="000000" w:sz="4" w:space="0"/>
              <w:left w:val="single" w:color="000000" w:sz="4" w:space="0"/>
              <w:bottom w:val="single" w:color="000000" w:sz="4" w:space="0"/>
              <w:right w:val="single" w:color="000000" w:sz="4" w:space="0"/>
            </w:tcBorders>
            <w:vAlign w:val="center"/>
          </w:tcPr>
          <w:p w14:paraId="34C83636">
            <w:pPr>
              <w:widowControl/>
              <w:jc w:val="center"/>
              <w:textAlignment w:val="center"/>
              <w:rPr>
                <w:rFonts w:hint="eastAsia" w:ascii="宋体" w:hAnsi="宋体" w:cs="宋体"/>
                <w:color w:val="000000"/>
                <w:kern w:val="0"/>
                <w:sz w:val="20"/>
                <w:szCs w:val="20"/>
                <w:lang w:bidi="ar"/>
              </w:rPr>
            </w:pPr>
          </w:p>
        </w:tc>
        <w:tc>
          <w:tcPr>
            <w:tcW w:w="832" w:type="dxa"/>
            <w:tcBorders>
              <w:top w:val="single" w:color="000000" w:sz="4" w:space="0"/>
              <w:left w:val="single" w:color="000000" w:sz="4" w:space="0"/>
              <w:bottom w:val="single" w:color="000000" w:sz="4" w:space="0"/>
              <w:right w:val="single" w:color="000000" w:sz="4" w:space="0"/>
            </w:tcBorders>
            <w:vAlign w:val="center"/>
          </w:tcPr>
          <w:p w14:paraId="72F37F1C">
            <w:pPr>
              <w:widowControl/>
              <w:jc w:val="center"/>
              <w:textAlignment w:val="center"/>
              <w:rPr>
                <w:rFonts w:hint="eastAsia" w:ascii="宋体" w:hAnsi="宋体" w:cs="宋体"/>
                <w:color w:val="000000"/>
                <w:kern w:val="0"/>
                <w:sz w:val="20"/>
                <w:szCs w:val="20"/>
                <w:lang w:bidi="ar"/>
              </w:rPr>
            </w:pPr>
          </w:p>
        </w:tc>
        <w:tc>
          <w:tcPr>
            <w:tcW w:w="1143" w:type="dxa"/>
            <w:tcBorders>
              <w:top w:val="single" w:color="000000" w:sz="4" w:space="0"/>
              <w:left w:val="single" w:color="000000" w:sz="4" w:space="0"/>
              <w:bottom w:val="single" w:color="000000" w:sz="4" w:space="0"/>
              <w:right w:val="single" w:color="000000" w:sz="4" w:space="0"/>
            </w:tcBorders>
            <w:vAlign w:val="center"/>
          </w:tcPr>
          <w:p w14:paraId="37D55749">
            <w:pPr>
              <w:widowControl/>
              <w:jc w:val="center"/>
              <w:textAlignment w:val="center"/>
              <w:rPr>
                <w:rFonts w:hint="eastAsia" w:ascii="宋体" w:hAnsi="宋体" w:cs="宋体"/>
                <w:color w:val="000000"/>
                <w:kern w:val="0"/>
                <w:sz w:val="20"/>
                <w:szCs w:val="20"/>
                <w:lang w:bidi="ar"/>
              </w:rPr>
            </w:pPr>
          </w:p>
        </w:tc>
        <w:tc>
          <w:tcPr>
            <w:tcW w:w="763" w:type="dxa"/>
            <w:tcBorders>
              <w:top w:val="single" w:color="000000" w:sz="4" w:space="0"/>
              <w:left w:val="single" w:color="000000" w:sz="4" w:space="0"/>
              <w:bottom w:val="single" w:color="000000" w:sz="4" w:space="0"/>
              <w:right w:val="single" w:color="000000" w:sz="4" w:space="0"/>
            </w:tcBorders>
            <w:vAlign w:val="center"/>
          </w:tcPr>
          <w:p w14:paraId="7BFFB6A6">
            <w:pPr>
              <w:widowControl/>
              <w:jc w:val="center"/>
              <w:textAlignment w:val="center"/>
              <w:rPr>
                <w:rFonts w:hint="eastAsia" w:ascii="宋体" w:hAnsi="宋体" w:cs="宋体"/>
                <w:color w:val="000000"/>
                <w:kern w:val="0"/>
                <w:sz w:val="20"/>
                <w:szCs w:val="20"/>
                <w:lang w:bidi="ar"/>
              </w:rPr>
            </w:pPr>
          </w:p>
        </w:tc>
        <w:tc>
          <w:tcPr>
            <w:tcW w:w="741" w:type="dxa"/>
            <w:tcBorders>
              <w:top w:val="single" w:color="000000" w:sz="4" w:space="0"/>
              <w:left w:val="single" w:color="000000" w:sz="4" w:space="0"/>
              <w:bottom w:val="single" w:color="000000" w:sz="4" w:space="0"/>
              <w:right w:val="single" w:color="000000" w:sz="4" w:space="0"/>
            </w:tcBorders>
            <w:vAlign w:val="center"/>
          </w:tcPr>
          <w:p w14:paraId="57574F06">
            <w:pPr>
              <w:widowControl/>
              <w:jc w:val="center"/>
              <w:textAlignment w:val="center"/>
              <w:rPr>
                <w:rFonts w:hint="eastAsia" w:ascii="宋体" w:hAnsi="宋体" w:cs="宋体"/>
                <w:color w:val="000000"/>
                <w:kern w:val="0"/>
                <w:sz w:val="20"/>
                <w:szCs w:val="20"/>
                <w:lang w:bidi="ar"/>
              </w:rPr>
            </w:pPr>
          </w:p>
        </w:tc>
      </w:tr>
      <w:tr w14:paraId="729EBB45">
        <w:tblPrEx>
          <w:tblCellMar>
            <w:top w:w="0" w:type="dxa"/>
            <w:left w:w="108" w:type="dxa"/>
            <w:bottom w:w="0" w:type="dxa"/>
            <w:right w:w="108" w:type="dxa"/>
          </w:tblCellMar>
        </w:tblPrEx>
        <w:trPr>
          <w:trHeight w:val="20" w:hRule="atLeast"/>
          <w:jc w:val="center"/>
        </w:trPr>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AA060D">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131</w:t>
            </w:r>
          </w:p>
        </w:tc>
        <w:tc>
          <w:tcPr>
            <w:tcW w:w="2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6DE2E9">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不锈钢提篮1</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A373FB">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圆形，直径20cm*高度20cm</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86FE37">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个</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0A5228">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3</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6110D2">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350</w:t>
            </w:r>
          </w:p>
        </w:tc>
        <w:tc>
          <w:tcPr>
            <w:tcW w:w="992" w:type="dxa"/>
            <w:tcBorders>
              <w:top w:val="single" w:color="000000" w:sz="4" w:space="0"/>
              <w:left w:val="single" w:color="000000" w:sz="4" w:space="0"/>
              <w:bottom w:val="single" w:color="000000" w:sz="4" w:space="0"/>
              <w:right w:val="single" w:color="000000" w:sz="4" w:space="0"/>
            </w:tcBorders>
            <w:vAlign w:val="center"/>
          </w:tcPr>
          <w:p w14:paraId="69F7C7C3">
            <w:pPr>
              <w:widowControl/>
              <w:jc w:val="center"/>
              <w:textAlignment w:val="center"/>
              <w:rPr>
                <w:rFonts w:hint="eastAsia" w:ascii="宋体" w:hAnsi="宋体" w:cs="宋体"/>
                <w:color w:val="000000"/>
                <w:kern w:val="0"/>
                <w:sz w:val="20"/>
                <w:szCs w:val="20"/>
                <w:lang w:bidi="ar"/>
              </w:rPr>
            </w:pPr>
          </w:p>
        </w:tc>
        <w:tc>
          <w:tcPr>
            <w:tcW w:w="1239" w:type="dxa"/>
            <w:tcBorders>
              <w:top w:val="single" w:color="000000" w:sz="4" w:space="0"/>
              <w:left w:val="single" w:color="000000" w:sz="4" w:space="0"/>
              <w:bottom w:val="single" w:color="000000" w:sz="4" w:space="0"/>
              <w:right w:val="single" w:color="000000" w:sz="4" w:space="0"/>
            </w:tcBorders>
            <w:vAlign w:val="center"/>
          </w:tcPr>
          <w:p w14:paraId="3B407CB2">
            <w:pPr>
              <w:widowControl/>
              <w:jc w:val="center"/>
              <w:textAlignment w:val="center"/>
              <w:rPr>
                <w:rFonts w:hint="eastAsia" w:ascii="宋体" w:hAnsi="宋体" w:cs="宋体"/>
                <w:color w:val="000000"/>
                <w:kern w:val="0"/>
                <w:sz w:val="20"/>
                <w:szCs w:val="20"/>
                <w:lang w:bidi="ar"/>
              </w:rPr>
            </w:pPr>
          </w:p>
        </w:tc>
        <w:tc>
          <w:tcPr>
            <w:tcW w:w="900" w:type="dxa"/>
            <w:tcBorders>
              <w:top w:val="single" w:color="000000" w:sz="4" w:space="0"/>
              <w:left w:val="single" w:color="000000" w:sz="4" w:space="0"/>
              <w:bottom w:val="single" w:color="000000" w:sz="4" w:space="0"/>
              <w:right w:val="single" w:color="000000" w:sz="4" w:space="0"/>
            </w:tcBorders>
            <w:vAlign w:val="center"/>
          </w:tcPr>
          <w:p w14:paraId="5A8778EB">
            <w:pPr>
              <w:widowControl/>
              <w:jc w:val="center"/>
              <w:textAlignment w:val="center"/>
              <w:rPr>
                <w:rFonts w:hint="eastAsia" w:ascii="宋体" w:hAnsi="宋体" w:cs="宋体"/>
                <w:color w:val="000000"/>
                <w:kern w:val="0"/>
                <w:sz w:val="20"/>
                <w:szCs w:val="20"/>
                <w:lang w:bidi="ar"/>
              </w:rPr>
            </w:pPr>
          </w:p>
        </w:tc>
        <w:tc>
          <w:tcPr>
            <w:tcW w:w="832" w:type="dxa"/>
            <w:tcBorders>
              <w:top w:val="single" w:color="000000" w:sz="4" w:space="0"/>
              <w:left w:val="single" w:color="000000" w:sz="4" w:space="0"/>
              <w:bottom w:val="single" w:color="000000" w:sz="4" w:space="0"/>
              <w:right w:val="single" w:color="000000" w:sz="4" w:space="0"/>
            </w:tcBorders>
            <w:vAlign w:val="center"/>
          </w:tcPr>
          <w:p w14:paraId="003F69D1">
            <w:pPr>
              <w:widowControl/>
              <w:jc w:val="center"/>
              <w:textAlignment w:val="center"/>
              <w:rPr>
                <w:rFonts w:hint="eastAsia" w:ascii="宋体" w:hAnsi="宋体" w:cs="宋体"/>
                <w:color w:val="000000"/>
                <w:kern w:val="0"/>
                <w:sz w:val="20"/>
                <w:szCs w:val="20"/>
                <w:lang w:bidi="ar"/>
              </w:rPr>
            </w:pPr>
          </w:p>
        </w:tc>
        <w:tc>
          <w:tcPr>
            <w:tcW w:w="1143" w:type="dxa"/>
            <w:tcBorders>
              <w:top w:val="single" w:color="000000" w:sz="4" w:space="0"/>
              <w:left w:val="single" w:color="000000" w:sz="4" w:space="0"/>
              <w:bottom w:val="single" w:color="000000" w:sz="4" w:space="0"/>
              <w:right w:val="single" w:color="000000" w:sz="4" w:space="0"/>
            </w:tcBorders>
            <w:vAlign w:val="center"/>
          </w:tcPr>
          <w:p w14:paraId="76C9AE2B">
            <w:pPr>
              <w:widowControl/>
              <w:jc w:val="center"/>
              <w:textAlignment w:val="center"/>
              <w:rPr>
                <w:rFonts w:hint="eastAsia" w:ascii="宋体" w:hAnsi="宋体" w:cs="宋体"/>
                <w:color w:val="000000"/>
                <w:kern w:val="0"/>
                <w:sz w:val="20"/>
                <w:szCs w:val="20"/>
                <w:lang w:bidi="ar"/>
              </w:rPr>
            </w:pPr>
          </w:p>
        </w:tc>
        <w:tc>
          <w:tcPr>
            <w:tcW w:w="763" w:type="dxa"/>
            <w:tcBorders>
              <w:top w:val="single" w:color="000000" w:sz="4" w:space="0"/>
              <w:left w:val="single" w:color="000000" w:sz="4" w:space="0"/>
              <w:bottom w:val="single" w:color="000000" w:sz="4" w:space="0"/>
              <w:right w:val="single" w:color="000000" w:sz="4" w:space="0"/>
            </w:tcBorders>
            <w:vAlign w:val="center"/>
          </w:tcPr>
          <w:p w14:paraId="5F15DB38">
            <w:pPr>
              <w:widowControl/>
              <w:jc w:val="center"/>
              <w:textAlignment w:val="center"/>
              <w:rPr>
                <w:rFonts w:hint="eastAsia" w:ascii="宋体" w:hAnsi="宋体" w:cs="宋体"/>
                <w:color w:val="000000"/>
                <w:kern w:val="0"/>
                <w:sz w:val="20"/>
                <w:szCs w:val="20"/>
                <w:lang w:bidi="ar"/>
              </w:rPr>
            </w:pPr>
          </w:p>
        </w:tc>
        <w:tc>
          <w:tcPr>
            <w:tcW w:w="741" w:type="dxa"/>
            <w:tcBorders>
              <w:top w:val="single" w:color="000000" w:sz="4" w:space="0"/>
              <w:left w:val="single" w:color="000000" w:sz="4" w:space="0"/>
              <w:bottom w:val="single" w:color="000000" w:sz="4" w:space="0"/>
              <w:right w:val="single" w:color="000000" w:sz="4" w:space="0"/>
            </w:tcBorders>
            <w:vAlign w:val="center"/>
          </w:tcPr>
          <w:p w14:paraId="0F2079F0">
            <w:pPr>
              <w:widowControl/>
              <w:jc w:val="center"/>
              <w:textAlignment w:val="center"/>
              <w:rPr>
                <w:rFonts w:hint="eastAsia" w:ascii="宋体" w:hAnsi="宋体" w:cs="宋体"/>
                <w:color w:val="000000"/>
                <w:kern w:val="0"/>
                <w:sz w:val="20"/>
                <w:szCs w:val="20"/>
                <w:lang w:bidi="ar"/>
              </w:rPr>
            </w:pPr>
          </w:p>
        </w:tc>
      </w:tr>
      <w:tr w14:paraId="04534975">
        <w:tblPrEx>
          <w:tblCellMar>
            <w:top w:w="0" w:type="dxa"/>
            <w:left w:w="108" w:type="dxa"/>
            <w:bottom w:w="0" w:type="dxa"/>
            <w:right w:w="108" w:type="dxa"/>
          </w:tblCellMar>
        </w:tblPrEx>
        <w:trPr>
          <w:trHeight w:val="20" w:hRule="atLeast"/>
          <w:jc w:val="center"/>
        </w:trPr>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8373AA">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132</w:t>
            </w:r>
          </w:p>
        </w:tc>
        <w:tc>
          <w:tcPr>
            <w:tcW w:w="2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8F28F6">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不锈钢提篮2</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7B7620">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方形，长40cm*宽30cm*高20cm</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B7B0B8">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个</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1302A2">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4</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564584">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470</w:t>
            </w:r>
          </w:p>
        </w:tc>
        <w:tc>
          <w:tcPr>
            <w:tcW w:w="992" w:type="dxa"/>
            <w:tcBorders>
              <w:top w:val="single" w:color="000000" w:sz="4" w:space="0"/>
              <w:left w:val="single" w:color="000000" w:sz="4" w:space="0"/>
              <w:bottom w:val="single" w:color="000000" w:sz="4" w:space="0"/>
              <w:right w:val="single" w:color="000000" w:sz="4" w:space="0"/>
            </w:tcBorders>
            <w:vAlign w:val="center"/>
          </w:tcPr>
          <w:p w14:paraId="4821BB27">
            <w:pPr>
              <w:widowControl/>
              <w:jc w:val="center"/>
              <w:textAlignment w:val="center"/>
              <w:rPr>
                <w:rFonts w:hint="eastAsia" w:ascii="宋体" w:hAnsi="宋体" w:cs="宋体"/>
                <w:color w:val="000000"/>
                <w:kern w:val="0"/>
                <w:sz w:val="20"/>
                <w:szCs w:val="20"/>
                <w:lang w:bidi="ar"/>
              </w:rPr>
            </w:pPr>
          </w:p>
        </w:tc>
        <w:tc>
          <w:tcPr>
            <w:tcW w:w="1239" w:type="dxa"/>
            <w:tcBorders>
              <w:top w:val="single" w:color="000000" w:sz="4" w:space="0"/>
              <w:left w:val="single" w:color="000000" w:sz="4" w:space="0"/>
              <w:bottom w:val="single" w:color="000000" w:sz="4" w:space="0"/>
              <w:right w:val="single" w:color="000000" w:sz="4" w:space="0"/>
            </w:tcBorders>
            <w:vAlign w:val="center"/>
          </w:tcPr>
          <w:p w14:paraId="51303C19">
            <w:pPr>
              <w:widowControl/>
              <w:jc w:val="center"/>
              <w:textAlignment w:val="center"/>
              <w:rPr>
                <w:rFonts w:hint="eastAsia" w:ascii="宋体" w:hAnsi="宋体" w:cs="宋体"/>
                <w:color w:val="000000"/>
                <w:kern w:val="0"/>
                <w:sz w:val="20"/>
                <w:szCs w:val="20"/>
                <w:lang w:bidi="ar"/>
              </w:rPr>
            </w:pPr>
          </w:p>
        </w:tc>
        <w:tc>
          <w:tcPr>
            <w:tcW w:w="900" w:type="dxa"/>
            <w:tcBorders>
              <w:top w:val="single" w:color="000000" w:sz="4" w:space="0"/>
              <w:left w:val="single" w:color="000000" w:sz="4" w:space="0"/>
              <w:bottom w:val="single" w:color="000000" w:sz="4" w:space="0"/>
              <w:right w:val="single" w:color="000000" w:sz="4" w:space="0"/>
            </w:tcBorders>
            <w:vAlign w:val="center"/>
          </w:tcPr>
          <w:p w14:paraId="64D0FD3D">
            <w:pPr>
              <w:widowControl/>
              <w:jc w:val="center"/>
              <w:textAlignment w:val="center"/>
              <w:rPr>
                <w:rFonts w:hint="eastAsia" w:ascii="宋体" w:hAnsi="宋体" w:cs="宋体"/>
                <w:color w:val="000000"/>
                <w:kern w:val="0"/>
                <w:sz w:val="20"/>
                <w:szCs w:val="20"/>
                <w:lang w:bidi="ar"/>
              </w:rPr>
            </w:pPr>
          </w:p>
        </w:tc>
        <w:tc>
          <w:tcPr>
            <w:tcW w:w="832" w:type="dxa"/>
            <w:tcBorders>
              <w:top w:val="single" w:color="000000" w:sz="4" w:space="0"/>
              <w:left w:val="single" w:color="000000" w:sz="4" w:space="0"/>
              <w:bottom w:val="single" w:color="000000" w:sz="4" w:space="0"/>
              <w:right w:val="single" w:color="000000" w:sz="4" w:space="0"/>
            </w:tcBorders>
            <w:vAlign w:val="center"/>
          </w:tcPr>
          <w:p w14:paraId="12646F4C">
            <w:pPr>
              <w:widowControl/>
              <w:jc w:val="center"/>
              <w:textAlignment w:val="center"/>
              <w:rPr>
                <w:rFonts w:hint="eastAsia" w:ascii="宋体" w:hAnsi="宋体" w:cs="宋体"/>
                <w:color w:val="000000"/>
                <w:kern w:val="0"/>
                <w:sz w:val="20"/>
                <w:szCs w:val="20"/>
                <w:lang w:bidi="ar"/>
              </w:rPr>
            </w:pPr>
          </w:p>
        </w:tc>
        <w:tc>
          <w:tcPr>
            <w:tcW w:w="1143" w:type="dxa"/>
            <w:tcBorders>
              <w:top w:val="single" w:color="000000" w:sz="4" w:space="0"/>
              <w:left w:val="single" w:color="000000" w:sz="4" w:space="0"/>
              <w:bottom w:val="single" w:color="000000" w:sz="4" w:space="0"/>
              <w:right w:val="single" w:color="000000" w:sz="4" w:space="0"/>
            </w:tcBorders>
            <w:vAlign w:val="center"/>
          </w:tcPr>
          <w:p w14:paraId="54277C0E">
            <w:pPr>
              <w:widowControl/>
              <w:jc w:val="center"/>
              <w:textAlignment w:val="center"/>
              <w:rPr>
                <w:rFonts w:hint="eastAsia" w:ascii="宋体" w:hAnsi="宋体" w:cs="宋体"/>
                <w:color w:val="000000"/>
                <w:kern w:val="0"/>
                <w:sz w:val="20"/>
                <w:szCs w:val="20"/>
                <w:lang w:bidi="ar"/>
              </w:rPr>
            </w:pPr>
          </w:p>
        </w:tc>
        <w:tc>
          <w:tcPr>
            <w:tcW w:w="763" w:type="dxa"/>
            <w:tcBorders>
              <w:top w:val="single" w:color="000000" w:sz="4" w:space="0"/>
              <w:left w:val="single" w:color="000000" w:sz="4" w:space="0"/>
              <w:bottom w:val="single" w:color="000000" w:sz="4" w:space="0"/>
              <w:right w:val="single" w:color="000000" w:sz="4" w:space="0"/>
            </w:tcBorders>
            <w:vAlign w:val="center"/>
          </w:tcPr>
          <w:p w14:paraId="6959765A">
            <w:pPr>
              <w:widowControl/>
              <w:jc w:val="center"/>
              <w:textAlignment w:val="center"/>
              <w:rPr>
                <w:rFonts w:hint="eastAsia" w:ascii="宋体" w:hAnsi="宋体" w:cs="宋体"/>
                <w:color w:val="000000"/>
                <w:kern w:val="0"/>
                <w:sz w:val="20"/>
                <w:szCs w:val="20"/>
                <w:lang w:bidi="ar"/>
              </w:rPr>
            </w:pPr>
          </w:p>
        </w:tc>
        <w:tc>
          <w:tcPr>
            <w:tcW w:w="741" w:type="dxa"/>
            <w:tcBorders>
              <w:top w:val="single" w:color="000000" w:sz="4" w:space="0"/>
              <w:left w:val="single" w:color="000000" w:sz="4" w:space="0"/>
              <w:bottom w:val="single" w:color="000000" w:sz="4" w:space="0"/>
              <w:right w:val="single" w:color="000000" w:sz="4" w:space="0"/>
            </w:tcBorders>
            <w:vAlign w:val="center"/>
          </w:tcPr>
          <w:p w14:paraId="78DE701F">
            <w:pPr>
              <w:widowControl/>
              <w:jc w:val="center"/>
              <w:textAlignment w:val="center"/>
              <w:rPr>
                <w:rFonts w:hint="eastAsia" w:ascii="宋体" w:hAnsi="宋体" w:cs="宋体"/>
                <w:color w:val="000000"/>
                <w:kern w:val="0"/>
                <w:sz w:val="20"/>
                <w:szCs w:val="20"/>
                <w:lang w:bidi="ar"/>
              </w:rPr>
            </w:pPr>
          </w:p>
        </w:tc>
      </w:tr>
      <w:tr w14:paraId="24AA15EC">
        <w:tblPrEx>
          <w:tblCellMar>
            <w:top w:w="0" w:type="dxa"/>
            <w:left w:w="108" w:type="dxa"/>
            <w:bottom w:w="0" w:type="dxa"/>
            <w:right w:w="108" w:type="dxa"/>
          </w:tblCellMar>
        </w:tblPrEx>
        <w:trPr>
          <w:trHeight w:val="20" w:hRule="atLeast"/>
          <w:jc w:val="center"/>
        </w:trPr>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845435">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133</w:t>
            </w:r>
          </w:p>
        </w:tc>
        <w:tc>
          <w:tcPr>
            <w:tcW w:w="2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98C27E">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提篮把手</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788455">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硅胶</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0D46B6">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个</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1DE9FB">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20</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10EA5E">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1.5</w:t>
            </w:r>
          </w:p>
        </w:tc>
        <w:tc>
          <w:tcPr>
            <w:tcW w:w="992" w:type="dxa"/>
            <w:tcBorders>
              <w:top w:val="single" w:color="000000" w:sz="4" w:space="0"/>
              <w:left w:val="single" w:color="000000" w:sz="4" w:space="0"/>
              <w:bottom w:val="single" w:color="000000" w:sz="4" w:space="0"/>
              <w:right w:val="single" w:color="000000" w:sz="4" w:space="0"/>
            </w:tcBorders>
            <w:vAlign w:val="center"/>
          </w:tcPr>
          <w:p w14:paraId="32C6EF8B">
            <w:pPr>
              <w:widowControl/>
              <w:jc w:val="center"/>
              <w:textAlignment w:val="center"/>
              <w:rPr>
                <w:rFonts w:hint="eastAsia" w:ascii="宋体" w:hAnsi="宋体" w:cs="宋体"/>
                <w:color w:val="000000"/>
                <w:kern w:val="0"/>
                <w:sz w:val="20"/>
                <w:szCs w:val="20"/>
                <w:lang w:bidi="ar"/>
              </w:rPr>
            </w:pPr>
          </w:p>
        </w:tc>
        <w:tc>
          <w:tcPr>
            <w:tcW w:w="1239" w:type="dxa"/>
            <w:tcBorders>
              <w:top w:val="single" w:color="000000" w:sz="4" w:space="0"/>
              <w:left w:val="single" w:color="000000" w:sz="4" w:space="0"/>
              <w:bottom w:val="single" w:color="000000" w:sz="4" w:space="0"/>
              <w:right w:val="single" w:color="000000" w:sz="4" w:space="0"/>
            </w:tcBorders>
            <w:vAlign w:val="center"/>
          </w:tcPr>
          <w:p w14:paraId="34EF5D36">
            <w:pPr>
              <w:widowControl/>
              <w:jc w:val="center"/>
              <w:textAlignment w:val="center"/>
              <w:rPr>
                <w:rFonts w:hint="eastAsia" w:ascii="宋体" w:hAnsi="宋体" w:cs="宋体"/>
                <w:color w:val="000000"/>
                <w:kern w:val="0"/>
                <w:sz w:val="20"/>
                <w:szCs w:val="20"/>
                <w:lang w:bidi="ar"/>
              </w:rPr>
            </w:pPr>
          </w:p>
        </w:tc>
        <w:tc>
          <w:tcPr>
            <w:tcW w:w="900" w:type="dxa"/>
            <w:tcBorders>
              <w:top w:val="single" w:color="000000" w:sz="4" w:space="0"/>
              <w:left w:val="single" w:color="000000" w:sz="4" w:space="0"/>
              <w:bottom w:val="single" w:color="000000" w:sz="4" w:space="0"/>
              <w:right w:val="single" w:color="000000" w:sz="4" w:space="0"/>
            </w:tcBorders>
            <w:vAlign w:val="center"/>
          </w:tcPr>
          <w:p w14:paraId="6EB05974">
            <w:pPr>
              <w:widowControl/>
              <w:jc w:val="center"/>
              <w:textAlignment w:val="center"/>
              <w:rPr>
                <w:rFonts w:hint="eastAsia" w:ascii="宋体" w:hAnsi="宋体" w:cs="宋体"/>
                <w:color w:val="000000"/>
                <w:kern w:val="0"/>
                <w:sz w:val="20"/>
                <w:szCs w:val="20"/>
                <w:lang w:bidi="ar"/>
              </w:rPr>
            </w:pPr>
          </w:p>
        </w:tc>
        <w:tc>
          <w:tcPr>
            <w:tcW w:w="832" w:type="dxa"/>
            <w:tcBorders>
              <w:top w:val="single" w:color="000000" w:sz="4" w:space="0"/>
              <w:left w:val="single" w:color="000000" w:sz="4" w:space="0"/>
              <w:bottom w:val="single" w:color="000000" w:sz="4" w:space="0"/>
              <w:right w:val="single" w:color="000000" w:sz="4" w:space="0"/>
            </w:tcBorders>
            <w:vAlign w:val="center"/>
          </w:tcPr>
          <w:p w14:paraId="188A3B20">
            <w:pPr>
              <w:widowControl/>
              <w:jc w:val="center"/>
              <w:textAlignment w:val="center"/>
              <w:rPr>
                <w:rFonts w:hint="eastAsia" w:ascii="宋体" w:hAnsi="宋体" w:cs="宋体"/>
                <w:color w:val="000000"/>
                <w:kern w:val="0"/>
                <w:sz w:val="20"/>
                <w:szCs w:val="20"/>
                <w:lang w:bidi="ar"/>
              </w:rPr>
            </w:pPr>
          </w:p>
        </w:tc>
        <w:tc>
          <w:tcPr>
            <w:tcW w:w="1143" w:type="dxa"/>
            <w:tcBorders>
              <w:top w:val="single" w:color="000000" w:sz="4" w:space="0"/>
              <w:left w:val="single" w:color="000000" w:sz="4" w:space="0"/>
              <w:bottom w:val="single" w:color="000000" w:sz="4" w:space="0"/>
              <w:right w:val="single" w:color="000000" w:sz="4" w:space="0"/>
            </w:tcBorders>
            <w:vAlign w:val="center"/>
          </w:tcPr>
          <w:p w14:paraId="68AA6D41">
            <w:pPr>
              <w:widowControl/>
              <w:jc w:val="center"/>
              <w:textAlignment w:val="center"/>
              <w:rPr>
                <w:rFonts w:hint="eastAsia" w:ascii="宋体" w:hAnsi="宋体" w:cs="宋体"/>
                <w:color w:val="000000"/>
                <w:kern w:val="0"/>
                <w:sz w:val="20"/>
                <w:szCs w:val="20"/>
                <w:lang w:bidi="ar"/>
              </w:rPr>
            </w:pPr>
          </w:p>
        </w:tc>
        <w:tc>
          <w:tcPr>
            <w:tcW w:w="763" w:type="dxa"/>
            <w:tcBorders>
              <w:top w:val="single" w:color="000000" w:sz="4" w:space="0"/>
              <w:left w:val="single" w:color="000000" w:sz="4" w:space="0"/>
              <w:bottom w:val="single" w:color="000000" w:sz="4" w:space="0"/>
              <w:right w:val="single" w:color="000000" w:sz="4" w:space="0"/>
            </w:tcBorders>
            <w:vAlign w:val="center"/>
          </w:tcPr>
          <w:p w14:paraId="70AB17A7">
            <w:pPr>
              <w:widowControl/>
              <w:jc w:val="center"/>
              <w:textAlignment w:val="center"/>
              <w:rPr>
                <w:rFonts w:hint="eastAsia" w:ascii="宋体" w:hAnsi="宋体" w:cs="宋体"/>
                <w:color w:val="000000"/>
                <w:kern w:val="0"/>
                <w:sz w:val="20"/>
                <w:szCs w:val="20"/>
                <w:lang w:bidi="ar"/>
              </w:rPr>
            </w:pPr>
          </w:p>
        </w:tc>
        <w:tc>
          <w:tcPr>
            <w:tcW w:w="741" w:type="dxa"/>
            <w:tcBorders>
              <w:top w:val="single" w:color="000000" w:sz="4" w:space="0"/>
              <w:left w:val="single" w:color="000000" w:sz="4" w:space="0"/>
              <w:bottom w:val="single" w:color="000000" w:sz="4" w:space="0"/>
              <w:right w:val="single" w:color="000000" w:sz="4" w:space="0"/>
            </w:tcBorders>
            <w:vAlign w:val="center"/>
          </w:tcPr>
          <w:p w14:paraId="73BCF4E0">
            <w:pPr>
              <w:widowControl/>
              <w:jc w:val="center"/>
              <w:textAlignment w:val="center"/>
              <w:rPr>
                <w:rFonts w:hint="eastAsia" w:ascii="宋体" w:hAnsi="宋体" w:cs="宋体"/>
                <w:color w:val="000000"/>
                <w:kern w:val="0"/>
                <w:sz w:val="20"/>
                <w:szCs w:val="20"/>
                <w:lang w:bidi="ar"/>
              </w:rPr>
            </w:pPr>
          </w:p>
        </w:tc>
      </w:tr>
      <w:tr w14:paraId="66AF4CEB">
        <w:tblPrEx>
          <w:tblCellMar>
            <w:top w:w="0" w:type="dxa"/>
            <w:left w:w="108" w:type="dxa"/>
            <w:bottom w:w="0" w:type="dxa"/>
            <w:right w:w="108" w:type="dxa"/>
          </w:tblCellMar>
        </w:tblPrEx>
        <w:trPr>
          <w:trHeight w:val="20" w:hRule="atLeast"/>
          <w:jc w:val="center"/>
        </w:trPr>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2FD97F">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134</w:t>
            </w:r>
          </w:p>
        </w:tc>
        <w:tc>
          <w:tcPr>
            <w:tcW w:w="2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CD8014">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冰排</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EA2475">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200mL</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B369BA">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个</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099054">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20</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EB1AA3">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2.7</w:t>
            </w:r>
          </w:p>
        </w:tc>
        <w:tc>
          <w:tcPr>
            <w:tcW w:w="992" w:type="dxa"/>
            <w:tcBorders>
              <w:top w:val="single" w:color="000000" w:sz="4" w:space="0"/>
              <w:left w:val="single" w:color="000000" w:sz="4" w:space="0"/>
              <w:bottom w:val="single" w:color="000000" w:sz="4" w:space="0"/>
              <w:right w:val="single" w:color="000000" w:sz="4" w:space="0"/>
            </w:tcBorders>
            <w:vAlign w:val="center"/>
          </w:tcPr>
          <w:p w14:paraId="3C5B46CC">
            <w:pPr>
              <w:widowControl/>
              <w:jc w:val="center"/>
              <w:textAlignment w:val="center"/>
              <w:rPr>
                <w:rFonts w:hint="eastAsia" w:ascii="宋体" w:hAnsi="宋体" w:cs="宋体"/>
                <w:color w:val="000000"/>
                <w:kern w:val="0"/>
                <w:sz w:val="20"/>
                <w:szCs w:val="20"/>
                <w:lang w:bidi="ar"/>
              </w:rPr>
            </w:pPr>
          </w:p>
        </w:tc>
        <w:tc>
          <w:tcPr>
            <w:tcW w:w="1239" w:type="dxa"/>
            <w:tcBorders>
              <w:top w:val="single" w:color="000000" w:sz="4" w:space="0"/>
              <w:left w:val="single" w:color="000000" w:sz="4" w:space="0"/>
              <w:bottom w:val="single" w:color="000000" w:sz="4" w:space="0"/>
              <w:right w:val="single" w:color="000000" w:sz="4" w:space="0"/>
            </w:tcBorders>
            <w:vAlign w:val="center"/>
          </w:tcPr>
          <w:p w14:paraId="642C99C5">
            <w:pPr>
              <w:widowControl/>
              <w:jc w:val="center"/>
              <w:textAlignment w:val="center"/>
              <w:rPr>
                <w:rFonts w:hint="eastAsia" w:ascii="宋体" w:hAnsi="宋体" w:cs="宋体"/>
                <w:color w:val="000000"/>
                <w:kern w:val="0"/>
                <w:sz w:val="20"/>
                <w:szCs w:val="20"/>
                <w:lang w:bidi="ar"/>
              </w:rPr>
            </w:pPr>
          </w:p>
        </w:tc>
        <w:tc>
          <w:tcPr>
            <w:tcW w:w="900" w:type="dxa"/>
            <w:tcBorders>
              <w:top w:val="single" w:color="000000" w:sz="4" w:space="0"/>
              <w:left w:val="single" w:color="000000" w:sz="4" w:space="0"/>
              <w:bottom w:val="single" w:color="000000" w:sz="4" w:space="0"/>
              <w:right w:val="single" w:color="000000" w:sz="4" w:space="0"/>
            </w:tcBorders>
            <w:vAlign w:val="center"/>
          </w:tcPr>
          <w:p w14:paraId="5E3E6DF4">
            <w:pPr>
              <w:widowControl/>
              <w:jc w:val="center"/>
              <w:textAlignment w:val="center"/>
              <w:rPr>
                <w:rFonts w:hint="eastAsia" w:ascii="宋体" w:hAnsi="宋体" w:cs="宋体"/>
                <w:color w:val="000000"/>
                <w:kern w:val="0"/>
                <w:sz w:val="20"/>
                <w:szCs w:val="20"/>
                <w:lang w:bidi="ar"/>
              </w:rPr>
            </w:pPr>
          </w:p>
        </w:tc>
        <w:tc>
          <w:tcPr>
            <w:tcW w:w="832" w:type="dxa"/>
            <w:tcBorders>
              <w:top w:val="single" w:color="000000" w:sz="4" w:space="0"/>
              <w:left w:val="single" w:color="000000" w:sz="4" w:space="0"/>
              <w:bottom w:val="single" w:color="000000" w:sz="4" w:space="0"/>
              <w:right w:val="single" w:color="000000" w:sz="4" w:space="0"/>
            </w:tcBorders>
            <w:vAlign w:val="center"/>
          </w:tcPr>
          <w:p w14:paraId="305481DF">
            <w:pPr>
              <w:widowControl/>
              <w:jc w:val="center"/>
              <w:textAlignment w:val="center"/>
              <w:rPr>
                <w:rFonts w:hint="eastAsia" w:ascii="宋体" w:hAnsi="宋体" w:cs="宋体"/>
                <w:color w:val="000000"/>
                <w:kern w:val="0"/>
                <w:sz w:val="20"/>
                <w:szCs w:val="20"/>
                <w:lang w:bidi="ar"/>
              </w:rPr>
            </w:pPr>
          </w:p>
        </w:tc>
        <w:tc>
          <w:tcPr>
            <w:tcW w:w="1143" w:type="dxa"/>
            <w:tcBorders>
              <w:top w:val="single" w:color="000000" w:sz="4" w:space="0"/>
              <w:left w:val="single" w:color="000000" w:sz="4" w:space="0"/>
              <w:bottom w:val="single" w:color="000000" w:sz="4" w:space="0"/>
              <w:right w:val="single" w:color="000000" w:sz="4" w:space="0"/>
            </w:tcBorders>
            <w:vAlign w:val="center"/>
          </w:tcPr>
          <w:p w14:paraId="1ED2A85A">
            <w:pPr>
              <w:widowControl/>
              <w:jc w:val="center"/>
              <w:textAlignment w:val="center"/>
              <w:rPr>
                <w:rFonts w:hint="eastAsia" w:ascii="宋体" w:hAnsi="宋体" w:cs="宋体"/>
                <w:color w:val="000000"/>
                <w:kern w:val="0"/>
                <w:sz w:val="20"/>
                <w:szCs w:val="20"/>
                <w:lang w:bidi="ar"/>
              </w:rPr>
            </w:pPr>
          </w:p>
        </w:tc>
        <w:tc>
          <w:tcPr>
            <w:tcW w:w="763" w:type="dxa"/>
            <w:tcBorders>
              <w:top w:val="single" w:color="000000" w:sz="4" w:space="0"/>
              <w:left w:val="single" w:color="000000" w:sz="4" w:space="0"/>
              <w:bottom w:val="single" w:color="000000" w:sz="4" w:space="0"/>
              <w:right w:val="single" w:color="000000" w:sz="4" w:space="0"/>
            </w:tcBorders>
            <w:vAlign w:val="center"/>
          </w:tcPr>
          <w:p w14:paraId="1F1D8336">
            <w:pPr>
              <w:widowControl/>
              <w:jc w:val="center"/>
              <w:textAlignment w:val="center"/>
              <w:rPr>
                <w:rFonts w:hint="eastAsia" w:ascii="宋体" w:hAnsi="宋体" w:cs="宋体"/>
                <w:color w:val="000000"/>
                <w:kern w:val="0"/>
                <w:sz w:val="20"/>
                <w:szCs w:val="20"/>
                <w:lang w:bidi="ar"/>
              </w:rPr>
            </w:pPr>
          </w:p>
        </w:tc>
        <w:tc>
          <w:tcPr>
            <w:tcW w:w="741" w:type="dxa"/>
            <w:tcBorders>
              <w:top w:val="single" w:color="000000" w:sz="4" w:space="0"/>
              <w:left w:val="single" w:color="000000" w:sz="4" w:space="0"/>
              <w:bottom w:val="single" w:color="000000" w:sz="4" w:space="0"/>
              <w:right w:val="single" w:color="000000" w:sz="4" w:space="0"/>
            </w:tcBorders>
            <w:vAlign w:val="center"/>
          </w:tcPr>
          <w:p w14:paraId="7D2311A5">
            <w:pPr>
              <w:widowControl/>
              <w:jc w:val="center"/>
              <w:textAlignment w:val="center"/>
              <w:rPr>
                <w:rFonts w:hint="eastAsia" w:ascii="宋体" w:hAnsi="宋体" w:cs="宋体"/>
                <w:color w:val="000000"/>
                <w:kern w:val="0"/>
                <w:sz w:val="20"/>
                <w:szCs w:val="20"/>
                <w:lang w:bidi="ar"/>
              </w:rPr>
            </w:pPr>
          </w:p>
        </w:tc>
      </w:tr>
      <w:tr w14:paraId="63ADE7D7">
        <w:tblPrEx>
          <w:tblCellMar>
            <w:top w:w="0" w:type="dxa"/>
            <w:left w:w="108" w:type="dxa"/>
            <w:bottom w:w="0" w:type="dxa"/>
            <w:right w:w="108" w:type="dxa"/>
          </w:tblCellMar>
        </w:tblPrEx>
        <w:trPr>
          <w:trHeight w:val="20" w:hRule="atLeast"/>
          <w:jc w:val="center"/>
        </w:trPr>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E1463F">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135</w:t>
            </w:r>
          </w:p>
        </w:tc>
        <w:tc>
          <w:tcPr>
            <w:tcW w:w="2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2DE592">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防水胶鞋1</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51C0A4">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女款39码</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718BFD">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双</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14E978">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5</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E74709">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53</w:t>
            </w:r>
          </w:p>
        </w:tc>
        <w:tc>
          <w:tcPr>
            <w:tcW w:w="992" w:type="dxa"/>
            <w:tcBorders>
              <w:top w:val="single" w:color="000000" w:sz="4" w:space="0"/>
              <w:left w:val="single" w:color="000000" w:sz="4" w:space="0"/>
              <w:bottom w:val="single" w:color="000000" w:sz="4" w:space="0"/>
              <w:right w:val="single" w:color="000000" w:sz="4" w:space="0"/>
            </w:tcBorders>
            <w:vAlign w:val="center"/>
          </w:tcPr>
          <w:p w14:paraId="142F530E">
            <w:pPr>
              <w:widowControl/>
              <w:jc w:val="center"/>
              <w:textAlignment w:val="center"/>
              <w:rPr>
                <w:rFonts w:hint="eastAsia" w:ascii="宋体" w:hAnsi="宋体" w:cs="宋体"/>
                <w:color w:val="000000"/>
                <w:kern w:val="0"/>
                <w:sz w:val="20"/>
                <w:szCs w:val="20"/>
                <w:lang w:bidi="ar"/>
              </w:rPr>
            </w:pPr>
          </w:p>
        </w:tc>
        <w:tc>
          <w:tcPr>
            <w:tcW w:w="1239" w:type="dxa"/>
            <w:tcBorders>
              <w:top w:val="single" w:color="000000" w:sz="4" w:space="0"/>
              <w:left w:val="single" w:color="000000" w:sz="4" w:space="0"/>
              <w:bottom w:val="single" w:color="000000" w:sz="4" w:space="0"/>
              <w:right w:val="single" w:color="000000" w:sz="4" w:space="0"/>
            </w:tcBorders>
            <w:vAlign w:val="center"/>
          </w:tcPr>
          <w:p w14:paraId="020DB483">
            <w:pPr>
              <w:widowControl/>
              <w:jc w:val="center"/>
              <w:textAlignment w:val="center"/>
              <w:rPr>
                <w:rFonts w:hint="eastAsia" w:ascii="宋体" w:hAnsi="宋体" w:cs="宋体"/>
                <w:color w:val="000000"/>
                <w:kern w:val="0"/>
                <w:sz w:val="20"/>
                <w:szCs w:val="20"/>
                <w:lang w:bidi="ar"/>
              </w:rPr>
            </w:pPr>
          </w:p>
        </w:tc>
        <w:tc>
          <w:tcPr>
            <w:tcW w:w="900" w:type="dxa"/>
            <w:tcBorders>
              <w:top w:val="single" w:color="000000" w:sz="4" w:space="0"/>
              <w:left w:val="single" w:color="000000" w:sz="4" w:space="0"/>
              <w:bottom w:val="single" w:color="000000" w:sz="4" w:space="0"/>
              <w:right w:val="single" w:color="000000" w:sz="4" w:space="0"/>
            </w:tcBorders>
            <w:vAlign w:val="center"/>
          </w:tcPr>
          <w:p w14:paraId="21F1B34D">
            <w:pPr>
              <w:widowControl/>
              <w:jc w:val="center"/>
              <w:textAlignment w:val="center"/>
              <w:rPr>
                <w:rFonts w:hint="eastAsia" w:ascii="宋体" w:hAnsi="宋体" w:cs="宋体"/>
                <w:color w:val="000000"/>
                <w:kern w:val="0"/>
                <w:sz w:val="20"/>
                <w:szCs w:val="20"/>
                <w:lang w:bidi="ar"/>
              </w:rPr>
            </w:pPr>
          </w:p>
        </w:tc>
        <w:tc>
          <w:tcPr>
            <w:tcW w:w="832" w:type="dxa"/>
            <w:tcBorders>
              <w:top w:val="single" w:color="000000" w:sz="4" w:space="0"/>
              <w:left w:val="single" w:color="000000" w:sz="4" w:space="0"/>
              <w:bottom w:val="single" w:color="000000" w:sz="4" w:space="0"/>
              <w:right w:val="single" w:color="000000" w:sz="4" w:space="0"/>
            </w:tcBorders>
            <w:vAlign w:val="center"/>
          </w:tcPr>
          <w:p w14:paraId="1AB1EF5E">
            <w:pPr>
              <w:widowControl/>
              <w:jc w:val="center"/>
              <w:textAlignment w:val="center"/>
              <w:rPr>
                <w:rFonts w:hint="eastAsia" w:ascii="宋体" w:hAnsi="宋体" w:cs="宋体"/>
                <w:color w:val="000000"/>
                <w:kern w:val="0"/>
                <w:sz w:val="20"/>
                <w:szCs w:val="20"/>
                <w:lang w:bidi="ar"/>
              </w:rPr>
            </w:pPr>
          </w:p>
        </w:tc>
        <w:tc>
          <w:tcPr>
            <w:tcW w:w="1143" w:type="dxa"/>
            <w:tcBorders>
              <w:top w:val="single" w:color="000000" w:sz="4" w:space="0"/>
              <w:left w:val="single" w:color="000000" w:sz="4" w:space="0"/>
              <w:bottom w:val="single" w:color="000000" w:sz="4" w:space="0"/>
              <w:right w:val="single" w:color="000000" w:sz="4" w:space="0"/>
            </w:tcBorders>
            <w:vAlign w:val="center"/>
          </w:tcPr>
          <w:p w14:paraId="76DA5EC6">
            <w:pPr>
              <w:widowControl/>
              <w:jc w:val="center"/>
              <w:textAlignment w:val="center"/>
              <w:rPr>
                <w:rFonts w:hint="eastAsia" w:ascii="宋体" w:hAnsi="宋体" w:cs="宋体"/>
                <w:color w:val="000000"/>
                <w:kern w:val="0"/>
                <w:sz w:val="20"/>
                <w:szCs w:val="20"/>
                <w:lang w:bidi="ar"/>
              </w:rPr>
            </w:pPr>
          </w:p>
        </w:tc>
        <w:tc>
          <w:tcPr>
            <w:tcW w:w="763" w:type="dxa"/>
            <w:tcBorders>
              <w:top w:val="single" w:color="000000" w:sz="4" w:space="0"/>
              <w:left w:val="single" w:color="000000" w:sz="4" w:space="0"/>
              <w:bottom w:val="single" w:color="000000" w:sz="4" w:space="0"/>
              <w:right w:val="single" w:color="000000" w:sz="4" w:space="0"/>
            </w:tcBorders>
            <w:vAlign w:val="center"/>
          </w:tcPr>
          <w:p w14:paraId="1645429A">
            <w:pPr>
              <w:widowControl/>
              <w:jc w:val="center"/>
              <w:textAlignment w:val="center"/>
              <w:rPr>
                <w:rFonts w:hint="eastAsia" w:ascii="宋体" w:hAnsi="宋体" w:cs="宋体"/>
                <w:color w:val="000000"/>
                <w:kern w:val="0"/>
                <w:sz w:val="20"/>
                <w:szCs w:val="20"/>
                <w:lang w:bidi="ar"/>
              </w:rPr>
            </w:pPr>
          </w:p>
        </w:tc>
        <w:tc>
          <w:tcPr>
            <w:tcW w:w="741" w:type="dxa"/>
            <w:tcBorders>
              <w:top w:val="single" w:color="000000" w:sz="4" w:space="0"/>
              <w:left w:val="single" w:color="000000" w:sz="4" w:space="0"/>
              <w:bottom w:val="single" w:color="000000" w:sz="4" w:space="0"/>
              <w:right w:val="single" w:color="000000" w:sz="4" w:space="0"/>
            </w:tcBorders>
            <w:vAlign w:val="center"/>
          </w:tcPr>
          <w:p w14:paraId="2F9DAD91">
            <w:pPr>
              <w:widowControl/>
              <w:jc w:val="center"/>
              <w:textAlignment w:val="center"/>
              <w:rPr>
                <w:rFonts w:hint="eastAsia" w:ascii="宋体" w:hAnsi="宋体" w:cs="宋体"/>
                <w:color w:val="000000"/>
                <w:kern w:val="0"/>
                <w:sz w:val="20"/>
                <w:szCs w:val="20"/>
                <w:lang w:bidi="ar"/>
              </w:rPr>
            </w:pPr>
          </w:p>
        </w:tc>
      </w:tr>
      <w:tr w14:paraId="269EC01B">
        <w:tblPrEx>
          <w:tblCellMar>
            <w:top w:w="0" w:type="dxa"/>
            <w:left w:w="108" w:type="dxa"/>
            <w:bottom w:w="0" w:type="dxa"/>
            <w:right w:w="108" w:type="dxa"/>
          </w:tblCellMar>
        </w:tblPrEx>
        <w:trPr>
          <w:trHeight w:val="20" w:hRule="atLeast"/>
          <w:jc w:val="center"/>
        </w:trPr>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5E4E9D">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136</w:t>
            </w:r>
          </w:p>
        </w:tc>
        <w:tc>
          <w:tcPr>
            <w:tcW w:w="2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B3FAAA">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防水胶鞋2</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6651D3">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男款43码</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0A34EC">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双</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D8FBCA">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3</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9DCAA2">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63</w:t>
            </w:r>
          </w:p>
        </w:tc>
        <w:tc>
          <w:tcPr>
            <w:tcW w:w="992" w:type="dxa"/>
            <w:tcBorders>
              <w:top w:val="single" w:color="000000" w:sz="4" w:space="0"/>
              <w:left w:val="single" w:color="000000" w:sz="4" w:space="0"/>
              <w:bottom w:val="single" w:color="000000" w:sz="4" w:space="0"/>
              <w:right w:val="single" w:color="000000" w:sz="4" w:space="0"/>
            </w:tcBorders>
            <w:vAlign w:val="center"/>
          </w:tcPr>
          <w:p w14:paraId="318C1384">
            <w:pPr>
              <w:widowControl/>
              <w:jc w:val="center"/>
              <w:textAlignment w:val="center"/>
              <w:rPr>
                <w:rFonts w:hint="eastAsia" w:ascii="宋体" w:hAnsi="宋体" w:cs="宋体"/>
                <w:color w:val="000000"/>
                <w:kern w:val="0"/>
                <w:sz w:val="20"/>
                <w:szCs w:val="20"/>
                <w:lang w:bidi="ar"/>
              </w:rPr>
            </w:pPr>
          </w:p>
        </w:tc>
        <w:tc>
          <w:tcPr>
            <w:tcW w:w="1239" w:type="dxa"/>
            <w:tcBorders>
              <w:top w:val="single" w:color="000000" w:sz="4" w:space="0"/>
              <w:left w:val="single" w:color="000000" w:sz="4" w:space="0"/>
              <w:bottom w:val="single" w:color="000000" w:sz="4" w:space="0"/>
              <w:right w:val="single" w:color="000000" w:sz="4" w:space="0"/>
            </w:tcBorders>
            <w:vAlign w:val="center"/>
          </w:tcPr>
          <w:p w14:paraId="574D33B7">
            <w:pPr>
              <w:widowControl/>
              <w:jc w:val="center"/>
              <w:textAlignment w:val="center"/>
              <w:rPr>
                <w:rFonts w:hint="eastAsia" w:ascii="宋体" w:hAnsi="宋体" w:cs="宋体"/>
                <w:color w:val="000000"/>
                <w:kern w:val="0"/>
                <w:sz w:val="20"/>
                <w:szCs w:val="20"/>
                <w:lang w:bidi="ar"/>
              </w:rPr>
            </w:pPr>
          </w:p>
        </w:tc>
        <w:tc>
          <w:tcPr>
            <w:tcW w:w="900" w:type="dxa"/>
            <w:tcBorders>
              <w:top w:val="single" w:color="000000" w:sz="4" w:space="0"/>
              <w:left w:val="single" w:color="000000" w:sz="4" w:space="0"/>
              <w:bottom w:val="single" w:color="000000" w:sz="4" w:space="0"/>
              <w:right w:val="single" w:color="000000" w:sz="4" w:space="0"/>
            </w:tcBorders>
            <w:vAlign w:val="center"/>
          </w:tcPr>
          <w:p w14:paraId="3F464237">
            <w:pPr>
              <w:widowControl/>
              <w:jc w:val="center"/>
              <w:textAlignment w:val="center"/>
              <w:rPr>
                <w:rFonts w:hint="eastAsia" w:ascii="宋体" w:hAnsi="宋体" w:cs="宋体"/>
                <w:color w:val="000000"/>
                <w:kern w:val="0"/>
                <w:sz w:val="20"/>
                <w:szCs w:val="20"/>
                <w:lang w:bidi="ar"/>
              </w:rPr>
            </w:pPr>
          </w:p>
        </w:tc>
        <w:tc>
          <w:tcPr>
            <w:tcW w:w="832" w:type="dxa"/>
            <w:tcBorders>
              <w:top w:val="single" w:color="000000" w:sz="4" w:space="0"/>
              <w:left w:val="single" w:color="000000" w:sz="4" w:space="0"/>
              <w:bottom w:val="single" w:color="000000" w:sz="4" w:space="0"/>
              <w:right w:val="single" w:color="000000" w:sz="4" w:space="0"/>
            </w:tcBorders>
            <w:vAlign w:val="center"/>
          </w:tcPr>
          <w:p w14:paraId="6FC82961">
            <w:pPr>
              <w:widowControl/>
              <w:jc w:val="center"/>
              <w:textAlignment w:val="center"/>
              <w:rPr>
                <w:rFonts w:hint="eastAsia" w:ascii="宋体" w:hAnsi="宋体" w:cs="宋体"/>
                <w:color w:val="000000"/>
                <w:kern w:val="0"/>
                <w:sz w:val="20"/>
                <w:szCs w:val="20"/>
                <w:lang w:bidi="ar"/>
              </w:rPr>
            </w:pPr>
          </w:p>
        </w:tc>
        <w:tc>
          <w:tcPr>
            <w:tcW w:w="1143" w:type="dxa"/>
            <w:tcBorders>
              <w:top w:val="single" w:color="000000" w:sz="4" w:space="0"/>
              <w:left w:val="single" w:color="000000" w:sz="4" w:space="0"/>
              <w:bottom w:val="single" w:color="000000" w:sz="4" w:space="0"/>
              <w:right w:val="single" w:color="000000" w:sz="4" w:space="0"/>
            </w:tcBorders>
            <w:vAlign w:val="center"/>
          </w:tcPr>
          <w:p w14:paraId="308A1D1C">
            <w:pPr>
              <w:widowControl/>
              <w:jc w:val="center"/>
              <w:textAlignment w:val="center"/>
              <w:rPr>
                <w:rFonts w:hint="eastAsia" w:ascii="宋体" w:hAnsi="宋体" w:cs="宋体"/>
                <w:color w:val="000000"/>
                <w:kern w:val="0"/>
                <w:sz w:val="20"/>
                <w:szCs w:val="20"/>
                <w:lang w:bidi="ar"/>
              </w:rPr>
            </w:pPr>
          </w:p>
        </w:tc>
        <w:tc>
          <w:tcPr>
            <w:tcW w:w="763" w:type="dxa"/>
            <w:tcBorders>
              <w:top w:val="single" w:color="000000" w:sz="4" w:space="0"/>
              <w:left w:val="single" w:color="000000" w:sz="4" w:space="0"/>
              <w:bottom w:val="single" w:color="000000" w:sz="4" w:space="0"/>
              <w:right w:val="single" w:color="000000" w:sz="4" w:space="0"/>
            </w:tcBorders>
            <w:vAlign w:val="center"/>
          </w:tcPr>
          <w:p w14:paraId="2D6D5607">
            <w:pPr>
              <w:widowControl/>
              <w:jc w:val="center"/>
              <w:textAlignment w:val="center"/>
              <w:rPr>
                <w:rFonts w:hint="eastAsia" w:ascii="宋体" w:hAnsi="宋体" w:cs="宋体"/>
                <w:color w:val="000000"/>
                <w:kern w:val="0"/>
                <w:sz w:val="20"/>
                <w:szCs w:val="20"/>
                <w:lang w:bidi="ar"/>
              </w:rPr>
            </w:pPr>
          </w:p>
        </w:tc>
        <w:tc>
          <w:tcPr>
            <w:tcW w:w="741" w:type="dxa"/>
            <w:tcBorders>
              <w:top w:val="single" w:color="000000" w:sz="4" w:space="0"/>
              <w:left w:val="single" w:color="000000" w:sz="4" w:space="0"/>
              <w:bottom w:val="single" w:color="000000" w:sz="4" w:space="0"/>
              <w:right w:val="single" w:color="000000" w:sz="4" w:space="0"/>
            </w:tcBorders>
            <w:vAlign w:val="center"/>
          </w:tcPr>
          <w:p w14:paraId="305D0148">
            <w:pPr>
              <w:widowControl/>
              <w:jc w:val="center"/>
              <w:textAlignment w:val="center"/>
              <w:rPr>
                <w:rFonts w:hint="eastAsia" w:ascii="宋体" w:hAnsi="宋体" w:cs="宋体"/>
                <w:color w:val="000000"/>
                <w:kern w:val="0"/>
                <w:sz w:val="20"/>
                <w:szCs w:val="20"/>
                <w:lang w:bidi="ar"/>
              </w:rPr>
            </w:pPr>
          </w:p>
        </w:tc>
      </w:tr>
      <w:tr w14:paraId="7658545A">
        <w:tblPrEx>
          <w:tblCellMar>
            <w:top w:w="0" w:type="dxa"/>
            <w:left w:w="108" w:type="dxa"/>
            <w:bottom w:w="0" w:type="dxa"/>
            <w:right w:w="108" w:type="dxa"/>
          </w:tblCellMar>
        </w:tblPrEx>
        <w:trPr>
          <w:trHeight w:val="20" w:hRule="atLeast"/>
          <w:jc w:val="center"/>
        </w:trPr>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15F126">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137</w:t>
            </w:r>
          </w:p>
        </w:tc>
        <w:tc>
          <w:tcPr>
            <w:tcW w:w="2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19F0F0">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雨披</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C0BB6B">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带帽沿</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2E949E">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个</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A54768">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10</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FD6925">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5.3</w:t>
            </w:r>
          </w:p>
        </w:tc>
        <w:tc>
          <w:tcPr>
            <w:tcW w:w="992" w:type="dxa"/>
            <w:tcBorders>
              <w:top w:val="single" w:color="000000" w:sz="4" w:space="0"/>
              <w:left w:val="single" w:color="000000" w:sz="4" w:space="0"/>
              <w:bottom w:val="single" w:color="000000" w:sz="4" w:space="0"/>
              <w:right w:val="single" w:color="000000" w:sz="4" w:space="0"/>
            </w:tcBorders>
            <w:vAlign w:val="center"/>
          </w:tcPr>
          <w:p w14:paraId="1443A9BF">
            <w:pPr>
              <w:widowControl/>
              <w:jc w:val="center"/>
              <w:textAlignment w:val="center"/>
              <w:rPr>
                <w:rFonts w:hint="eastAsia" w:ascii="宋体" w:hAnsi="宋体" w:cs="宋体"/>
                <w:color w:val="000000"/>
                <w:kern w:val="0"/>
                <w:sz w:val="20"/>
                <w:szCs w:val="20"/>
                <w:lang w:bidi="ar"/>
              </w:rPr>
            </w:pPr>
          </w:p>
        </w:tc>
        <w:tc>
          <w:tcPr>
            <w:tcW w:w="1239" w:type="dxa"/>
            <w:tcBorders>
              <w:top w:val="single" w:color="000000" w:sz="4" w:space="0"/>
              <w:left w:val="single" w:color="000000" w:sz="4" w:space="0"/>
              <w:bottom w:val="single" w:color="000000" w:sz="4" w:space="0"/>
              <w:right w:val="single" w:color="000000" w:sz="4" w:space="0"/>
            </w:tcBorders>
            <w:vAlign w:val="center"/>
          </w:tcPr>
          <w:p w14:paraId="6FC27EEA">
            <w:pPr>
              <w:widowControl/>
              <w:jc w:val="center"/>
              <w:textAlignment w:val="center"/>
              <w:rPr>
                <w:rFonts w:hint="eastAsia" w:ascii="宋体" w:hAnsi="宋体" w:cs="宋体"/>
                <w:color w:val="000000"/>
                <w:kern w:val="0"/>
                <w:sz w:val="20"/>
                <w:szCs w:val="20"/>
                <w:lang w:bidi="ar"/>
              </w:rPr>
            </w:pPr>
          </w:p>
        </w:tc>
        <w:tc>
          <w:tcPr>
            <w:tcW w:w="900" w:type="dxa"/>
            <w:tcBorders>
              <w:top w:val="single" w:color="000000" w:sz="4" w:space="0"/>
              <w:left w:val="single" w:color="000000" w:sz="4" w:space="0"/>
              <w:bottom w:val="single" w:color="000000" w:sz="4" w:space="0"/>
              <w:right w:val="single" w:color="000000" w:sz="4" w:space="0"/>
            </w:tcBorders>
            <w:vAlign w:val="center"/>
          </w:tcPr>
          <w:p w14:paraId="3CF3409A">
            <w:pPr>
              <w:widowControl/>
              <w:jc w:val="center"/>
              <w:textAlignment w:val="center"/>
              <w:rPr>
                <w:rFonts w:hint="eastAsia" w:ascii="宋体" w:hAnsi="宋体" w:cs="宋体"/>
                <w:color w:val="000000"/>
                <w:kern w:val="0"/>
                <w:sz w:val="20"/>
                <w:szCs w:val="20"/>
                <w:lang w:bidi="ar"/>
              </w:rPr>
            </w:pPr>
          </w:p>
        </w:tc>
        <w:tc>
          <w:tcPr>
            <w:tcW w:w="832" w:type="dxa"/>
            <w:tcBorders>
              <w:top w:val="single" w:color="000000" w:sz="4" w:space="0"/>
              <w:left w:val="single" w:color="000000" w:sz="4" w:space="0"/>
              <w:bottom w:val="single" w:color="000000" w:sz="4" w:space="0"/>
              <w:right w:val="single" w:color="000000" w:sz="4" w:space="0"/>
            </w:tcBorders>
            <w:vAlign w:val="center"/>
          </w:tcPr>
          <w:p w14:paraId="0E7049D9">
            <w:pPr>
              <w:widowControl/>
              <w:jc w:val="center"/>
              <w:textAlignment w:val="center"/>
              <w:rPr>
                <w:rFonts w:hint="eastAsia" w:ascii="宋体" w:hAnsi="宋体" w:cs="宋体"/>
                <w:color w:val="000000"/>
                <w:kern w:val="0"/>
                <w:sz w:val="20"/>
                <w:szCs w:val="20"/>
                <w:lang w:bidi="ar"/>
              </w:rPr>
            </w:pPr>
          </w:p>
        </w:tc>
        <w:tc>
          <w:tcPr>
            <w:tcW w:w="1143" w:type="dxa"/>
            <w:tcBorders>
              <w:top w:val="single" w:color="000000" w:sz="4" w:space="0"/>
              <w:left w:val="single" w:color="000000" w:sz="4" w:space="0"/>
              <w:bottom w:val="single" w:color="000000" w:sz="4" w:space="0"/>
              <w:right w:val="single" w:color="000000" w:sz="4" w:space="0"/>
            </w:tcBorders>
            <w:vAlign w:val="center"/>
          </w:tcPr>
          <w:p w14:paraId="0C110D81">
            <w:pPr>
              <w:widowControl/>
              <w:jc w:val="center"/>
              <w:textAlignment w:val="center"/>
              <w:rPr>
                <w:rFonts w:hint="eastAsia" w:ascii="宋体" w:hAnsi="宋体" w:cs="宋体"/>
                <w:color w:val="000000"/>
                <w:kern w:val="0"/>
                <w:sz w:val="20"/>
                <w:szCs w:val="20"/>
                <w:lang w:bidi="ar"/>
              </w:rPr>
            </w:pPr>
          </w:p>
        </w:tc>
        <w:tc>
          <w:tcPr>
            <w:tcW w:w="763" w:type="dxa"/>
            <w:tcBorders>
              <w:top w:val="single" w:color="000000" w:sz="4" w:space="0"/>
              <w:left w:val="single" w:color="000000" w:sz="4" w:space="0"/>
              <w:bottom w:val="single" w:color="000000" w:sz="4" w:space="0"/>
              <w:right w:val="single" w:color="000000" w:sz="4" w:space="0"/>
            </w:tcBorders>
            <w:vAlign w:val="center"/>
          </w:tcPr>
          <w:p w14:paraId="126B0F19">
            <w:pPr>
              <w:widowControl/>
              <w:jc w:val="center"/>
              <w:textAlignment w:val="center"/>
              <w:rPr>
                <w:rFonts w:hint="eastAsia" w:ascii="宋体" w:hAnsi="宋体" w:cs="宋体"/>
                <w:color w:val="000000"/>
                <w:kern w:val="0"/>
                <w:sz w:val="20"/>
                <w:szCs w:val="20"/>
                <w:lang w:bidi="ar"/>
              </w:rPr>
            </w:pPr>
          </w:p>
        </w:tc>
        <w:tc>
          <w:tcPr>
            <w:tcW w:w="741" w:type="dxa"/>
            <w:tcBorders>
              <w:top w:val="single" w:color="000000" w:sz="4" w:space="0"/>
              <w:left w:val="single" w:color="000000" w:sz="4" w:space="0"/>
              <w:bottom w:val="single" w:color="000000" w:sz="4" w:space="0"/>
              <w:right w:val="single" w:color="000000" w:sz="4" w:space="0"/>
            </w:tcBorders>
            <w:vAlign w:val="center"/>
          </w:tcPr>
          <w:p w14:paraId="0A435AC9">
            <w:pPr>
              <w:widowControl/>
              <w:jc w:val="center"/>
              <w:textAlignment w:val="center"/>
              <w:rPr>
                <w:rFonts w:hint="eastAsia" w:ascii="宋体" w:hAnsi="宋体" w:cs="宋体"/>
                <w:color w:val="000000"/>
                <w:kern w:val="0"/>
                <w:sz w:val="20"/>
                <w:szCs w:val="20"/>
                <w:lang w:bidi="ar"/>
              </w:rPr>
            </w:pPr>
          </w:p>
        </w:tc>
      </w:tr>
      <w:tr w14:paraId="4E96B4F4">
        <w:tblPrEx>
          <w:tblCellMar>
            <w:top w:w="0" w:type="dxa"/>
            <w:left w:w="108" w:type="dxa"/>
            <w:bottom w:w="0" w:type="dxa"/>
            <w:right w:w="108" w:type="dxa"/>
          </w:tblCellMar>
        </w:tblPrEx>
        <w:trPr>
          <w:trHeight w:val="20" w:hRule="atLeast"/>
          <w:jc w:val="center"/>
        </w:trPr>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91DD94">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138</w:t>
            </w:r>
          </w:p>
        </w:tc>
        <w:tc>
          <w:tcPr>
            <w:tcW w:w="2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9309E6">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带轮冷藏箱</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55BB8D">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52L，伸缩拉杆</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D1F0E6">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个</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1C139D">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9FA472">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680</w:t>
            </w:r>
          </w:p>
        </w:tc>
        <w:tc>
          <w:tcPr>
            <w:tcW w:w="992" w:type="dxa"/>
            <w:tcBorders>
              <w:top w:val="single" w:color="000000" w:sz="4" w:space="0"/>
              <w:left w:val="single" w:color="000000" w:sz="4" w:space="0"/>
              <w:bottom w:val="single" w:color="000000" w:sz="4" w:space="0"/>
              <w:right w:val="single" w:color="000000" w:sz="4" w:space="0"/>
            </w:tcBorders>
            <w:vAlign w:val="center"/>
          </w:tcPr>
          <w:p w14:paraId="19611BAD">
            <w:pPr>
              <w:widowControl/>
              <w:jc w:val="center"/>
              <w:textAlignment w:val="center"/>
              <w:rPr>
                <w:rFonts w:hint="eastAsia" w:ascii="宋体" w:hAnsi="宋体" w:cs="宋体"/>
                <w:color w:val="000000"/>
                <w:kern w:val="0"/>
                <w:sz w:val="20"/>
                <w:szCs w:val="20"/>
                <w:lang w:bidi="ar"/>
              </w:rPr>
            </w:pPr>
          </w:p>
        </w:tc>
        <w:tc>
          <w:tcPr>
            <w:tcW w:w="1239" w:type="dxa"/>
            <w:tcBorders>
              <w:top w:val="single" w:color="000000" w:sz="4" w:space="0"/>
              <w:left w:val="single" w:color="000000" w:sz="4" w:space="0"/>
              <w:bottom w:val="single" w:color="000000" w:sz="4" w:space="0"/>
              <w:right w:val="single" w:color="000000" w:sz="4" w:space="0"/>
            </w:tcBorders>
            <w:vAlign w:val="center"/>
          </w:tcPr>
          <w:p w14:paraId="57EFA500">
            <w:pPr>
              <w:widowControl/>
              <w:jc w:val="center"/>
              <w:textAlignment w:val="center"/>
              <w:rPr>
                <w:rFonts w:hint="eastAsia" w:ascii="宋体" w:hAnsi="宋体" w:cs="宋体"/>
                <w:color w:val="000000"/>
                <w:kern w:val="0"/>
                <w:sz w:val="20"/>
                <w:szCs w:val="20"/>
                <w:lang w:bidi="ar"/>
              </w:rPr>
            </w:pPr>
          </w:p>
        </w:tc>
        <w:tc>
          <w:tcPr>
            <w:tcW w:w="900" w:type="dxa"/>
            <w:tcBorders>
              <w:top w:val="single" w:color="000000" w:sz="4" w:space="0"/>
              <w:left w:val="single" w:color="000000" w:sz="4" w:space="0"/>
              <w:bottom w:val="single" w:color="000000" w:sz="4" w:space="0"/>
              <w:right w:val="single" w:color="000000" w:sz="4" w:space="0"/>
            </w:tcBorders>
            <w:vAlign w:val="center"/>
          </w:tcPr>
          <w:p w14:paraId="78B2E8FB">
            <w:pPr>
              <w:widowControl/>
              <w:jc w:val="center"/>
              <w:textAlignment w:val="center"/>
              <w:rPr>
                <w:rFonts w:hint="eastAsia" w:ascii="宋体" w:hAnsi="宋体" w:cs="宋体"/>
                <w:color w:val="000000"/>
                <w:kern w:val="0"/>
                <w:sz w:val="20"/>
                <w:szCs w:val="20"/>
                <w:lang w:bidi="ar"/>
              </w:rPr>
            </w:pPr>
          </w:p>
        </w:tc>
        <w:tc>
          <w:tcPr>
            <w:tcW w:w="832" w:type="dxa"/>
            <w:tcBorders>
              <w:top w:val="single" w:color="000000" w:sz="4" w:space="0"/>
              <w:left w:val="single" w:color="000000" w:sz="4" w:space="0"/>
              <w:bottom w:val="single" w:color="000000" w:sz="4" w:space="0"/>
              <w:right w:val="single" w:color="000000" w:sz="4" w:space="0"/>
            </w:tcBorders>
            <w:vAlign w:val="center"/>
          </w:tcPr>
          <w:p w14:paraId="6605C03E">
            <w:pPr>
              <w:widowControl/>
              <w:jc w:val="center"/>
              <w:textAlignment w:val="center"/>
              <w:rPr>
                <w:rFonts w:hint="eastAsia" w:ascii="宋体" w:hAnsi="宋体" w:cs="宋体"/>
                <w:color w:val="000000"/>
                <w:kern w:val="0"/>
                <w:sz w:val="20"/>
                <w:szCs w:val="20"/>
                <w:lang w:bidi="ar"/>
              </w:rPr>
            </w:pPr>
          </w:p>
        </w:tc>
        <w:tc>
          <w:tcPr>
            <w:tcW w:w="1143" w:type="dxa"/>
            <w:tcBorders>
              <w:top w:val="single" w:color="000000" w:sz="4" w:space="0"/>
              <w:left w:val="single" w:color="000000" w:sz="4" w:space="0"/>
              <w:bottom w:val="single" w:color="000000" w:sz="4" w:space="0"/>
              <w:right w:val="single" w:color="000000" w:sz="4" w:space="0"/>
            </w:tcBorders>
            <w:vAlign w:val="center"/>
          </w:tcPr>
          <w:p w14:paraId="71206B15">
            <w:pPr>
              <w:widowControl/>
              <w:jc w:val="center"/>
              <w:textAlignment w:val="center"/>
              <w:rPr>
                <w:rFonts w:hint="eastAsia" w:ascii="宋体" w:hAnsi="宋体" w:cs="宋体"/>
                <w:color w:val="000000"/>
                <w:kern w:val="0"/>
                <w:sz w:val="20"/>
                <w:szCs w:val="20"/>
                <w:lang w:bidi="ar"/>
              </w:rPr>
            </w:pPr>
          </w:p>
        </w:tc>
        <w:tc>
          <w:tcPr>
            <w:tcW w:w="763" w:type="dxa"/>
            <w:tcBorders>
              <w:top w:val="single" w:color="000000" w:sz="4" w:space="0"/>
              <w:left w:val="single" w:color="000000" w:sz="4" w:space="0"/>
              <w:bottom w:val="single" w:color="000000" w:sz="4" w:space="0"/>
              <w:right w:val="single" w:color="000000" w:sz="4" w:space="0"/>
            </w:tcBorders>
            <w:vAlign w:val="center"/>
          </w:tcPr>
          <w:p w14:paraId="77798AA8">
            <w:pPr>
              <w:widowControl/>
              <w:jc w:val="center"/>
              <w:textAlignment w:val="center"/>
              <w:rPr>
                <w:rFonts w:hint="eastAsia" w:ascii="宋体" w:hAnsi="宋体" w:cs="宋体"/>
                <w:color w:val="000000"/>
                <w:kern w:val="0"/>
                <w:sz w:val="20"/>
                <w:szCs w:val="20"/>
                <w:lang w:bidi="ar"/>
              </w:rPr>
            </w:pPr>
          </w:p>
        </w:tc>
        <w:tc>
          <w:tcPr>
            <w:tcW w:w="741" w:type="dxa"/>
            <w:tcBorders>
              <w:top w:val="single" w:color="000000" w:sz="4" w:space="0"/>
              <w:left w:val="single" w:color="000000" w:sz="4" w:space="0"/>
              <w:bottom w:val="single" w:color="000000" w:sz="4" w:space="0"/>
              <w:right w:val="single" w:color="000000" w:sz="4" w:space="0"/>
            </w:tcBorders>
            <w:vAlign w:val="center"/>
          </w:tcPr>
          <w:p w14:paraId="642C5F3E">
            <w:pPr>
              <w:widowControl/>
              <w:jc w:val="center"/>
              <w:textAlignment w:val="center"/>
              <w:rPr>
                <w:rFonts w:hint="eastAsia" w:ascii="宋体" w:hAnsi="宋体" w:cs="宋体"/>
                <w:color w:val="000000"/>
                <w:kern w:val="0"/>
                <w:sz w:val="20"/>
                <w:szCs w:val="20"/>
                <w:lang w:bidi="ar"/>
              </w:rPr>
            </w:pPr>
          </w:p>
        </w:tc>
      </w:tr>
      <w:tr w14:paraId="6D4DF795">
        <w:tblPrEx>
          <w:tblCellMar>
            <w:top w:w="0" w:type="dxa"/>
            <w:left w:w="108" w:type="dxa"/>
            <w:bottom w:w="0" w:type="dxa"/>
            <w:right w:w="108" w:type="dxa"/>
          </w:tblCellMar>
        </w:tblPrEx>
        <w:trPr>
          <w:trHeight w:val="20" w:hRule="atLeast"/>
          <w:jc w:val="center"/>
        </w:trPr>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9A2A4F">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139</w:t>
            </w:r>
          </w:p>
        </w:tc>
        <w:tc>
          <w:tcPr>
            <w:tcW w:w="2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1A7E95">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不锈钢酒精灯</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C7F57B">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07169C">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个</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A2A898">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8</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C69A75">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37</w:t>
            </w:r>
          </w:p>
        </w:tc>
        <w:tc>
          <w:tcPr>
            <w:tcW w:w="992" w:type="dxa"/>
            <w:tcBorders>
              <w:top w:val="single" w:color="000000" w:sz="4" w:space="0"/>
              <w:left w:val="single" w:color="000000" w:sz="4" w:space="0"/>
              <w:bottom w:val="single" w:color="000000" w:sz="4" w:space="0"/>
              <w:right w:val="single" w:color="000000" w:sz="4" w:space="0"/>
            </w:tcBorders>
            <w:vAlign w:val="center"/>
          </w:tcPr>
          <w:p w14:paraId="57D5B23F">
            <w:pPr>
              <w:widowControl/>
              <w:jc w:val="center"/>
              <w:textAlignment w:val="center"/>
              <w:rPr>
                <w:rFonts w:hint="eastAsia" w:ascii="宋体" w:hAnsi="宋体" w:cs="宋体"/>
                <w:color w:val="000000"/>
                <w:kern w:val="0"/>
                <w:sz w:val="20"/>
                <w:szCs w:val="20"/>
                <w:lang w:bidi="ar"/>
              </w:rPr>
            </w:pPr>
          </w:p>
        </w:tc>
        <w:tc>
          <w:tcPr>
            <w:tcW w:w="1239" w:type="dxa"/>
            <w:tcBorders>
              <w:top w:val="single" w:color="000000" w:sz="4" w:space="0"/>
              <w:left w:val="single" w:color="000000" w:sz="4" w:space="0"/>
              <w:bottom w:val="single" w:color="000000" w:sz="4" w:space="0"/>
              <w:right w:val="single" w:color="000000" w:sz="4" w:space="0"/>
            </w:tcBorders>
            <w:vAlign w:val="center"/>
          </w:tcPr>
          <w:p w14:paraId="614F8A65">
            <w:pPr>
              <w:widowControl/>
              <w:jc w:val="center"/>
              <w:textAlignment w:val="center"/>
              <w:rPr>
                <w:rFonts w:hint="eastAsia" w:ascii="宋体" w:hAnsi="宋体" w:cs="宋体"/>
                <w:color w:val="000000"/>
                <w:kern w:val="0"/>
                <w:sz w:val="20"/>
                <w:szCs w:val="20"/>
                <w:lang w:bidi="ar"/>
              </w:rPr>
            </w:pPr>
          </w:p>
        </w:tc>
        <w:tc>
          <w:tcPr>
            <w:tcW w:w="900" w:type="dxa"/>
            <w:tcBorders>
              <w:top w:val="single" w:color="000000" w:sz="4" w:space="0"/>
              <w:left w:val="single" w:color="000000" w:sz="4" w:space="0"/>
              <w:bottom w:val="single" w:color="000000" w:sz="4" w:space="0"/>
              <w:right w:val="single" w:color="000000" w:sz="4" w:space="0"/>
            </w:tcBorders>
            <w:vAlign w:val="center"/>
          </w:tcPr>
          <w:p w14:paraId="76BCD57B">
            <w:pPr>
              <w:widowControl/>
              <w:jc w:val="center"/>
              <w:textAlignment w:val="center"/>
              <w:rPr>
                <w:rFonts w:hint="eastAsia" w:ascii="宋体" w:hAnsi="宋体" w:cs="宋体"/>
                <w:color w:val="000000"/>
                <w:kern w:val="0"/>
                <w:sz w:val="20"/>
                <w:szCs w:val="20"/>
                <w:lang w:bidi="ar"/>
              </w:rPr>
            </w:pPr>
          </w:p>
        </w:tc>
        <w:tc>
          <w:tcPr>
            <w:tcW w:w="832" w:type="dxa"/>
            <w:tcBorders>
              <w:top w:val="single" w:color="000000" w:sz="4" w:space="0"/>
              <w:left w:val="single" w:color="000000" w:sz="4" w:space="0"/>
              <w:bottom w:val="single" w:color="000000" w:sz="4" w:space="0"/>
              <w:right w:val="single" w:color="000000" w:sz="4" w:space="0"/>
            </w:tcBorders>
            <w:vAlign w:val="center"/>
          </w:tcPr>
          <w:p w14:paraId="6042022E">
            <w:pPr>
              <w:widowControl/>
              <w:jc w:val="center"/>
              <w:textAlignment w:val="center"/>
              <w:rPr>
                <w:rFonts w:hint="eastAsia" w:ascii="宋体" w:hAnsi="宋体" w:cs="宋体"/>
                <w:color w:val="000000"/>
                <w:kern w:val="0"/>
                <w:sz w:val="20"/>
                <w:szCs w:val="20"/>
                <w:lang w:bidi="ar"/>
              </w:rPr>
            </w:pPr>
          </w:p>
        </w:tc>
        <w:tc>
          <w:tcPr>
            <w:tcW w:w="1143" w:type="dxa"/>
            <w:tcBorders>
              <w:top w:val="single" w:color="000000" w:sz="4" w:space="0"/>
              <w:left w:val="single" w:color="000000" w:sz="4" w:space="0"/>
              <w:bottom w:val="single" w:color="000000" w:sz="4" w:space="0"/>
              <w:right w:val="single" w:color="000000" w:sz="4" w:space="0"/>
            </w:tcBorders>
            <w:vAlign w:val="center"/>
          </w:tcPr>
          <w:p w14:paraId="1D8B6FFC">
            <w:pPr>
              <w:widowControl/>
              <w:jc w:val="center"/>
              <w:textAlignment w:val="center"/>
              <w:rPr>
                <w:rFonts w:hint="eastAsia" w:ascii="宋体" w:hAnsi="宋体" w:cs="宋体"/>
                <w:color w:val="000000"/>
                <w:kern w:val="0"/>
                <w:sz w:val="20"/>
                <w:szCs w:val="20"/>
                <w:lang w:bidi="ar"/>
              </w:rPr>
            </w:pPr>
          </w:p>
        </w:tc>
        <w:tc>
          <w:tcPr>
            <w:tcW w:w="763" w:type="dxa"/>
            <w:tcBorders>
              <w:top w:val="single" w:color="000000" w:sz="4" w:space="0"/>
              <w:left w:val="single" w:color="000000" w:sz="4" w:space="0"/>
              <w:bottom w:val="single" w:color="000000" w:sz="4" w:space="0"/>
              <w:right w:val="single" w:color="000000" w:sz="4" w:space="0"/>
            </w:tcBorders>
            <w:vAlign w:val="center"/>
          </w:tcPr>
          <w:p w14:paraId="0C99E62E">
            <w:pPr>
              <w:widowControl/>
              <w:jc w:val="center"/>
              <w:textAlignment w:val="center"/>
              <w:rPr>
                <w:rFonts w:hint="eastAsia" w:ascii="宋体" w:hAnsi="宋体" w:cs="宋体"/>
                <w:color w:val="000000"/>
                <w:kern w:val="0"/>
                <w:sz w:val="20"/>
                <w:szCs w:val="20"/>
                <w:lang w:bidi="ar"/>
              </w:rPr>
            </w:pPr>
          </w:p>
        </w:tc>
        <w:tc>
          <w:tcPr>
            <w:tcW w:w="741" w:type="dxa"/>
            <w:tcBorders>
              <w:top w:val="single" w:color="000000" w:sz="4" w:space="0"/>
              <w:left w:val="single" w:color="000000" w:sz="4" w:space="0"/>
              <w:bottom w:val="single" w:color="000000" w:sz="4" w:space="0"/>
              <w:right w:val="single" w:color="000000" w:sz="4" w:space="0"/>
            </w:tcBorders>
            <w:vAlign w:val="center"/>
          </w:tcPr>
          <w:p w14:paraId="4136C856">
            <w:pPr>
              <w:widowControl/>
              <w:jc w:val="center"/>
              <w:textAlignment w:val="center"/>
              <w:rPr>
                <w:rFonts w:hint="eastAsia" w:ascii="宋体" w:hAnsi="宋体" w:cs="宋体"/>
                <w:color w:val="000000"/>
                <w:kern w:val="0"/>
                <w:sz w:val="20"/>
                <w:szCs w:val="20"/>
                <w:lang w:bidi="ar"/>
              </w:rPr>
            </w:pPr>
          </w:p>
        </w:tc>
      </w:tr>
      <w:tr w14:paraId="42935F62">
        <w:tblPrEx>
          <w:tblCellMar>
            <w:top w:w="0" w:type="dxa"/>
            <w:left w:w="108" w:type="dxa"/>
            <w:bottom w:w="0" w:type="dxa"/>
            <w:right w:w="108" w:type="dxa"/>
          </w:tblCellMar>
        </w:tblPrEx>
        <w:trPr>
          <w:trHeight w:val="20" w:hRule="atLeast"/>
          <w:jc w:val="center"/>
        </w:trPr>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66EFB1">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140</w:t>
            </w:r>
          </w:p>
        </w:tc>
        <w:tc>
          <w:tcPr>
            <w:tcW w:w="2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56D07B">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一次性滴管1</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AAB5A2">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1mL</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77B5F4">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个</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40DFB4">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500</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484D8B">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0.09</w:t>
            </w:r>
          </w:p>
        </w:tc>
        <w:tc>
          <w:tcPr>
            <w:tcW w:w="992" w:type="dxa"/>
            <w:tcBorders>
              <w:top w:val="single" w:color="000000" w:sz="4" w:space="0"/>
              <w:left w:val="single" w:color="000000" w:sz="4" w:space="0"/>
              <w:bottom w:val="single" w:color="000000" w:sz="4" w:space="0"/>
              <w:right w:val="single" w:color="000000" w:sz="4" w:space="0"/>
            </w:tcBorders>
            <w:vAlign w:val="center"/>
          </w:tcPr>
          <w:p w14:paraId="0CD2E4B0">
            <w:pPr>
              <w:widowControl/>
              <w:jc w:val="center"/>
              <w:textAlignment w:val="center"/>
              <w:rPr>
                <w:rFonts w:hint="eastAsia" w:ascii="宋体" w:hAnsi="宋体" w:cs="宋体"/>
                <w:color w:val="000000"/>
                <w:kern w:val="0"/>
                <w:sz w:val="20"/>
                <w:szCs w:val="20"/>
                <w:lang w:bidi="ar"/>
              </w:rPr>
            </w:pPr>
          </w:p>
        </w:tc>
        <w:tc>
          <w:tcPr>
            <w:tcW w:w="1239" w:type="dxa"/>
            <w:tcBorders>
              <w:top w:val="single" w:color="000000" w:sz="4" w:space="0"/>
              <w:left w:val="single" w:color="000000" w:sz="4" w:space="0"/>
              <w:bottom w:val="single" w:color="000000" w:sz="4" w:space="0"/>
              <w:right w:val="single" w:color="000000" w:sz="4" w:space="0"/>
            </w:tcBorders>
            <w:vAlign w:val="center"/>
          </w:tcPr>
          <w:p w14:paraId="085CD806">
            <w:pPr>
              <w:widowControl/>
              <w:jc w:val="center"/>
              <w:textAlignment w:val="center"/>
              <w:rPr>
                <w:rFonts w:hint="eastAsia" w:ascii="宋体" w:hAnsi="宋体" w:cs="宋体"/>
                <w:color w:val="000000"/>
                <w:kern w:val="0"/>
                <w:sz w:val="20"/>
                <w:szCs w:val="20"/>
                <w:lang w:bidi="ar"/>
              </w:rPr>
            </w:pPr>
          </w:p>
        </w:tc>
        <w:tc>
          <w:tcPr>
            <w:tcW w:w="900" w:type="dxa"/>
            <w:tcBorders>
              <w:top w:val="single" w:color="000000" w:sz="4" w:space="0"/>
              <w:left w:val="single" w:color="000000" w:sz="4" w:space="0"/>
              <w:bottom w:val="single" w:color="000000" w:sz="4" w:space="0"/>
              <w:right w:val="single" w:color="000000" w:sz="4" w:space="0"/>
            </w:tcBorders>
            <w:vAlign w:val="center"/>
          </w:tcPr>
          <w:p w14:paraId="60BB6575">
            <w:pPr>
              <w:widowControl/>
              <w:jc w:val="center"/>
              <w:textAlignment w:val="center"/>
              <w:rPr>
                <w:rFonts w:hint="eastAsia" w:ascii="宋体" w:hAnsi="宋体" w:cs="宋体"/>
                <w:color w:val="000000"/>
                <w:kern w:val="0"/>
                <w:sz w:val="20"/>
                <w:szCs w:val="20"/>
                <w:lang w:bidi="ar"/>
              </w:rPr>
            </w:pPr>
          </w:p>
        </w:tc>
        <w:tc>
          <w:tcPr>
            <w:tcW w:w="832" w:type="dxa"/>
            <w:tcBorders>
              <w:top w:val="single" w:color="000000" w:sz="4" w:space="0"/>
              <w:left w:val="single" w:color="000000" w:sz="4" w:space="0"/>
              <w:bottom w:val="single" w:color="000000" w:sz="4" w:space="0"/>
              <w:right w:val="single" w:color="000000" w:sz="4" w:space="0"/>
            </w:tcBorders>
            <w:vAlign w:val="center"/>
          </w:tcPr>
          <w:p w14:paraId="03CB8C08">
            <w:pPr>
              <w:widowControl/>
              <w:jc w:val="center"/>
              <w:textAlignment w:val="center"/>
              <w:rPr>
                <w:rFonts w:hint="eastAsia" w:ascii="宋体" w:hAnsi="宋体" w:cs="宋体"/>
                <w:color w:val="000000"/>
                <w:kern w:val="0"/>
                <w:sz w:val="20"/>
                <w:szCs w:val="20"/>
                <w:lang w:bidi="ar"/>
              </w:rPr>
            </w:pPr>
          </w:p>
        </w:tc>
        <w:tc>
          <w:tcPr>
            <w:tcW w:w="1143" w:type="dxa"/>
            <w:tcBorders>
              <w:top w:val="single" w:color="000000" w:sz="4" w:space="0"/>
              <w:left w:val="single" w:color="000000" w:sz="4" w:space="0"/>
              <w:bottom w:val="single" w:color="000000" w:sz="4" w:space="0"/>
              <w:right w:val="single" w:color="000000" w:sz="4" w:space="0"/>
            </w:tcBorders>
            <w:vAlign w:val="center"/>
          </w:tcPr>
          <w:p w14:paraId="4A15DDD9">
            <w:pPr>
              <w:widowControl/>
              <w:jc w:val="center"/>
              <w:textAlignment w:val="center"/>
              <w:rPr>
                <w:rFonts w:hint="eastAsia" w:ascii="宋体" w:hAnsi="宋体" w:cs="宋体"/>
                <w:color w:val="000000"/>
                <w:kern w:val="0"/>
                <w:sz w:val="20"/>
                <w:szCs w:val="20"/>
                <w:lang w:bidi="ar"/>
              </w:rPr>
            </w:pPr>
          </w:p>
        </w:tc>
        <w:tc>
          <w:tcPr>
            <w:tcW w:w="763" w:type="dxa"/>
            <w:tcBorders>
              <w:top w:val="single" w:color="000000" w:sz="4" w:space="0"/>
              <w:left w:val="single" w:color="000000" w:sz="4" w:space="0"/>
              <w:bottom w:val="single" w:color="000000" w:sz="4" w:space="0"/>
              <w:right w:val="single" w:color="000000" w:sz="4" w:space="0"/>
            </w:tcBorders>
            <w:vAlign w:val="center"/>
          </w:tcPr>
          <w:p w14:paraId="3DFD016E">
            <w:pPr>
              <w:widowControl/>
              <w:jc w:val="center"/>
              <w:textAlignment w:val="center"/>
              <w:rPr>
                <w:rFonts w:hint="eastAsia" w:ascii="宋体" w:hAnsi="宋体" w:cs="宋体"/>
                <w:color w:val="000000"/>
                <w:kern w:val="0"/>
                <w:sz w:val="20"/>
                <w:szCs w:val="20"/>
                <w:lang w:bidi="ar"/>
              </w:rPr>
            </w:pPr>
          </w:p>
        </w:tc>
        <w:tc>
          <w:tcPr>
            <w:tcW w:w="741" w:type="dxa"/>
            <w:tcBorders>
              <w:top w:val="single" w:color="000000" w:sz="4" w:space="0"/>
              <w:left w:val="single" w:color="000000" w:sz="4" w:space="0"/>
              <w:bottom w:val="single" w:color="000000" w:sz="4" w:space="0"/>
              <w:right w:val="single" w:color="000000" w:sz="4" w:space="0"/>
            </w:tcBorders>
            <w:vAlign w:val="center"/>
          </w:tcPr>
          <w:p w14:paraId="77DAB1F9">
            <w:pPr>
              <w:widowControl/>
              <w:jc w:val="center"/>
              <w:textAlignment w:val="center"/>
              <w:rPr>
                <w:rFonts w:hint="eastAsia" w:ascii="宋体" w:hAnsi="宋体" w:cs="宋体"/>
                <w:color w:val="000000"/>
                <w:kern w:val="0"/>
                <w:sz w:val="20"/>
                <w:szCs w:val="20"/>
                <w:lang w:bidi="ar"/>
              </w:rPr>
            </w:pPr>
          </w:p>
        </w:tc>
      </w:tr>
      <w:tr w14:paraId="357C60E1">
        <w:tblPrEx>
          <w:tblCellMar>
            <w:top w:w="0" w:type="dxa"/>
            <w:left w:w="108" w:type="dxa"/>
            <w:bottom w:w="0" w:type="dxa"/>
            <w:right w:w="108" w:type="dxa"/>
          </w:tblCellMar>
        </w:tblPrEx>
        <w:trPr>
          <w:trHeight w:val="20" w:hRule="atLeast"/>
          <w:jc w:val="center"/>
        </w:trPr>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6600A4">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141</w:t>
            </w:r>
          </w:p>
        </w:tc>
        <w:tc>
          <w:tcPr>
            <w:tcW w:w="2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5B97CB">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一次性滴管2</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365205">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5mL</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10650A">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个</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647FF6">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500</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2ED240">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0.2</w:t>
            </w:r>
          </w:p>
        </w:tc>
        <w:tc>
          <w:tcPr>
            <w:tcW w:w="992" w:type="dxa"/>
            <w:tcBorders>
              <w:top w:val="single" w:color="000000" w:sz="4" w:space="0"/>
              <w:left w:val="single" w:color="000000" w:sz="4" w:space="0"/>
              <w:bottom w:val="single" w:color="000000" w:sz="4" w:space="0"/>
              <w:right w:val="single" w:color="000000" w:sz="4" w:space="0"/>
            </w:tcBorders>
            <w:vAlign w:val="center"/>
          </w:tcPr>
          <w:p w14:paraId="5E32C258">
            <w:pPr>
              <w:widowControl/>
              <w:jc w:val="center"/>
              <w:textAlignment w:val="center"/>
              <w:rPr>
                <w:rFonts w:hint="eastAsia" w:ascii="宋体" w:hAnsi="宋体" w:cs="宋体"/>
                <w:color w:val="000000"/>
                <w:kern w:val="0"/>
                <w:sz w:val="20"/>
                <w:szCs w:val="20"/>
                <w:lang w:bidi="ar"/>
              </w:rPr>
            </w:pPr>
          </w:p>
        </w:tc>
        <w:tc>
          <w:tcPr>
            <w:tcW w:w="1239" w:type="dxa"/>
            <w:tcBorders>
              <w:top w:val="single" w:color="000000" w:sz="4" w:space="0"/>
              <w:left w:val="single" w:color="000000" w:sz="4" w:space="0"/>
              <w:bottom w:val="single" w:color="000000" w:sz="4" w:space="0"/>
              <w:right w:val="single" w:color="000000" w:sz="4" w:space="0"/>
            </w:tcBorders>
            <w:vAlign w:val="center"/>
          </w:tcPr>
          <w:p w14:paraId="311FC97C">
            <w:pPr>
              <w:widowControl/>
              <w:jc w:val="center"/>
              <w:textAlignment w:val="center"/>
              <w:rPr>
                <w:rFonts w:hint="eastAsia" w:ascii="宋体" w:hAnsi="宋体" w:cs="宋体"/>
                <w:color w:val="000000"/>
                <w:kern w:val="0"/>
                <w:sz w:val="20"/>
                <w:szCs w:val="20"/>
                <w:lang w:bidi="ar"/>
              </w:rPr>
            </w:pPr>
          </w:p>
        </w:tc>
        <w:tc>
          <w:tcPr>
            <w:tcW w:w="900" w:type="dxa"/>
            <w:tcBorders>
              <w:top w:val="single" w:color="000000" w:sz="4" w:space="0"/>
              <w:left w:val="single" w:color="000000" w:sz="4" w:space="0"/>
              <w:bottom w:val="single" w:color="000000" w:sz="4" w:space="0"/>
              <w:right w:val="single" w:color="000000" w:sz="4" w:space="0"/>
            </w:tcBorders>
            <w:vAlign w:val="center"/>
          </w:tcPr>
          <w:p w14:paraId="78F4877C">
            <w:pPr>
              <w:widowControl/>
              <w:jc w:val="center"/>
              <w:textAlignment w:val="center"/>
              <w:rPr>
                <w:rFonts w:hint="eastAsia" w:ascii="宋体" w:hAnsi="宋体" w:cs="宋体"/>
                <w:color w:val="000000"/>
                <w:kern w:val="0"/>
                <w:sz w:val="20"/>
                <w:szCs w:val="20"/>
                <w:lang w:bidi="ar"/>
              </w:rPr>
            </w:pPr>
          </w:p>
        </w:tc>
        <w:tc>
          <w:tcPr>
            <w:tcW w:w="832" w:type="dxa"/>
            <w:tcBorders>
              <w:top w:val="single" w:color="000000" w:sz="4" w:space="0"/>
              <w:left w:val="single" w:color="000000" w:sz="4" w:space="0"/>
              <w:bottom w:val="single" w:color="000000" w:sz="4" w:space="0"/>
              <w:right w:val="single" w:color="000000" w:sz="4" w:space="0"/>
            </w:tcBorders>
            <w:vAlign w:val="center"/>
          </w:tcPr>
          <w:p w14:paraId="7325B767">
            <w:pPr>
              <w:widowControl/>
              <w:jc w:val="center"/>
              <w:textAlignment w:val="center"/>
              <w:rPr>
                <w:rFonts w:hint="eastAsia" w:ascii="宋体" w:hAnsi="宋体" w:cs="宋体"/>
                <w:color w:val="000000"/>
                <w:kern w:val="0"/>
                <w:sz w:val="20"/>
                <w:szCs w:val="20"/>
                <w:lang w:bidi="ar"/>
              </w:rPr>
            </w:pPr>
          </w:p>
        </w:tc>
        <w:tc>
          <w:tcPr>
            <w:tcW w:w="1143" w:type="dxa"/>
            <w:tcBorders>
              <w:top w:val="single" w:color="000000" w:sz="4" w:space="0"/>
              <w:left w:val="single" w:color="000000" w:sz="4" w:space="0"/>
              <w:bottom w:val="single" w:color="000000" w:sz="4" w:space="0"/>
              <w:right w:val="single" w:color="000000" w:sz="4" w:space="0"/>
            </w:tcBorders>
            <w:vAlign w:val="center"/>
          </w:tcPr>
          <w:p w14:paraId="244B0C24">
            <w:pPr>
              <w:widowControl/>
              <w:jc w:val="center"/>
              <w:textAlignment w:val="center"/>
              <w:rPr>
                <w:rFonts w:hint="eastAsia" w:ascii="宋体" w:hAnsi="宋体" w:cs="宋体"/>
                <w:color w:val="000000"/>
                <w:kern w:val="0"/>
                <w:sz w:val="20"/>
                <w:szCs w:val="20"/>
                <w:lang w:bidi="ar"/>
              </w:rPr>
            </w:pPr>
          </w:p>
        </w:tc>
        <w:tc>
          <w:tcPr>
            <w:tcW w:w="763" w:type="dxa"/>
            <w:tcBorders>
              <w:top w:val="single" w:color="000000" w:sz="4" w:space="0"/>
              <w:left w:val="single" w:color="000000" w:sz="4" w:space="0"/>
              <w:bottom w:val="single" w:color="000000" w:sz="4" w:space="0"/>
              <w:right w:val="single" w:color="000000" w:sz="4" w:space="0"/>
            </w:tcBorders>
            <w:vAlign w:val="center"/>
          </w:tcPr>
          <w:p w14:paraId="77007673">
            <w:pPr>
              <w:widowControl/>
              <w:jc w:val="center"/>
              <w:textAlignment w:val="center"/>
              <w:rPr>
                <w:rFonts w:hint="eastAsia" w:ascii="宋体" w:hAnsi="宋体" w:cs="宋体"/>
                <w:color w:val="000000"/>
                <w:kern w:val="0"/>
                <w:sz w:val="20"/>
                <w:szCs w:val="20"/>
                <w:lang w:bidi="ar"/>
              </w:rPr>
            </w:pPr>
          </w:p>
        </w:tc>
        <w:tc>
          <w:tcPr>
            <w:tcW w:w="741" w:type="dxa"/>
            <w:tcBorders>
              <w:top w:val="single" w:color="000000" w:sz="4" w:space="0"/>
              <w:left w:val="single" w:color="000000" w:sz="4" w:space="0"/>
              <w:bottom w:val="single" w:color="000000" w:sz="4" w:space="0"/>
              <w:right w:val="single" w:color="000000" w:sz="4" w:space="0"/>
            </w:tcBorders>
            <w:vAlign w:val="center"/>
          </w:tcPr>
          <w:p w14:paraId="254B2DE3">
            <w:pPr>
              <w:widowControl/>
              <w:jc w:val="center"/>
              <w:textAlignment w:val="center"/>
              <w:rPr>
                <w:rFonts w:hint="eastAsia" w:ascii="宋体" w:hAnsi="宋体" w:cs="宋体"/>
                <w:color w:val="000000"/>
                <w:kern w:val="0"/>
                <w:sz w:val="20"/>
                <w:szCs w:val="20"/>
                <w:lang w:bidi="ar"/>
              </w:rPr>
            </w:pPr>
          </w:p>
        </w:tc>
      </w:tr>
      <w:tr w14:paraId="60075C7E">
        <w:tblPrEx>
          <w:tblCellMar>
            <w:top w:w="0" w:type="dxa"/>
            <w:left w:w="108" w:type="dxa"/>
            <w:bottom w:w="0" w:type="dxa"/>
            <w:right w:w="108" w:type="dxa"/>
          </w:tblCellMar>
        </w:tblPrEx>
        <w:trPr>
          <w:trHeight w:val="20" w:hRule="atLeast"/>
          <w:jc w:val="center"/>
        </w:trPr>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A50AFC">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142</w:t>
            </w:r>
          </w:p>
        </w:tc>
        <w:tc>
          <w:tcPr>
            <w:tcW w:w="2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CD1654">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一次性滴管3</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0C088F">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10mL</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7E0C4F">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个</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3DF02D">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500</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5564BB">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0.3</w:t>
            </w:r>
          </w:p>
        </w:tc>
        <w:tc>
          <w:tcPr>
            <w:tcW w:w="992" w:type="dxa"/>
            <w:tcBorders>
              <w:top w:val="single" w:color="000000" w:sz="4" w:space="0"/>
              <w:left w:val="single" w:color="000000" w:sz="4" w:space="0"/>
              <w:bottom w:val="single" w:color="000000" w:sz="4" w:space="0"/>
              <w:right w:val="single" w:color="000000" w:sz="4" w:space="0"/>
            </w:tcBorders>
            <w:vAlign w:val="center"/>
          </w:tcPr>
          <w:p w14:paraId="6251551D">
            <w:pPr>
              <w:widowControl/>
              <w:jc w:val="center"/>
              <w:textAlignment w:val="center"/>
              <w:rPr>
                <w:rFonts w:hint="eastAsia" w:ascii="宋体" w:hAnsi="宋体" w:cs="宋体"/>
                <w:color w:val="000000"/>
                <w:kern w:val="0"/>
                <w:sz w:val="20"/>
                <w:szCs w:val="20"/>
                <w:lang w:bidi="ar"/>
              </w:rPr>
            </w:pPr>
          </w:p>
        </w:tc>
        <w:tc>
          <w:tcPr>
            <w:tcW w:w="1239" w:type="dxa"/>
            <w:tcBorders>
              <w:top w:val="single" w:color="000000" w:sz="4" w:space="0"/>
              <w:left w:val="single" w:color="000000" w:sz="4" w:space="0"/>
              <w:bottom w:val="single" w:color="000000" w:sz="4" w:space="0"/>
              <w:right w:val="single" w:color="000000" w:sz="4" w:space="0"/>
            </w:tcBorders>
            <w:vAlign w:val="center"/>
          </w:tcPr>
          <w:p w14:paraId="2EC13C09">
            <w:pPr>
              <w:widowControl/>
              <w:jc w:val="center"/>
              <w:textAlignment w:val="center"/>
              <w:rPr>
                <w:rFonts w:hint="eastAsia" w:ascii="宋体" w:hAnsi="宋体" w:cs="宋体"/>
                <w:color w:val="000000"/>
                <w:kern w:val="0"/>
                <w:sz w:val="20"/>
                <w:szCs w:val="20"/>
                <w:lang w:bidi="ar"/>
              </w:rPr>
            </w:pPr>
          </w:p>
        </w:tc>
        <w:tc>
          <w:tcPr>
            <w:tcW w:w="900" w:type="dxa"/>
            <w:tcBorders>
              <w:top w:val="single" w:color="000000" w:sz="4" w:space="0"/>
              <w:left w:val="single" w:color="000000" w:sz="4" w:space="0"/>
              <w:bottom w:val="single" w:color="000000" w:sz="4" w:space="0"/>
              <w:right w:val="single" w:color="000000" w:sz="4" w:space="0"/>
            </w:tcBorders>
            <w:vAlign w:val="center"/>
          </w:tcPr>
          <w:p w14:paraId="56CFBBB5">
            <w:pPr>
              <w:widowControl/>
              <w:jc w:val="center"/>
              <w:textAlignment w:val="center"/>
              <w:rPr>
                <w:rFonts w:hint="eastAsia" w:ascii="宋体" w:hAnsi="宋体" w:cs="宋体"/>
                <w:color w:val="000000"/>
                <w:kern w:val="0"/>
                <w:sz w:val="20"/>
                <w:szCs w:val="20"/>
                <w:lang w:bidi="ar"/>
              </w:rPr>
            </w:pPr>
          </w:p>
        </w:tc>
        <w:tc>
          <w:tcPr>
            <w:tcW w:w="832" w:type="dxa"/>
            <w:tcBorders>
              <w:top w:val="single" w:color="000000" w:sz="4" w:space="0"/>
              <w:left w:val="single" w:color="000000" w:sz="4" w:space="0"/>
              <w:bottom w:val="single" w:color="000000" w:sz="4" w:space="0"/>
              <w:right w:val="single" w:color="000000" w:sz="4" w:space="0"/>
            </w:tcBorders>
            <w:vAlign w:val="center"/>
          </w:tcPr>
          <w:p w14:paraId="13B944DC">
            <w:pPr>
              <w:widowControl/>
              <w:jc w:val="center"/>
              <w:textAlignment w:val="center"/>
              <w:rPr>
                <w:rFonts w:hint="eastAsia" w:ascii="宋体" w:hAnsi="宋体" w:cs="宋体"/>
                <w:color w:val="000000"/>
                <w:kern w:val="0"/>
                <w:sz w:val="20"/>
                <w:szCs w:val="20"/>
                <w:lang w:bidi="ar"/>
              </w:rPr>
            </w:pPr>
          </w:p>
        </w:tc>
        <w:tc>
          <w:tcPr>
            <w:tcW w:w="1143" w:type="dxa"/>
            <w:tcBorders>
              <w:top w:val="single" w:color="000000" w:sz="4" w:space="0"/>
              <w:left w:val="single" w:color="000000" w:sz="4" w:space="0"/>
              <w:bottom w:val="single" w:color="000000" w:sz="4" w:space="0"/>
              <w:right w:val="single" w:color="000000" w:sz="4" w:space="0"/>
            </w:tcBorders>
            <w:vAlign w:val="center"/>
          </w:tcPr>
          <w:p w14:paraId="2BFAE6E5">
            <w:pPr>
              <w:widowControl/>
              <w:jc w:val="center"/>
              <w:textAlignment w:val="center"/>
              <w:rPr>
                <w:rFonts w:hint="eastAsia" w:ascii="宋体" w:hAnsi="宋体" w:cs="宋体"/>
                <w:color w:val="000000"/>
                <w:kern w:val="0"/>
                <w:sz w:val="20"/>
                <w:szCs w:val="20"/>
                <w:lang w:bidi="ar"/>
              </w:rPr>
            </w:pPr>
          </w:p>
        </w:tc>
        <w:tc>
          <w:tcPr>
            <w:tcW w:w="763" w:type="dxa"/>
            <w:tcBorders>
              <w:top w:val="single" w:color="000000" w:sz="4" w:space="0"/>
              <w:left w:val="single" w:color="000000" w:sz="4" w:space="0"/>
              <w:bottom w:val="single" w:color="000000" w:sz="4" w:space="0"/>
              <w:right w:val="single" w:color="000000" w:sz="4" w:space="0"/>
            </w:tcBorders>
            <w:vAlign w:val="center"/>
          </w:tcPr>
          <w:p w14:paraId="6BC718CA">
            <w:pPr>
              <w:widowControl/>
              <w:jc w:val="center"/>
              <w:textAlignment w:val="center"/>
              <w:rPr>
                <w:rFonts w:hint="eastAsia" w:ascii="宋体" w:hAnsi="宋体" w:cs="宋体"/>
                <w:color w:val="000000"/>
                <w:kern w:val="0"/>
                <w:sz w:val="20"/>
                <w:szCs w:val="20"/>
                <w:lang w:bidi="ar"/>
              </w:rPr>
            </w:pPr>
          </w:p>
        </w:tc>
        <w:tc>
          <w:tcPr>
            <w:tcW w:w="741" w:type="dxa"/>
            <w:tcBorders>
              <w:top w:val="single" w:color="000000" w:sz="4" w:space="0"/>
              <w:left w:val="single" w:color="000000" w:sz="4" w:space="0"/>
              <w:bottom w:val="single" w:color="000000" w:sz="4" w:space="0"/>
              <w:right w:val="single" w:color="000000" w:sz="4" w:space="0"/>
            </w:tcBorders>
            <w:vAlign w:val="center"/>
          </w:tcPr>
          <w:p w14:paraId="0B30FE34">
            <w:pPr>
              <w:widowControl/>
              <w:jc w:val="center"/>
              <w:textAlignment w:val="center"/>
              <w:rPr>
                <w:rFonts w:hint="eastAsia" w:ascii="宋体" w:hAnsi="宋体" w:cs="宋体"/>
                <w:color w:val="000000"/>
                <w:kern w:val="0"/>
                <w:sz w:val="20"/>
                <w:szCs w:val="20"/>
                <w:lang w:bidi="ar"/>
              </w:rPr>
            </w:pPr>
          </w:p>
        </w:tc>
      </w:tr>
      <w:tr w14:paraId="4D40E167">
        <w:tblPrEx>
          <w:tblCellMar>
            <w:top w:w="0" w:type="dxa"/>
            <w:left w:w="108" w:type="dxa"/>
            <w:bottom w:w="0" w:type="dxa"/>
            <w:right w:w="108" w:type="dxa"/>
          </w:tblCellMar>
        </w:tblPrEx>
        <w:trPr>
          <w:trHeight w:val="20" w:hRule="atLeast"/>
          <w:jc w:val="center"/>
        </w:trPr>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C5C743">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143</w:t>
            </w:r>
          </w:p>
        </w:tc>
        <w:tc>
          <w:tcPr>
            <w:tcW w:w="2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DF0C69">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不锈钢烧杯1</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2EDF01">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50mL带刻度，杯口圆润</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3B4673">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个</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DDE64C">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4</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D5E23D">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26</w:t>
            </w:r>
          </w:p>
        </w:tc>
        <w:tc>
          <w:tcPr>
            <w:tcW w:w="992" w:type="dxa"/>
            <w:tcBorders>
              <w:top w:val="single" w:color="000000" w:sz="4" w:space="0"/>
              <w:left w:val="single" w:color="000000" w:sz="4" w:space="0"/>
              <w:bottom w:val="single" w:color="000000" w:sz="4" w:space="0"/>
              <w:right w:val="single" w:color="000000" w:sz="4" w:space="0"/>
            </w:tcBorders>
            <w:vAlign w:val="center"/>
          </w:tcPr>
          <w:p w14:paraId="6D3BF320">
            <w:pPr>
              <w:widowControl/>
              <w:jc w:val="center"/>
              <w:textAlignment w:val="center"/>
              <w:rPr>
                <w:rFonts w:hint="eastAsia" w:ascii="宋体" w:hAnsi="宋体" w:cs="宋体"/>
                <w:color w:val="000000"/>
                <w:kern w:val="0"/>
                <w:sz w:val="20"/>
                <w:szCs w:val="20"/>
                <w:lang w:bidi="ar"/>
              </w:rPr>
            </w:pPr>
          </w:p>
        </w:tc>
        <w:tc>
          <w:tcPr>
            <w:tcW w:w="1239" w:type="dxa"/>
            <w:tcBorders>
              <w:top w:val="single" w:color="000000" w:sz="4" w:space="0"/>
              <w:left w:val="single" w:color="000000" w:sz="4" w:space="0"/>
              <w:bottom w:val="single" w:color="000000" w:sz="4" w:space="0"/>
              <w:right w:val="single" w:color="000000" w:sz="4" w:space="0"/>
            </w:tcBorders>
            <w:vAlign w:val="center"/>
          </w:tcPr>
          <w:p w14:paraId="20E670E9">
            <w:pPr>
              <w:widowControl/>
              <w:jc w:val="center"/>
              <w:textAlignment w:val="center"/>
              <w:rPr>
                <w:rFonts w:hint="eastAsia" w:ascii="宋体" w:hAnsi="宋体" w:cs="宋体"/>
                <w:color w:val="000000"/>
                <w:kern w:val="0"/>
                <w:sz w:val="20"/>
                <w:szCs w:val="20"/>
                <w:lang w:bidi="ar"/>
              </w:rPr>
            </w:pPr>
          </w:p>
        </w:tc>
        <w:tc>
          <w:tcPr>
            <w:tcW w:w="900" w:type="dxa"/>
            <w:tcBorders>
              <w:top w:val="single" w:color="000000" w:sz="4" w:space="0"/>
              <w:left w:val="single" w:color="000000" w:sz="4" w:space="0"/>
              <w:bottom w:val="single" w:color="000000" w:sz="4" w:space="0"/>
              <w:right w:val="single" w:color="000000" w:sz="4" w:space="0"/>
            </w:tcBorders>
            <w:vAlign w:val="center"/>
          </w:tcPr>
          <w:p w14:paraId="04941466">
            <w:pPr>
              <w:widowControl/>
              <w:jc w:val="center"/>
              <w:textAlignment w:val="center"/>
              <w:rPr>
                <w:rFonts w:hint="eastAsia" w:ascii="宋体" w:hAnsi="宋体" w:cs="宋体"/>
                <w:color w:val="000000"/>
                <w:kern w:val="0"/>
                <w:sz w:val="20"/>
                <w:szCs w:val="20"/>
                <w:lang w:bidi="ar"/>
              </w:rPr>
            </w:pPr>
          </w:p>
        </w:tc>
        <w:tc>
          <w:tcPr>
            <w:tcW w:w="832" w:type="dxa"/>
            <w:tcBorders>
              <w:top w:val="single" w:color="000000" w:sz="4" w:space="0"/>
              <w:left w:val="single" w:color="000000" w:sz="4" w:space="0"/>
              <w:bottom w:val="single" w:color="000000" w:sz="4" w:space="0"/>
              <w:right w:val="single" w:color="000000" w:sz="4" w:space="0"/>
            </w:tcBorders>
            <w:vAlign w:val="center"/>
          </w:tcPr>
          <w:p w14:paraId="414664CC">
            <w:pPr>
              <w:widowControl/>
              <w:jc w:val="center"/>
              <w:textAlignment w:val="center"/>
              <w:rPr>
                <w:rFonts w:hint="eastAsia" w:ascii="宋体" w:hAnsi="宋体" w:cs="宋体"/>
                <w:color w:val="000000"/>
                <w:kern w:val="0"/>
                <w:sz w:val="20"/>
                <w:szCs w:val="20"/>
                <w:lang w:bidi="ar"/>
              </w:rPr>
            </w:pPr>
          </w:p>
        </w:tc>
        <w:tc>
          <w:tcPr>
            <w:tcW w:w="1143" w:type="dxa"/>
            <w:tcBorders>
              <w:top w:val="single" w:color="000000" w:sz="4" w:space="0"/>
              <w:left w:val="single" w:color="000000" w:sz="4" w:space="0"/>
              <w:bottom w:val="single" w:color="000000" w:sz="4" w:space="0"/>
              <w:right w:val="single" w:color="000000" w:sz="4" w:space="0"/>
            </w:tcBorders>
            <w:vAlign w:val="center"/>
          </w:tcPr>
          <w:p w14:paraId="53165E37">
            <w:pPr>
              <w:widowControl/>
              <w:jc w:val="center"/>
              <w:textAlignment w:val="center"/>
              <w:rPr>
                <w:rFonts w:hint="eastAsia" w:ascii="宋体" w:hAnsi="宋体" w:cs="宋体"/>
                <w:color w:val="000000"/>
                <w:kern w:val="0"/>
                <w:sz w:val="20"/>
                <w:szCs w:val="20"/>
                <w:lang w:bidi="ar"/>
              </w:rPr>
            </w:pPr>
          </w:p>
        </w:tc>
        <w:tc>
          <w:tcPr>
            <w:tcW w:w="763" w:type="dxa"/>
            <w:tcBorders>
              <w:top w:val="single" w:color="000000" w:sz="4" w:space="0"/>
              <w:left w:val="single" w:color="000000" w:sz="4" w:space="0"/>
              <w:bottom w:val="single" w:color="000000" w:sz="4" w:space="0"/>
              <w:right w:val="single" w:color="000000" w:sz="4" w:space="0"/>
            </w:tcBorders>
            <w:vAlign w:val="center"/>
          </w:tcPr>
          <w:p w14:paraId="031A43E7">
            <w:pPr>
              <w:widowControl/>
              <w:jc w:val="center"/>
              <w:textAlignment w:val="center"/>
              <w:rPr>
                <w:rFonts w:hint="eastAsia" w:ascii="宋体" w:hAnsi="宋体" w:cs="宋体"/>
                <w:color w:val="000000"/>
                <w:kern w:val="0"/>
                <w:sz w:val="20"/>
                <w:szCs w:val="20"/>
                <w:lang w:bidi="ar"/>
              </w:rPr>
            </w:pPr>
          </w:p>
        </w:tc>
        <w:tc>
          <w:tcPr>
            <w:tcW w:w="741" w:type="dxa"/>
            <w:tcBorders>
              <w:top w:val="single" w:color="000000" w:sz="4" w:space="0"/>
              <w:left w:val="single" w:color="000000" w:sz="4" w:space="0"/>
              <w:bottom w:val="single" w:color="000000" w:sz="4" w:space="0"/>
              <w:right w:val="single" w:color="000000" w:sz="4" w:space="0"/>
            </w:tcBorders>
            <w:vAlign w:val="center"/>
          </w:tcPr>
          <w:p w14:paraId="30F36BCF">
            <w:pPr>
              <w:widowControl/>
              <w:jc w:val="center"/>
              <w:textAlignment w:val="center"/>
              <w:rPr>
                <w:rFonts w:hint="eastAsia" w:ascii="宋体" w:hAnsi="宋体" w:cs="宋体"/>
                <w:color w:val="000000"/>
                <w:kern w:val="0"/>
                <w:sz w:val="20"/>
                <w:szCs w:val="20"/>
                <w:lang w:bidi="ar"/>
              </w:rPr>
            </w:pPr>
          </w:p>
        </w:tc>
      </w:tr>
      <w:tr w14:paraId="13A0DF98">
        <w:tblPrEx>
          <w:tblCellMar>
            <w:top w:w="0" w:type="dxa"/>
            <w:left w:w="108" w:type="dxa"/>
            <w:bottom w:w="0" w:type="dxa"/>
            <w:right w:w="108" w:type="dxa"/>
          </w:tblCellMar>
        </w:tblPrEx>
        <w:trPr>
          <w:trHeight w:val="20" w:hRule="atLeast"/>
          <w:jc w:val="center"/>
        </w:trPr>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907636">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144</w:t>
            </w:r>
          </w:p>
        </w:tc>
        <w:tc>
          <w:tcPr>
            <w:tcW w:w="2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80B3B7">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不锈钢烧杯2</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C21A27">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250mL带刻度，杯口圆润</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5469F6">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个</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AFCB0A">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4</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09E1A8">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32</w:t>
            </w:r>
          </w:p>
        </w:tc>
        <w:tc>
          <w:tcPr>
            <w:tcW w:w="992" w:type="dxa"/>
            <w:tcBorders>
              <w:top w:val="single" w:color="000000" w:sz="4" w:space="0"/>
              <w:left w:val="single" w:color="000000" w:sz="4" w:space="0"/>
              <w:bottom w:val="single" w:color="000000" w:sz="4" w:space="0"/>
              <w:right w:val="single" w:color="000000" w:sz="4" w:space="0"/>
            </w:tcBorders>
            <w:vAlign w:val="center"/>
          </w:tcPr>
          <w:p w14:paraId="753791DB">
            <w:pPr>
              <w:widowControl/>
              <w:jc w:val="center"/>
              <w:textAlignment w:val="center"/>
              <w:rPr>
                <w:rFonts w:hint="eastAsia" w:ascii="宋体" w:hAnsi="宋体" w:cs="宋体"/>
                <w:color w:val="000000"/>
                <w:kern w:val="0"/>
                <w:sz w:val="20"/>
                <w:szCs w:val="20"/>
                <w:lang w:bidi="ar"/>
              </w:rPr>
            </w:pPr>
          </w:p>
        </w:tc>
        <w:tc>
          <w:tcPr>
            <w:tcW w:w="1239" w:type="dxa"/>
            <w:tcBorders>
              <w:top w:val="single" w:color="000000" w:sz="4" w:space="0"/>
              <w:left w:val="single" w:color="000000" w:sz="4" w:space="0"/>
              <w:bottom w:val="single" w:color="000000" w:sz="4" w:space="0"/>
              <w:right w:val="single" w:color="000000" w:sz="4" w:space="0"/>
            </w:tcBorders>
            <w:vAlign w:val="center"/>
          </w:tcPr>
          <w:p w14:paraId="71644C6A">
            <w:pPr>
              <w:widowControl/>
              <w:jc w:val="center"/>
              <w:textAlignment w:val="center"/>
              <w:rPr>
                <w:rFonts w:hint="eastAsia" w:ascii="宋体" w:hAnsi="宋体" w:cs="宋体"/>
                <w:color w:val="000000"/>
                <w:kern w:val="0"/>
                <w:sz w:val="20"/>
                <w:szCs w:val="20"/>
                <w:lang w:bidi="ar"/>
              </w:rPr>
            </w:pPr>
          </w:p>
        </w:tc>
        <w:tc>
          <w:tcPr>
            <w:tcW w:w="900" w:type="dxa"/>
            <w:tcBorders>
              <w:top w:val="single" w:color="000000" w:sz="4" w:space="0"/>
              <w:left w:val="single" w:color="000000" w:sz="4" w:space="0"/>
              <w:bottom w:val="single" w:color="000000" w:sz="4" w:space="0"/>
              <w:right w:val="single" w:color="000000" w:sz="4" w:space="0"/>
            </w:tcBorders>
            <w:vAlign w:val="center"/>
          </w:tcPr>
          <w:p w14:paraId="380289F1">
            <w:pPr>
              <w:widowControl/>
              <w:jc w:val="center"/>
              <w:textAlignment w:val="center"/>
              <w:rPr>
                <w:rFonts w:hint="eastAsia" w:ascii="宋体" w:hAnsi="宋体" w:cs="宋体"/>
                <w:color w:val="000000"/>
                <w:kern w:val="0"/>
                <w:sz w:val="20"/>
                <w:szCs w:val="20"/>
                <w:lang w:bidi="ar"/>
              </w:rPr>
            </w:pPr>
          </w:p>
        </w:tc>
        <w:tc>
          <w:tcPr>
            <w:tcW w:w="832" w:type="dxa"/>
            <w:tcBorders>
              <w:top w:val="single" w:color="000000" w:sz="4" w:space="0"/>
              <w:left w:val="single" w:color="000000" w:sz="4" w:space="0"/>
              <w:bottom w:val="single" w:color="000000" w:sz="4" w:space="0"/>
              <w:right w:val="single" w:color="000000" w:sz="4" w:space="0"/>
            </w:tcBorders>
            <w:vAlign w:val="center"/>
          </w:tcPr>
          <w:p w14:paraId="733E0527">
            <w:pPr>
              <w:widowControl/>
              <w:jc w:val="center"/>
              <w:textAlignment w:val="center"/>
              <w:rPr>
                <w:rFonts w:hint="eastAsia" w:ascii="宋体" w:hAnsi="宋体" w:cs="宋体"/>
                <w:color w:val="000000"/>
                <w:kern w:val="0"/>
                <w:sz w:val="20"/>
                <w:szCs w:val="20"/>
                <w:lang w:bidi="ar"/>
              </w:rPr>
            </w:pPr>
          </w:p>
        </w:tc>
        <w:tc>
          <w:tcPr>
            <w:tcW w:w="1143" w:type="dxa"/>
            <w:tcBorders>
              <w:top w:val="single" w:color="000000" w:sz="4" w:space="0"/>
              <w:left w:val="single" w:color="000000" w:sz="4" w:space="0"/>
              <w:bottom w:val="single" w:color="000000" w:sz="4" w:space="0"/>
              <w:right w:val="single" w:color="000000" w:sz="4" w:space="0"/>
            </w:tcBorders>
            <w:vAlign w:val="center"/>
          </w:tcPr>
          <w:p w14:paraId="68AC13A7">
            <w:pPr>
              <w:widowControl/>
              <w:jc w:val="center"/>
              <w:textAlignment w:val="center"/>
              <w:rPr>
                <w:rFonts w:hint="eastAsia" w:ascii="宋体" w:hAnsi="宋体" w:cs="宋体"/>
                <w:color w:val="000000"/>
                <w:kern w:val="0"/>
                <w:sz w:val="20"/>
                <w:szCs w:val="20"/>
                <w:lang w:bidi="ar"/>
              </w:rPr>
            </w:pPr>
          </w:p>
        </w:tc>
        <w:tc>
          <w:tcPr>
            <w:tcW w:w="763" w:type="dxa"/>
            <w:tcBorders>
              <w:top w:val="single" w:color="000000" w:sz="4" w:space="0"/>
              <w:left w:val="single" w:color="000000" w:sz="4" w:space="0"/>
              <w:bottom w:val="single" w:color="000000" w:sz="4" w:space="0"/>
              <w:right w:val="single" w:color="000000" w:sz="4" w:space="0"/>
            </w:tcBorders>
            <w:vAlign w:val="center"/>
          </w:tcPr>
          <w:p w14:paraId="5B36CDA3">
            <w:pPr>
              <w:widowControl/>
              <w:jc w:val="center"/>
              <w:textAlignment w:val="center"/>
              <w:rPr>
                <w:rFonts w:hint="eastAsia" w:ascii="宋体" w:hAnsi="宋体" w:cs="宋体"/>
                <w:color w:val="000000"/>
                <w:kern w:val="0"/>
                <w:sz w:val="20"/>
                <w:szCs w:val="20"/>
                <w:lang w:bidi="ar"/>
              </w:rPr>
            </w:pPr>
          </w:p>
        </w:tc>
        <w:tc>
          <w:tcPr>
            <w:tcW w:w="741" w:type="dxa"/>
            <w:tcBorders>
              <w:top w:val="single" w:color="000000" w:sz="4" w:space="0"/>
              <w:left w:val="single" w:color="000000" w:sz="4" w:space="0"/>
              <w:bottom w:val="single" w:color="000000" w:sz="4" w:space="0"/>
              <w:right w:val="single" w:color="000000" w:sz="4" w:space="0"/>
            </w:tcBorders>
            <w:vAlign w:val="center"/>
          </w:tcPr>
          <w:p w14:paraId="180E1415">
            <w:pPr>
              <w:widowControl/>
              <w:jc w:val="center"/>
              <w:textAlignment w:val="center"/>
              <w:rPr>
                <w:rFonts w:hint="eastAsia" w:ascii="宋体" w:hAnsi="宋体" w:cs="宋体"/>
                <w:color w:val="000000"/>
                <w:kern w:val="0"/>
                <w:sz w:val="20"/>
                <w:szCs w:val="20"/>
                <w:lang w:bidi="ar"/>
              </w:rPr>
            </w:pPr>
          </w:p>
        </w:tc>
      </w:tr>
      <w:tr w14:paraId="0F440F25">
        <w:tblPrEx>
          <w:tblCellMar>
            <w:top w:w="0" w:type="dxa"/>
            <w:left w:w="108" w:type="dxa"/>
            <w:bottom w:w="0" w:type="dxa"/>
            <w:right w:w="108" w:type="dxa"/>
          </w:tblCellMar>
        </w:tblPrEx>
        <w:trPr>
          <w:trHeight w:val="20" w:hRule="atLeast"/>
          <w:jc w:val="center"/>
        </w:trPr>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66DF4E">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145</w:t>
            </w:r>
          </w:p>
        </w:tc>
        <w:tc>
          <w:tcPr>
            <w:tcW w:w="2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266D70">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激光护目镜</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E333BE">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00685C">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个</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0B165C">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9B4EA4">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160</w:t>
            </w:r>
          </w:p>
        </w:tc>
        <w:tc>
          <w:tcPr>
            <w:tcW w:w="992" w:type="dxa"/>
            <w:tcBorders>
              <w:top w:val="single" w:color="000000" w:sz="4" w:space="0"/>
              <w:left w:val="single" w:color="000000" w:sz="4" w:space="0"/>
              <w:bottom w:val="single" w:color="000000" w:sz="4" w:space="0"/>
              <w:right w:val="single" w:color="000000" w:sz="4" w:space="0"/>
            </w:tcBorders>
            <w:vAlign w:val="center"/>
          </w:tcPr>
          <w:p w14:paraId="342F5F97">
            <w:pPr>
              <w:widowControl/>
              <w:jc w:val="center"/>
              <w:textAlignment w:val="center"/>
              <w:rPr>
                <w:rFonts w:hint="eastAsia" w:ascii="宋体" w:hAnsi="宋体" w:cs="宋体"/>
                <w:color w:val="000000"/>
                <w:kern w:val="0"/>
                <w:sz w:val="20"/>
                <w:szCs w:val="20"/>
                <w:lang w:bidi="ar"/>
              </w:rPr>
            </w:pPr>
          </w:p>
        </w:tc>
        <w:tc>
          <w:tcPr>
            <w:tcW w:w="1239" w:type="dxa"/>
            <w:tcBorders>
              <w:top w:val="single" w:color="000000" w:sz="4" w:space="0"/>
              <w:left w:val="single" w:color="000000" w:sz="4" w:space="0"/>
              <w:bottom w:val="single" w:color="000000" w:sz="4" w:space="0"/>
              <w:right w:val="single" w:color="000000" w:sz="4" w:space="0"/>
            </w:tcBorders>
            <w:vAlign w:val="center"/>
          </w:tcPr>
          <w:p w14:paraId="77ABE3BC">
            <w:pPr>
              <w:widowControl/>
              <w:jc w:val="center"/>
              <w:textAlignment w:val="center"/>
              <w:rPr>
                <w:rFonts w:hint="eastAsia" w:ascii="宋体" w:hAnsi="宋体" w:cs="宋体"/>
                <w:color w:val="000000"/>
                <w:kern w:val="0"/>
                <w:sz w:val="20"/>
                <w:szCs w:val="20"/>
                <w:lang w:bidi="ar"/>
              </w:rPr>
            </w:pPr>
          </w:p>
        </w:tc>
        <w:tc>
          <w:tcPr>
            <w:tcW w:w="900" w:type="dxa"/>
            <w:tcBorders>
              <w:top w:val="single" w:color="000000" w:sz="4" w:space="0"/>
              <w:left w:val="single" w:color="000000" w:sz="4" w:space="0"/>
              <w:bottom w:val="single" w:color="000000" w:sz="4" w:space="0"/>
              <w:right w:val="single" w:color="000000" w:sz="4" w:space="0"/>
            </w:tcBorders>
            <w:vAlign w:val="center"/>
          </w:tcPr>
          <w:p w14:paraId="3266CB7E">
            <w:pPr>
              <w:widowControl/>
              <w:jc w:val="center"/>
              <w:textAlignment w:val="center"/>
              <w:rPr>
                <w:rFonts w:hint="eastAsia" w:ascii="宋体" w:hAnsi="宋体" w:cs="宋体"/>
                <w:color w:val="000000"/>
                <w:kern w:val="0"/>
                <w:sz w:val="20"/>
                <w:szCs w:val="20"/>
                <w:lang w:bidi="ar"/>
              </w:rPr>
            </w:pPr>
          </w:p>
        </w:tc>
        <w:tc>
          <w:tcPr>
            <w:tcW w:w="832" w:type="dxa"/>
            <w:tcBorders>
              <w:top w:val="single" w:color="000000" w:sz="4" w:space="0"/>
              <w:left w:val="single" w:color="000000" w:sz="4" w:space="0"/>
              <w:bottom w:val="single" w:color="000000" w:sz="4" w:space="0"/>
              <w:right w:val="single" w:color="000000" w:sz="4" w:space="0"/>
            </w:tcBorders>
            <w:vAlign w:val="center"/>
          </w:tcPr>
          <w:p w14:paraId="40CEC3A2">
            <w:pPr>
              <w:widowControl/>
              <w:jc w:val="center"/>
              <w:textAlignment w:val="center"/>
              <w:rPr>
                <w:rFonts w:hint="eastAsia" w:ascii="宋体" w:hAnsi="宋体" w:cs="宋体"/>
                <w:color w:val="000000"/>
                <w:kern w:val="0"/>
                <w:sz w:val="20"/>
                <w:szCs w:val="20"/>
                <w:lang w:bidi="ar"/>
              </w:rPr>
            </w:pPr>
          </w:p>
        </w:tc>
        <w:tc>
          <w:tcPr>
            <w:tcW w:w="1143" w:type="dxa"/>
            <w:tcBorders>
              <w:top w:val="single" w:color="000000" w:sz="4" w:space="0"/>
              <w:left w:val="single" w:color="000000" w:sz="4" w:space="0"/>
              <w:bottom w:val="single" w:color="000000" w:sz="4" w:space="0"/>
              <w:right w:val="single" w:color="000000" w:sz="4" w:space="0"/>
            </w:tcBorders>
            <w:vAlign w:val="center"/>
          </w:tcPr>
          <w:p w14:paraId="5F387233">
            <w:pPr>
              <w:widowControl/>
              <w:jc w:val="center"/>
              <w:textAlignment w:val="center"/>
              <w:rPr>
                <w:rFonts w:hint="eastAsia" w:ascii="宋体" w:hAnsi="宋体" w:cs="宋体"/>
                <w:color w:val="000000"/>
                <w:kern w:val="0"/>
                <w:sz w:val="20"/>
                <w:szCs w:val="20"/>
                <w:lang w:bidi="ar"/>
              </w:rPr>
            </w:pPr>
          </w:p>
        </w:tc>
        <w:tc>
          <w:tcPr>
            <w:tcW w:w="763" w:type="dxa"/>
            <w:tcBorders>
              <w:top w:val="single" w:color="000000" w:sz="4" w:space="0"/>
              <w:left w:val="single" w:color="000000" w:sz="4" w:space="0"/>
              <w:bottom w:val="single" w:color="000000" w:sz="4" w:space="0"/>
              <w:right w:val="single" w:color="000000" w:sz="4" w:space="0"/>
            </w:tcBorders>
            <w:vAlign w:val="center"/>
          </w:tcPr>
          <w:p w14:paraId="572DA2E4">
            <w:pPr>
              <w:widowControl/>
              <w:jc w:val="center"/>
              <w:textAlignment w:val="center"/>
              <w:rPr>
                <w:rFonts w:hint="eastAsia" w:ascii="宋体" w:hAnsi="宋体" w:cs="宋体"/>
                <w:color w:val="000000"/>
                <w:kern w:val="0"/>
                <w:sz w:val="20"/>
                <w:szCs w:val="20"/>
                <w:lang w:bidi="ar"/>
              </w:rPr>
            </w:pPr>
          </w:p>
        </w:tc>
        <w:tc>
          <w:tcPr>
            <w:tcW w:w="741" w:type="dxa"/>
            <w:tcBorders>
              <w:top w:val="single" w:color="000000" w:sz="4" w:space="0"/>
              <w:left w:val="single" w:color="000000" w:sz="4" w:space="0"/>
              <w:bottom w:val="single" w:color="000000" w:sz="4" w:space="0"/>
              <w:right w:val="single" w:color="000000" w:sz="4" w:space="0"/>
            </w:tcBorders>
            <w:vAlign w:val="center"/>
          </w:tcPr>
          <w:p w14:paraId="24ACB600">
            <w:pPr>
              <w:widowControl/>
              <w:jc w:val="center"/>
              <w:textAlignment w:val="center"/>
              <w:rPr>
                <w:rFonts w:hint="eastAsia" w:ascii="宋体" w:hAnsi="宋体" w:cs="宋体"/>
                <w:color w:val="000000"/>
                <w:kern w:val="0"/>
                <w:sz w:val="20"/>
                <w:szCs w:val="20"/>
                <w:lang w:bidi="ar"/>
              </w:rPr>
            </w:pPr>
          </w:p>
        </w:tc>
      </w:tr>
      <w:tr w14:paraId="7EFB17C0">
        <w:tblPrEx>
          <w:tblCellMar>
            <w:top w:w="0" w:type="dxa"/>
            <w:left w:w="108" w:type="dxa"/>
            <w:bottom w:w="0" w:type="dxa"/>
            <w:right w:w="108" w:type="dxa"/>
          </w:tblCellMar>
        </w:tblPrEx>
        <w:trPr>
          <w:trHeight w:val="20" w:hRule="atLeast"/>
          <w:jc w:val="center"/>
        </w:trPr>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D1DB2A">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146</w:t>
            </w:r>
          </w:p>
        </w:tc>
        <w:tc>
          <w:tcPr>
            <w:tcW w:w="2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E5C4AD">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紫外线防护服：上衣</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E09BFB">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73E906">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件</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E6EA63">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3D0235">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910</w:t>
            </w:r>
          </w:p>
        </w:tc>
        <w:tc>
          <w:tcPr>
            <w:tcW w:w="992" w:type="dxa"/>
            <w:tcBorders>
              <w:top w:val="single" w:color="000000" w:sz="4" w:space="0"/>
              <w:left w:val="single" w:color="000000" w:sz="4" w:space="0"/>
              <w:bottom w:val="single" w:color="000000" w:sz="4" w:space="0"/>
              <w:right w:val="single" w:color="000000" w:sz="4" w:space="0"/>
            </w:tcBorders>
            <w:vAlign w:val="center"/>
          </w:tcPr>
          <w:p w14:paraId="76DE6F04">
            <w:pPr>
              <w:widowControl/>
              <w:jc w:val="center"/>
              <w:textAlignment w:val="center"/>
              <w:rPr>
                <w:rFonts w:hint="eastAsia" w:ascii="宋体" w:hAnsi="宋体" w:cs="宋体"/>
                <w:color w:val="000000"/>
                <w:kern w:val="0"/>
                <w:sz w:val="20"/>
                <w:szCs w:val="20"/>
                <w:lang w:bidi="ar"/>
              </w:rPr>
            </w:pPr>
          </w:p>
        </w:tc>
        <w:tc>
          <w:tcPr>
            <w:tcW w:w="1239" w:type="dxa"/>
            <w:tcBorders>
              <w:top w:val="single" w:color="000000" w:sz="4" w:space="0"/>
              <w:left w:val="single" w:color="000000" w:sz="4" w:space="0"/>
              <w:bottom w:val="single" w:color="000000" w:sz="4" w:space="0"/>
              <w:right w:val="single" w:color="000000" w:sz="4" w:space="0"/>
            </w:tcBorders>
            <w:vAlign w:val="center"/>
          </w:tcPr>
          <w:p w14:paraId="52A2B61B">
            <w:pPr>
              <w:widowControl/>
              <w:jc w:val="center"/>
              <w:textAlignment w:val="center"/>
              <w:rPr>
                <w:rFonts w:hint="eastAsia" w:ascii="宋体" w:hAnsi="宋体" w:cs="宋体"/>
                <w:color w:val="000000"/>
                <w:kern w:val="0"/>
                <w:sz w:val="20"/>
                <w:szCs w:val="20"/>
                <w:lang w:bidi="ar"/>
              </w:rPr>
            </w:pPr>
          </w:p>
        </w:tc>
        <w:tc>
          <w:tcPr>
            <w:tcW w:w="900" w:type="dxa"/>
            <w:tcBorders>
              <w:top w:val="single" w:color="000000" w:sz="4" w:space="0"/>
              <w:left w:val="single" w:color="000000" w:sz="4" w:space="0"/>
              <w:bottom w:val="single" w:color="000000" w:sz="4" w:space="0"/>
              <w:right w:val="single" w:color="000000" w:sz="4" w:space="0"/>
            </w:tcBorders>
            <w:vAlign w:val="center"/>
          </w:tcPr>
          <w:p w14:paraId="18223993">
            <w:pPr>
              <w:widowControl/>
              <w:jc w:val="center"/>
              <w:textAlignment w:val="center"/>
              <w:rPr>
                <w:rFonts w:hint="eastAsia" w:ascii="宋体" w:hAnsi="宋体" w:cs="宋体"/>
                <w:color w:val="000000"/>
                <w:kern w:val="0"/>
                <w:sz w:val="20"/>
                <w:szCs w:val="20"/>
                <w:lang w:bidi="ar"/>
              </w:rPr>
            </w:pPr>
          </w:p>
        </w:tc>
        <w:tc>
          <w:tcPr>
            <w:tcW w:w="832" w:type="dxa"/>
            <w:tcBorders>
              <w:top w:val="single" w:color="000000" w:sz="4" w:space="0"/>
              <w:left w:val="single" w:color="000000" w:sz="4" w:space="0"/>
              <w:bottom w:val="single" w:color="000000" w:sz="4" w:space="0"/>
              <w:right w:val="single" w:color="000000" w:sz="4" w:space="0"/>
            </w:tcBorders>
            <w:vAlign w:val="center"/>
          </w:tcPr>
          <w:p w14:paraId="3E89EE21">
            <w:pPr>
              <w:widowControl/>
              <w:jc w:val="center"/>
              <w:textAlignment w:val="center"/>
              <w:rPr>
                <w:rFonts w:hint="eastAsia" w:ascii="宋体" w:hAnsi="宋体" w:cs="宋体"/>
                <w:color w:val="000000"/>
                <w:kern w:val="0"/>
                <w:sz w:val="20"/>
                <w:szCs w:val="20"/>
                <w:lang w:bidi="ar"/>
              </w:rPr>
            </w:pPr>
          </w:p>
        </w:tc>
        <w:tc>
          <w:tcPr>
            <w:tcW w:w="1143" w:type="dxa"/>
            <w:tcBorders>
              <w:top w:val="single" w:color="000000" w:sz="4" w:space="0"/>
              <w:left w:val="single" w:color="000000" w:sz="4" w:space="0"/>
              <w:bottom w:val="single" w:color="000000" w:sz="4" w:space="0"/>
              <w:right w:val="single" w:color="000000" w:sz="4" w:space="0"/>
            </w:tcBorders>
            <w:vAlign w:val="center"/>
          </w:tcPr>
          <w:p w14:paraId="5DB11359">
            <w:pPr>
              <w:widowControl/>
              <w:jc w:val="center"/>
              <w:textAlignment w:val="center"/>
              <w:rPr>
                <w:rFonts w:hint="eastAsia" w:ascii="宋体" w:hAnsi="宋体" w:cs="宋体"/>
                <w:color w:val="000000"/>
                <w:kern w:val="0"/>
                <w:sz w:val="20"/>
                <w:szCs w:val="20"/>
                <w:lang w:bidi="ar"/>
              </w:rPr>
            </w:pPr>
          </w:p>
        </w:tc>
        <w:tc>
          <w:tcPr>
            <w:tcW w:w="763" w:type="dxa"/>
            <w:tcBorders>
              <w:top w:val="single" w:color="000000" w:sz="4" w:space="0"/>
              <w:left w:val="single" w:color="000000" w:sz="4" w:space="0"/>
              <w:bottom w:val="single" w:color="000000" w:sz="4" w:space="0"/>
              <w:right w:val="single" w:color="000000" w:sz="4" w:space="0"/>
            </w:tcBorders>
            <w:vAlign w:val="center"/>
          </w:tcPr>
          <w:p w14:paraId="70E5F6FA">
            <w:pPr>
              <w:widowControl/>
              <w:jc w:val="center"/>
              <w:textAlignment w:val="center"/>
              <w:rPr>
                <w:rFonts w:hint="eastAsia" w:ascii="宋体" w:hAnsi="宋体" w:cs="宋体"/>
                <w:color w:val="000000"/>
                <w:kern w:val="0"/>
                <w:sz w:val="20"/>
                <w:szCs w:val="20"/>
                <w:lang w:bidi="ar"/>
              </w:rPr>
            </w:pPr>
          </w:p>
        </w:tc>
        <w:tc>
          <w:tcPr>
            <w:tcW w:w="741" w:type="dxa"/>
            <w:tcBorders>
              <w:top w:val="single" w:color="000000" w:sz="4" w:space="0"/>
              <w:left w:val="single" w:color="000000" w:sz="4" w:space="0"/>
              <w:bottom w:val="single" w:color="000000" w:sz="4" w:space="0"/>
              <w:right w:val="single" w:color="000000" w:sz="4" w:space="0"/>
            </w:tcBorders>
            <w:vAlign w:val="center"/>
          </w:tcPr>
          <w:p w14:paraId="4AB68735">
            <w:pPr>
              <w:widowControl/>
              <w:jc w:val="center"/>
              <w:textAlignment w:val="center"/>
              <w:rPr>
                <w:rFonts w:hint="eastAsia" w:ascii="宋体" w:hAnsi="宋体" w:cs="宋体"/>
                <w:color w:val="000000"/>
                <w:kern w:val="0"/>
                <w:sz w:val="20"/>
                <w:szCs w:val="20"/>
                <w:lang w:bidi="ar"/>
              </w:rPr>
            </w:pPr>
          </w:p>
        </w:tc>
      </w:tr>
      <w:tr w14:paraId="42490E9A">
        <w:tblPrEx>
          <w:tblCellMar>
            <w:top w:w="0" w:type="dxa"/>
            <w:left w:w="108" w:type="dxa"/>
            <w:bottom w:w="0" w:type="dxa"/>
            <w:right w:w="108" w:type="dxa"/>
          </w:tblCellMar>
        </w:tblPrEx>
        <w:trPr>
          <w:trHeight w:val="20" w:hRule="atLeast"/>
          <w:jc w:val="center"/>
        </w:trPr>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7A00A1">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147</w:t>
            </w:r>
          </w:p>
        </w:tc>
        <w:tc>
          <w:tcPr>
            <w:tcW w:w="2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F6CBB8">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紫外线防护服：面罩</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356F1D">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92876A">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个</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91D31C">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A48241">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195</w:t>
            </w:r>
          </w:p>
        </w:tc>
        <w:tc>
          <w:tcPr>
            <w:tcW w:w="992" w:type="dxa"/>
            <w:tcBorders>
              <w:top w:val="single" w:color="000000" w:sz="4" w:space="0"/>
              <w:left w:val="single" w:color="000000" w:sz="4" w:space="0"/>
              <w:bottom w:val="single" w:color="000000" w:sz="4" w:space="0"/>
              <w:right w:val="single" w:color="000000" w:sz="4" w:space="0"/>
            </w:tcBorders>
            <w:vAlign w:val="center"/>
          </w:tcPr>
          <w:p w14:paraId="03BFEF94">
            <w:pPr>
              <w:widowControl/>
              <w:jc w:val="center"/>
              <w:textAlignment w:val="center"/>
              <w:rPr>
                <w:rFonts w:hint="eastAsia" w:ascii="宋体" w:hAnsi="宋体" w:cs="宋体"/>
                <w:color w:val="000000"/>
                <w:kern w:val="0"/>
                <w:sz w:val="20"/>
                <w:szCs w:val="20"/>
                <w:lang w:bidi="ar"/>
              </w:rPr>
            </w:pPr>
          </w:p>
        </w:tc>
        <w:tc>
          <w:tcPr>
            <w:tcW w:w="1239" w:type="dxa"/>
            <w:tcBorders>
              <w:top w:val="single" w:color="000000" w:sz="4" w:space="0"/>
              <w:left w:val="single" w:color="000000" w:sz="4" w:space="0"/>
              <w:bottom w:val="single" w:color="000000" w:sz="4" w:space="0"/>
              <w:right w:val="single" w:color="000000" w:sz="4" w:space="0"/>
            </w:tcBorders>
            <w:vAlign w:val="center"/>
          </w:tcPr>
          <w:p w14:paraId="3702ADD5">
            <w:pPr>
              <w:widowControl/>
              <w:jc w:val="center"/>
              <w:textAlignment w:val="center"/>
              <w:rPr>
                <w:rFonts w:hint="eastAsia" w:ascii="宋体" w:hAnsi="宋体" w:cs="宋体"/>
                <w:color w:val="000000"/>
                <w:kern w:val="0"/>
                <w:sz w:val="20"/>
                <w:szCs w:val="20"/>
                <w:lang w:bidi="ar"/>
              </w:rPr>
            </w:pPr>
          </w:p>
        </w:tc>
        <w:tc>
          <w:tcPr>
            <w:tcW w:w="900" w:type="dxa"/>
            <w:tcBorders>
              <w:top w:val="single" w:color="000000" w:sz="4" w:space="0"/>
              <w:left w:val="single" w:color="000000" w:sz="4" w:space="0"/>
              <w:bottom w:val="single" w:color="000000" w:sz="4" w:space="0"/>
              <w:right w:val="single" w:color="000000" w:sz="4" w:space="0"/>
            </w:tcBorders>
            <w:vAlign w:val="center"/>
          </w:tcPr>
          <w:p w14:paraId="08DB3B06">
            <w:pPr>
              <w:widowControl/>
              <w:jc w:val="center"/>
              <w:textAlignment w:val="center"/>
              <w:rPr>
                <w:rFonts w:hint="eastAsia" w:ascii="宋体" w:hAnsi="宋体" w:cs="宋体"/>
                <w:color w:val="000000"/>
                <w:kern w:val="0"/>
                <w:sz w:val="20"/>
                <w:szCs w:val="20"/>
                <w:lang w:bidi="ar"/>
              </w:rPr>
            </w:pPr>
          </w:p>
        </w:tc>
        <w:tc>
          <w:tcPr>
            <w:tcW w:w="832" w:type="dxa"/>
            <w:tcBorders>
              <w:top w:val="single" w:color="000000" w:sz="4" w:space="0"/>
              <w:left w:val="single" w:color="000000" w:sz="4" w:space="0"/>
              <w:bottom w:val="single" w:color="000000" w:sz="4" w:space="0"/>
              <w:right w:val="single" w:color="000000" w:sz="4" w:space="0"/>
            </w:tcBorders>
            <w:vAlign w:val="center"/>
          </w:tcPr>
          <w:p w14:paraId="1E48E656">
            <w:pPr>
              <w:widowControl/>
              <w:jc w:val="center"/>
              <w:textAlignment w:val="center"/>
              <w:rPr>
                <w:rFonts w:hint="eastAsia" w:ascii="宋体" w:hAnsi="宋体" w:cs="宋体"/>
                <w:color w:val="000000"/>
                <w:kern w:val="0"/>
                <w:sz w:val="20"/>
                <w:szCs w:val="20"/>
                <w:lang w:bidi="ar"/>
              </w:rPr>
            </w:pPr>
          </w:p>
        </w:tc>
        <w:tc>
          <w:tcPr>
            <w:tcW w:w="1143" w:type="dxa"/>
            <w:tcBorders>
              <w:top w:val="single" w:color="000000" w:sz="4" w:space="0"/>
              <w:left w:val="single" w:color="000000" w:sz="4" w:space="0"/>
              <w:bottom w:val="single" w:color="000000" w:sz="4" w:space="0"/>
              <w:right w:val="single" w:color="000000" w:sz="4" w:space="0"/>
            </w:tcBorders>
            <w:vAlign w:val="center"/>
          </w:tcPr>
          <w:p w14:paraId="3AB53136">
            <w:pPr>
              <w:widowControl/>
              <w:jc w:val="center"/>
              <w:textAlignment w:val="center"/>
              <w:rPr>
                <w:rFonts w:hint="eastAsia" w:ascii="宋体" w:hAnsi="宋体" w:cs="宋体"/>
                <w:color w:val="000000"/>
                <w:kern w:val="0"/>
                <w:sz w:val="20"/>
                <w:szCs w:val="20"/>
                <w:lang w:bidi="ar"/>
              </w:rPr>
            </w:pPr>
          </w:p>
        </w:tc>
        <w:tc>
          <w:tcPr>
            <w:tcW w:w="763" w:type="dxa"/>
            <w:tcBorders>
              <w:top w:val="single" w:color="000000" w:sz="4" w:space="0"/>
              <w:left w:val="single" w:color="000000" w:sz="4" w:space="0"/>
              <w:bottom w:val="single" w:color="000000" w:sz="4" w:space="0"/>
              <w:right w:val="single" w:color="000000" w:sz="4" w:space="0"/>
            </w:tcBorders>
            <w:vAlign w:val="center"/>
          </w:tcPr>
          <w:p w14:paraId="5FFC2A07">
            <w:pPr>
              <w:widowControl/>
              <w:jc w:val="center"/>
              <w:textAlignment w:val="center"/>
              <w:rPr>
                <w:rFonts w:hint="eastAsia" w:ascii="宋体" w:hAnsi="宋体" w:cs="宋体"/>
                <w:color w:val="000000"/>
                <w:kern w:val="0"/>
                <w:sz w:val="20"/>
                <w:szCs w:val="20"/>
                <w:lang w:bidi="ar"/>
              </w:rPr>
            </w:pPr>
          </w:p>
        </w:tc>
        <w:tc>
          <w:tcPr>
            <w:tcW w:w="741" w:type="dxa"/>
            <w:tcBorders>
              <w:top w:val="single" w:color="000000" w:sz="4" w:space="0"/>
              <w:left w:val="single" w:color="000000" w:sz="4" w:space="0"/>
              <w:bottom w:val="single" w:color="000000" w:sz="4" w:space="0"/>
              <w:right w:val="single" w:color="000000" w:sz="4" w:space="0"/>
            </w:tcBorders>
            <w:vAlign w:val="center"/>
          </w:tcPr>
          <w:p w14:paraId="531D135C">
            <w:pPr>
              <w:widowControl/>
              <w:jc w:val="center"/>
              <w:textAlignment w:val="center"/>
              <w:rPr>
                <w:rFonts w:hint="eastAsia" w:ascii="宋体" w:hAnsi="宋体" w:cs="宋体"/>
                <w:color w:val="000000"/>
                <w:kern w:val="0"/>
                <w:sz w:val="20"/>
                <w:szCs w:val="20"/>
                <w:lang w:bidi="ar"/>
              </w:rPr>
            </w:pPr>
          </w:p>
        </w:tc>
      </w:tr>
      <w:tr w14:paraId="1B7700CE">
        <w:tblPrEx>
          <w:tblCellMar>
            <w:top w:w="0" w:type="dxa"/>
            <w:left w:w="108" w:type="dxa"/>
            <w:bottom w:w="0" w:type="dxa"/>
            <w:right w:w="108" w:type="dxa"/>
          </w:tblCellMar>
        </w:tblPrEx>
        <w:trPr>
          <w:trHeight w:val="20" w:hRule="atLeast"/>
          <w:jc w:val="center"/>
        </w:trPr>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FE4536">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148</w:t>
            </w:r>
          </w:p>
        </w:tc>
        <w:tc>
          <w:tcPr>
            <w:tcW w:w="2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9C1384">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紫外线消毒灯管架</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6DF4A5">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31cm*30cm*58cm，高度100cm</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0D3B71">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个</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2913CE">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B4B61C">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550</w:t>
            </w:r>
          </w:p>
        </w:tc>
        <w:tc>
          <w:tcPr>
            <w:tcW w:w="992" w:type="dxa"/>
            <w:tcBorders>
              <w:top w:val="single" w:color="000000" w:sz="4" w:space="0"/>
              <w:left w:val="single" w:color="000000" w:sz="4" w:space="0"/>
              <w:bottom w:val="single" w:color="000000" w:sz="4" w:space="0"/>
              <w:right w:val="single" w:color="000000" w:sz="4" w:space="0"/>
            </w:tcBorders>
            <w:vAlign w:val="center"/>
          </w:tcPr>
          <w:p w14:paraId="038BC2A9">
            <w:pPr>
              <w:widowControl/>
              <w:jc w:val="center"/>
              <w:textAlignment w:val="center"/>
              <w:rPr>
                <w:rFonts w:hint="eastAsia" w:ascii="宋体" w:hAnsi="宋体" w:cs="宋体"/>
                <w:color w:val="000000"/>
                <w:kern w:val="0"/>
                <w:sz w:val="20"/>
                <w:szCs w:val="20"/>
                <w:lang w:bidi="ar"/>
              </w:rPr>
            </w:pPr>
          </w:p>
        </w:tc>
        <w:tc>
          <w:tcPr>
            <w:tcW w:w="1239" w:type="dxa"/>
            <w:tcBorders>
              <w:top w:val="single" w:color="000000" w:sz="4" w:space="0"/>
              <w:left w:val="single" w:color="000000" w:sz="4" w:space="0"/>
              <w:bottom w:val="single" w:color="000000" w:sz="4" w:space="0"/>
              <w:right w:val="single" w:color="000000" w:sz="4" w:space="0"/>
            </w:tcBorders>
            <w:vAlign w:val="center"/>
          </w:tcPr>
          <w:p w14:paraId="52C1A517">
            <w:pPr>
              <w:widowControl/>
              <w:jc w:val="center"/>
              <w:textAlignment w:val="center"/>
              <w:rPr>
                <w:rFonts w:hint="eastAsia" w:ascii="宋体" w:hAnsi="宋体" w:cs="宋体"/>
                <w:color w:val="000000"/>
                <w:kern w:val="0"/>
                <w:sz w:val="20"/>
                <w:szCs w:val="20"/>
                <w:lang w:bidi="ar"/>
              </w:rPr>
            </w:pPr>
          </w:p>
        </w:tc>
        <w:tc>
          <w:tcPr>
            <w:tcW w:w="900" w:type="dxa"/>
            <w:tcBorders>
              <w:top w:val="single" w:color="000000" w:sz="4" w:space="0"/>
              <w:left w:val="single" w:color="000000" w:sz="4" w:space="0"/>
              <w:bottom w:val="single" w:color="000000" w:sz="4" w:space="0"/>
              <w:right w:val="single" w:color="000000" w:sz="4" w:space="0"/>
            </w:tcBorders>
            <w:vAlign w:val="center"/>
          </w:tcPr>
          <w:p w14:paraId="4CF57A38">
            <w:pPr>
              <w:widowControl/>
              <w:jc w:val="center"/>
              <w:textAlignment w:val="center"/>
              <w:rPr>
                <w:rFonts w:hint="eastAsia" w:ascii="宋体" w:hAnsi="宋体" w:cs="宋体"/>
                <w:color w:val="000000"/>
                <w:kern w:val="0"/>
                <w:sz w:val="20"/>
                <w:szCs w:val="20"/>
                <w:lang w:bidi="ar"/>
              </w:rPr>
            </w:pPr>
          </w:p>
        </w:tc>
        <w:tc>
          <w:tcPr>
            <w:tcW w:w="832" w:type="dxa"/>
            <w:tcBorders>
              <w:top w:val="single" w:color="000000" w:sz="4" w:space="0"/>
              <w:left w:val="single" w:color="000000" w:sz="4" w:space="0"/>
              <w:bottom w:val="single" w:color="000000" w:sz="4" w:space="0"/>
              <w:right w:val="single" w:color="000000" w:sz="4" w:space="0"/>
            </w:tcBorders>
            <w:vAlign w:val="center"/>
          </w:tcPr>
          <w:p w14:paraId="2FD01F53">
            <w:pPr>
              <w:widowControl/>
              <w:jc w:val="center"/>
              <w:textAlignment w:val="center"/>
              <w:rPr>
                <w:rFonts w:hint="eastAsia" w:ascii="宋体" w:hAnsi="宋体" w:cs="宋体"/>
                <w:color w:val="000000"/>
                <w:kern w:val="0"/>
                <w:sz w:val="20"/>
                <w:szCs w:val="20"/>
                <w:lang w:bidi="ar"/>
              </w:rPr>
            </w:pPr>
          </w:p>
        </w:tc>
        <w:tc>
          <w:tcPr>
            <w:tcW w:w="1143" w:type="dxa"/>
            <w:tcBorders>
              <w:top w:val="single" w:color="000000" w:sz="4" w:space="0"/>
              <w:left w:val="single" w:color="000000" w:sz="4" w:space="0"/>
              <w:bottom w:val="single" w:color="000000" w:sz="4" w:space="0"/>
              <w:right w:val="single" w:color="000000" w:sz="4" w:space="0"/>
            </w:tcBorders>
            <w:vAlign w:val="center"/>
          </w:tcPr>
          <w:p w14:paraId="798A2CA0">
            <w:pPr>
              <w:widowControl/>
              <w:jc w:val="center"/>
              <w:textAlignment w:val="center"/>
              <w:rPr>
                <w:rFonts w:hint="eastAsia" w:ascii="宋体" w:hAnsi="宋体" w:cs="宋体"/>
                <w:color w:val="000000"/>
                <w:kern w:val="0"/>
                <w:sz w:val="20"/>
                <w:szCs w:val="20"/>
                <w:lang w:bidi="ar"/>
              </w:rPr>
            </w:pPr>
          </w:p>
        </w:tc>
        <w:tc>
          <w:tcPr>
            <w:tcW w:w="763" w:type="dxa"/>
            <w:tcBorders>
              <w:top w:val="single" w:color="000000" w:sz="4" w:space="0"/>
              <w:left w:val="single" w:color="000000" w:sz="4" w:space="0"/>
              <w:bottom w:val="single" w:color="000000" w:sz="4" w:space="0"/>
              <w:right w:val="single" w:color="000000" w:sz="4" w:space="0"/>
            </w:tcBorders>
            <w:vAlign w:val="center"/>
          </w:tcPr>
          <w:p w14:paraId="71744EE9">
            <w:pPr>
              <w:widowControl/>
              <w:jc w:val="center"/>
              <w:textAlignment w:val="center"/>
              <w:rPr>
                <w:rFonts w:hint="eastAsia" w:ascii="宋体" w:hAnsi="宋体" w:cs="宋体"/>
                <w:color w:val="000000"/>
                <w:kern w:val="0"/>
                <w:sz w:val="20"/>
                <w:szCs w:val="20"/>
                <w:lang w:bidi="ar"/>
              </w:rPr>
            </w:pPr>
          </w:p>
        </w:tc>
        <w:tc>
          <w:tcPr>
            <w:tcW w:w="741" w:type="dxa"/>
            <w:tcBorders>
              <w:top w:val="single" w:color="000000" w:sz="4" w:space="0"/>
              <w:left w:val="single" w:color="000000" w:sz="4" w:space="0"/>
              <w:bottom w:val="single" w:color="000000" w:sz="4" w:space="0"/>
              <w:right w:val="single" w:color="000000" w:sz="4" w:space="0"/>
            </w:tcBorders>
            <w:vAlign w:val="center"/>
          </w:tcPr>
          <w:p w14:paraId="6F1C4DE1">
            <w:pPr>
              <w:widowControl/>
              <w:jc w:val="center"/>
              <w:textAlignment w:val="center"/>
              <w:rPr>
                <w:rFonts w:hint="eastAsia" w:ascii="宋体" w:hAnsi="宋体" w:cs="宋体"/>
                <w:color w:val="000000"/>
                <w:kern w:val="0"/>
                <w:sz w:val="20"/>
                <w:szCs w:val="20"/>
                <w:lang w:bidi="ar"/>
              </w:rPr>
            </w:pPr>
          </w:p>
        </w:tc>
      </w:tr>
      <w:tr w14:paraId="5B97130C">
        <w:tblPrEx>
          <w:tblCellMar>
            <w:top w:w="0" w:type="dxa"/>
            <w:left w:w="108" w:type="dxa"/>
            <w:bottom w:w="0" w:type="dxa"/>
            <w:right w:w="108" w:type="dxa"/>
          </w:tblCellMar>
        </w:tblPrEx>
        <w:trPr>
          <w:trHeight w:val="20" w:hRule="atLeast"/>
          <w:jc w:val="center"/>
        </w:trPr>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85E2A3">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149</w:t>
            </w:r>
          </w:p>
        </w:tc>
        <w:tc>
          <w:tcPr>
            <w:tcW w:w="2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2FB197">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自粘灭菌袋1</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5D6F3E">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190mm*360mm</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12FAE1">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个</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4068D6">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20</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95ABAE">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42</w:t>
            </w:r>
          </w:p>
        </w:tc>
        <w:tc>
          <w:tcPr>
            <w:tcW w:w="992" w:type="dxa"/>
            <w:tcBorders>
              <w:top w:val="single" w:color="000000" w:sz="4" w:space="0"/>
              <w:left w:val="single" w:color="000000" w:sz="4" w:space="0"/>
              <w:bottom w:val="single" w:color="000000" w:sz="4" w:space="0"/>
              <w:right w:val="single" w:color="000000" w:sz="4" w:space="0"/>
            </w:tcBorders>
            <w:vAlign w:val="center"/>
          </w:tcPr>
          <w:p w14:paraId="6E85A907">
            <w:pPr>
              <w:widowControl/>
              <w:jc w:val="center"/>
              <w:textAlignment w:val="center"/>
              <w:rPr>
                <w:rFonts w:hint="eastAsia" w:ascii="宋体" w:hAnsi="宋体" w:cs="宋体"/>
                <w:color w:val="000000"/>
                <w:kern w:val="0"/>
                <w:sz w:val="20"/>
                <w:szCs w:val="20"/>
                <w:lang w:bidi="ar"/>
              </w:rPr>
            </w:pPr>
          </w:p>
        </w:tc>
        <w:tc>
          <w:tcPr>
            <w:tcW w:w="1239" w:type="dxa"/>
            <w:tcBorders>
              <w:top w:val="single" w:color="000000" w:sz="4" w:space="0"/>
              <w:left w:val="single" w:color="000000" w:sz="4" w:space="0"/>
              <w:bottom w:val="single" w:color="000000" w:sz="4" w:space="0"/>
              <w:right w:val="single" w:color="000000" w:sz="4" w:space="0"/>
            </w:tcBorders>
            <w:vAlign w:val="center"/>
          </w:tcPr>
          <w:p w14:paraId="1A30C5D9">
            <w:pPr>
              <w:widowControl/>
              <w:jc w:val="center"/>
              <w:textAlignment w:val="center"/>
              <w:rPr>
                <w:rFonts w:hint="eastAsia" w:ascii="宋体" w:hAnsi="宋体" w:cs="宋体"/>
                <w:color w:val="000000"/>
                <w:kern w:val="0"/>
                <w:sz w:val="20"/>
                <w:szCs w:val="20"/>
                <w:lang w:bidi="ar"/>
              </w:rPr>
            </w:pPr>
          </w:p>
        </w:tc>
        <w:tc>
          <w:tcPr>
            <w:tcW w:w="900" w:type="dxa"/>
            <w:tcBorders>
              <w:top w:val="single" w:color="000000" w:sz="4" w:space="0"/>
              <w:left w:val="single" w:color="000000" w:sz="4" w:space="0"/>
              <w:bottom w:val="single" w:color="000000" w:sz="4" w:space="0"/>
              <w:right w:val="single" w:color="000000" w:sz="4" w:space="0"/>
            </w:tcBorders>
            <w:vAlign w:val="center"/>
          </w:tcPr>
          <w:p w14:paraId="78050F6A">
            <w:pPr>
              <w:widowControl/>
              <w:jc w:val="center"/>
              <w:textAlignment w:val="center"/>
              <w:rPr>
                <w:rFonts w:hint="eastAsia" w:ascii="宋体" w:hAnsi="宋体" w:cs="宋体"/>
                <w:color w:val="000000"/>
                <w:kern w:val="0"/>
                <w:sz w:val="20"/>
                <w:szCs w:val="20"/>
                <w:lang w:bidi="ar"/>
              </w:rPr>
            </w:pPr>
          </w:p>
        </w:tc>
        <w:tc>
          <w:tcPr>
            <w:tcW w:w="832" w:type="dxa"/>
            <w:tcBorders>
              <w:top w:val="single" w:color="000000" w:sz="4" w:space="0"/>
              <w:left w:val="single" w:color="000000" w:sz="4" w:space="0"/>
              <w:bottom w:val="single" w:color="000000" w:sz="4" w:space="0"/>
              <w:right w:val="single" w:color="000000" w:sz="4" w:space="0"/>
            </w:tcBorders>
            <w:vAlign w:val="center"/>
          </w:tcPr>
          <w:p w14:paraId="3A565FB8">
            <w:pPr>
              <w:widowControl/>
              <w:jc w:val="center"/>
              <w:textAlignment w:val="center"/>
              <w:rPr>
                <w:rFonts w:hint="eastAsia" w:ascii="宋体" w:hAnsi="宋体" w:cs="宋体"/>
                <w:color w:val="000000"/>
                <w:kern w:val="0"/>
                <w:sz w:val="20"/>
                <w:szCs w:val="20"/>
                <w:lang w:bidi="ar"/>
              </w:rPr>
            </w:pPr>
          </w:p>
        </w:tc>
        <w:tc>
          <w:tcPr>
            <w:tcW w:w="1143" w:type="dxa"/>
            <w:tcBorders>
              <w:top w:val="single" w:color="000000" w:sz="4" w:space="0"/>
              <w:left w:val="single" w:color="000000" w:sz="4" w:space="0"/>
              <w:bottom w:val="single" w:color="000000" w:sz="4" w:space="0"/>
              <w:right w:val="single" w:color="000000" w:sz="4" w:space="0"/>
            </w:tcBorders>
            <w:vAlign w:val="center"/>
          </w:tcPr>
          <w:p w14:paraId="1BFC1FF6">
            <w:pPr>
              <w:widowControl/>
              <w:jc w:val="center"/>
              <w:textAlignment w:val="center"/>
              <w:rPr>
                <w:rFonts w:hint="eastAsia" w:ascii="宋体" w:hAnsi="宋体" w:cs="宋体"/>
                <w:color w:val="000000"/>
                <w:kern w:val="0"/>
                <w:sz w:val="20"/>
                <w:szCs w:val="20"/>
                <w:lang w:bidi="ar"/>
              </w:rPr>
            </w:pPr>
          </w:p>
        </w:tc>
        <w:tc>
          <w:tcPr>
            <w:tcW w:w="763" w:type="dxa"/>
            <w:tcBorders>
              <w:top w:val="single" w:color="000000" w:sz="4" w:space="0"/>
              <w:left w:val="single" w:color="000000" w:sz="4" w:space="0"/>
              <w:bottom w:val="single" w:color="000000" w:sz="4" w:space="0"/>
              <w:right w:val="single" w:color="000000" w:sz="4" w:space="0"/>
            </w:tcBorders>
            <w:vAlign w:val="center"/>
          </w:tcPr>
          <w:p w14:paraId="687383DF">
            <w:pPr>
              <w:widowControl/>
              <w:jc w:val="center"/>
              <w:textAlignment w:val="center"/>
              <w:rPr>
                <w:rFonts w:hint="eastAsia" w:ascii="宋体" w:hAnsi="宋体" w:cs="宋体"/>
                <w:color w:val="000000"/>
                <w:kern w:val="0"/>
                <w:sz w:val="20"/>
                <w:szCs w:val="20"/>
                <w:lang w:bidi="ar"/>
              </w:rPr>
            </w:pPr>
          </w:p>
        </w:tc>
        <w:tc>
          <w:tcPr>
            <w:tcW w:w="741" w:type="dxa"/>
            <w:tcBorders>
              <w:top w:val="single" w:color="000000" w:sz="4" w:space="0"/>
              <w:left w:val="single" w:color="000000" w:sz="4" w:space="0"/>
              <w:bottom w:val="single" w:color="000000" w:sz="4" w:space="0"/>
              <w:right w:val="single" w:color="000000" w:sz="4" w:space="0"/>
            </w:tcBorders>
            <w:vAlign w:val="center"/>
          </w:tcPr>
          <w:p w14:paraId="3F21DAFE">
            <w:pPr>
              <w:widowControl/>
              <w:jc w:val="center"/>
              <w:textAlignment w:val="center"/>
              <w:rPr>
                <w:rFonts w:hint="eastAsia" w:ascii="宋体" w:hAnsi="宋体" w:cs="宋体"/>
                <w:color w:val="000000"/>
                <w:kern w:val="0"/>
                <w:sz w:val="20"/>
                <w:szCs w:val="20"/>
                <w:lang w:bidi="ar"/>
              </w:rPr>
            </w:pPr>
          </w:p>
        </w:tc>
      </w:tr>
      <w:tr w14:paraId="2418D54A">
        <w:tblPrEx>
          <w:tblCellMar>
            <w:top w:w="0" w:type="dxa"/>
            <w:left w:w="108" w:type="dxa"/>
            <w:bottom w:w="0" w:type="dxa"/>
            <w:right w:w="108" w:type="dxa"/>
          </w:tblCellMar>
        </w:tblPrEx>
        <w:trPr>
          <w:trHeight w:val="20" w:hRule="atLeast"/>
          <w:jc w:val="center"/>
        </w:trPr>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E6547E">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150</w:t>
            </w:r>
          </w:p>
        </w:tc>
        <w:tc>
          <w:tcPr>
            <w:tcW w:w="2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418D3F">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自粘灭菌袋2</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41BE5F">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135mm*280mm</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317542">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个</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1BF88D">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20</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A8490B">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74</w:t>
            </w:r>
          </w:p>
        </w:tc>
        <w:tc>
          <w:tcPr>
            <w:tcW w:w="992" w:type="dxa"/>
            <w:tcBorders>
              <w:top w:val="single" w:color="000000" w:sz="4" w:space="0"/>
              <w:left w:val="single" w:color="000000" w:sz="4" w:space="0"/>
              <w:bottom w:val="single" w:color="000000" w:sz="4" w:space="0"/>
              <w:right w:val="single" w:color="000000" w:sz="4" w:space="0"/>
            </w:tcBorders>
            <w:vAlign w:val="center"/>
          </w:tcPr>
          <w:p w14:paraId="7227C14E">
            <w:pPr>
              <w:widowControl/>
              <w:jc w:val="center"/>
              <w:textAlignment w:val="center"/>
              <w:rPr>
                <w:rFonts w:hint="eastAsia" w:ascii="宋体" w:hAnsi="宋体" w:cs="宋体"/>
                <w:color w:val="000000"/>
                <w:kern w:val="0"/>
                <w:sz w:val="20"/>
                <w:szCs w:val="20"/>
                <w:lang w:bidi="ar"/>
              </w:rPr>
            </w:pPr>
          </w:p>
        </w:tc>
        <w:tc>
          <w:tcPr>
            <w:tcW w:w="1239" w:type="dxa"/>
            <w:tcBorders>
              <w:top w:val="single" w:color="000000" w:sz="4" w:space="0"/>
              <w:left w:val="single" w:color="000000" w:sz="4" w:space="0"/>
              <w:bottom w:val="single" w:color="000000" w:sz="4" w:space="0"/>
              <w:right w:val="single" w:color="000000" w:sz="4" w:space="0"/>
            </w:tcBorders>
            <w:vAlign w:val="center"/>
          </w:tcPr>
          <w:p w14:paraId="6F3A9503">
            <w:pPr>
              <w:widowControl/>
              <w:jc w:val="center"/>
              <w:textAlignment w:val="center"/>
              <w:rPr>
                <w:rFonts w:hint="eastAsia" w:ascii="宋体" w:hAnsi="宋体" w:cs="宋体"/>
                <w:color w:val="000000"/>
                <w:kern w:val="0"/>
                <w:sz w:val="20"/>
                <w:szCs w:val="20"/>
                <w:lang w:bidi="ar"/>
              </w:rPr>
            </w:pPr>
          </w:p>
        </w:tc>
        <w:tc>
          <w:tcPr>
            <w:tcW w:w="900" w:type="dxa"/>
            <w:tcBorders>
              <w:top w:val="single" w:color="000000" w:sz="4" w:space="0"/>
              <w:left w:val="single" w:color="000000" w:sz="4" w:space="0"/>
              <w:bottom w:val="single" w:color="000000" w:sz="4" w:space="0"/>
              <w:right w:val="single" w:color="000000" w:sz="4" w:space="0"/>
            </w:tcBorders>
            <w:vAlign w:val="center"/>
          </w:tcPr>
          <w:p w14:paraId="6006E98F">
            <w:pPr>
              <w:widowControl/>
              <w:jc w:val="center"/>
              <w:textAlignment w:val="center"/>
              <w:rPr>
                <w:rFonts w:hint="eastAsia" w:ascii="宋体" w:hAnsi="宋体" w:cs="宋体"/>
                <w:color w:val="000000"/>
                <w:kern w:val="0"/>
                <w:sz w:val="20"/>
                <w:szCs w:val="20"/>
                <w:lang w:bidi="ar"/>
              </w:rPr>
            </w:pPr>
          </w:p>
        </w:tc>
        <w:tc>
          <w:tcPr>
            <w:tcW w:w="832" w:type="dxa"/>
            <w:tcBorders>
              <w:top w:val="single" w:color="000000" w:sz="4" w:space="0"/>
              <w:left w:val="single" w:color="000000" w:sz="4" w:space="0"/>
              <w:bottom w:val="single" w:color="000000" w:sz="4" w:space="0"/>
              <w:right w:val="single" w:color="000000" w:sz="4" w:space="0"/>
            </w:tcBorders>
            <w:vAlign w:val="center"/>
          </w:tcPr>
          <w:p w14:paraId="63F81242">
            <w:pPr>
              <w:widowControl/>
              <w:jc w:val="center"/>
              <w:textAlignment w:val="center"/>
              <w:rPr>
                <w:rFonts w:hint="eastAsia" w:ascii="宋体" w:hAnsi="宋体" w:cs="宋体"/>
                <w:color w:val="000000"/>
                <w:kern w:val="0"/>
                <w:sz w:val="20"/>
                <w:szCs w:val="20"/>
                <w:lang w:bidi="ar"/>
              </w:rPr>
            </w:pPr>
          </w:p>
        </w:tc>
        <w:tc>
          <w:tcPr>
            <w:tcW w:w="1143" w:type="dxa"/>
            <w:tcBorders>
              <w:top w:val="single" w:color="000000" w:sz="4" w:space="0"/>
              <w:left w:val="single" w:color="000000" w:sz="4" w:space="0"/>
              <w:bottom w:val="single" w:color="000000" w:sz="4" w:space="0"/>
              <w:right w:val="single" w:color="000000" w:sz="4" w:space="0"/>
            </w:tcBorders>
            <w:vAlign w:val="center"/>
          </w:tcPr>
          <w:p w14:paraId="01DD2C58">
            <w:pPr>
              <w:widowControl/>
              <w:jc w:val="center"/>
              <w:textAlignment w:val="center"/>
              <w:rPr>
                <w:rFonts w:hint="eastAsia" w:ascii="宋体" w:hAnsi="宋体" w:cs="宋体"/>
                <w:color w:val="000000"/>
                <w:kern w:val="0"/>
                <w:sz w:val="20"/>
                <w:szCs w:val="20"/>
                <w:lang w:bidi="ar"/>
              </w:rPr>
            </w:pPr>
          </w:p>
        </w:tc>
        <w:tc>
          <w:tcPr>
            <w:tcW w:w="763" w:type="dxa"/>
            <w:tcBorders>
              <w:top w:val="single" w:color="000000" w:sz="4" w:space="0"/>
              <w:left w:val="single" w:color="000000" w:sz="4" w:space="0"/>
              <w:bottom w:val="single" w:color="000000" w:sz="4" w:space="0"/>
              <w:right w:val="single" w:color="000000" w:sz="4" w:space="0"/>
            </w:tcBorders>
            <w:vAlign w:val="center"/>
          </w:tcPr>
          <w:p w14:paraId="3187F12A">
            <w:pPr>
              <w:widowControl/>
              <w:jc w:val="center"/>
              <w:textAlignment w:val="center"/>
              <w:rPr>
                <w:rFonts w:hint="eastAsia" w:ascii="宋体" w:hAnsi="宋体" w:cs="宋体"/>
                <w:color w:val="000000"/>
                <w:kern w:val="0"/>
                <w:sz w:val="20"/>
                <w:szCs w:val="20"/>
                <w:lang w:bidi="ar"/>
              </w:rPr>
            </w:pPr>
          </w:p>
        </w:tc>
        <w:tc>
          <w:tcPr>
            <w:tcW w:w="741" w:type="dxa"/>
            <w:tcBorders>
              <w:top w:val="single" w:color="000000" w:sz="4" w:space="0"/>
              <w:left w:val="single" w:color="000000" w:sz="4" w:space="0"/>
              <w:bottom w:val="single" w:color="000000" w:sz="4" w:space="0"/>
              <w:right w:val="single" w:color="000000" w:sz="4" w:space="0"/>
            </w:tcBorders>
            <w:vAlign w:val="center"/>
          </w:tcPr>
          <w:p w14:paraId="7A024F34">
            <w:pPr>
              <w:widowControl/>
              <w:jc w:val="center"/>
              <w:textAlignment w:val="center"/>
              <w:rPr>
                <w:rFonts w:hint="eastAsia" w:ascii="宋体" w:hAnsi="宋体" w:cs="宋体"/>
                <w:color w:val="000000"/>
                <w:kern w:val="0"/>
                <w:sz w:val="20"/>
                <w:szCs w:val="20"/>
                <w:lang w:bidi="ar"/>
              </w:rPr>
            </w:pPr>
          </w:p>
        </w:tc>
      </w:tr>
      <w:tr w14:paraId="4BD66453">
        <w:tblPrEx>
          <w:tblCellMar>
            <w:top w:w="0" w:type="dxa"/>
            <w:left w:w="108" w:type="dxa"/>
            <w:bottom w:w="0" w:type="dxa"/>
            <w:right w:w="108" w:type="dxa"/>
          </w:tblCellMar>
        </w:tblPrEx>
        <w:trPr>
          <w:trHeight w:val="20" w:hRule="atLeast"/>
          <w:jc w:val="center"/>
        </w:trPr>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9F7494">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151</w:t>
            </w:r>
          </w:p>
        </w:tc>
        <w:tc>
          <w:tcPr>
            <w:tcW w:w="2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C00C79">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生物样品袋1</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53823F">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三层350mm*450mm，100个</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5D86BB">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包</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FBF587">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5</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677B65">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85</w:t>
            </w:r>
          </w:p>
        </w:tc>
        <w:tc>
          <w:tcPr>
            <w:tcW w:w="992" w:type="dxa"/>
            <w:tcBorders>
              <w:top w:val="single" w:color="000000" w:sz="4" w:space="0"/>
              <w:left w:val="single" w:color="000000" w:sz="4" w:space="0"/>
              <w:bottom w:val="single" w:color="000000" w:sz="4" w:space="0"/>
              <w:right w:val="single" w:color="000000" w:sz="4" w:space="0"/>
            </w:tcBorders>
            <w:vAlign w:val="center"/>
          </w:tcPr>
          <w:p w14:paraId="0D8E15DC">
            <w:pPr>
              <w:widowControl/>
              <w:jc w:val="center"/>
              <w:textAlignment w:val="center"/>
              <w:rPr>
                <w:rFonts w:hint="eastAsia" w:ascii="宋体" w:hAnsi="宋体" w:cs="宋体"/>
                <w:color w:val="000000"/>
                <w:kern w:val="0"/>
                <w:sz w:val="20"/>
                <w:szCs w:val="20"/>
                <w:lang w:bidi="ar"/>
              </w:rPr>
            </w:pPr>
          </w:p>
        </w:tc>
        <w:tc>
          <w:tcPr>
            <w:tcW w:w="1239" w:type="dxa"/>
            <w:tcBorders>
              <w:top w:val="single" w:color="000000" w:sz="4" w:space="0"/>
              <w:left w:val="single" w:color="000000" w:sz="4" w:space="0"/>
              <w:bottom w:val="single" w:color="000000" w:sz="4" w:space="0"/>
              <w:right w:val="single" w:color="000000" w:sz="4" w:space="0"/>
            </w:tcBorders>
            <w:vAlign w:val="center"/>
          </w:tcPr>
          <w:p w14:paraId="2B7E1671">
            <w:pPr>
              <w:widowControl/>
              <w:jc w:val="center"/>
              <w:textAlignment w:val="center"/>
              <w:rPr>
                <w:rFonts w:hint="eastAsia" w:ascii="宋体" w:hAnsi="宋体" w:cs="宋体"/>
                <w:color w:val="000000"/>
                <w:kern w:val="0"/>
                <w:sz w:val="20"/>
                <w:szCs w:val="20"/>
                <w:lang w:bidi="ar"/>
              </w:rPr>
            </w:pPr>
          </w:p>
        </w:tc>
        <w:tc>
          <w:tcPr>
            <w:tcW w:w="900" w:type="dxa"/>
            <w:tcBorders>
              <w:top w:val="single" w:color="000000" w:sz="4" w:space="0"/>
              <w:left w:val="single" w:color="000000" w:sz="4" w:space="0"/>
              <w:bottom w:val="single" w:color="000000" w:sz="4" w:space="0"/>
              <w:right w:val="single" w:color="000000" w:sz="4" w:space="0"/>
            </w:tcBorders>
            <w:vAlign w:val="center"/>
          </w:tcPr>
          <w:p w14:paraId="5790331E">
            <w:pPr>
              <w:widowControl/>
              <w:jc w:val="center"/>
              <w:textAlignment w:val="center"/>
              <w:rPr>
                <w:rFonts w:hint="eastAsia" w:ascii="宋体" w:hAnsi="宋体" w:cs="宋体"/>
                <w:color w:val="000000"/>
                <w:kern w:val="0"/>
                <w:sz w:val="20"/>
                <w:szCs w:val="20"/>
                <w:lang w:bidi="ar"/>
              </w:rPr>
            </w:pPr>
          </w:p>
        </w:tc>
        <w:tc>
          <w:tcPr>
            <w:tcW w:w="832" w:type="dxa"/>
            <w:tcBorders>
              <w:top w:val="single" w:color="000000" w:sz="4" w:space="0"/>
              <w:left w:val="single" w:color="000000" w:sz="4" w:space="0"/>
              <w:bottom w:val="single" w:color="000000" w:sz="4" w:space="0"/>
              <w:right w:val="single" w:color="000000" w:sz="4" w:space="0"/>
            </w:tcBorders>
            <w:vAlign w:val="center"/>
          </w:tcPr>
          <w:p w14:paraId="1AEA162D">
            <w:pPr>
              <w:widowControl/>
              <w:jc w:val="center"/>
              <w:textAlignment w:val="center"/>
              <w:rPr>
                <w:rFonts w:hint="eastAsia" w:ascii="宋体" w:hAnsi="宋体" w:cs="宋体"/>
                <w:color w:val="000000"/>
                <w:kern w:val="0"/>
                <w:sz w:val="20"/>
                <w:szCs w:val="20"/>
                <w:lang w:bidi="ar"/>
              </w:rPr>
            </w:pPr>
          </w:p>
        </w:tc>
        <w:tc>
          <w:tcPr>
            <w:tcW w:w="1143" w:type="dxa"/>
            <w:tcBorders>
              <w:top w:val="single" w:color="000000" w:sz="4" w:space="0"/>
              <w:left w:val="single" w:color="000000" w:sz="4" w:space="0"/>
              <w:bottom w:val="single" w:color="000000" w:sz="4" w:space="0"/>
              <w:right w:val="single" w:color="000000" w:sz="4" w:space="0"/>
            </w:tcBorders>
            <w:vAlign w:val="center"/>
          </w:tcPr>
          <w:p w14:paraId="5641364C">
            <w:pPr>
              <w:widowControl/>
              <w:jc w:val="center"/>
              <w:textAlignment w:val="center"/>
              <w:rPr>
                <w:rFonts w:hint="eastAsia" w:ascii="宋体" w:hAnsi="宋体" w:cs="宋体"/>
                <w:color w:val="000000"/>
                <w:kern w:val="0"/>
                <w:sz w:val="20"/>
                <w:szCs w:val="20"/>
                <w:lang w:bidi="ar"/>
              </w:rPr>
            </w:pPr>
          </w:p>
        </w:tc>
        <w:tc>
          <w:tcPr>
            <w:tcW w:w="763" w:type="dxa"/>
            <w:tcBorders>
              <w:top w:val="single" w:color="000000" w:sz="4" w:space="0"/>
              <w:left w:val="single" w:color="000000" w:sz="4" w:space="0"/>
              <w:bottom w:val="single" w:color="000000" w:sz="4" w:space="0"/>
              <w:right w:val="single" w:color="000000" w:sz="4" w:space="0"/>
            </w:tcBorders>
            <w:vAlign w:val="center"/>
          </w:tcPr>
          <w:p w14:paraId="436A37FC">
            <w:pPr>
              <w:widowControl/>
              <w:jc w:val="center"/>
              <w:textAlignment w:val="center"/>
              <w:rPr>
                <w:rFonts w:hint="eastAsia" w:ascii="宋体" w:hAnsi="宋体" w:cs="宋体"/>
                <w:color w:val="000000"/>
                <w:kern w:val="0"/>
                <w:sz w:val="20"/>
                <w:szCs w:val="20"/>
                <w:lang w:bidi="ar"/>
              </w:rPr>
            </w:pPr>
          </w:p>
        </w:tc>
        <w:tc>
          <w:tcPr>
            <w:tcW w:w="741" w:type="dxa"/>
            <w:tcBorders>
              <w:top w:val="single" w:color="000000" w:sz="4" w:space="0"/>
              <w:left w:val="single" w:color="000000" w:sz="4" w:space="0"/>
              <w:bottom w:val="single" w:color="000000" w:sz="4" w:space="0"/>
              <w:right w:val="single" w:color="000000" w:sz="4" w:space="0"/>
            </w:tcBorders>
            <w:vAlign w:val="center"/>
          </w:tcPr>
          <w:p w14:paraId="3201A8E1">
            <w:pPr>
              <w:widowControl/>
              <w:jc w:val="center"/>
              <w:textAlignment w:val="center"/>
              <w:rPr>
                <w:rFonts w:hint="eastAsia" w:ascii="宋体" w:hAnsi="宋体" w:cs="宋体"/>
                <w:color w:val="000000"/>
                <w:kern w:val="0"/>
                <w:sz w:val="20"/>
                <w:szCs w:val="20"/>
                <w:lang w:bidi="ar"/>
              </w:rPr>
            </w:pPr>
          </w:p>
        </w:tc>
      </w:tr>
      <w:tr w14:paraId="49C5DD6A">
        <w:tblPrEx>
          <w:tblCellMar>
            <w:top w:w="0" w:type="dxa"/>
            <w:left w:w="108" w:type="dxa"/>
            <w:bottom w:w="0" w:type="dxa"/>
            <w:right w:w="108" w:type="dxa"/>
          </w:tblCellMar>
        </w:tblPrEx>
        <w:trPr>
          <w:trHeight w:val="20" w:hRule="atLeast"/>
          <w:jc w:val="center"/>
        </w:trPr>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B92321">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152</w:t>
            </w:r>
          </w:p>
        </w:tc>
        <w:tc>
          <w:tcPr>
            <w:tcW w:w="2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FA5AA1">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生物样品袋2</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D82C4C">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三层250mm*300mm，100个</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4B444F">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包</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EA0472">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5</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C3C248">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53</w:t>
            </w:r>
          </w:p>
        </w:tc>
        <w:tc>
          <w:tcPr>
            <w:tcW w:w="992" w:type="dxa"/>
            <w:tcBorders>
              <w:top w:val="single" w:color="000000" w:sz="4" w:space="0"/>
              <w:left w:val="single" w:color="000000" w:sz="4" w:space="0"/>
              <w:bottom w:val="single" w:color="000000" w:sz="4" w:space="0"/>
              <w:right w:val="single" w:color="000000" w:sz="4" w:space="0"/>
            </w:tcBorders>
            <w:vAlign w:val="center"/>
          </w:tcPr>
          <w:p w14:paraId="0362AF12">
            <w:pPr>
              <w:widowControl/>
              <w:jc w:val="center"/>
              <w:textAlignment w:val="center"/>
              <w:rPr>
                <w:rFonts w:hint="eastAsia" w:ascii="宋体" w:hAnsi="宋体" w:cs="宋体"/>
                <w:color w:val="000000"/>
                <w:kern w:val="0"/>
                <w:sz w:val="20"/>
                <w:szCs w:val="20"/>
                <w:lang w:bidi="ar"/>
              </w:rPr>
            </w:pPr>
          </w:p>
        </w:tc>
        <w:tc>
          <w:tcPr>
            <w:tcW w:w="1239" w:type="dxa"/>
            <w:tcBorders>
              <w:top w:val="single" w:color="000000" w:sz="4" w:space="0"/>
              <w:left w:val="single" w:color="000000" w:sz="4" w:space="0"/>
              <w:bottom w:val="single" w:color="000000" w:sz="4" w:space="0"/>
              <w:right w:val="single" w:color="000000" w:sz="4" w:space="0"/>
            </w:tcBorders>
            <w:vAlign w:val="center"/>
          </w:tcPr>
          <w:p w14:paraId="42D526FF">
            <w:pPr>
              <w:widowControl/>
              <w:jc w:val="center"/>
              <w:textAlignment w:val="center"/>
              <w:rPr>
                <w:rFonts w:hint="eastAsia" w:ascii="宋体" w:hAnsi="宋体" w:cs="宋体"/>
                <w:color w:val="000000"/>
                <w:kern w:val="0"/>
                <w:sz w:val="20"/>
                <w:szCs w:val="20"/>
                <w:lang w:bidi="ar"/>
              </w:rPr>
            </w:pPr>
          </w:p>
        </w:tc>
        <w:tc>
          <w:tcPr>
            <w:tcW w:w="900" w:type="dxa"/>
            <w:tcBorders>
              <w:top w:val="single" w:color="000000" w:sz="4" w:space="0"/>
              <w:left w:val="single" w:color="000000" w:sz="4" w:space="0"/>
              <w:bottom w:val="single" w:color="000000" w:sz="4" w:space="0"/>
              <w:right w:val="single" w:color="000000" w:sz="4" w:space="0"/>
            </w:tcBorders>
            <w:vAlign w:val="center"/>
          </w:tcPr>
          <w:p w14:paraId="69520C47">
            <w:pPr>
              <w:widowControl/>
              <w:jc w:val="center"/>
              <w:textAlignment w:val="center"/>
              <w:rPr>
                <w:rFonts w:hint="eastAsia" w:ascii="宋体" w:hAnsi="宋体" w:cs="宋体"/>
                <w:color w:val="000000"/>
                <w:kern w:val="0"/>
                <w:sz w:val="20"/>
                <w:szCs w:val="20"/>
                <w:lang w:bidi="ar"/>
              </w:rPr>
            </w:pPr>
          </w:p>
        </w:tc>
        <w:tc>
          <w:tcPr>
            <w:tcW w:w="832" w:type="dxa"/>
            <w:tcBorders>
              <w:top w:val="single" w:color="000000" w:sz="4" w:space="0"/>
              <w:left w:val="single" w:color="000000" w:sz="4" w:space="0"/>
              <w:bottom w:val="single" w:color="000000" w:sz="4" w:space="0"/>
              <w:right w:val="single" w:color="000000" w:sz="4" w:space="0"/>
            </w:tcBorders>
            <w:vAlign w:val="center"/>
          </w:tcPr>
          <w:p w14:paraId="006F6648">
            <w:pPr>
              <w:widowControl/>
              <w:jc w:val="center"/>
              <w:textAlignment w:val="center"/>
              <w:rPr>
                <w:rFonts w:hint="eastAsia" w:ascii="宋体" w:hAnsi="宋体" w:cs="宋体"/>
                <w:color w:val="000000"/>
                <w:kern w:val="0"/>
                <w:sz w:val="20"/>
                <w:szCs w:val="20"/>
                <w:lang w:bidi="ar"/>
              </w:rPr>
            </w:pPr>
          </w:p>
        </w:tc>
        <w:tc>
          <w:tcPr>
            <w:tcW w:w="1143" w:type="dxa"/>
            <w:tcBorders>
              <w:top w:val="single" w:color="000000" w:sz="4" w:space="0"/>
              <w:left w:val="single" w:color="000000" w:sz="4" w:space="0"/>
              <w:bottom w:val="single" w:color="000000" w:sz="4" w:space="0"/>
              <w:right w:val="single" w:color="000000" w:sz="4" w:space="0"/>
            </w:tcBorders>
            <w:vAlign w:val="center"/>
          </w:tcPr>
          <w:p w14:paraId="17AE50B0">
            <w:pPr>
              <w:widowControl/>
              <w:jc w:val="center"/>
              <w:textAlignment w:val="center"/>
              <w:rPr>
                <w:rFonts w:hint="eastAsia" w:ascii="宋体" w:hAnsi="宋体" w:cs="宋体"/>
                <w:color w:val="000000"/>
                <w:kern w:val="0"/>
                <w:sz w:val="20"/>
                <w:szCs w:val="20"/>
                <w:lang w:bidi="ar"/>
              </w:rPr>
            </w:pPr>
          </w:p>
        </w:tc>
        <w:tc>
          <w:tcPr>
            <w:tcW w:w="763" w:type="dxa"/>
            <w:tcBorders>
              <w:top w:val="single" w:color="000000" w:sz="4" w:space="0"/>
              <w:left w:val="single" w:color="000000" w:sz="4" w:space="0"/>
              <w:bottom w:val="single" w:color="000000" w:sz="4" w:space="0"/>
              <w:right w:val="single" w:color="000000" w:sz="4" w:space="0"/>
            </w:tcBorders>
            <w:vAlign w:val="center"/>
          </w:tcPr>
          <w:p w14:paraId="065BE760">
            <w:pPr>
              <w:widowControl/>
              <w:jc w:val="center"/>
              <w:textAlignment w:val="center"/>
              <w:rPr>
                <w:rFonts w:hint="eastAsia" w:ascii="宋体" w:hAnsi="宋体" w:cs="宋体"/>
                <w:color w:val="000000"/>
                <w:kern w:val="0"/>
                <w:sz w:val="20"/>
                <w:szCs w:val="20"/>
                <w:lang w:bidi="ar"/>
              </w:rPr>
            </w:pPr>
          </w:p>
        </w:tc>
        <w:tc>
          <w:tcPr>
            <w:tcW w:w="741" w:type="dxa"/>
            <w:tcBorders>
              <w:top w:val="single" w:color="000000" w:sz="4" w:space="0"/>
              <w:left w:val="single" w:color="000000" w:sz="4" w:space="0"/>
              <w:bottom w:val="single" w:color="000000" w:sz="4" w:space="0"/>
              <w:right w:val="single" w:color="000000" w:sz="4" w:space="0"/>
            </w:tcBorders>
            <w:vAlign w:val="center"/>
          </w:tcPr>
          <w:p w14:paraId="0B9C3A88">
            <w:pPr>
              <w:widowControl/>
              <w:jc w:val="center"/>
              <w:textAlignment w:val="center"/>
              <w:rPr>
                <w:rFonts w:hint="eastAsia" w:ascii="宋体" w:hAnsi="宋体" w:cs="宋体"/>
                <w:color w:val="000000"/>
                <w:kern w:val="0"/>
                <w:sz w:val="20"/>
                <w:szCs w:val="20"/>
                <w:lang w:bidi="ar"/>
              </w:rPr>
            </w:pPr>
          </w:p>
        </w:tc>
      </w:tr>
      <w:tr w14:paraId="5787DFC2">
        <w:tblPrEx>
          <w:tblCellMar>
            <w:top w:w="0" w:type="dxa"/>
            <w:left w:w="108" w:type="dxa"/>
            <w:bottom w:w="0" w:type="dxa"/>
            <w:right w:w="108" w:type="dxa"/>
          </w:tblCellMar>
        </w:tblPrEx>
        <w:trPr>
          <w:trHeight w:val="20" w:hRule="atLeast"/>
          <w:jc w:val="center"/>
        </w:trPr>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0C8EC7">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153</w:t>
            </w:r>
          </w:p>
        </w:tc>
        <w:tc>
          <w:tcPr>
            <w:tcW w:w="2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4AAB76">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耐高温灭菌袋1</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5AEF06">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30cm*40cm  50个/包</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AF7E99">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包</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C47262">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4</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202646">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120</w:t>
            </w:r>
          </w:p>
        </w:tc>
        <w:tc>
          <w:tcPr>
            <w:tcW w:w="992" w:type="dxa"/>
            <w:tcBorders>
              <w:top w:val="single" w:color="000000" w:sz="4" w:space="0"/>
              <w:left w:val="single" w:color="000000" w:sz="4" w:space="0"/>
              <w:bottom w:val="single" w:color="000000" w:sz="4" w:space="0"/>
              <w:right w:val="single" w:color="000000" w:sz="4" w:space="0"/>
            </w:tcBorders>
            <w:vAlign w:val="center"/>
          </w:tcPr>
          <w:p w14:paraId="6C2C220C">
            <w:pPr>
              <w:widowControl/>
              <w:jc w:val="center"/>
              <w:textAlignment w:val="center"/>
              <w:rPr>
                <w:rFonts w:hint="eastAsia" w:ascii="宋体" w:hAnsi="宋体" w:cs="宋体"/>
                <w:color w:val="000000"/>
                <w:kern w:val="0"/>
                <w:sz w:val="20"/>
                <w:szCs w:val="20"/>
                <w:lang w:bidi="ar"/>
              </w:rPr>
            </w:pPr>
          </w:p>
        </w:tc>
        <w:tc>
          <w:tcPr>
            <w:tcW w:w="1239" w:type="dxa"/>
            <w:tcBorders>
              <w:top w:val="single" w:color="000000" w:sz="4" w:space="0"/>
              <w:left w:val="single" w:color="000000" w:sz="4" w:space="0"/>
              <w:bottom w:val="single" w:color="000000" w:sz="4" w:space="0"/>
              <w:right w:val="single" w:color="000000" w:sz="4" w:space="0"/>
            </w:tcBorders>
            <w:vAlign w:val="center"/>
          </w:tcPr>
          <w:p w14:paraId="2E36E0B8">
            <w:pPr>
              <w:widowControl/>
              <w:jc w:val="center"/>
              <w:textAlignment w:val="center"/>
              <w:rPr>
                <w:rFonts w:hint="eastAsia" w:ascii="宋体" w:hAnsi="宋体" w:cs="宋体"/>
                <w:color w:val="000000"/>
                <w:kern w:val="0"/>
                <w:sz w:val="20"/>
                <w:szCs w:val="20"/>
                <w:lang w:bidi="ar"/>
              </w:rPr>
            </w:pPr>
          </w:p>
        </w:tc>
        <w:tc>
          <w:tcPr>
            <w:tcW w:w="900" w:type="dxa"/>
            <w:tcBorders>
              <w:top w:val="single" w:color="000000" w:sz="4" w:space="0"/>
              <w:left w:val="single" w:color="000000" w:sz="4" w:space="0"/>
              <w:bottom w:val="single" w:color="000000" w:sz="4" w:space="0"/>
              <w:right w:val="single" w:color="000000" w:sz="4" w:space="0"/>
            </w:tcBorders>
            <w:vAlign w:val="center"/>
          </w:tcPr>
          <w:p w14:paraId="1BE3E3F8">
            <w:pPr>
              <w:widowControl/>
              <w:jc w:val="center"/>
              <w:textAlignment w:val="center"/>
              <w:rPr>
                <w:rFonts w:hint="eastAsia" w:ascii="宋体" w:hAnsi="宋体" w:cs="宋体"/>
                <w:color w:val="000000"/>
                <w:kern w:val="0"/>
                <w:sz w:val="20"/>
                <w:szCs w:val="20"/>
                <w:lang w:bidi="ar"/>
              </w:rPr>
            </w:pPr>
          </w:p>
        </w:tc>
        <w:tc>
          <w:tcPr>
            <w:tcW w:w="832" w:type="dxa"/>
            <w:tcBorders>
              <w:top w:val="single" w:color="000000" w:sz="4" w:space="0"/>
              <w:left w:val="single" w:color="000000" w:sz="4" w:space="0"/>
              <w:bottom w:val="single" w:color="000000" w:sz="4" w:space="0"/>
              <w:right w:val="single" w:color="000000" w:sz="4" w:space="0"/>
            </w:tcBorders>
            <w:vAlign w:val="center"/>
          </w:tcPr>
          <w:p w14:paraId="7C928D5E">
            <w:pPr>
              <w:widowControl/>
              <w:jc w:val="center"/>
              <w:textAlignment w:val="center"/>
              <w:rPr>
                <w:rFonts w:hint="eastAsia" w:ascii="宋体" w:hAnsi="宋体" w:cs="宋体"/>
                <w:color w:val="000000"/>
                <w:kern w:val="0"/>
                <w:sz w:val="20"/>
                <w:szCs w:val="20"/>
                <w:lang w:bidi="ar"/>
              </w:rPr>
            </w:pPr>
          </w:p>
        </w:tc>
        <w:tc>
          <w:tcPr>
            <w:tcW w:w="1143" w:type="dxa"/>
            <w:tcBorders>
              <w:top w:val="single" w:color="000000" w:sz="4" w:space="0"/>
              <w:left w:val="single" w:color="000000" w:sz="4" w:space="0"/>
              <w:bottom w:val="single" w:color="000000" w:sz="4" w:space="0"/>
              <w:right w:val="single" w:color="000000" w:sz="4" w:space="0"/>
            </w:tcBorders>
            <w:vAlign w:val="center"/>
          </w:tcPr>
          <w:p w14:paraId="3CE4DFE9">
            <w:pPr>
              <w:widowControl/>
              <w:jc w:val="center"/>
              <w:textAlignment w:val="center"/>
              <w:rPr>
                <w:rFonts w:hint="eastAsia" w:ascii="宋体" w:hAnsi="宋体" w:cs="宋体"/>
                <w:color w:val="000000"/>
                <w:kern w:val="0"/>
                <w:sz w:val="20"/>
                <w:szCs w:val="20"/>
                <w:lang w:bidi="ar"/>
              </w:rPr>
            </w:pPr>
          </w:p>
        </w:tc>
        <w:tc>
          <w:tcPr>
            <w:tcW w:w="763" w:type="dxa"/>
            <w:tcBorders>
              <w:top w:val="single" w:color="000000" w:sz="4" w:space="0"/>
              <w:left w:val="single" w:color="000000" w:sz="4" w:space="0"/>
              <w:bottom w:val="single" w:color="000000" w:sz="4" w:space="0"/>
              <w:right w:val="single" w:color="000000" w:sz="4" w:space="0"/>
            </w:tcBorders>
            <w:vAlign w:val="center"/>
          </w:tcPr>
          <w:p w14:paraId="09D8E079">
            <w:pPr>
              <w:widowControl/>
              <w:jc w:val="center"/>
              <w:textAlignment w:val="center"/>
              <w:rPr>
                <w:rFonts w:hint="eastAsia" w:ascii="宋体" w:hAnsi="宋体" w:cs="宋体"/>
                <w:color w:val="000000"/>
                <w:kern w:val="0"/>
                <w:sz w:val="20"/>
                <w:szCs w:val="20"/>
                <w:lang w:bidi="ar"/>
              </w:rPr>
            </w:pPr>
          </w:p>
        </w:tc>
        <w:tc>
          <w:tcPr>
            <w:tcW w:w="741" w:type="dxa"/>
            <w:tcBorders>
              <w:top w:val="single" w:color="000000" w:sz="4" w:space="0"/>
              <w:left w:val="single" w:color="000000" w:sz="4" w:space="0"/>
              <w:bottom w:val="single" w:color="000000" w:sz="4" w:space="0"/>
              <w:right w:val="single" w:color="000000" w:sz="4" w:space="0"/>
            </w:tcBorders>
            <w:vAlign w:val="center"/>
          </w:tcPr>
          <w:p w14:paraId="71C4A893">
            <w:pPr>
              <w:widowControl/>
              <w:jc w:val="center"/>
              <w:textAlignment w:val="center"/>
              <w:rPr>
                <w:rFonts w:hint="eastAsia" w:ascii="宋体" w:hAnsi="宋体" w:cs="宋体"/>
                <w:color w:val="000000"/>
                <w:kern w:val="0"/>
                <w:sz w:val="20"/>
                <w:szCs w:val="20"/>
                <w:lang w:bidi="ar"/>
              </w:rPr>
            </w:pPr>
          </w:p>
        </w:tc>
      </w:tr>
      <w:tr w14:paraId="25DD555D">
        <w:tblPrEx>
          <w:tblCellMar>
            <w:top w:w="0" w:type="dxa"/>
            <w:left w:w="108" w:type="dxa"/>
            <w:bottom w:w="0" w:type="dxa"/>
            <w:right w:w="108" w:type="dxa"/>
          </w:tblCellMar>
        </w:tblPrEx>
        <w:trPr>
          <w:trHeight w:val="20" w:hRule="atLeast"/>
          <w:jc w:val="center"/>
        </w:trPr>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02E6A9">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154</w:t>
            </w:r>
          </w:p>
        </w:tc>
        <w:tc>
          <w:tcPr>
            <w:tcW w:w="2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685E31">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耐高温灭菌袋2</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B41FD1">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45cm*55cm 50个/包</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17B80C">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包</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180711">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4</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5769EC">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205</w:t>
            </w:r>
          </w:p>
        </w:tc>
        <w:tc>
          <w:tcPr>
            <w:tcW w:w="992" w:type="dxa"/>
            <w:tcBorders>
              <w:top w:val="single" w:color="000000" w:sz="4" w:space="0"/>
              <w:left w:val="single" w:color="000000" w:sz="4" w:space="0"/>
              <w:bottom w:val="single" w:color="000000" w:sz="4" w:space="0"/>
              <w:right w:val="single" w:color="000000" w:sz="4" w:space="0"/>
            </w:tcBorders>
            <w:vAlign w:val="center"/>
          </w:tcPr>
          <w:p w14:paraId="6E472A30">
            <w:pPr>
              <w:widowControl/>
              <w:jc w:val="center"/>
              <w:textAlignment w:val="center"/>
              <w:rPr>
                <w:rFonts w:hint="eastAsia" w:ascii="宋体" w:hAnsi="宋体" w:cs="宋体"/>
                <w:color w:val="000000"/>
                <w:kern w:val="0"/>
                <w:sz w:val="20"/>
                <w:szCs w:val="20"/>
                <w:lang w:bidi="ar"/>
              </w:rPr>
            </w:pPr>
          </w:p>
        </w:tc>
        <w:tc>
          <w:tcPr>
            <w:tcW w:w="1239" w:type="dxa"/>
            <w:tcBorders>
              <w:top w:val="single" w:color="000000" w:sz="4" w:space="0"/>
              <w:left w:val="single" w:color="000000" w:sz="4" w:space="0"/>
              <w:bottom w:val="single" w:color="000000" w:sz="4" w:space="0"/>
              <w:right w:val="single" w:color="000000" w:sz="4" w:space="0"/>
            </w:tcBorders>
            <w:vAlign w:val="center"/>
          </w:tcPr>
          <w:p w14:paraId="36A03DC7">
            <w:pPr>
              <w:widowControl/>
              <w:jc w:val="center"/>
              <w:textAlignment w:val="center"/>
              <w:rPr>
                <w:rFonts w:hint="eastAsia" w:ascii="宋体" w:hAnsi="宋体" w:cs="宋体"/>
                <w:color w:val="000000"/>
                <w:kern w:val="0"/>
                <w:sz w:val="20"/>
                <w:szCs w:val="20"/>
                <w:lang w:bidi="ar"/>
              </w:rPr>
            </w:pPr>
          </w:p>
        </w:tc>
        <w:tc>
          <w:tcPr>
            <w:tcW w:w="900" w:type="dxa"/>
            <w:tcBorders>
              <w:top w:val="single" w:color="000000" w:sz="4" w:space="0"/>
              <w:left w:val="single" w:color="000000" w:sz="4" w:space="0"/>
              <w:bottom w:val="single" w:color="000000" w:sz="4" w:space="0"/>
              <w:right w:val="single" w:color="000000" w:sz="4" w:space="0"/>
            </w:tcBorders>
            <w:vAlign w:val="center"/>
          </w:tcPr>
          <w:p w14:paraId="20C2F23E">
            <w:pPr>
              <w:widowControl/>
              <w:jc w:val="center"/>
              <w:textAlignment w:val="center"/>
              <w:rPr>
                <w:rFonts w:hint="eastAsia" w:ascii="宋体" w:hAnsi="宋体" w:cs="宋体"/>
                <w:color w:val="000000"/>
                <w:kern w:val="0"/>
                <w:sz w:val="20"/>
                <w:szCs w:val="20"/>
                <w:lang w:bidi="ar"/>
              </w:rPr>
            </w:pPr>
          </w:p>
        </w:tc>
        <w:tc>
          <w:tcPr>
            <w:tcW w:w="832" w:type="dxa"/>
            <w:tcBorders>
              <w:top w:val="single" w:color="000000" w:sz="4" w:space="0"/>
              <w:left w:val="single" w:color="000000" w:sz="4" w:space="0"/>
              <w:bottom w:val="single" w:color="000000" w:sz="4" w:space="0"/>
              <w:right w:val="single" w:color="000000" w:sz="4" w:space="0"/>
            </w:tcBorders>
            <w:vAlign w:val="center"/>
          </w:tcPr>
          <w:p w14:paraId="7AD7B014">
            <w:pPr>
              <w:widowControl/>
              <w:jc w:val="center"/>
              <w:textAlignment w:val="center"/>
              <w:rPr>
                <w:rFonts w:hint="eastAsia" w:ascii="宋体" w:hAnsi="宋体" w:cs="宋体"/>
                <w:color w:val="000000"/>
                <w:kern w:val="0"/>
                <w:sz w:val="20"/>
                <w:szCs w:val="20"/>
                <w:lang w:bidi="ar"/>
              </w:rPr>
            </w:pPr>
          </w:p>
        </w:tc>
        <w:tc>
          <w:tcPr>
            <w:tcW w:w="1143" w:type="dxa"/>
            <w:tcBorders>
              <w:top w:val="single" w:color="000000" w:sz="4" w:space="0"/>
              <w:left w:val="single" w:color="000000" w:sz="4" w:space="0"/>
              <w:bottom w:val="single" w:color="000000" w:sz="4" w:space="0"/>
              <w:right w:val="single" w:color="000000" w:sz="4" w:space="0"/>
            </w:tcBorders>
            <w:vAlign w:val="center"/>
          </w:tcPr>
          <w:p w14:paraId="36D7F362">
            <w:pPr>
              <w:widowControl/>
              <w:jc w:val="center"/>
              <w:textAlignment w:val="center"/>
              <w:rPr>
                <w:rFonts w:hint="eastAsia" w:ascii="宋体" w:hAnsi="宋体" w:cs="宋体"/>
                <w:color w:val="000000"/>
                <w:kern w:val="0"/>
                <w:sz w:val="20"/>
                <w:szCs w:val="20"/>
                <w:lang w:bidi="ar"/>
              </w:rPr>
            </w:pPr>
          </w:p>
        </w:tc>
        <w:tc>
          <w:tcPr>
            <w:tcW w:w="763" w:type="dxa"/>
            <w:tcBorders>
              <w:top w:val="single" w:color="000000" w:sz="4" w:space="0"/>
              <w:left w:val="single" w:color="000000" w:sz="4" w:space="0"/>
              <w:bottom w:val="single" w:color="000000" w:sz="4" w:space="0"/>
              <w:right w:val="single" w:color="000000" w:sz="4" w:space="0"/>
            </w:tcBorders>
            <w:vAlign w:val="center"/>
          </w:tcPr>
          <w:p w14:paraId="6AA48BB3">
            <w:pPr>
              <w:widowControl/>
              <w:jc w:val="center"/>
              <w:textAlignment w:val="center"/>
              <w:rPr>
                <w:rFonts w:hint="eastAsia" w:ascii="宋体" w:hAnsi="宋体" w:cs="宋体"/>
                <w:color w:val="000000"/>
                <w:kern w:val="0"/>
                <w:sz w:val="20"/>
                <w:szCs w:val="20"/>
                <w:lang w:bidi="ar"/>
              </w:rPr>
            </w:pPr>
          </w:p>
        </w:tc>
        <w:tc>
          <w:tcPr>
            <w:tcW w:w="741" w:type="dxa"/>
            <w:tcBorders>
              <w:top w:val="single" w:color="000000" w:sz="4" w:space="0"/>
              <w:left w:val="single" w:color="000000" w:sz="4" w:space="0"/>
              <w:bottom w:val="single" w:color="000000" w:sz="4" w:space="0"/>
              <w:right w:val="single" w:color="000000" w:sz="4" w:space="0"/>
            </w:tcBorders>
            <w:vAlign w:val="center"/>
          </w:tcPr>
          <w:p w14:paraId="2DA2A713">
            <w:pPr>
              <w:widowControl/>
              <w:jc w:val="center"/>
              <w:textAlignment w:val="center"/>
              <w:rPr>
                <w:rFonts w:hint="eastAsia" w:ascii="宋体" w:hAnsi="宋体" w:cs="宋体"/>
                <w:color w:val="000000"/>
                <w:kern w:val="0"/>
                <w:sz w:val="20"/>
                <w:szCs w:val="20"/>
                <w:lang w:bidi="ar"/>
              </w:rPr>
            </w:pPr>
          </w:p>
        </w:tc>
      </w:tr>
      <w:tr w14:paraId="30343C76">
        <w:tblPrEx>
          <w:tblCellMar>
            <w:top w:w="0" w:type="dxa"/>
            <w:left w:w="108" w:type="dxa"/>
            <w:bottom w:w="0" w:type="dxa"/>
            <w:right w:w="108" w:type="dxa"/>
          </w:tblCellMar>
        </w:tblPrEx>
        <w:trPr>
          <w:trHeight w:val="20" w:hRule="atLeast"/>
          <w:jc w:val="center"/>
        </w:trPr>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A6F429">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155</w:t>
            </w:r>
          </w:p>
        </w:tc>
        <w:tc>
          <w:tcPr>
            <w:tcW w:w="2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63EEF2">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无菌采样袋1</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6C10FC">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20cm*22cm  100个/包</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459098">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包</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366BE7">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4</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4F517C">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100</w:t>
            </w:r>
          </w:p>
        </w:tc>
        <w:tc>
          <w:tcPr>
            <w:tcW w:w="992" w:type="dxa"/>
            <w:tcBorders>
              <w:top w:val="single" w:color="000000" w:sz="4" w:space="0"/>
              <w:left w:val="single" w:color="000000" w:sz="4" w:space="0"/>
              <w:bottom w:val="single" w:color="000000" w:sz="4" w:space="0"/>
              <w:right w:val="single" w:color="000000" w:sz="4" w:space="0"/>
            </w:tcBorders>
            <w:vAlign w:val="center"/>
          </w:tcPr>
          <w:p w14:paraId="6BD22CF7">
            <w:pPr>
              <w:widowControl/>
              <w:jc w:val="center"/>
              <w:textAlignment w:val="center"/>
              <w:rPr>
                <w:rFonts w:hint="eastAsia" w:ascii="宋体" w:hAnsi="宋体" w:cs="宋体"/>
                <w:color w:val="000000"/>
                <w:kern w:val="0"/>
                <w:sz w:val="20"/>
                <w:szCs w:val="20"/>
                <w:lang w:bidi="ar"/>
              </w:rPr>
            </w:pPr>
          </w:p>
        </w:tc>
        <w:tc>
          <w:tcPr>
            <w:tcW w:w="1239" w:type="dxa"/>
            <w:tcBorders>
              <w:top w:val="single" w:color="000000" w:sz="4" w:space="0"/>
              <w:left w:val="single" w:color="000000" w:sz="4" w:space="0"/>
              <w:bottom w:val="single" w:color="000000" w:sz="4" w:space="0"/>
              <w:right w:val="single" w:color="000000" w:sz="4" w:space="0"/>
            </w:tcBorders>
            <w:vAlign w:val="center"/>
          </w:tcPr>
          <w:p w14:paraId="773F2F17">
            <w:pPr>
              <w:widowControl/>
              <w:jc w:val="center"/>
              <w:textAlignment w:val="center"/>
              <w:rPr>
                <w:rFonts w:hint="eastAsia" w:ascii="宋体" w:hAnsi="宋体" w:cs="宋体"/>
                <w:color w:val="000000"/>
                <w:kern w:val="0"/>
                <w:sz w:val="20"/>
                <w:szCs w:val="20"/>
                <w:lang w:bidi="ar"/>
              </w:rPr>
            </w:pPr>
          </w:p>
        </w:tc>
        <w:tc>
          <w:tcPr>
            <w:tcW w:w="900" w:type="dxa"/>
            <w:tcBorders>
              <w:top w:val="single" w:color="000000" w:sz="4" w:space="0"/>
              <w:left w:val="single" w:color="000000" w:sz="4" w:space="0"/>
              <w:bottom w:val="single" w:color="000000" w:sz="4" w:space="0"/>
              <w:right w:val="single" w:color="000000" w:sz="4" w:space="0"/>
            </w:tcBorders>
            <w:vAlign w:val="center"/>
          </w:tcPr>
          <w:p w14:paraId="6CC8848E">
            <w:pPr>
              <w:widowControl/>
              <w:jc w:val="center"/>
              <w:textAlignment w:val="center"/>
              <w:rPr>
                <w:rFonts w:hint="eastAsia" w:ascii="宋体" w:hAnsi="宋体" w:cs="宋体"/>
                <w:color w:val="000000"/>
                <w:kern w:val="0"/>
                <w:sz w:val="20"/>
                <w:szCs w:val="20"/>
                <w:lang w:bidi="ar"/>
              </w:rPr>
            </w:pPr>
          </w:p>
        </w:tc>
        <w:tc>
          <w:tcPr>
            <w:tcW w:w="832" w:type="dxa"/>
            <w:tcBorders>
              <w:top w:val="single" w:color="000000" w:sz="4" w:space="0"/>
              <w:left w:val="single" w:color="000000" w:sz="4" w:space="0"/>
              <w:bottom w:val="single" w:color="000000" w:sz="4" w:space="0"/>
              <w:right w:val="single" w:color="000000" w:sz="4" w:space="0"/>
            </w:tcBorders>
            <w:vAlign w:val="center"/>
          </w:tcPr>
          <w:p w14:paraId="4C046BEE">
            <w:pPr>
              <w:widowControl/>
              <w:jc w:val="center"/>
              <w:textAlignment w:val="center"/>
              <w:rPr>
                <w:rFonts w:hint="eastAsia" w:ascii="宋体" w:hAnsi="宋体" w:cs="宋体"/>
                <w:color w:val="000000"/>
                <w:kern w:val="0"/>
                <w:sz w:val="20"/>
                <w:szCs w:val="20"/>
                <w:lang w:bidi="ar"/>
              </w:rPr>
            </w:pPr>
          </w:p>
        </w:tc>
        <w:tc>
          <w:tcPr>
            <w:tcW w:w="1143" w:type="dxa"/>
            <w:tcBorders>
              <w:top w:val="single" w:color="000000" w:sz="4" w:space="0"/>
              <w:left w:val="single" w:color="000000" w:sz="4" w:space="0"/>
              <w:bottom w:val="single" w:color="000000" w:sz="4" w:space="0"/>
              <w:right w:val="single" w:color="000000" w:sz="4" w:space="0"/>
            </w:tcBorders>
            <w:vAlign w:val="center"/>
          </w:tcPr>
          <w:p w14:paraId="5F8D5AB1">
            <w:pPr>
              <w:widowControl/>
              <w:jc w:val="center"/>
              <w:textAlignment w:val="center"/>
              <w:rPr>
                <w:rFonts w:hint="eastAsia" w:ascii="宋体" w:hAnsi="宋体" w:cs="宋体"/>
                <w:color w:val="000000"/>
                <w:kern w:val="0"/>
                <w:sz w:val="20"/>
                <w:szCs w:val="20"/>
                <w:lang w:bidi="ar"/>
              </w:rPr>
            </w:pPr>
          </w:p>
        </w:tc>
        <w:tc>
          <w:tcPr>
            <w:tcW w:w="763" w:type="dxa"/>
            <w:tcBorders>
              <w:top w:val="single" w:color="000000" w:sz="4" w:space="0"/>
              <w:left w:val="single" w:color="000000" w:sz="4" w:space="0"/>
              <w:bottom w:val="single" w:color="000000" w:sz="4" w:space="0"/>
              <w:right w:val="single" w:color="000000" w:sz="4" w:space="0"/>
            </w:tcBorders>
            <w:vAlign w:val="center"/>
          </w:tcPr>
          <w:p w14:paraId="6B4273B0">
            <w:pPr>
              <w:widowControl/>
              <w:jc w:val="center"/>
              <w:textAlignment w:val="center"/>
              <w:rPr>
                <w:rFonts w:hint="eastAsia" w:ascii="宋体" w:hAnsi="宋体" w:cs="宋体"/>
                <w:color w:val="000000"/>
                <w:kern w:val="0"/>
                <w:sz w:val="20"/>
                <w:szCs w:val="20"/>
                <w:lang w:bidi="ar"/>
              </w:rPr>
            </w:pPr>
          </w:p>
        </w:tc>
        <w:tc>
          <w:tcPr>
            <w:tcW w:w="741" w:type="dxa"/>
            <w:tcBorders>
              <w:top w:val="single" w:color="000000" w:sz="4" w:space="0"/>
              <w:left w:val="single" w:color="000000" w:sz="4" w:space="0"/>
              <w:bottom w:val="single" w:color="000000" w:sz="4" w:space="0"/>
              <w:right w:val="single" w:color="000000" w:sz="4" w:space="0"/>
            </w:tcBorders>
            <w:vAlign w:val="center"/>
          </w:tcPr>
          <w:p w14:paraId="10E5BC35">
            <w:pPr>
              <w:widowControl/>
              <w:jc w:val="center"/>
              <w:textAlignment w:val="center"/>
              <w:rPr>
                <w:rFonts w:hint="eastAsia" w:ascii="宋体" w:hAnsi="宋体" w:cs="宋体"/>
                <w:color w:val="000000"/>
                <w:kern w:val="0"/>
                <w:sz w:val="20"/>
                <w:szCs w:val="20"/>
                <w:lang w:bidi="ar"/>
              </w:rPr>
            </w:pPr>
          </w:p>
        </w:tc>
      </w:tr>
      <w:tr w14:paraId="5F0F8C84">
        <w:tblPrEx>
          <w:tblCellMar>
            <w:top w:w="0" w:type="dxa"/>
            <w:left w:w="108" w:type="dxa"/>
            <w:bottom w:w="0" w:type="dxa"/>
            <w:right w:w="108" w:type="dxa"/>
          </w:tblCellMar>
        </w:tblPrEx>
        <w:trPr>
          <w:trHeight w:val="20" w:hRule="atLeast"/>
          <w:jc w:val="center"/>
        </w:trPr>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F43CEA">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156</w:t>
            </w:r>
          </w:p>
        </w:tc>
        <w:tc>
          <w:tcPr>
            <w:tcW w:w="2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9A4E69">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无菌采样袋2</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412D9A">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12cm*18cm  100个/包</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75E528">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包</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63C616">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4</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147821">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32</w:t>
            </w:r>
          </w:p>
        </w:tc>
        <w:tc>
          <w:tcPr>
            <w:tcW w:w="992" w:type="dxa"/>
            <w:tcBorders>
              <w:top w:val="single" w:color="000000" w:sz="4" w:space="0"/>
              <w:left w:val="single" w:color="000000" w:sz="4" w:space="0"/>
              <w:bottom w:val="single" w:color="000000" w:sz="4" w:space="0"/>
              <w:right w:val="single" w:color="000000" w:sz="4" w:space="0"/>
            </w:tcBorders>
            <w:vAlign w:val="center"/>
          </w:tcPr>
          <w:p w14:paraId="5BC3D289">
            <w:pPr>
              <w:widowControl/>
              <w:jc w:val="center"/>
              <w:textAlignment w:val="center"/>
              <w:rPr>
                <w:rFonts w:hint="eastAsia" w:ascii="宋体" w:hAnsi="宋体" w:cs="宋体"/>
                <w:color w:val="000000"/>
                <w:kern w:val="0"/>
                <w:sz w:val="20"/>
                <w:szCs w:val="20"/>
                <w:lang w:bidi="ar"/>
              </w:rPr>
            </w:pPr>
          </w:p>
        </w:tc>
        <w:tc>
          <w:tcPr>
            <w:tcW w:w="1239" w:type="dxa"/>
            <w:tcBorders>
              <w:top w:val="single" w:color="000000" w:sz="4" w:space="0"/>
              <w:left w:val="single" w:color="000000" w:sz="4" w:space="0"/>
              <w:bottom w:val="single" w:color="000000" w:sz="4" w:space="0"/>
              <w:right w:val="single" w:color="000000" w:sz="4" w:space="0"/>
            </w:tcBorders>
            <w:vAlign w:val="center"/>
          </w:tcPr>
          <w:p w14:paraId="167A9895">
            <w:pPr>
              <w:widowControl/>
              <w:jc w:val="center"/>
              <w:textAlignment w:val="center"/>
              <w:rPr>
                <w:rFonts w:hint="eastAsia" w:ascii="宋体" w:hAnsi="宋体" w:cs="宋体"/>
                <w:color w:val="000000"/>
                <w:kern w:val="0"/>
                <w:sz w:val="20"/>
                <w:szCs w:val="20"/>
                <w:lang w:bidi="ar"/>
              </w:rPr>
            </w:pPr>
          </w:p>
        </w:tc>
        <w:tc>
          <w:tcPr>
            <w:tcW w:w="900" w:type="dxa"/>
            <w:tcBorders>
              <w:top w:val="single" w:color="000000" w:sz="4" w:space="0"/>
              <w:left w:val="single" w:color="000000" w:sz="4" w:space="0"/>
              <w:bottom w:val="single" w:color="000000" w:sz="4" w:space="0"/>
              <w:right w:val="single" w:color="000000" w:sz="4" w:space="0"/>
            </w:tcBorders>
            <w:vAlign w:val="center"/>
          </w:tcPr>
          <w:p w14:paraId="17452DF1">
            <w:pPr>
              <w:widowControl/>
              <w:jc w:val="center"/>
              <w:textAlignment w:val="center"/>
              <w:rPr>
                <w:rFonts w:hint="eastAsia" w:ascii="宋体" w:hAnsi="宋体" w:cs="宋体"/>
                <w:color w:val="000000"/>
                <w:kern w:val="0"/>
                <w:sz w:val="20"/>
                <w:szCs w:val="20"/>
                <w:lang w:bidi="ar"/>
              </w:rPr>
            </w:pPr>
          </w:p>
        </w:tc>
        <w:tc>
          <w:tcPr>
            <w:tcW w:w="832" w:type="dxa"/>
            <w:tcBorders>
              <w:top w:val="single" w:color="000000" w:sz="4" w:space="0"/>
              <w:left w:val="single" w:color="000000" w:sz="4" w:space="0"/>
              <w:bottom w:val="single" w:color="000000" w:sz="4" w:space="0"/>
              <w:right w:val="single" w:color="000000" w:sz="4" w:space="0"/>
            </w:tcBorders>
            <w:vAlign w:val="center"/>
          </w:tcPr>
          <w:p w14:paraId="477238B3">
            <w:pPr>
              <w:widowControl/>
              <w:jc w:val="center"/>
              <w:textAlignment w:val="center"/>
              <w:rPr>
                <w:rFonts w:hint="eastAsia" w:ascii="宋体" w:hAnsi="宋体" w:cs="宋体"/>
                <w:color w:val="000000"/>
                <w:kern w:val="0"/>
                <w:sz w:val="20"/>
                <w:szCs w:val="20"/>
                <w:lang w:bidi="ar"/>
              </w:rPr>
            </w:pPr>
          </w:p>
        </w:tc>
        <w:tc>
          <w:tcPr>
            <w:tcW w:w="1143" w:type="dxa"/>
            <w:tcBorders>
              <w:top w:val="single" w:color="000000" w:sz="4" w:space="0"/>
              <w:left w:val="single" w:color="000000" w:sz="4" w:space="0"/>
              <w:bottom w:val="single" w:color="000000" w:sz="4" w:space="0"/>
              <w:right w:val="single" w:color="000000" w:sz="4" w:space="0"/>
            </w:tcBorders>
            <w:vAlign w:val="center"/>
          </w:tcPr>
          <w:p w14:paraId="169320F4">
            <w:pPr>
              <w:widowControl/>
              <w:jc w:val="center"/>
              <w:textAlignment w:val="center"/>
              <w:rPr>
                <w:rFonts w:hint="eastAsia" w:ascii="宋体" w:hAnsi="宋体" w:cs="宋体"/>
                <w:color w:val="000000"/>
                <w:kern w:val="0"/>
                <w:sz w:val="20"/>
                <w:szCs w:val="20"/>
                <w:lang w:bidi="ar"/>
              </w:rPr>
            </w:pPr>
          </w:p>
        </w:tc>
        <w:tc>
          <w:tcPr>
            <w:tcW w:w="763" w:type="dxa"/>
            <w:tcBorders>
              <w:top w:val="single" w:color="000000" w:sz="4" w:space="0"/>
              <w:left w:val="single" w:color="000000" w:sz="4" w:space="0"/>
              <w:bottom w:val="single" w:color="000000" w:sz="4" w:space="0"/>
              <w:right w:val="single" w:color="000000" w:sz="4" w:space="0"/>
            </w:tcBorders>
            <w:vAlign w:val="center"/>
          </w:tcPr>
          <w:p w14:paraId="58A65D8E">
            <w:pPr>
              <w:widowControl/>
              <w:jc w:val="center"/>
              <w:textAlignment w:val="center"/>
              <w:rPr>
                <w:rFonts w:hint="eastAsia" w:ascii="宋体" w:hAnsi="宋体" w:cs="宋体"/>
                <w:color w:val="000000"/>
                <w:kern w:val="0"/>
                <w:sz w:val="20"/>
                <w:szCs w:val="20"/>
                <w:lang w:bidi="ar"/>
              </w:rPr>
            </w:pPr>
          </w:p>
        </w:tc>
        <w:tc>
          <w:tcPr>
            <w:tcW w:w="741" w:type="dxa"/>
            <w:tcBorders>
              <w:top w:val="single" w:color="000000" w:sz="4" w:space="0"/>
              <w:left w:val="single" w:color="000000" w:sz="4" w:space="0"/>
              <w:bottom w:val="single" w:color="000000" w:sz="4" w:space="0"/>
              <w:right w:val="single" w:color="000000" w:sz="4" w:space="0"/>
            </w:tcBorders>
            <w:vAlign w:val="center"/>
          </w:tcPr>
          <w:p w14:paraId="3947A0C7">
            <w:pPr>
              <w:widowControl/>
              <w:jc w:val="center"/>
              <w:textAlignment w:val="center"/>
              <w:rPr>
                <w:rFonts w:hint="eastAsia" w:ascii="宋体" w:hAnsi="宋体" w:cs="宋体"/>
                <w:color w:val="000000"/>
                <w:kern w:val="0"/>
                <w:sz w:val="20"/>
                <w:szCs w:val="20"/>
                <w:lang w:bidi="ar"/>
              </w:rPr>
            </w:pPr>
          </w:p>
        </w:tc>
      </w:tr>
      <w:tr w14:paraId="5E966372">
        <w:tblPrEx>
          <w:tblCellMar>
            <w:top w:w="0" w:type="dxa"/>
            <w:left w:w="108" w:type="dxa"/>
            <w:bottom w:w="0" w:type="dxa"/>
            <w:right w:w="108" w:type="dxa"/>
          </w:tblCellMar>
        </w:tblPrEx>
        <w:trPr>
          <w:trHeight w:val="20" w:hRule="atLeast"/>
          <w:jc w:val="center"/>
        </w:trPr>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484CC0">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157</w:t>
            </w:r>
          </w:p>
        </w:tc>
        <w:tc>
          <w:tcPr>
            <w:tcW w:w="2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ADB238">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无菌采样袋3</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560DB8">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30cm*40cm 50个/包</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C8BA6C">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包</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74F289">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4</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A440F3">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153</w:t>
            </w:r>
          </w:p>
        </w:tc>
        <w:tc>
          <w:tcPr>
            <w:tcW w:w="992" w:type="dxa"/>
            <w:tcBorders>
              <w:top w:val="single" w:color="000000" w:sz="4" w:space="0"/>
              <w:left w:val="single" w:color="000000" w:sz="4" w:space="0"/>
              <w:bottom w:val="single" w:color="000000" w:sz="4" w:space="0"/>
              <w:right w:val="single" w:color="000000" w:sz="4" w:space="0"/>
            </w:tcBorders>
            <w:vAlign w:val="center"/>
          </w:tcPr>
          <w:p w14:paraId="14FC67E8">
            <w:pPr>
              <w:widowControl/>
              <w:jc w:val="center"/>
              <w:textAlignment w:val="center"/>
              <w:rPr>
                <w:rFonts w:hint="eastAsia" w:ascii="宋体" w:hAnsi="宋体" w:cs="宋体"/>
                <w:color w:val="000000"/>
                <w:kern w:val="0"/>
                <w:sz w:val="20"/>
                <w:szCs w:val="20"/>
                <w:lang w:bidi="ar"/>
              </w:rPr>
            </w:pPr>
          </w:p>
        </w:tc>
        <w:tc>
          <w:tcPr>
            <w:tcW w:w="1239" w:type="dxa"/>
            <w:tcBorders>
              <w:top w:val="single" w:color="000000" w:sz="4" w:space="0"/>
              <w:left w:val="single" w:color="000000" w:sz="4" w:space="0"/>
              <w:bottom w:val="single" w:color="000000" w:sz="4" w:space="0"/>
              <w:right w:val="single" w:color="000000" w:sz="4" w:space="0"/>
            </w:tcBorders>
            <w:vAlign w:val="center"/>
          </w:tcPr>
          <w:p w14:paraId="25E372BD">
            <w:pPr>
              <w:widowControl/>
              <w:jc w:val="center"/>
              <w:textAlignment w:val="center"/>
              <w:rPr>
                <w:rFonts w:hint="eastAsia" w:ascii="宋体" w:hAnsi="宋体" w:cs="宋体"/>
                <w:color w:val="000000"/>
                <w:kern w:val="0"/>
                <w:sz w:val="20"/>
                <w:szCs w:val="20"/>
                <w:lang w:bidi="ar"/>
              </w:rPr>
            </w:pPr>
          </w:p>
        </w:tc>
        <w:tc>
          <w:tcPr>
            <w:tcW w:w="900" w:type="dxa"/>
            <w:tcBorders>
              <w:top w:val="single" w:color="000000" w:sz="4" w:space="0"/>
              <w:left w:val="single" w:color="000000" w:sz="4" w:space="0"/>
              <w:bottom w:val="single" w:color="000000" w:sz="4" w:space="0"/>
              <w:right w:val="single" w:color="000000" w:sz="4" w:space="0"/>
            </w:tcBorders>
            <w:vAlign w:val="center"/>
          </w:tcPr>
          <w:p w14:paraId="60EC4E8D">
            <w:pPr>
              <w:widowControl/>
              <w:jc w:val="center"/>
              <w:textAlignment w:val="center"/>
              <w:rPr>
                <w:rFonts w:hint="eastAsia" w:ascii="宋体" w:hAnsi="宋体" w:cs="宋体"/>
                <w:color w:val="000000"/>
                <w:kern w:val="0"/>
                <w:sz w:val="20"/>
                <w:szCs w:val="20"/>
                <w:lang w:bidi="ar"/>
              </w:rPr>
            </w:pPr>
          </w:p>
        </w:tc>
        <w:tc>
          <w:tcPr>
            <w:tcW w:w="832" w:type="dxa"/>
            <w:tcBorders>
              <w:top w:val="single" w:color="000000" w:sz="4" w:space="0"/>
              <w:left w:val="single" w:color="000000" w:sz="4" w:space="0"/>
              <w:bottom w:val="single" w:color="000000" w:sz="4" w:space="0"/>
              <w:right w:val="single" w:color="000000" w:sz="4" w:space="0"/>
            </w:tcBorders>
            <w:vAlign w:val="center"/>
          </w:tcPr>
          <w:p w14:paraId="51A7CC13">
            <w:pPr>
              <w:widowControl/>
              <w:jc w:val="center"/>
              <w:textAlignment w:val="center"/>
              <w:rPr>
                <w:rFonts w:hint="eastAsia" w:ascii="宋体" w:hAnsi="宋体" w:cs="宋体"/>
                <w:color w:val="000000"/>
                <w:kern w:val="0"/>
                <w:sz w:val="20"/>
                <w:szCs w:val="20"/>
                <w:lang w:bidi="ar"/>
              </w:rPr>
            </w:pPr>
          </w:p>
        </w:tc>
        <w:tc>
          <w:tcPr>
            <w:tcW w:w="1143" w:type="dxa"/>
            <w:tcBorders>
              <w:top w:val="single" w:color="000000" w:sz="4" w:space="0"/>
              <w:left w:val="single" w:color="000000" w:sz="4" w:space="0"/>
              <w:bottom w:val="single" w:color="000000" w:sz="4" w:space="0"/>
              <w:right w:val="single" w:color="000000" w:sz="4" w:space="0"/>
            </w:tcBorders>
            <w:vAlign w:val="center"/>
          </w:tcPr>
          <w:p w14:paraId="5E0FA1F3">
            <w:pPr>
              <w:widowControl/>
              <w:jc w:val="center"/>
              <w:textAlignment w:val="center"/>
              <w:rPr>
                <w:rFonts w:hint="eastAsia" w:ascii="宋体" w:hAnsi="宋体" w:cs="宋体"/>
                <w:color w:val="000000"/>
                <w:kern w:val="0"/>
                <w:sz w:val="20"/>
                <w:szCs w:val="20"/>
                <w:lang w:bidi="ar"/>
              </w:rPr>
            </w:pPr>
          </w:p>
        </w:tc>
        <w:tc>
          <w:tcPr>
            <w:tcW w:w="763" w:type="dxa"/>
            <w:tcBorders>
              <w:top w:val="single" w:color="000000" w:sz="4" w:space="0"/>
              <w:left w:val="single" w:color="000000" w:sz="4" w:space="0"/>
              <w:bottom w:val="single" w:color="000000" w:sz="4" w:space="0"/>
              <w:right w:val="single" w:color="000000" w:sz="4" w:space="0"/>
            </w:tcBorders>
            <w:vAlign w:val="center"/>
          </w:tcPr>
          <w:p w14:paraId="050C5E7C">
            <w:pPr>
              <w:widowControl/>
              <w:jc w:val="center"/>
              <w:textAlignment w:val="center"/>
              <w:rPr>
                <w:rFonts w:hint="eastAsia" w:ascii="宋体" w:hAnsi="宋体" w:cs="宋体"/>
                <w:color w:val="000000"/>
                <w:kern w:val="0"/>
                <w:sz w:val="20"/>
                <w:szCs w:val="20"/>
                <w:lang w:bidi="ar"/>
              </w:rPr>
            </w:pPr>
          </w:p>
        </w:tc>
        <w:tc>
          <w:tcPr>
            <w:tcW w:w="741" w:type="dxa"/>
            <w:tcBorders>
              <w:top w:val="single" w:color="000000" w:sz="4" w:space="0"/>
              <w:left w:val="single" w:color="000000" w:sz="4" w:space="0"/>
              <w:bottom w:val="single" w:color="000000" w:sz="4" w:space="0"/>
              <w:right w:val="single" w:color="000000" w:sz="4" w:space="0"/>
            </w:tcBorders>
            <w:vAlign w:val="center"/>
          </w:tcPr>
          <w:p w14:paraId="3F41A462">
            <w:pPr>
              <w:widowControl/>
              <w:jc w:val="center"/>
              <w:textAlignment w:val="center"/>
              <w:rPr>
                <w:rFonts w:hint="eastAsia" w:ascii="宋体" w:hAnsi="宋体" w:cs="宋体"/>
                <w:color w:val="000000"/>
                <w:kern w:val="0"/>
                <w:sz w:val="20"/>
                <w:szCs w:val="20"/>
                <w:lang w:bidi="ar"/>
              </w:rPr>
            </w:pPr>
          </w:p>
        </w:tc>
      </w:tr>
      <w:tr w14:paraId="3F60277B">
        <w:tblPrEx>
          <w:tblCellMar>
            <w:top w:w="0" w:type="dxa"/>
            <w:left w:w="108" w:type="dxa"/>
            <w:bottom w:w="0" w:type="dxa"/>
            <w:right w:w="108" w:type="dxa"/>
          </w:tblCellMar>
        </w:tblPrEx>
        <w:trPr>
          <w:trHeight w:val="20" w:hRule="atLeast"/>
          <w:jc w:val="center"/>
        </w:trPr>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AC8755">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158</w:t>
            </w:r>
          </w:p>
        </w:tc>
        <w:tc>
          <w:tcPr>
            <w:tcW w:w="2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E3B67D">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一次性镊子</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D70074">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蓝色</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7ABFCD">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个</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6D9F1D">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100</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50F862">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0.3</w:t>
            </w:r>
          </w:p>
        </w:tc>
        <w:tc>
          <w:tcPr>
            <w:tcW w:w="992" w:type="dxa"/>
            <w:tcBorders>
              <w:top w:val="single" w:color="000000" w:sz="4" w:space="0"/>
              <w:left w:val="single" w:color="000000" w:sz="4" w:space="0"/>
              <w:bottom w:val="single" w:color="000000" w:sz="4" w:space="0"/>
              <w:right w:val="single" w:color="000000" w:sz="4" w:space="0"/>
            </w:tcBorders>
            <w:vAlign w:val="center"/>
          </w:tcPr>
          <w:p w14:paraId="6121DADC">
            <w:pPr>
              <w:widowControl/>
              <w:jc w:val="center"/>
              <w:textAlignment w:val="center"/>
              <w:rPr>
                <w:rFonts w:hint="eastAsia" w:ascii="宋体" w:hAnsi="宋体" w:cs="宋体"/>
                <w:color w:val="000000"/>
                <w:kern w:val="0"/>
                <w:sz w:val="20"/>
                <w:szCs w:val="20"/>
                <w:lang w:bidi="ar"/>
              </w:rPr>
            </w:pPr>
          </w:p>
        </w:tc>
        <w:tc>
          <w:tcPr>
            <w:tcW w:w="1239" w:type="dxa"/>
            <w:tcBorders>
              <w:top w:val="single" w:color="000000" w:sz="4" w:space="0"/>
              <w:left w:val="single" w:color="000000" w:sz="4" w:space="0"/>
              <w:bottom w:val="single" w:color="000000" w:sz="4" w:space="0"/>
              <w:right w:val="single" w:color="000000" w:sz="4" w:space="0"/>
            </w:tcBorders>
            <w:vAlign w:val="center"/>
          </w:tcPr>
          <w:p w14:paraId="1D4D3F96">
            <w:pPr>
              <w:widowControl/>
              <w:jc w:val="center"/>
              <w:textAlignment w:val="center"/>
              <w:rPr>
                <w:rFonts w:hint="eastAsia" w:ascii="宋体" w:hAnsi="宋体" w:cs="宋体"/>
                <w:color w:val="000000"/>
                <w:kern w:val="0"/>
                <w:sz w:val="20"/>
                <w:szCs w:val="20"/>
                <w:lang w:bidi="ar"/>
              </w:rPr>
            </w:pPr>
          </w:p>
        </w:tc>
        <w:tc>
          <w:tcPr>
            <w:tcW w:w="900" w:type="dxa"/>
            <w:tcBorders>
              <w:top w:val="single" w:color="000000" w:sz="4" w:space="0"/>
              <w:left w:val="single" w:color="000000" w:sz="4" w:space="0"/>
              <w:bottom w:val="single" w:color="000000" w:sz="4" w:space="0"/>
              <w:right w:val="single" w:color="000000" w:sz="4" w:space="0"/>
            </w:tcBorders>
            <w:vAlign w:val="center"/>
          </w:tcPr>
          <w:p w14:paraId="26966359">
            <w:pPr>
              <w:widowControl/>
              <w:jc w:val="center"/>
              <w:textAlignment w:val="center"/>
              <w:rPr>
                <w:rFonts w:hint="eastAsia" w:ascii="宋体" w:hAnsi="宋体" w:cs="宋体"/>
                <w:color w:val="000000"/>
                <w:kern w:val="0"/>
                <w:sz w:val="20"/>
                <w:szCs w:val="20"/>
                <w:lang w:bidi="ar"/>
              </w:rPr>
            </w:pPr>
          </w:p>
        </w:tc>
        <w:tc>
          <w:tcPr>
            <w:tcW w:w="832" w:type="dxa"/>
            <w:tcBorders>
              <w:top w:val="single" w:color="000000" w:sz="4" w:space="0"/>
              <w:left w:val="single" w:color="000000" w:sz="4" w:space="0"/>
              <w:bottom w:val="single" w:color="000000" w:sz="4" w:space="0"/>
              <w:right w:val="single" w:color="000000" w:sz="4" w:space="0"/>
            </w:tcBorders>
            <w:vAlign w:val="center"/>
          </w:tcPr>
          <w:p w14:paraId="7D61D784">
            <w:pPr>
              <w:widowControl/>
              <w:jc w:val="center"/>
              <w:textAlignment w:val="center"/>
              <w:rPr>
                <w:rFonts w:hint="eastAsia" w:ascii="宋体" w:hAnsi="宋体" w:cs="宋体"/>
                <w:color w:val="000000"/>
                <w:kern w:val="0"/>
                <w:sz w:val="20"/>
                <w:szCs w:val="20"/>
                <w:lang w:bidi="ar"/>
              </w:rPr>
            </w:pPr>
          </w:p>
        </w:tc>
        <w:tc>
          <w:tcPr>
            <w:tcW w:w="1143" w:type="dxa"/>
            <w:tcBorders>
              <w:top w:val="single" w:color="000000" w:sz="4" w:space="0"/>
              <w:left w:val="single" w:color="000000" w:sz="4" w:space="0"/>
              <w:bottom w:val="single" w:color="000000" w:sz="4" w:space="0"/>
              <w:right w:val="single" w:color="000000" w:sz="4" w:space="0"/>
            </w:tcBorders>
            <w:vAlign w:val="center"/>
          </w:tcPr>
          <w:p w14:paraId="5EEB24DC">
            <w:pPr>
              <w:widowControl/>
              <w:jc w:val="center"/>
              <w:textAlignment w:val="center"/>
              <w:rPr>
                <w:rFonts w:hint="eastAsia" w:ascii="宋体" w:hAnsi="宋体" w:cs="宋体"/>
                <w:color w:val="000000"/>
                <w:kern w:val="0"/>
                <w:sz w:val="20"/>
                <w:szCs w:val="20"/>
                <w:lang w:bidi="ar"/>
              </w:rPr>
            </w:pPr>
          </w:p>
        </w:tc>
        <w:tc>
          <w:tcPr>
            <w:tcW w:w="763" w:type="dxa"/>
            <w:tcBorders>
              <w:top w:val="single" w:color="000000" w:sz="4" w:space="0"/>
              <w:left w:val="single" w:color="000000" w:sz="4" w:space="0"/>
              <w:bottom w:val="single" w:color="000000" w:sz="4" w:space="0"/>
              <w:right w:val="single" w:color="000000" w:sz="4" w:space="0"/>
            </w:tcBorders>
            <w:vAlign w:val="center"/>
          </w:tcPr>
          <w:p w14:paraId="65EDE519">
            <w:pPr>
              <w:widowControl/>
              <w:jc w:val="center"/>
              <w:textAlignment w:val="center"/>
              <w:rPr>
                <w:rFonts w:hint="eastAsia" w:ascii="宋体" w:hAnsi="宋体" w:cs="宋体"/>
                <w:color w:val="000000"/>
                <w:kern w:val="0"/>
                <w:sz w:val="20"/>
                <w:szCs w:val="20"/>
                <w:lang w:bidi="ar"/>
              </w:rPr>
            </w:pPr>
          </w:p>
        </w:tc>
        <w:tc>
          <w:tcPr>
            <w:tcW w:w="741" w:type="dxa"/>
            <w:tcBorders>
              <w:top w:val="single" w:color="000000" w:sz="4" w:space="0"/>
              <w:left w:val="single" w:color="000000" w:sz="4" w:space="0"/>
              <w:bottom w:val="single" w:color="000000" w:sz="4" w:space="0"/>
              <w:right w:val="single" w:color="000000" w:sz="4" w:space="0"/>
            </w:tcBorders>
            <w:vAlign w:val="center"/>
          </w:tcPr>
          <w:p w14:paraId="6E1C035C">
            <w:pPr>
              <w:widowControl/>
              <w:jc w:val="center"/>
              <w:textAlignment w:val="center"/>
              <w:rPr>
                <w:rFonts w:hint="eastAsia" w:ascii="宋体" w:hAnsi="宋体" w:cs="宋体"/>
                <w:color w:val="000000"/>
                <w:kern w:val="0"/>
                <w:sz w:val="20"/>
                <w:szCs w:val="20"/>
                <w:lang w:bidi="ar"/>
              </w:rPr>
            </w:pPr>
          </w:p>
        </w:tc>
      </w:tr>
      <w:tr w14:paraId="7081E1B8">
        <w:tblPrEx>
          <w:tblCellMar>
            <w:top w:w="0" w:type="dxa"/>
            <w:left w:w="108" w:type="dxa"/>
            <w:bottom w:w="0" w:type="dxa"/>
            <w:right w:w="108" w:type="dxa"/>
          </w:tblCellMar>
        </w:tblPrEx>
        <w:trPr>
          <w:trHeight w:val="20" w:hRule="atLeast"/>
          <w:jc w:val="center"/>
        </w:trPr>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422DAF">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159</w:t>
            </w:r>
          </w:p>
        </w:tc>
        <w:tc>
          <w:tcPr>
            <w:tcW w:w="2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7EBB4E">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不锈钢镊子1</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440095">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圆直头12.5cm</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939937">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个</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3F6C1C">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5</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37000F">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13</w:t>
            </w:r>
          </w:p>
        </w:tc>
        <w:tc>
          <w:tcPr>
            <w:tcW w:w="992" w:type="dxa"/>
            <w:tcBorders>
              <w:top w:val="single" w:color="000000" w:sz="4" w:space="0"/>
              <w:left w:val="single" w:color="000000" w:sz="4" w:space="0"/>
              <w:bottom w:val="single" w:color="000000" w:sz="4" w:space="0"/>
              <w:right w:val="single" w:color="000000" w:sz="4" w:space="0"/>
            </w:tcBorders>
            <w:vAlign w:val="center"/>
          </w:tcPr>
          <w:p w14:paraId="00C92DAC">
            <w:pPr>
              <w:widowControl/>
              <w:jc w:val="center"/>
              <w:textAlignment w:val="center"/>
              <w:rPr>
                <w:rFonts w:hint="eastAsia" w:ascii="宋体" w:hAnsi="宋体" w:cs="宋体"/>
                <w:color w:val="000000"/>
                <w:kern w:val="0"/>
                <w:sz w:val="20"/>
                <w:szCs w:val="20"/>
                <w:lang w:bidi="ar"/>
              </w:rPr>
            </w:pPr>
          </w:p>
        </w:tc>
        <w:tc>
          <w:tcPr>
            <w:tcW w:w="1239" w:type="dxa"/>
            <w:tcBorders>
              <w:top w:val="single" w:color="000000" w:sz="4" w:space="0"/>
              <w:left w:val="single" w:color="000000" w:sz="4" w:space="0"/>
              <w:bottom w:val="single" w:color="000000" w:sz="4" w:space="0"/>
              <w:right w:val="single" w:color="000000" w:sz="4" w:space="0"/>
            </w:tcBorders>
            <w:vAlign w:val="center"/>
          </w:tcPr>
          <w:p w14:paraId="548B4B39">
            <w:pPr>
              <w:widowControl/>
              <w:jc w:val="center"/>
              <w:textAlignment w:val="center"/>
              <w:rPr>
                <w:rFonts w:hint="eastAsia" w:ascii="宋体" w:hAnsi="宋体" w:cs="宋体"/>
                <w:color w:val="000000"/>
                <w:kern w:val="0"/>
                <w:sz w:val="20"/>
                <w:szCs w:val="20"/>
                <w:lang w:bidi="ar"/>
              </w:rPr>
            </w:pPr>
          </w:p>
        </w:tc>
        <w:tc>
          <w:tcPr>
            <w:tcW w:w="900" w:type="dxa"/>
            <w:tcBorders>
              <w:top w:val="single" w:color="000000" w:sz="4" w:space="0"/>
              <w:left w:val="single" w:color="000000" w:sz="4" w:space="0"/>
              <w:bottom w:val="single" w:color="000000" w:sz="4" w:space="0"/>
              <w:right w:val="single" w:color="000000" w:sz="4" w:space="0"/>
            </w:tcBorders>
            <w:vAlign w:val="center"/>
          </w:tcPr>
          <w:p w14:paraId="387DE577">
            <w:pPr>
              <w:widowControl/>
              <w:jc w:val="center"/>
              <w:textAlignment w:val="center"/>
              <w:rPr>
                <w:rFonts w:hint="eastAsia" w:ascii="宋体" w:hAnsi="宋体" w:cs="宋体"/>
                <w:color w:val="000000"/>
                <w:kern w:val="0"/>
                <w:sz w:val="20"/>
                <w:szCs w:val="20"/>
                <w:lang w:bidi="ar"/>
              </w:rPr>
            </w:pPr>
          </w:p>
        </w:tc>
        <w:tc>
          <w:tcPr>
            <w:tcW w:w="832" w:type="dxa"/>
            <w:tcBorders>
              <w:top w:val="single" w:color="000000" w:sz="4" w:space="0"/>
              <w:left w:val="single" w:color="000000" w:sz="4" w:space="0"/>
              <w:bottom w:val="single" w:color="000000" w:sz="4" w:space="0"/>
              <w:right w:val="single" w:color="000000" w:sz="4" w:space="0"/>
            </w:tcBorders>
            <w:vAlign w:val="center"/>
          </w:tcPr>
          <w:p w14:paraId="0B0198AC">
            <w:pPr>
              <w:widowControl/>
              <w:jc w:val="center"/>
              <w:textAlignment w:val="center"/>
              <w:rPr>
                <w:rFonts w:hint="eastAsia" w:ascii="宋体" w:hAnsi="宋体" w:cs="宋体"/>
                <w:color w:val="000000"/>
                <w:kern w:val="0"/>
                <w:sz w:val="20"/>
                <w:szCs w:val="20"/>
                <w:lang w:bidi="ar"/>
              </w:rPr>
            </w:pPr>
          </w:p>
        </w:tc>
        <w:tc>
          <w:tcPr>
            <w:tcW w:w="1143" w:type="dxa"/>
            <w:tcBorders>
              <w:top w:val="single" w:color="000000" w:sz="4" w:space="0"/>
              <w:left w:val="single" w:color="000000" w:sz="4" w:space="0"/>
              <w:bottom w:val="single" w:color="000000" w:sz="4" w:space="0"/>
              <w:right w:val="single" w:color="000000" w:sz="4" w:space="0"/>
            </w:tcBorders>
            <w:vAlign w:val="center"/>
          </w:tcPr>
          <w:p w14:paraId="56D4427F">
            <w:pPr>
              <w:widowControl/>
              <w:jc w:val="center"/>
              <w:textAlignment w:val="center"/>
              <w:rPr>
                <w:rFonts w:hint="eastAsia" w:ascii="宋体" w:hAnsi="宋体" w:cs="宋体"/>
                <w:color w:val="000000"/>
                <w:kern w:val="0"/>
                <w:sz w:val="20"/>
                <w:szCs w:val="20"/>
                <w:lang w:bidi="ar"/>
              </w:rPr>
            </w:pPr>
          </w:p>
        </w:tc>
        <w:tc>
          <w:tcPr>
            <w:tcW w:w="763" w:type="dxa"/>
            <w:tcBorders>
              <w:top w:val="single" w:color="000000" w:sz="4" w:space="0"/>
              <w:left w:val="single" w:color="000000" w:sz="4" w:space="0"/>
              <w:bottom w:val="single" w:color="000000" w:sz="4" w:space="0"/>
              <w:right w:val="single" w:color="000000" w:sz="4" w:space="0"/>
            </w:tcBorders>
            <w:vAlign w:val="center"/>
          </w:tcPr>
          <w:p w14:paraId="4450F739">
            <w:pPr>
              <w:widowControl/>
              <w:jc w:val="center"/>
              <w:textAlignment w:val="center"/>
              <w:rPr>
                <w:rFonts w:hint="eastAsia" w:ascii="宋体" w:hAnsi="宋体" w:cs="宋体"/>
                <w:color w:val="000000"/>
                <w:kern w:val="0"/>
                <w:sz w:val="20"/>
                <w:szCs w:val="20"/>
                <w:lang w:bidi="ar"/>
              </w:rPr>
            </w:pPr>
          </w:p>
        </w:tc>
        <w:tc>
          <w:tcPr>
            <w:tcW w:w="741" w:type="dxa"/>
            <w:tcBorders>
              <w:top w:val="single" w:color="000000" w:sz="4" w:space="0"/>
              <w:left w:val="single" w:color="000000" w:sz="4" w:space="0"/>
              <w:bottom w:val="single" w:color="000000" w:sz="4" w:space="0"/>
              <w:right w:val="single" w:color="000000" w:sz="4" w:space="0"/>
            </w:tcBorders>
            <w:vAlign w:val="center"/>
          </w:tcPr>
          <w:p w14:paraId="155A3B97">
            <w:pPr>
              <w:widowControl/>
              <w:jc w:val="center"/>
              <w:textAlignment w:val="center"/>
              <w:rPr>
                <w:rFonts w:hint="eastAsia" w:ascii="宋体" w:hAnsi="宋体" w:cs="宋体"/>
                <w:color w:val="000000"/>
                <w:kern w:val="0"/>
                <w:sz w:val="20"/>
                <w:szCs w:val="20"/>
                <w:lang w:bidi="ar"/>
              </w:rPr>
            </w:pPr>
          </w:p>
        </w:tc>
      </w:tr>
      <w:tr w14:paraId="6E9B7891">
        <w:tblPrEx>
          <w:tblCellMar>
            <w:top w:w="0" w:type="dxa"/>
            <w:left w:w="108" w:type="dxa"/>
            <w:bottom w:w="0" w:type="dxa"/>
            <w:right w:w="108" w:type="dxa"/>
          </w:tblCellMar>
        </w:tblPrEx>
        <w:trPr>
          <w:trHeight w:val="20" w:hRule="atLeast"/>
          <w:jc w:val="center"/>
        </w:trPr>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E7833C">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160</w:t>
            </w:r>
          </w:p>
        </w:tc>
        <w:tc>
          <w:tcPr>
            <w:tcW w:w="2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FEDBF3">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不锈钢镊子2</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5AC3F5">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圆直头20cm</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F6B635">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个</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C9F99B">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5</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748D6B">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20</w:t>
            </w:r>
          </w:p>
        </w:tc>
        <w:tc>
          <w:tcPr>
            <w:tcW w:w="992" w:type="dxa"/>
            <w:tcBorders>
              <w:top w:val="single" w:color="000000" w:sz="4" w:space="0"/>
              <w:left w:val="single" w:color="000000" w:sz="4" w:space="0"/>
              <w:bottom w:val="single" w:color="000000" w:sz="4" w:space="0"/>
              <w:right w:val="single" w:color="000000" w:sz="4" w:space="0"/>
            </w:tcBorders>
            <w:vAlign w:val="center"/>
          </w:tcPr>
          <w:p w14:paraId="5837600E">
            <w:pPr>
              <w:widowControl/>
              <w:jc w:val="center"/>
              <w:textAlignment w:val="center"/>
              <w:rPr>
                <w:rFonts w:hint="eastAsia" w:ascii="宋体" w:hAnsi="宋体" w:cs="宋体"/>
                <w:color w:val="000000"/>
                <w:kern w:val="0"/>
                <w:sz w:val="20"/>
                <w:szCs w:val="20"/>
                <w:lang w:bidi="ar"/>
              </w:rPr>
            </w:pPr>
          </w:p>
        </w:tc>
        <w:tc>
          <w:tcPr>
            <w:tcW w:w="1239" w:type="dxa"/>
            <w:tcBorders>
              <w:top w:val="single" w:color="000000" w:sz="4" w:space="0"/>
              <w:left w:val="single" w:color="000000" w:sz="4" w:space="0"/>
              <w:bottom w:val="single" w:color="000000" w:sz="4" w:space="0"/>
              <w:right w:val="single" w:color="000000" w:sz="4" w:space="0"/>
            </w:tcBorders>
            <w:vAlign w:val="center"/>
          </w:tcPr>
          <w:p w14:paraId="2F25B5A6">
            <w:pPr>
              <w:widowControl/>
              <w:jc w:val="center"/>
              <w:textAlignment w:val="center"/>
              <w:rPr>
                <w:rFonts w:hint="eastAsia" w:ascii="宋体" w:hAnsi="宋体" w:cs="宋体"/>
                <w:color w:val="000000"/>
                <w:kern w:val="0"/>
                <w:sz w:val="20"/>
                <w:szCs w:val="20"/>
                <w:lang w:bidi="ar"/>
              </w:rPr>
            </w:pPr>
          </w:p>
        </w:tc>
        <w:tc>
          <w:tcPr>
            <w:tcW w:w="900" w:type="dxa"/>
            <w:tcBorders>
              <w:top w:val="single" w:color="000000" w:sz="4" w:space="0"/>
              <w:left w:val="single" w:color="000000" w:sz="4" w:space="0"/>
              <w:bottom w:val="single" w:color="000000" w:sz="4" w:space="0"/>
              <w:right w:val="single" w:color="000000" w:sz="4" w:space="0"/>
            </w:tcBorders>
            <w:vAlign w:val="center"/>
          </w:tcPr>
          <w:p w14:paraId="18ECB156">
            <w:pPr>
              <w:widowControl/>
              <w:jc w:val="center"/>
              <w:textAlignment w:val="center"/>
              <w:rPr>
                <w:rFonts w:hint="eastAsia" w:ascii="宋体" w:hAnsi="宋体" w:cs="宋体"/>
                <w:color w:val="000000"/>
                <w:kern w:val="0"/>
                <w:sz w:val="20"/>
                <w:szCs w:val="20"/>
                <w:lang w:bidi="ar"/>
              </w:rPr>
            </w:pPr>
          </w:p>
        </w:tc>
        <w:tc>
          <w:tcPr>
            <w:tcW w:w="832" w:type="dxa"/>
            <w:tcBorders>
              <w:top w:val="single" w:color="000000" w:sz="4" w:space="0"/>
              <w:left w:val="single" w:color="000000" w:sz="4" w:space="0"/>
              <w:bottom w:val="single" w:color="000000" w:sz="4" w:space="0"/>
              <w:right w:val="single" w:color="000000" w:sz="4" w:space="0"/>
            </w:tcBorders>
            <w:vAlign w:val="center"/>
          </w:tcPr>
          <w:p w14:paraId="1543C4EE">
            <w:pPr>
              <w:widowControl/>
              <w:jc w:val="center"/>
              <w:textAlignment w:val="center"/>
              <w:rPr>
                <w:rFonts w:hint="eastAsia" w:ascii="宋体" w:hAnsi="宋体" w:cs="宋体"/>
                <w:color w:val="000000"/>
                <w:kern w:val="0"/>
                <w:sz w:val="20"/>
                <w:szCs w:val="20"/>
                <w:lang w:bidi="ar"/>
              </w:rPr>
            </w:pPr>
          </w:p>
        </w:tc>
        <w:tc>
          <w:tcPr>
            <w:tcW w:w="1143" w:type="dxa"/>
            <w:tcBorders>
              <w:top w:val="single" w:color="000000" w:sz="4" w:space="0"/>
              <w:left w:val="single" w:color="000000" w:sz="4" w:space="0"/>
              <w:bottom w:val="single" w:color="000000" w:sz="4" w:space="0"/>
              <w:right w:val="single" w:color="000000" w:sz="4" w:space="0"/>
            </w:tcBorders>
            <w:vAlign w:val="center"/>
          </w:tcPr>
          <w:p w14:paraId="51F2C0B0">
            <w:pPr>
              <w:widowControl/>
              <w:jc w:val="center"/>
              <w:textAlignment w:val="center"/>
              <w:rPr>
                <w:rFonts w:hint="eastAsia" w:ascii="宋体" w:hAnsi="宋体" w:cs="宋体"/>
                <w:color w:val="000000"/>
                <w:kern w:val="0"/>
                <w:sz w:val="20"/>
                <w:szCs w:val="20"/>
                <w:lang w:bidi="ar"/>
              </w:rPr>
            </w:pPr>
          </w:p>
        </w:tc>
        <w:tc>
          <w:tcPr>
            <w:tcW w:w="763" w:type="dxa"/>
            <w:tcBorders>
              <w:top w:val="single" w:color="000000" w:sz="4" w:space="0"/>
              <w:left w:val="single" w:color="000000" w:sz="4" w:space="0"/>
              <w:bottom w:val="single" w:color="000000" w:sz="4" w:space="0"/>
              <w:right w:val="single" w:color="000000" w:sz="4" w:space="0"/>
            </w:tcBorders>
            <w:vAlign w:val="center"/>
          </w:tcPr>
          <w:p w14:paraId="5EDEBD37">
            <w:pPr>
              <w:widowControl/>
              <w:jc w:val="center"/>
              <w:textAlignment w:val="center"/>
              <w:rPr>
                <w:rFonts w:hint="eastAsia" w:ascii="宋体" w:hAnsi="宋体" w:cs="宋体"/>
                <w:color w:val="000000"/>
                <w:kern w:val="0"/>
                <w:sz w:val="20"/>
                <w:szCs w:val="20"/>
                <w:lang w:bidi="ar"/>
              </w:rPr>
            </w:pPr>
          </w:p>
        </w:tc>
        <w:tc>
          <w:tcPr>
            <w:tcW w:w="741" w:type="dxa"/>
            <w:tcBorders>
              <w:top w:val="single" w:color="000000" w:sz="4" w:space="0"/>
              <w:left w:val="single" w:color="000000" w:sz="4" w:space="0"/>
              <w:bottom w:val="single" w:color="000000" w:sz="4" w:space="0"/>
              <w:right w:val="single" w:color="000000" w:sz="4" w:space="0"/>
            </w:tcBorders>
            <w:vAlign w:val="center"/>
          </w:tcPr>
          <w:p w14:paraId="6FEBA6AD">
            <w:pPr>
              <w:widowControl/>
              <w:jc w:val="center"/>
              <w:textAlignment w:val="center"/>
              <w:rPr>
                <w:rFonts w:hint="eastAsia" w:ascii="宋体" w:hAnsi="宋体" w:cs="宋体"/>
                <w:color w:val="000000"/>
                <w:kern w:val="0"/>
                <w:sz w:val="20"/>
                <w:szCs w:val="20"/>
                <w:lang w:bidi="ar"/>
              </w:rPr>
            </w:pPr>
          </w:p>
        </w:tc>
      </w:tr>
      <w:tr w14:paraId="56C64B43">
        <w:tblPrEx>
          <w:tblCellMar>
            <w:top w:w="0" w:type="dxa"/>
            <w:left w:w="108" w:type="dxa"/>
            <w:bottom w:w="0" w:type="dxa"/>
            <w:right w:w="108" w:type="dxa"/>
          </w:tblCellMar>
        </w:tblPrEx>
        <w:trPr>
          <w:trHeight w:val="20" w:hRule="atLeast"/>
          <w:jc w:val="center"/>
        </w:trPr>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152235">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161</w:t>
            </w:r>
          </w:p>
        </w:tc>
        <w:tc>
          <w:tcPr>
            <w:tcW w:w="2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503126">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无菌采样袋1</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B43EA8">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 xml:space="preserve">有吸嘴，不含硫、1000mL 10个/包  </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2AD162">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包</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49201B">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4</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E4416B">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90</w:t>
            </w:r>
          </w:p>
        </w:tc>
        <w:tc>
          <w:tcPr>
            <w:tcW w:w="992" w:type="dxa"/>
            <w:tcBorders>
              <w:top w:val="single" w:color="000000" w:sz="4" w:space="0"/>
              <w:left w:val="single" w:color="000000" w:sz="4" w:space="0"/>
              <w:bottom w:val="single" w:color="000000" w:sz="4" w:space="0"/>
              <w:right w:val="single" w:color="000000" w:sz="4" w:space="0"/>
            </w:tcBorders>
            <w:vAlign w:val="center"/>
          </w:tcPr>
          <w:p w14:paraId="32BBC370">
            <w:pPr>
              <w:widowControl/>
              <w:jc w:val="center"/>
              <w:textAlignment w:val="center"/>
              <w:rPr>
                <w:rFonts w:hint="eastAsia" w:ascii="宋体" w:hAnsi="宋体" w:cs="宋体"/>
                <w:color w:val="000000"/>
                <w:kern w:val="0"/>
                <w:sz w:val="20"/>
                <w:szCs w:val="20"/>
                <w:lang w:bidi="ar"/>
              </w:rPr>
            </w:pPr>
          </w:p>
        </w:tc>
        <w:tc>
          <w:tcPr>
            <w:tcW w:w="1239" w:type="dxa"/>
            <w:tcBorders>
              <w:top w:val="single" w:color="000000" w:sz="4" w:space="0"/>
              <w:left w:val="single" w:color="000000" w:sz="4" w:space="0"/>
              <w:bottom w:val="single" w:color="000000" w:sz="4" w:space="0"/>
              <w:right w:val="single" w:color="000000" w:sz="4" w:space="0"/>
            </w:tcBorders>
            <w:vAlign w:val="center"/>
          </w:tcPr>
          <w:p w14:paraId="236B0C86">
            <w:pPr>
              <w:widowControl/>
              <w:jc w:val="center"/>
              <w:textAlignment w:val="center"/>
              <w:rPr>
                <w:rFonts w:hint="eastAsia" w:ascii="宋体" w:hAnsi="宋体" w:cs="宋体"/>
                <w:color w:val="000000"/>
                <w:kern w:val="0"/>
                <w:sz w:val="20"/>
                <w:szCs w:val="20"/>
                <w:lang w:bidi="ar"/>
              </w:rPr>
            </w:pPr>
          </w:p>
        </w:tc>
        <w:tc>
          <w:tcPr>
            <w:tcW w:w="900" w:type="dxa"/>
            <w:tcBorders>
              <w:top w:val="single" w:color="000000" w:sz="4" w:space="0"/>
              <w:left w:val="single" w:color="000000" w:sz="4" w:space="0"/>
              <w:bottom w:val="single" w:color="000000" w:sz="4" w:space="0"/>
              <w:right w:val="single" w:color="000000" w:sz="4" w:space="0"/>
            </w:tcBorders>
            <w:vAlign w:val="center"/>
          </w:tcPr>
          <w:p w14:paraId="637B0A65">
            <w:pPr>
              <w:widowControl/>
              <w:jc w:val="center"/>
              <w:textAlignment w:val="center"/>
              <w:rPr>
                <w:rFonts w:hint="eastAsia" w:ascii="宋体" w:hAnsi="宋体" w:cs="宋体"/>
                <w:color w:val="000000"/>
                <w:kern w:val="0"/>
                <w:sz w:val="20"/>
                <w:szCs w:val="20"/>
                <w:lang w:bidi="ar"/>
              </w:rPr>
            </w:pPr>
          </w:p>
        </w:tc>
        <w:tc>
          <w:tcPr>
            <w:tcW w:w="832" w:type="dxa"/>
            <w:tcBorders>
              <w:top w:val="single" w:color="000000" w:sz="4" w:space="0"/>
              <w:left w:val="single" w:color="000000" w:sz="4" w:space="0"/>
              <w:bottom w:val="single" w:color="000000" w:sz="4" w:space="0"/>
              <w:right w:val="single" w:color="000000" w:sz="4" w:space="0"/>
            </w:tcBorders>
            <w:vAlign w:val="center"/>
          </w:tcPr>
          <w:p w14:paraId="40AE2A84">
            <w:pPr>
              <w:widowControl/>
              <w:jc w:val="center"/>
              <w:textAlignment w:val="center"/>
              <w:rPr>
                <w:rFonts w:hint="eastAsia" w:ascii="宋体" w:hAnsi="宋体" w:cs="宋体"/>
                <w:color w:val="000000"/>
                <w:kern w:val="0"/>
                <w:sz w:val="20"/>
                <w:szCs w:val="20"/>
                <w:lang w:bidi="ar"/>
              </w:rPr>
            </w:pPr>
          </w:p>
        </w:tc>
        <w:tc>
          <w:tcPr>
            <w:tcW w:w="1143" w:type="dxa"/>
            <w:tcBorders>
              <w:top w:val="single" w:color="000000" w:sz="4" w:space="0"/>
              <w:left w:val="single" w:color="000000" w:sz="4" w:space="0"/>
              <w:bottom w:val="single" w:color="000000" w:sz="4" w:space="0"/>
              <w:right w:val="single" w:color="000000" w:sz="4" w:space="0"/>
            </w:tcBorders>
            <w:vAlign w:val="center"/>
          </w:tcPr>
          <w:p w14:paraId="3583D39D">
            <w:pPr>
              <w:widowControl/>
              <w:jc w:val="center"/>
              <w:textAlignment w:val="center"/>
              <w:rPr>
                <w:rFonts w:hint="eastAsia" w:ascii="宋体" w:hAnsi="宋体" w:cs="宋体"/>
                <w:color w:val="000000"/>
                <w:kern w:val="0"/>
                <w:sz w:val="20"/>
                <w:szCs w:val="20"/>
                <w:lang w:bidi="ar"/>
              </w:rPr>
            </w:pPr>
          </w:p>
        </w:tc>
        <w:tc>
          <w:tcPr>
            <w:tcW w:w="763" w:type="dxa"/>
            <w:tcBorders>
              <w:top w:val="single" w:color="000000" w:sz="4" w:space="0"/>
              <w:left w:val="single" w:color="000000" w:sz="4" w:space="0"/>
              <w:bottom w:val="single" w:color="000000" w:sz="4" w:space="0"/>
              <w:right w:val="single" w:color="000000" w:sz="4" w:space="0"/>
            </w:tcBorders>
            <w:vAlign w:val="center"/>
          </w:tcPr>
          <w:p w14:paraId="44582214">
            <w:pPr>
              <w:widowControl/>
              <w:jc w:val="center"/>
              <w:textAlignment w:val="center"/>
              <w:rPr>
                <w:rFonts w:hint="eastAsia" w:ascii="宋体" w:hAnsi="宋体" w:cs="宋体"/>
                <w:color w:val="000000"/>
                <w:kern w:val="0"/>
                <w:sz w:val="20"/>
                <w:szCs w:val="20"/>
                <w:lang w:bidi="ar"/>
              </w:rPr>
            </w:pPr>
          </w:p>
        </w:tc>
        <w:tc>
          <w:tcPr>
            <w:tcW w:w="741" w:type="dxa"/>
            <w:tcBorders>
              <w:top w:val="single" w:color="000000" w:sz="4" w:space="0"/>
              <w:left w:val="single" w:color="000000" w:sz="4" w:space="0"/>
              <w:bottom w:val="single" w:color="000000" w:sz="4" w:space="0"/>
              <w:right w:val="single" w:color="000000" w:sz="4" w:space="0"/>
            </w:tcBorders>
            <w:vAlign w:val="center"/>
          </w:tcPr>
          <w:p w14:paraId="3E103D6D">
            <w:pPr>
              <w:widowControl/>
              <w:jc w:val="center"/>
              <w:textAlignment w:val="center"/>
              <w:rPr>
                <w:rFonts w:hint="eastAsia" w:ascii="宋体" w:hAnsi="宋体" w:cs="宋体"/>
                <w:color w:val="000000"/>
                <w:kern w:val="0"/>
                <w:sz w:val="20"/>
                <w:szCs w:val="20"/>
                <w:lang w:bidi="ar"/>
              </w:rPr>
            </w:pPr>
          </w:p>
        </w:tc>
      </w:tr>
      <w:tr w14:paraId="18B5630E">
        <w:tblPrEx>
          <w:tblCellMar>
            <w:top w:w="0" w:type="dxa"/>
            <w:left w:w="108" w:type="dxa"/>
            <w:bottom w:w="0" w:type="dxa"/>
            <w:right w:w="108" w:type="dxa"/>
          </w:tblCellMar>
        </w:tblPrEx>
        <w:trPr>
          <w:trHeight w:val="20" w:hRule="atLeast"/>
          <w:jc w:val="center"/>
        </w:trPr>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AA4082">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162</w:t>
            </w:r>
          </w:p>
        </w:tc>
        <w:tc>
          <w:tcPr>
            <w:tcW w:w="2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13548D">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无菌采样袋2</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22113D">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 xml:space="preserve">有吸嘴，不含硫、500mL 10个/包 </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9C001C">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包</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0379AD">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5</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313BEE">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50</w:t>
            </w:r>
          </w:p>
        </w:tc>
        <w:tc>
          <w:tcPr>
            <w:tcW w:w="992" w:type="dxa"/>
            <w:tcBorders>
              <w:top w:val="single" w:color="000000" w:sz="4" w:space="0"/>
              <w:left w:val="single" w:color="000000" w:sz="4" w:space="0"/>
              <w:bottom w:val="single" w:color="000000" w:sz="4" w:space="0"/>
              <w:right w:val="single" w:color="000000" w:sz="4" w:space="0"/>
            </w:tcBorders>
            <w:vAlign w:val="center"/>
          </w:tcPr>
          <w:p w14:paraId="04029646">
            <w:pPr>
              <w:widowControl/>
              <w:jc w:val="center"/>
              <w:textAlignment w:val="center"/>
              <w:rPr>
                <w:rFonts w:hint="eastAsia" w:ascii="宋体" w:hAnsi="宋体" w:cs="宋体"/>
                <w:color w:val="000000"/>
                <w:kern w:val="0"/>
                <w:sz w:val="20"/>
                <w:szCs w:val="20"/>
                <w:lang w:bidi="ar"/>
              </w:rPr>
            </w:pPr>
          </w:p>
        </w:tc>
        <w:tc>
          <w:tcPr>
            <w:tcW w:w="1239" w:type="dxa"/>
            <w:tcBorders>
              <w:top w:val="single" w:color="000000" w:sz="4" w:space="0"/>
              <w:left w:val="single" w:color="000000" w:sz="4" w:space="0"/>
              <w:bottom w:val="single" w:color="000000" w:sz="4" w:space="0"/>
              <w:right w:val="single" w:color="000000" w:sz="4" w:space="0"/>
            </w:tcBorders>
            <w:vAlign w:val="center"/>
          </w:tcPr>
          <w:p w14:paraId="1A2D874A">
            <w:pPr>
              <w:widowControl/>
              <w:jc w:val="center"/>
              <w:textAlignment w:val="center"/>
              <w:rPr>
                <w:rFonts w:hint="eastAsia" w:ascii="宋体" w:hAnsi="宋体" w:cs="宋体"/>
                <w:color w:val="000000"/>
                <w:kern w:val="0"/>
                <w:sz w:val="20"/>
                <w:szCs w:val="20"/>
                <w:lang w:bidi="ar"/>
              </w:rPr>
            </w:pPr>
          </w:p>
        </w:tc>
        <w:tc>
          <w:tcPr>
            <w:tcW w:w="900" w:type="dxa"/>
            <w:tcBorders>
              <w:top w:val="single" w:color="000000" w:sz="4" w:space="0"/>
              <w:left w:val="single" w:color="000000" w:sz="4" w:space="0"/>
              <w:bottom w:val="single" w:color="000000" w:sz="4" w:space="0"/>
              <w:right w:val="single" w:color="000000" w:sz="4" w:space="0"/>
            </w:tcBorders>
            <w:vAlign w:val="center"/>
          </w:tcPr>
          <w:p w14:paraId="7A5402B2">
            <w:pPr>
              <w:widowControl/>
              <w:jc w:val="center"/>
              <w:textAlignment w:val="center"/>
              <w:rPr>
                <w:rFonts w:hint="eastAsia" w:ascii="宋体" w:hAnsi="宋体" w:cs="宋体"/>
                <w:color w:val="000000"/>
                <w:kern w:val="0"/>
                <w:sz w:val="20"/>
                <w:szCs w:val="20"/>
                <w:lang w:bidi="ar"/>
              </w:rPr>
            </w:pPr>
          </w:p>
        </w:tc>
        <w:tc>
          <w:tcPr>
            <w:tcW w:w="832" w:type="dxa"/>
            <w:tcBorders>
              <w:top w:val="single" w:color="000000" w:sz="4" w:space="0"/>
              <w:left w:val="single" w:color="000000" w:sz="4" w:space="0"/>
              <w:bottom w:val="single" w:color="000000" w:sz="4" w:space="0"/>
              <w:right w:val="single" w:color="000000" w:sz="4" w:space="0"/>
            </w:tcBorders>
            <w:vAlign w:val="center"/>
          </w:tcPr>
          <w:p w14:paraId="323EED1F">
            <w:pPr>
              <w:widowControl/>
              <w:jc w:val="center"/>
              <w:textAlignment w:val="center"/>
              <w:rPr>
                <w:rFonts w:hint="eastAsia" w:ascii="宋体" w:hAnsi="宋体" w:cs="宋体"/>
                <w:color w:val="000000"/>
                <w:kern w:val="0"/>
                <w:sz w:val="20"/>
                <w:szCs w:val="20"/>
                <w:lang w:bidi="ar"/>
              </w:rPr>
            </w:pPr>
          </w:p>
        </w:tc>
        <w:tc>
          <w:tcPr>
            <w:tcW w:w="1143" w:type="dxa"/>
            <w:tcBorders>
              <w:top w:val="single" w:color="000000" w:sz="4" w:space="0"/>
              <w:left w:val="single" w:color="000000" w:sz="4" w:space="0"/>
              <w:bottom w:val="single" w:color="000000" w:sz="4" w:space="0"/>
              <w:right w:val="single" w:color="000000" w:sz="4" w:space="0"/>
            </w:tcBorders>
            <w:vAlign w:val="center"/>
          </w:tcPr>
          <w:p w14:paraId="5F6A1CE2">
            <w:pPr>
              <w:widowControl/>
              <w:jc w:val="center"/>
              <w:textAlignment w:val="center"/>
              <w:rPr>
                <w:rFonts w:hint="eastAsia" w:ascii="宋体" w:hAnsi="宋体" w:cs="宋体"/>
                <w:color w:val="000000"/>
                <w:kern w:val="0"/>
                <w:sz w:val="20"/>
                <w:szCs w:val="20"/>
                <w:lang w:bidi="ar"/>
              </w:rPr>
            </w:pPr>
          </w:p>
        </w:tc>
        <w:tc>
          <w:tcPr>
            <w:tcW w:w="763" w:type="dxa"/>
            <w:tcBorders>
              <w:top w:val="single" w:color="000000" w:sz="4" w:space="0"/>
              <w:left w:val="single" w:color="000000" w:sz="4" w:space="0"/>
              <w:bottom w:val="single" w:color="000000" w:sz="4" w:space="0"/>
              <w:right w:val="single" w:color="000000" w:sz="4" w:space="0"/>
            </w:tcBorders>
            <w:vAlign w:val="center"/>
          </w:tcPr>
          <w:p w14:paraId="73B7C700">
            <w:pPr>
              <w:widowControl/>
              <w:jc w:val="center"/>
              <w:textAlignment w:val="center"/>
              <w:rPr>
                <w:rFonts w:hint="eastAsia" w:ascii="宋体" w:hAnsi="宋体" w:cs="宋体"/>
                <w:color w:val="000000"/>
                <w:kern w:val="0"/>
                <w:sz w:val="20"/>
                <w:szCs w:val="20"/>
                <w:lang w:bidi="ar"/>
              </w:rPr>
            </w:pPr>
          </w:p>
        </w:tc>
        <w:tc>
          <w:tcPr>
            <w:tcW w:w="741" w:type="dxa"/>
            <w:tcBorders>
              <w:top w:val="single" w:color="000000" w:sz="4" w:space="0"/>
              <w:left w:val="single" w:color="000000" w:sz="4" w:space="0"/>
              <w:bottom w:val="single" w:color="000000" w:sz="4" w:space="0"/>
              <w:right w:val="single" w:color="000000" w:sz="4" w:space="0"/>
            </w:tcBorders>
            <w:vAlign w:val="center"/>
          </w:tcPr>
          <w:p w14:paraId="0F2CDDA9">
            <w:pPr>
              <w:widowControl/>
              <w:jc w:val="center"/>
              <w:textAlignment w:val="center"/>
              <w:rPr>
                <w:rFonts w:hint="eastAsia" w:ascii="宋体" w:hAnsi="宋体" w:cs="宋体"/>
                <w:color w:val="000000"/>
                <w:kern w:val="0"/>
                <w:sz w:val="20"/>
                <w:szCs w:val="20"/>
                <w:lang w:bidi="ar"/>
              </w:rPr>
            </w:pPr>
          </w:p>
        </w:tc>
      </w:tr>
      <w:tr w14:paraId="4DBEE3E2">
        <w:tblPrEx>
          <w:tblCellMar>
            <w:top w:w="0" w:type="dxa"/>
            <w:left w:w="108" w:type="dxa"/>
            <w:bottom w:w="0" w:type="dxa"/>
            <w:right w:w="108" w:type="dxa"/>
          </w:tblCellMar>
        </w:tblPrEx>
        <w:trPr>
          <w:trHeight w:val="20" w:hRule="atLeast"/>
          <w:jc w:val="center"/>
        </w:trPr>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CBE066">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163</w:t>
            </w:r>
          </w:p>
        </w:tc>
        <w:tc>
          <w:tcPr>
            <w:tcW w:w="2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CBEB88">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实验用封口膜1</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49D6F9">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5cm宽*38M</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91A783">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盒</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1AF454">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1F0503">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64</w:t>
            </w:r>
          </w:p>
        </w:tc>
        <w:tc>
          <w:tcPr>
            <w:tcW w:w="992" w:type="dxa"/>
            <w:tcBorders>
              <w:top w:val="single" w:color="000000" w:sz="4" w:space="0"/>
              <w:left w:val="single" w:color="000000" w:sz="4" w:space="0"/>
              <w:bottom w:val="single" w:color="000000" w:sz="4" w:space="0"/>
              <w:right w:val="single" w:color="000000" w:sz="4" w:space="0"/>
            </w:tcBorders>
            <w:vAlign w:val="center"/>
          </w:tcPr>
          <w:p w14:paraId="0F5236B8">
            <w:pPr>
              <w:widowControl/>
              <w:jc w:val="center"/>
              <w:textAlignment w:val="center"/>
              <w:rPr>
                <w:rFonts w:hint="eastAsia" w:ascii="宋体" w:hAnsi="宋体" w:cs="宋体"/>
                <w:color w:val="000000"/>
                <w:kern w:val="0"/>
                <w:sz w:val="20"/>
                <w:szCs w:val="20"/>
                <w:lang w:bidi="ar"/>
              </w:rPr>
            </w:pPr>
          </w:p>
        </w:tc>
        <w:tc>
          <w:tcPr>
            <w:tcW w:w="1239" w:type="dxa"/>
            <w:tcBorders>
              <w:top w:val="single" w:color="000000" w:sz="4" w:space="0"/>
              <w:left w:val="single" w:color="000000" w:sz="4" w:space="0"/>
              <w:bottom w:val="single" w:color="000000" w:sz="4" w:space="0"/>
              <w:right w:val="single" w:color="000000" w:sz="4" w:space="0"/>
            </w:tcBorders>
            <w:vAlign w:val="center"/>
          </w:tcPr>
          <w:p w14:paraId="44003E6E">
            <w:pPr>
              <w:widowControl/>
              <w:jc w:val="center"/>
              <w:textAlignment w:val="center"/>
              <w:rPr>
                <w:rFonts w:hint="eastAsia" w:ascii="宋体" w:hAnsi="宋体" w:cs="宋体"/>
                <w:color w:val="000000"/>
                <w:kern w:val="0"/>
                <w:sz w:val="20"/>
                <w:szCs w:val="20"/>
                <w:lang w:bidi="ar"/>
              </w:rPr>
            </w:pPr>
          </w:p>
        </w:tc>
        <w:tc>
          <w:tcPr>
            <w:tcW w:w="900" w:type="dxa"/>
            <w:tcBorders>
              <w:top w:val="single" w:color="000000" w:sz="4" w:space="0"/>
              <w:left w:val="single" w:color="000000" w:sz="4" w:space="0"/>
              <w:bottom w:val="single" w:color="000000" w:sz="4" w:space="0"/>
              <w:right w:val="single" w:color="000000" w:sz="4" w:space="0"/>
            </w:tcBorders>
            <w:vAlign w:val="center"/>
          </w:tcPr>
          <w:p w14:paraId="1FDF570B">
            <w:pPr>
              <w:widowControl/>
              <w:jc w:val="center"/>
              <w:textAlignment w:val="center"/>
              <w:rPr>
                <w:rFonts w:hint="eastAsia" w:ascii="宋体" w:hAnsi="宋体" w:cs="宋体"/>
                <w:color w:val="000000"/>
                <w:kern w:val="0"/>
                <w:sz w:val="20"/>
                <w:szCs w:val="20"/>
                <w:lang w:bidi="ar"/>
              </w:rPr>
            </w:pPr>
          </w:p>
        </w:tc>
        <w:tc>
          <w:tcPr>
            <w:tcW w:w="832" w:type="dxa"/>
            <w:tcBorders>
              <w:top w:val="single" w:color="000000" w:sz="4" w:space="0"/>
              <w:left w:val="single" w:color="000000" w:sz="4" w:space="0"/>
              <w:bottom w:val="single" w:color="000000" w:sz="4" w:space="0"/>
              <w:right w:val="single" w:color="000000" w:sz="4" w:space="0"/>
            </w:tcBorders>
            <w:vAlign w:val="center"/>
          </w:tcPr>
          <w:p w14:paraId="3636E41B">
            <w:pPr>
              <w:widowControl/>
              <w:jc w:val="center"/>
              <w:textAlignment w:val="center"/>
              <w:rPr>
                <w:rFonts w:hint="eastAsia" w:ascii="宋体" w:hAnsi="宋体" w:cs="宋体"/>
                <w:color w:val="000000"/>
                <w:kern w:val="0"/>
                <w:sz w:val="20"/>
                <w:szCs w:val="20"/>
                <w:lang w:bidi="ar"/>
              </w:rPr>
            </w:pPr>
          </w:p>
        </w:tc>
        <w:tc>
          <w:tcPr>
            <w:tcW w:w="1143" w:type="dxa"/>
            <w:tcBorders>
              <w:top w:val="single" w:color="000000" w:sz="4" w:space="0"/>
              <w:left w:val="single" w:color="000000" w:sz="4" w:space="0"/>
              <w:bottom w:val="single" w:color="000000" w:sz="4" w:space="0"/>
              <w:right w:val="single" w:color="000000" w:sz="4" w:space="0"/>
            </w:tcBorders>
            <w:vAlign w:val="center"/>
          </w:tcPr>
          <w:p w14:paraId="40B315A4">
            <w:pPr>
              <w:widowControl/>
              <w:jc w:val="center"/>
              <w:textAlignment w:val="center"/>
              <w:rPr>
                <w:rFonts w:hint="eastAsia" w:ascii="宋体" w:hAnsi="宋体" w:cs="宋体"/>
                <w:color w:val="000000"/>
                <w:kern w:val="0"/>
                <w:sz w:val="20"/>
                <w:szCs w:val="20"/>
                <w:lang w:bidi="ar"/>
              </w:rPr>
            </w:pPr>
          </w:p>
        </w:tc>
        <w:tc>
          <w:tcPr>
            <w:tcW w:w="763" w:type="dxa"/>
            <w:tcBorders>
              <w:top w:val="single" w:color="000000" w:sz="4" w:space="0"/>
              <w:left w:val="single" w:color="000000" w:sz="4" w:space="0"/>
              <w:bottom w:val="single" w:color="000000" w:sz="4" w:space="0"/>
              <w:right w:val="single" w:color="000000" w:sz="4" w:space="0"/>
            </w:tcBorders>
            <w:vAlign w:val="center"/>
          </w:tcPr>
          <w:p w14:paraId="008D3107">
            <w:pPr>
              <w:widowControl/>
              <w:jc w:val="center"/>
              <w:textAlignment w:val="center"/>
              <w:rPr>
                <w:rFonts w:hint="eastAsia" w:ascii="宋体" w:hAnsi="宋体" w:cs="宋体"/>
                <w:color w:val="000000"/>
                <w:kern w:val="0"/>
                <w:sz w:val="20"/>
                <w:szCs w:val="20"/>
                <w:lang w:bidi="ar"/>
              </w:rPr>
            </w:pPr>
          </w:p>
        </w:tc>
        <w:tc>
          <w:tcPr>
            <w:tcW w:w="741" w:type="dxa"/>
            <w:tcBorders>
              <w:top w:val="single" w:color="000000" w:sz="4" w:space="0"/>
              <w:left w:val="single" w:color="000000" w:sz="4" w:space="0"/>
              <w:bottom w:val="single" w:color="000000" w:sz="4" w:space="0"/>
              <w:right w:val="single" w:color="000000" w:sz="4" w:space="0"/>
            </w:tcBorders>
            <w:vAlign w:val="center"/>
          </w:tcPr>
          <w:p w14:paraId="6E080229">
            <w:pPr>
              <w:widowControl/>
              <w:jc w:val="center"/>
              <w:textAlignment w:val="center"/>
              <w:rPr>
                <w:rFonts w:hint="eastAsia" w:ascii="宋体" w:hAnsi="宋体" w:cs="宋体"/>
                <w:color w:val="000000"/>
                <w:kern w:val="0"/>
                <w:sz w:val="20"/>
                <w:szCs w:val="20"/>
                <w:lang w:bidi="ar"/>
              </w:rPr>
            </w:pPr>
          </w:p>
        </w:tc>
      </w:tr>
      <w:tr w14:paraId="28F94E8C">
        <w:tblPrEx>
          <w:tblCellMar>
            <w:top w:w="0" w:type="dxa"/>
            <w:left w:w="108" w:type="dxa"/>
            <w:bottom w:w="0" w:type="dxa"/>
            <w:right w:w="108" w:type="dxa"/>
          </w:tblCellMar>
        </w:tblPrEx>
        <w:trPr>
          <w:trHeight w:val="20" w:hRule="atLeast"/>
          <w:jc w:val="center"/>
        </w:trPr>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118D50">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164</w:t>
            </w:r>
          </w:p>
        </w:tc>
        <w:tc>
          <w:tcPr>
            <w:tcW w:w="2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6F47D0">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实验用封口膜2</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0D515B">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10cm宽*38M</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EF3436">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盒</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6B0E54">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3</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291535">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190</w:t>
            </w:r>
          </w:p>
        </w:tc>
        <w:tc>
          <w:tcPr>
            <w:tcW w:w="992" w:type="dxa"/>
            <w:tcBorders>
              <w:top w:val="single" w:color="000000" w:sz="4" w:space="0"/>
              <w:left w:val="single" w:color="000000" w:sz="4" w:space="0"/>
              <w:bottom w:val="single" w:color="000000" w:sz="4" w:space="0"/>
              <w:right w:val="single" w:color="000000" w:sz="4" w:space="0"/>
            </w:tcBorders>
            <w:vAlign w:val="center"/>
          </w:tcPr>
          <w:p w14:paraId="6F72DED5">
            <w:pPr>
              <w:widowControl/>
              <w:jc w:val="center"/>
              <w:textAlignment w:val="center"/>
              <w:rPr>
                <w:rFonts w:hint="eastAsia" w:ascii="宋体" w:hAnsi="宋体" w:cs="宋体"/>
                <w:color w:val="000000"/>
                <w:kern w:val="0"/>
                <w:sz w:val="20"/>
                <w:szCs w:val="20"/>
                <w:lang w:bidi="ar"/>
              </w:rPr>
            </w:pPr>
          </w:p>
        </w:tc>
        <w:tc>
          <w:tcPr>
            <w:tcW w:w="1239" w:type="dxa"/>
            <w:tcBorders>
              <w:top w:val="single" w:color="000000" w:sz="4" w:space="0"/>
              <w:left w:val="single" w:color="000000" w:sz="4" w:space="0"/>
              <w:bottom w:val="single" w:color="000000" w:sz="4" w:space="0"/>
              <w:right w:val="single" w:color="000000" w:sz="4" w:space="0"/>
            </w:tcBorders>
            <w:vAlign w:val="center"/>
          </w:tcPr>
          <w:p w14:paraId="640CF5CA">
            <w:pPr>
              <w:widowControl/>
              <w:jc w:val="center"/>
              <w:textAlignment w:val="center"/>
              <w:rPr>
                <w:rFonts w:hint="eastAsia" w:ascii="宋体" w:hAnsi="宋体" w:cs="宋体"/>
                <w:color w:val="000000"/>
                <w:kern w:val="0"/>
                <w:sz w:val="20"/>
                <w:szCs w:val="20"/>
                <w:lang w:bidi="ar"/>
              </w:rPr>
            </w:pPr>
          </w:p>
        </w:tc>
        <w:tc>
          <w:tcPr>
            <w:tcW w:w="900" w:type="dxa"/>
            <w:tcBorders>
              <w:top w:val="single" w:color="000000" w:sz="4" w:space="0"/>
              <w:left w:val="single" w:color="000000" w:sz="4" w:space="0"/>
              <w:bottom w:val="single" w:color="000000" w:sz="4" w:space="0"/>
              <w:right w:val="single" w:color="000000" w:sz="4" w:space="0"/>
            </w:tcBorders>
            <w:vAlign w:val="center"/>
          </w:tcPr>
          <w:p w14:paraId="4F5D413D">
            <w:pPr>
              <w:widowControl/>
              <w:jc w:val="center"/>
              <w:textAlignment w:val="center"/>
              <w:rPr>
                <w:rFonts w:hint="eastAsia" w:ascii="宋体" w:hAnsi="宋体" w:cs="宋体"/>
                <w:color w:val="000000"/>
                <w:kern w:val="0"/>
                <w:sz w:val="20"/>
                <w:szCs w:val="20"/>
                <w:lang w:bidi="ar"/>
              </w:rPr>
            </w:pPr>
          </w:p>
        </w:tc>
        <w:tc>
          <w:tcPr>
            <w:tcW w:w="832" w:type="dxa"/>
            <w:tcBorders>
              <w:top w:val="single" w:color="000000" w:sz="4" w:space="0"/>
              <w:left w:val="single" w:color="000000" w:sz="4" w:space="0"/>
              <w:bottom w:val="single" w:color="000000" w:sz="4" w:space="0"/>
              <w:right w:val="single" w:color="000000" w:sz="4" w:space="0"/>
            </w:tcBorders>
            <w:vAlign w:val="center"/>
          </w:tcPr>
          <w:p w14:paraId="476DB9D7">
            <w:pPr>
              <w:widowControl/>
              <w:jc w:val="center"/>
              <w:textAlignment w:val="center"/>
              <w:rPr>
                <w:rFonts w:hint="eastAsia" w:ascii="宋体" w:hAnsi="宋体" w:cs="宋体"/>
                <w:color w:val="000000"/>
                <w:kern w:val="0"/>
                <w:sz w:val="20"/>
                <w:szCs w:val="20"/>
                <w:lang w:bidi="ar"/>
              </w:rPr>
            </w:pPr>
          </w:p>
        </w:tc>
        <w:tc>
          <w:tcPr>
            <w:tcW w:w="1143" w:type="dxa"/>
            <w:tcBorders>
              <w:top w:val="single" w:color="000000" w:sz="4" w:space="0"/>
              <w:left w:val="single" w:color="000000" w:sz="4" w:space="0"/>
              <w:bottom w:val="single" w:color="000000" w:sz="4" w:space="0"/>
              <w:right w:val="single" w:color="000000" w:sz="4" w:space="0"/>
            </w:tcBorders>
            <w:vAlign w:val="center"/>
          </w:tcPr>
          <w:p w14:paraId="71B677BB">
            <w:pPr>
              <w:widowControl/>
              <w:jc w:val="center"/>
              <w:textAlignment w:val="center"/>
              <w:rPr>
                <w:rFonts w:hint="eastAsia" w:ascii="宋体" w:hAnsi="宋体" w:cs="宋体"/>
                <w:color w:val="000000"/>
                <w:kern w:val="0"/>
                <w:sz w:val="20"/>
                <w:szCs w:val="20"/>
                <w:lang w:bidi="ar"/>
              </w:rPr>
            </w:pPr>
          </w:p>
        </w:tc>
        <w:tc>
          <w:tcPr>
            <w:tcW w:w="763" w:type="dxa"/>
            <w:tcBorders>
              <w:top w:val="single" w:color="000000" w:sz="4" w:space="0"/>
              <w:left w:val="single" w:color="000000" w:sz="4" w:space="0"/>
              <w:bottom w:val="single" w:color="000000" w:sz="4" w:space="0"/>
              <w:right w:val="single" w:color="000000" w:sz="4" w:space="0"/>
            </w:tcBorders>
            <w:vAlign w:val="center"/>
          </w:tcPr>
          <w:p w14:paraId="6DE16973">
            <w:pPr>
              <w:widowControl/>
              <w:jc w:val="center"/>
              <w:textAlignment w:val="center"/>
              <w:rPr>
                <w:rFonts w:hint="eastAsia" w:ascii="宋体" w:hAnsi="宋体" w:cs="宋体"/>
                <w:color w:val="000000"/>
                <w:kern w:val="0"/>
                <w:sz w:val="20"/>
                <w:szCs w:val="20"/>
                <w:lang w:bidi="ar"/>
              </w:rPr>
            </w:pPr>
          </w:p>
        </w:tc>
        <w:tc>
          <w:tcPr>
            <w:tcW w:w="741" w:type="dxa"/>
            <w:tcBorders>
              <w:top w:val="single" w:color="000000" w:sz="4" w:space="0"/>
              <w:left w:val="single" w:color="000000" w:sz="4" w:space="0"/>
              <w:bottom w:val="single" w:color="000000" w:sz="4" w:space="0"/>
              <w:right w:val="single" w:color="000000" w:sz="4" w:space="0"/>
            </w:tcBorders>
            <w:vAlign w:val="center"/>
          </w:tcPr>
          <w:p w14:paraId="13BF3EBC">
            <w:pPr>
              <w:widowControl/>
              <w:jc w:val="center"/>
              <w:textAlignment w:val="center"/>
              <w:rPr>
                <w:rFonts w:hint="eastAsia" w:ascii="宋体" w:hAnsi="宋体" w:cs="宋体"/>
                <w:color w:val="000000"/>
                <w:kern w:val="0"/>
                <w:sz w:val="20"/>
                <w:szCs w:val="20"/>
                <w:lang w:bidi="ar"/>
              </w:rPr>
            </w:pPr>
          </w:p>
        </w:tc>
      </w:tr>
      <w:tr w14:paraId="7AE38746">
        <w:tblPrEx>
          <w:tblCellMar>
            <w:top w:w="0" w:type="dxa"/>
            <w:left w:w="108" w:type="dxa"/>
            <w:bottom w:w="0" w:type="dxa"/>
            <w:right w:w="108" w:type="dxa"/>
          </w:tblCellMar>
        </w:tblPrEx>
        <w:trPr>
          <w:trHeight w:val="20" w:hRule="atLeast"/>
          <w:jc w:val="center"/>
        </w:trPr>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787358">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165</w:t>
            </w:r>
          </w:p>
        </w:tc>
        <w:tc>
          <w:tcPr>
            <w:tcW w:w="2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F6CA72">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无尘吸水纸</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DA3A21">
            <w:pPr>
              <w:widowControl/>
              <w:jc w:val="center"/>
              <w:textAlignment w:val="center"/>
              <w:rPr>
                <w:rFonts w:ascii="宋体" w:hAnsi="宋体" w:cs="宋体"/>
                <w:color w:val="000000"/>
                <w:kern w:val="0"/>
                <w:sz w:val="20"/>
                <w:szCs w:val="20"/>
                <w:lang w:bidi="ar"/>
              </w:rPr>
            </w:pPr>
            <w:r>
              <w:rPr>
                <w:rFonts w:hint="eastAsia" w:ascii="宋体" w:hAnsi="宋体" w:cs="宋体"/>
                <w:color w:val="000000"/>
                <w:kern w:val="0"/>
                <w:sz w:val="20"/>
                <w:szCs w:val="20"/>
                <w:lang w:bidi="ar"/>
              </w:rPr>
              <w:t>12cm*19cm</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1F7613">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盒</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CD62CE">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100</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708E89">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8.5</w:t>
            </w:r>
          </w:p>
        </w:tc>
        <w:tc>
          <w:tcPr>
            <w:tcW w:w="992" w:type="dxa"/>
            <w:tcBorders>
              <w:top w:val="single" w:color="000000" w:sz="4" w:space="0"/>
              <w:left w:val="single" w:color="000000" w:sz="4" w:space="0"/>
              <w:bottom w:val="single" w:color="000000" w:sz="4" w:space="0"/>
              <w:right w:val="single" w:color="000000" w:sz="4" w:space="0"/>
            </w:tcBorders>
            <w:vAlign w:val="center"/>
          </w:tcPr>
          <w:p w14:paraId="1403F7B2">
            <w:pPr>
              <w:widowControl/>
              <w:jc w:val="center"/>
              <w:textAlignment w:val="center"/>
              <w:rPr>
                <w:rFonts w:hint="eastAsia" w:ascii="宋体" w:hAnsi="宋体" w:cs="宋体"/>
                <w:color w:val="000000"/>
                <w:kern w:val="0"/>
                <w:sz w:val="20"/>
                <w:szCs w:val="20"/>
                <w:lang w:bidi="ar"/>
              </w:rPr>
            </w:pPr>
          </w:p>
        </w:tc>
        <w:tc>
          <w:tcPr>
            <w:tcW w:w="1239" w:type="dxa"/>
            <w:tcBorders>
              <w:top w:val="single" w:color="000000" w:sz="4" w:space="0"/>
              <w:left w:val="single" w:color="000000" w:sz="4" w:space="0"/>
              <w:bottom w:val="single" w:color="000000" w:sz="4" w:space="0"/>
              <w:right w:val="single" w:color="000000" w:sz="4" w:space="0"/>
            </w:tcBorders>
            <w:vAlign w:val="center"/>
          </w:tcPr>
          <w:p w14:paraId="68215EB1">
            <w:pPr>
              <w:widowControl/>
              <w:jc w:val="center"/>
              <w:textAlignment w:val="center"/>
              <w:rPr>
                <w:rFonts w:hint="eastAsia" w:ascii="宋体" w:hAnsi="宋体" w:cs="宋体"/>
                <w:color w:val="000000"/>
                <w:kern w:val="0"/>
                <w:sz w:val="20"/>
                <w:szCs w:val="20"/>
                <w:lang w:bidi="ar"/>
              </w:rPr>
            </w:pPr>
          </w:p>
        </w:tc>
        <w:tc>
          <w:tcPr>
            <w:tcW w:w="900" w:type="dxa"/>
            <w:tcBorders>
              <w:top w:val="single" w:color="000000" w:sz="4" w:space="0"/>
              <w:left w:val="single" w:color="000000" w:sz="4" w:space="0"/>
              <w:bottom w:val="single" w:color="000000" w:sz="4" w:space="0"/>
              <w:right w:val="single" w:color="000000" w:sz="4" w:space="0"/>
            </w:tcBorders>
            <w:vAlign w:val="center"/>
          </w:tcPr>
          <w:p w14:paraId="42F9BEB5">
            <w:pPr>
              <w:widowControl/>
              <w:jc w:val="center"/>
              <w:textAlignment w:val="center"/>
              <w:rPr>
                <w:rFonts w:hint="eastAsia" w:ascii="宋体" w:hAnsi="宋体" w:cs="宋体"/>
                <w:color w:val="000000"/>
                <w:kern w:val="0"/>
                <w:sz w:val="20"/>
                <w:szCs w:val="20"/>
                <w:lang w:bidi="ar"/>
              </w:rPr>
            </w:pPr>
          </w:p>
        </w:tc>
        <w:tc>
          <w:tcPr>
            <w:tcW w:w="832" w:type="dxa"/>
            <w:tcBorders>
              <w:top w:val="single" w:color="000000" w:sz="4" w:space="0"/>
              <w:left w:val="single" w:color="000000" w:sz="4" w:space="0"/>
              <w:bottom w:val="single" w:color="000000" w:sz="4" w:space="0"/>
              <w:right w:val="single" w:color="000000" w:sz="4" w:space="0"/>
            </w:tcBorders>
            <w:vAlign w:val="center"/>
          </w:tcPr>
          <w:p w14:paraId="4F312B3B">
            <w:pPr>
              <w:widowControl/>
              <w:jc w:val="center"/>
              <w:textAlignment w:val="center"/>
              <w:rPr>
                <w:rFonts w:hint="eastAsia" w:ascii="宋体" w:hAnsi="宋体" w:cs="宋体"/>
                <w:color w:val="000000"/>
                <w:kern w:val="0"/>
                <w:sz w:val="20"/>
                <w:szCs w:val="20"/>
                <w:lang w:bidi="ar"/>
              </w:rPr>
            </w:pPr>
          </w:p>
        </w:tc>
        <w:tc>
          <w:tcPr>
            <w:tcW w:w="1143" w:type="dxa"/>
            <w:tcBorders>
              <w:top w:val="single" w:color="000000" w:sz="4" w:space="0"/>
              <w:left w:val="single" w:color="000000" w:sz="4" w:space="0"/>
              <w:bottom w:val="single" w:color="000000" w:sz="4" w:space="0"/>
              <w:right w:val="single" w:color="000000" w:sz="4" w:space="0"/>
            </w:tcBorders>
            <w:vAlign w:val="center"/>
          </w:tcPr>
          <w:p w14:paraId="349B6746">
            <w:pPr>
              <w:widowControl/>
              <w:jc w:val="center"/>
              <w:textAlignment w:val="center"/>
              <w:rPr>
                <w:rFonts w:hint="eastAsia" w:ascii="宋体" w:hAnsi="宋体" w:cs="宋体"/>
                <w:color w:val="000000"/>
                <w:kern w:val="0"/>
                <w:sz w:val="20"/>
                <w:szCs w:val="20"/>
                <w:lang w:bidi="ar"/>
              </w:rPr>
            </w:pPr>
          </w:p>
        </w:tc>
        <w:tc>
          <w:tcPr>
            <w:tcW w:w="763" w:type="dxa"/>
            <w:tcBorders>
              <w:top w:val="single" w:color="000000" w:sz="4" w:space="0"/>
              <w:left w:val="single" w:color="000000" w:sz="4" w:space="0"/>
              <w:bottom w:val="single" w:color="000000" w:sz="4" w:space="0"/>
              <w:right w:val="single" w:color="000000" w:sz="4" w:space="0"/>
            </w:tcBorders>
            <w:vAlign w:val="center"/>
          </w:tcPr>
          <w:p w14:paraId="1F364381">
            <w:pPr>
              <w:widowControl/>
              <w:jc w:val="center"/>
              <w:textAlignment w:val="center"/>
              <w:rPr>
                <w:rFonts w:hint="eastAsia" w:ascii="宋体" w:hAnsi="宋体" w:cs="宋体"/>
                <w:color w:val="000000"/>
                <w:kern w:val="0"/>
                <w:sz w:val="20"/>
                <w:szCs w:val="20"/>
                <w:lang w:bidi="ar"/>
              </w:rPr>
            </w:pPr>
          </w:p>
        </w:tc>
        <w:tc>
          <w:tcPr>
            <w:tcW w:w="741" w:type="dxa"/>
            <w:tcBorders>
              <w:top w:val="single" w:color="000000" w:sz="4" w:space="0"/>
              <w:left w:val="single" w:color="000000" w:sz="4" w:space="0"/>
              <w:bottom w:val="single" w:color="000000" w:sz="4" w:space="0"/>
              <w:right w:val="single" w:color="000000" w:sz="4" w:space="0"/>
            </w:tcBorders>
            <w:vAlign w:val="center"/>
          </w:tcPr>
          <w:p w14:paraId="50C36E4D">
            <w:pPr>
              <w:widowControl/>
              <w:jc w:val="center"/>
              <w:textAlignment w:val="center"/>
              <w:rPr>
                <w:rFonts w:hint="eastAsia" w:ascii="宋体" w:hAnsi="宋体" w:cs="宋体"/>
                <w:color w:val="000000"/>
                <w:kern w:val="0"/>
                <w:sz w:val="20"/>
                <w:szCs w:val="20"/>
                <w:lang w:bidi="ar"/>
              </w:rPr>
            </w:pPr>
          </w:p>
        </w:tc>
      </w:tr>
      <w:tr w14:paraId="411554D0">
        <w:tblPrEx>
          <w:tblCellMar>
            <w:top w:w="0" w:type="dxa"/>
            <w:left w:w="108" w:type="dxa"/>
            <w:bottom w:w="0" w:type="dxa"/>
            <w:right w:w="108" w:type="dxa"/>
          </w:tblCellMar>
        </w:tblPrEx>
        <w:trPr>
          <w:trHeight w:val="20" w:hRule="atLeast"/>
          <w:jc w:val="center"/>
        </w:trPr>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AB7732">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166</w:t>
            </w:r>
          </w:p>
        </w:tc>
        <w:tc>
          <w:tcPr>
            <w:tcW w:w="2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DAF9E5">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二氧化氯标准溶液(以有效氯计)</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EFE51E">
            <w:pPr>
              <w:widowControl/>
              <w:jc w:val="center"/>
              <w:textAlignment w:val="center"/>
              <w:rPr>
                <w:rFonts w:ascii="宋体" w:hAnsi="宋体" w:cs="宋体"/>
                <w:color w:val="000000"/>
                <w:kern w:val="0"/>
                <w:sz w:val="20"/>
                <w:szCs w:val="20"/>
                <w:lang w:bidi="ar"/>
              </w:rPr>
            </w:pPr>
            <w:r>
              <w:rPr>
                <w:rFonts w:hint="eastAsia" w:ascii="宋体" w:hAnsi="宋体" w:cs="宋体"/>
                <w:color w:val="000000"/>
                <w:kern w:val="0"/>
                <w:sz w:val="20"/>
                <w:szCs w:val="20"/>
                <w:lang w:bidi="ar"/>
              </w:rPr>
              <w:t>BW20074-1000-100</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AC78EF">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瓶</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2AFCD7">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24</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56E403">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104</w:t>
            </w:r>
          </w:p>
        </w:tc>
        <w:tc>
          <w:tcPr>
            <w:tcW w:w="992" w:type="dxa"/>
            <w:tcBorders>
              <w:top w:val="single" w:color="000000" w:sz="4" w:space="0"/>
              <w:left w:val="single" w:color="000000" w:sz="4" w:space="0"/>
              <w:bottom w:val="single" w:color="000000" w:sz="4" w:space="0"/>
              <w:right w:val="single" w:color="000000" w:sz="4" w:space="0"/>
            </w:tcBorders>
            <w:vAlign w:val="center"/>
          </w:tcPr>
          <w:p w14:paraId="12034B42">
            <w:pPr>
              <w:widowControl/>
              <w:jc w:val="center"/>
              <w:textAlignment w:val="center"/>
              <w:rPr>
                <w:rFonts w:hint="eastAsia" w:ascii="宋体" w:hAnsi="宋体" w:cs="宋体"/>
                <w:color w:val="000000"/>
                <w:kern w:val="0"/>
                <w:sz w:val="20"/>
                <w:szCs w:val="20"/>
                <w:lang w:bidi="ar"/>
              </w:rPr>
            </w:pPr>
          </w:p>
        </w:tc>
        <w:tc>
          <w:tcPr>
            <w:tcW w:w="1239" w:type="dxa"/>
            <w:tcBorders>
              <w:top w:val="single" w:color="000000" w:sz="4" w:space="0"/>
              <w:left w:val="single" w:color="000000" w:sz="4" w:space="0"/>
              <w:bottom w:val="single" w:color="000000" w:sz="4" w:space="0"/>
              <w:right w:val="single" w:color="000000" w:sz="4" w:space="0"/>
            </w:tcBorders>
            <w:vAlign w:val="center"/>
          </w:tcPr>
          <w:p w14:paraId="757855F5">
            <w:pPr>
              <w:widowControl/>
              <w:jc w:val="center"/>
              <w:textAlignment w:val="center"/>
              <w:rPr>
                <w:rFonts w:hint="eastAsia" w:ascii="宋体" w:hAnsi="宋体" w:cs="宋体"/>
                <w:color w:val="000000"/>
                <w:kern w:val="0"/>
                <w:sz w:val="20"/>
                <w:szCs w:val="20"/>
                <w:lang w:bidi="ar"/>
              </w:rPr>
            </w:pPr>
          </w:p>
        </w:tc>
        <w:tc>
          <w:tcPr>
            <w:tcW w:w="900" w:type="dxa"/>
            <w:tcBorders>
              <w:top w:val="single" w:color="000000" w:sz="4" w:space="0"/>
              <w:left w:val="single" w:color="000000" w:sz="4" w:space="0"/>
              <w:bottom w:val="single" w:color="000000" w:sz="4" w:space="0"/>
              <w:right w:val="single" w:color="000000" w:sz="4" w:space="0"/>
            </w:tcBorders>
            <w:vAlign w:val="center"/>
          </w:tcPr>
          <w:p w14:paraId="4F66B461">
            <w:pPr>
              <w:widowControl/>
              <w:jc w:val="center"/>
              <w:textAlignment w:val="center"/>
              <w:rPr>
                <w:rFonts w:hint="eastAsia" w:ascii="宋体" w:hAnsi="宋体" w:cs="宋体"/>
                <w:color w:val="000000"/>
                <w:kern w:val="0"/>
                <w:sz w:val="20"/>
                <w:szCs w:val="20"/>
                <w:lang w:bidi="ar"/>
              </w:rPr>
            </w:pPr>
          </w:p>
        </w:tc>
        <w:tc>
          <w:tcPr>
            <w:tcW w:w="832" w:type="dxa"/>
            <w:tcBorders>
              <w:top w:val="single" w:color="000000" w:sz="4" w:space="0"/>
              <w:left w:val="single" w:color="000000" w:sz="4" w:space="0"/>
              <w:bottom w:val="single" w:color="000000" w:sz="4" w:space="0"/>
              <w:right w:val="single" w:color="000000" w:sz="4" w:space="0"/>
            </w:tcBorders>
            <w:vAlign w:val="center"/>
          </w:tcPr>
          <w:p w14:paraId="1292ED28">
            <w:pPr>
              <w:widowControl/>
              <w:jc w:val="center"/>
              <w:textAlignment w:val="center"/>
              <w:rPr>
                <w:rFonts w:hint="eastAsia" w:ascii="宋体" w:hAnsi="宋体" w:cs="宋体"/>
                <w:color w:val="000000"/>
                <w:kern w:val="0"/>
                <w:sz w:val="20"/>
                <w:szCs w:val="20"/>
                <w:lang w:bidi="ar"/>
              </w:rPr>
            </w:pPr>
          </w:p>
        </w:tc>
        <w:tc>
          <w:tcPr>
            <w:tcW w:w="1143" w:type="dxa"/>
            <w:tcBorders>
              <w:top w:val="single" w:color="000000" w:sz="4" w:space="0"/>
              <w:left w:val="single" w:color="000000" w:sz="4" w:space="0"/>
              <w:bottom w:val="single" w:color="000000" w:sz="4" w:space="0"/>
              <w:right w:val="single" w:color="000000" w:sz="4" w:space="0"/>
            </w:tcBorders>
            <w:vAlign w:val="center"/>
          </w:tcPr>
          <w:p w14:paraId="5A8482B6">
            <w:pPr>
              <w:widowControl/>
              <w:jc w:val="center"/>
              <w:textAlignment w:val="center"/>
              <w:rPr>
                <w:rFonts w:hint="eastAsia" w:ascii="宋体" w:hAnsi="宋体" w:cs="宋体"/>
                <w:color w:val="000000"/>
                <w:kern w:val="0"/>
                <w:sz w:val="20"/>
                <w:szCs w:val="20"/>
                <w:lang w:bidi="ar"/>
              </w:rPr>
            </w:pPr>
          </w:p>
        </w:tc>
        <w:tc>
          <w:tcPr>
            <w:tcW w:w="763" w:type="dxa"/>
            <w:tcBorders>
              <w:top w:val="single" w:color="000000" w:sz="4" w:space="0"/>
              <w:left w:val="single" w:color="000000" w:sz="4" w:space="0"/>
              <w:bottom w:val="single" w:color="000000" w:sz="4" w:space="0"/>
              <w:right w:val="single" w:color="000000" w:sz="4" w:space="0"/>
            </w:tcBorders>
            <w:vAlign w:val="center"/>
          </w:tcPr>
          <w:p w14:paraId="38FA2161">
            <w:pPr>
              <w:widowControl/>
              <w:jc w:val="center"/>
              <w:textAlignment w:val="center"/>
              <w:rPr>
                <w:rFonts w:hint="eastAsia" w:ascii="宋体" w:hAnsi="宋体" w:cs="宋体"/>
                <w:color w:val="000000"/>
                <w:kern w:val="0"/>
                <w:sz w:val="20"/>
                <w:szCs w:val="20"/>
                <w:lang w:bidi="ar"/>
              </w:rPr>
            </w:pPr>
          </w:p>
        </w:tc>
        <w:tc>
          <w:tcPr>
            <w:tcW w:w="741" w:type="dxa"/>
            <w:tcBorders>
              <w:top w:val="single" w:color="000000" w:sz="4" w:space="0"/>
              <w:left w:val="single" w:color="000000" w:sz="4" w:space="0"/>
              <w:bottom w:val="single" w:color="000000" w:sz="4" w:space="0"/>
              <w:right w:val="single" w:color="000000" w:sz="4" w:space="0"/>
            </w:tcBorders>
            <w:vAlign w:val="center"/>
          </w:tcPr>
          <w:p w14:paraId="61BB1EB4">
            <w:pPr>
              <w:widowControl/>
              <w:jc w:val="center"/>
              <w:textAlignment w:val="center"/>
              <w:rPr>
                <w:rFonts w:hint="eastAsia" w:ascii="宋体" w:hAnsi="宋体" w:cs="宋体"/>
                <w:color w:val="000000"/>
                <w:kern w:val="0"/>
                <w:sz w:val="20"/>
                <w:szCs w:val="20"/>
                <w:lang w:bidi="ar"/>
              </w:rPr>
            </w:pPr>
          </w:p>
        </w:tc>
      </w:tr>
      <w:tr w14:paraId="0D50F5EA">
        <w:tblPrEx>
          <w:tblCellMar>
            <w:top w:w="0" w:type="dxa"/>
            <w:left w:w="108" w:type="dxa"/>
            <w:bottom w:w="0" w:type="dxa"/>
            <w:right w:w="108" w:type="dxa"/>
          </w:tblCellMar>
        </w:tblPrEx>
        <w:trPr>
          <w:trHeight w:val="20" w:hRule="atLeast"/>
          <w:jc w:val="center"/>
        </w:trPr>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0DC775">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167</w:t>
            </w:r>
          </w:p>
        </w:tc>
        <w:tc>
          <w:tcPr>
            <w:tcW w:w="2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769683">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臭氧标准溶液</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1CCB85">
            <w:pPr>
              <w:widowControl/>
              <w:jc w:val="center"/>
              <w:textAlignment w:val="center"/>
              <w:rPr>
                <w:rFonts w:ascii="宋体" w:hAnsi="宋体" w:cs="宋体"/>
                <w:color w:val="000000"/>
                <w:kern w:val="0"/>
                <w:sz w:val="20"/>
                <w:szCs w:val="20"/>
                <w:lang w:bidi="ar"/>
              </w:rPr>
            </w:pPr>
            <w:r>
              <w:rPr>
                <w:rFonts w:hint="eastAsia" w:ascii="宋体" w:hAnsi="宋体" w:cs="宋体"/>
                <w:color w:val="000000"/>
                <w:kern w:val="0"/>
                <w:sz w:val="20"/>
                <w:szCs w:val="20"/>
                <w:lang w:bidi="ar"/>
              </w:rPr>
              <w:t>BW20075-240-100</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1DC2DF">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瓶</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67DCED">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8</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40AE4E">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112</w:t>
            </w:r>
          </w:p>
        </w:tc>
        <w:tc>
          <w:tcPr>
            <w:tcW w:w="992" w:type="dxa"/>
            <w:tcBorders>
              <w:top w:val="single" w:color="000000" w:sz="4" w:space="0"/>
              <w:left w:val="single" w:color="000000" w:sz="4" w:space="0"/>
              <w:bottom w:val="single" w:color="000000" w:sz="4" w:space="0"/>
              <w:right w:val="single" w:color="000000" w:sz="4" w:space="0"/>
            </w:tcBorders>
            <w:vAlign w:val="center"/>
          </w:tcPr>
          <w:p w14:paraId="4C8666AE">
            <w:pPr>
              <w:widowControl/>
              <w:jc w:val="center"/>
              <w:textAlignment w:val="center"/>
              <w:rPr>
                <w:rFonts w:hint="eastAsia" w:ascii="宋体" w:hAnsi="宋体" w:cs="宋体"/>
                <w:color w:val="000000"/>
                <w:kern w:val="0"/>
                <w:sz w:val="20"/>
                <w:szCs w:val="20"/>
                <w:lang w:bidi="ar"/>
              </w:rPr>
            </w:pPr>
          </w:p>
        </w:tc>
        <w:tc>
          <w:tcPr>
            <w:tcW w:w="1239" w:type="dxa"/>
            <w:tcBorders>
              <w:top w:val="single" w:color="000000" w:sz="4" w:space="0"/>
              <w:left w:val="single" w:color="000000" w:sz="4" w:space="0"/>
              <w:bottom w:val="single" w:color="000000" w:sz="4" w:space="0"/>
              <w:right w:val="single" w:color="000000" w:sz="4" w:space="0"/>
            </w:tcBorders>
            <w:vAlign w:val="center"/>
          </w:tcPr>
          <w:p w14:paraId="41DEE857">
            <w:pPr>
              <w:widowControl/>
              <w:jc w:val="center"/>
              <w:textAlignment w:val="center"/>
              <w:rPr>
                <w:rFonts w:hint="eastAsia" w:ascii="宋体" w:hAnsi="宋体" w:cs="宋体"/>
                <w:color w:val="000000"/>
                <w:kern w:val="0"/>
                <w:sz w:val="20"/>
                <w:szCs w:val="20"/>
                <w:lang w:bidi="ar"/>
              </w:rPr>
            </w:pPr>
          </w:p>
        </w:tc>
        <w:tc>
          <w:tcPr>
            <w:tcW w:w="900" w:type="dxa"/>
            <w:tcBorders>
              <w:top w:val="single" w:color="000000" w:sz="4" w:space="0"/>
              <w:left w:val="single" w:color="000000" w:sz="4" w:space="0"/>
              <w:bottom w:val="single" w:color="000000" w:sz="4" w:space="0"/>
              <w:right w:val="single" w:color="000000" w:sz="4" w:space="0"/>
            </w:tcBorders>
            <w:vAlign w:val="center"/>
          </w:tcPr>
          <w:p w14:paraId="0ACA5C0A">
            <w:pPr>
              <w:widowControl/>
              <w:jc w:val="center"/>
              <w:textAlignment w:val="center"/>
              <w:rPr>
                <w:rFonts w:hint="eastAsia" w:ascii="宋体" w:hAnsi="宋体" w:cs="宋体"/>
                <w:color w:val="000000"/>
                <w:kern w:val="0"/>
                <w:sz w:val="20"/>
                <w:szCs w:val="20"/>
                <w:lang w:bidi="ar"/>
              </w:rPr>
            </w:pPr>
          </w:p>
        </w:tc>
        <w:tc>
          <w:tcPr>
            <w:tcW w:w="832" w:type="dxa"/>
            <w:tcBorders>
              <w:top w:val="single" w:color="000000" w:sz="4" w:space="0"/>
              <w:left w:val="single" w:color="000000" w:sz="4" w:space="0"/>
              <w:bottom w:val="single" w:color="000000" w:sz="4" w:space="0"/>
              <w:right w:val="single" w:color="000000" w:sz="4" w:space="0"/>
            </w:tcBorders>
            <w:vAlign w:val="center"/>
          </w:tcPr>
          <w:p w14:paraId="5458D0B3">
            <w:pPr>
              <w:widowControl/>
              <w:jc w:val="center"/>
              <w:textAlignment w:val="center"/>
              <w:rPr>
                <w:rFonts w:hint="eastAsia" w:ascii="宋体" w:hAnsi="宋体" w:cs="宋体"/>
                <w:color w:val="000000"/>
                <w:kern w:val="0"/>
                <w:sz w:val="20"/>
                <w:szCs w:val="20"/>
                <w:lang w:bidi="ar"/>
              </w:rPr>
            </w:pPr>
          </w:p>
        </w:tc>
        <w:tc>
          <w:tcPr>
            <w:tcW w:w="1143" w:type="dxa"/>
            <w:tcBorders>
              <w:top w:val="single" w:color="000000" w:sz="4" w:space="0"/>
              <w:left w:val="single" w:color="000000" w:sz="4" w:space="0"/>
              <w:bottom w:val="single" w:color="000000" w:sz="4" w:space="0"/>
              <w:right w:val="single" w:color="000000" w:sz="4" w:space="0"/>
            </w:tcBorders>
            <w:vAlign w:val="center"/>
          </w:tcPr>
          <w:p w14:paraId="09800DF6">
            <w:pPr>
              <w:widowControl/>
              <w:jc w:val="center"/>
              <w:textAlignment w:val="center"/>
              <w:rPr>
                <w:rFonts w:hint="eastAsia" w:ascii="宋体" w:hAnsi="宋体" w:cs="宋体"/>
                <w:color w:val="000000"/>
                <w:kern w:val="0"/>
                <w:sz w:val="20"/>
                <w:szCs w:val="20"/>
                <w:lang w:bidi="ar"/>
              </w:rPr>
            </w:pPr>
          </w:p>
        </w:tc>
        <w:tc>
          <w:tcPr>
            <w:tcW w:w="763" w:type="dxa"/>
            <w:tcBorders>
              <w:top w:val="single" w:color="000000" w:sz="4" w:space="0"/>
              <w:left w:val="single" w:color="000000" w:sz="4" w:space="0"/>
              <w:bottom w:val="single" w:color="000000" w:sz="4" w:space="0"/>
              <w:right w:val="single" w:color="000000" w:sz="4" w:space="0"/>
            </w:tcBorders>
            <w:vAlign w:val="center"/>
          </w:tcPr>
          <w:p w14:paraId="0F34F955">
            <w:pPr>
              <w:widowControl/>
              <w:jc w:val="center"/>
              <w:textAlignment w:val="center"/>
              <w:rPr>
                <w:rFonts w:hint="eastAsia" w:ascii="宋体" w:hAnsi="宋体" w:cs="宋体"/>
                <w:color w:val="000000"/>
                <w:kern w:val="0"/>
                <w:sz w:val="20"/>
                <w:szCs w:val="20"/>
                <w:lang w:bidi="ar"/>
              </w:rPr>
            </w:pPr>
          </w:p>
        </w:tc>
        <w:tc>
          <w:tcPr>
            <w:tcW w:w="741" w:type="dxa"/>
            <w:tcBorders>
              <w:top w:val="single" w:color="000000" w:sz="4" w:space="0"/>
              <w:left w:val="single" w:color="000000" w:sz="4" w:space="0"/>
              <w:bottom w:val="single" w:color="000000" w:sz="4" w:space="0"/>
              <w:right w:val="single" w:color="000000" w:sz="4" w:space="0"/>
            </w:tcBorders>
            <w:vAlign w:val="center"/>
          </w:tcPr>
          <w:p w14:paraId="4F86B52C">
            <w:pPr>
              <w:widowControl/>
              <w:jc w:val="center"/>
              <w:textAlignment w:val="center"/>
              <w:rPr>
                <w:rFonts w:hint="eastAsia" w:ascii="宋体" w:hAnsi="宋体" w:cs="宋体"/>
                <w:color w:val="000000"/>
                <w:kern w:val="0"/>
                <w:sz w:val="20"/>
                <w:szCs w:val="20"/>
                <w:lang w:bidi="ar"/>
              </w:rPr>
            </w:pPr>
          </w:p>
        </w:tc>
      </w:tr>
      <w:tr w14:paraId="4808E303">
        <w:tblPrEx>
          <w:tblCellMar>
            <w:top w:w="0" w:type="dxa"/>
            <w:left w:w="108" w:type="dxa"/>
            <w:bottom w:w="0" w:type="dxa"/>
            <w:right w:w="108" w:type="dxa"/>
          </w:tblCellMar>
        </w:tblPrEx>
        <w:trPr>
          <w:trHeight w:val="20" w:hRule="atLeast"/>
          <w:jc w:val="center"/>
        </w:trPr>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1CB518">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168</w:t>
            </w:r>
          </w:p>
        </w:tc>
        <w:tc>
          <w:tcPr>
            <w:tcW w:w="2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706563">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模拟游离余氯标准溶液</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2C0433">
            <w:pPr>
              <w:widowControl/>
              <w:jc w:val="center"/>
              <w:textAlignment w:val="center"/>
              <w:rPr>
                <w:rFonts w:ascii="宋体" w:hAnsi="宋体" w:cs="宋体"/>
                <w:color w:val="000000"/>
                <w:kern w:val="0"/>
                <w:sz w:val="20"/>
                <w:szCs w:val="20"/>
                <w:lang w:bidi="ar"/>
              </w:rPr>
            </w:pPr>
            <w:r>
              <w:rPr>
                <w:rFonts w:hint="eastAsia" w:ascii="宋体" w:hAnsi="宋体" w:cs="宋体"/>
                <w:color w:val="000000"/>
                <w:kern w:val="0"/>
                <w:sz w:val="20"/>
                <w:szCs w:val="20"/>
                <w:lang w:bidi="ar"/>
              </w:rPr>
              <w:t>GBW(E)085500</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5B5868">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瓶</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82CEBE">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3</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F13A34">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285</w:t>
            </w:r>
          </w:p>
        </w:tc>
        <w:tc>
          <w:tcPr>
            <w:tcW w:w="992" w:type="dxa"/>
            <w:tcBorders>
              <w:top w:val="single" w:color="000000" w:sz="4" w:space="0"/>
              <w:left w:val="single" w:color="000000" w:sz="4" w:space="0"/>
              <w:bottom w:val="single" w:color="000000" w:sz="4" w:space="0"/>
              <w:right w:val="single" w:color="000000" w:sz="4" w:space="0"/>
            </w:tcBorders>
            <w:vAlign w:val="center"/>
          </w:tcPr>
          <w:p w14:paraId="1188EFAD">
            <w:pPr>
              <w:widowControl/>
              <w:jc w:val="center"/>
              <w:textAlignment w:val="center"/>
              <w:rPr>
                <w:rFonts w:hint="eastAsia" w:ascii="宋体" w:hAnsi="宋体" w:cs="宋体"/>
                <w:color w:val="000000"/>
                <w:kern w:val="0"/>
                <w:sz w:val="20"/>
                <w:szCs w:val="20"/>
                <w:lang w:bidi="ar"/>
              </w:rPr>
            </w:pPr>
          </w:p>
        </w:tc>
        <w:tc>
          <w:tcPr>
            <w:tcW w:w="1239" w:type="dxa"/>
            <w:tcBorders>
              <w:top w:val="single" w:color="000000" w:sz="4" w:space="0"/>
              <w:left w:val="single" w:color="000000" w:sz="4" w:space="0"/>
              <w:bottom w:val="single" w:color="000000" w:sz="4" w:space="0"/>
              <w:right w:val="single" w:color="000000" w:sz="4" w:space="0"/>
            </w:tcBorders>
            <w:vAlign w:val="center"/>
          </w:tcPr>
          <w:p w14:paraId="001FC70F">
            <w:pPr>
              <w:widowControl/>
              <w:jc w:val="center"/>
              <w:textAlignment w:val="center"/>
              <w:rPr>
                <w:rFonts w:hint="eastAsia" w:ascii="宋体" w:hAnsi="宋体" w:cs="宋体"/>
                <w:color w:val="000000"/>
                <w:kern w:val="0"/>
                <w:sz w:val="20"/>
                <w:szCs w:val="20"/>
                <w:lang w:bidi="ar"/>
              </w:rPr>
            </w:pPr>
          </w:p>
        </w:tc>
        <w:tc>
          <w:tcPr>
            <w:tcW w:w="900" w:type="dxa"/>
            <w:tcBorders>
              <w:top w:val="single" w:color="000000" w:sz="4" w:space="0"/>
              <w:left w:val="single" w:color="000000" w:sz="4" w:space="0"/>
              <w:bottom w:val="single" w:color="000000" w:sz="4" w:space="0"/>
              <w:right w:val="single" w:color="000000" w:sz="4" w:space="0"/>
            </w:tcBorders>
            <w:vAlign w:val="center"/>
          </w:tcPr>
          <w:p w14:paraId="7064B68E">
            <w:pPr>
              <w:widowControl/>
              <w:jc w:val="center"/>
              <w:textAlignment w:val="center"/>
              <w:rPr>
                <w:rFonts w:hint="eastAsia" w:ascii="宋体" w:hAnsi="宋体" w:cs="宋体"/>
                <w:color w:val="000000"/>
                <w:kern w:val="0"/>
                <w:sz w:val="20"/>
                <w:szCs w:val="20"/>
                <w:lang w:bidi="ar"/>
              </w:rPr>
            </w:pPr>
          </w:p>
        </w:tc>
        <w:tc>
          <w:tcPr>
            <w:tcW w:w="832" w:type="dxa"/>
            <w:tcBorders>
              <w:top w:val="single" w:color="000000" w:sz="4" w:space="0"/>
              <w:left w:val="single" w:color="000000" w:sz="4" w:space="0"/>
              <w:bottom w:val="single" w:color="000000" w:sz="4" w:space="0"/>
              <w:right w:val="single" w:color="000000" w:sz="4" w:space="0"/>
            </w:tcBorders>
            <w:vAlign w:val="center"/>
          </w:tcPr>
          <w:p w14:paraId="7B4DE714">
            <w:pPr>
              <w:widowControl/>
              <w:jc w:val="center"/>
              <w:textAlignment w:val="center"/>
              <w:rPr>
                <w:rFonts w:hint="eastAsia" w:ascii="宋体" w:hAnsi="宋体" w:cs="宋体"/>
                <w:color w:val="000000"/>
                <w:kern w:val="0"/>
                <w:sz w:val="20"/>
                <w:szCs w:val="20"/>
                <w:lang w:bidi="ar"/>
              </w:rPr>
            </w:pPr>
          </w:p>
        </w:tc>
        <w:tc>
          <w:tcPr>
            <w:tcW w:w="1143" w:type="dxa"/>
            <w:tcBorders>
              <w:top w:val="single" w:color="000000" w:sz="4" w:space="0"/>
              <w:left w:val="single" w:color="000000" w:sz="4" w:space="0"/>
              <w:bottom w:val="single" w:color="000000" w:sz="4" w:space="0"/>
              <w:right w:val="single" w:color="000000" w:sz="4" w:space="0"/>
            </w:tcBorders>
            <w:vAlign w:val="center"/>
          </w:tcPr>
          <w:p w14:paraId="55C7D9F1">
            <w:pPr>
              <w:widowControl/>
              <w:jc w:val="center"/>
              <w:textAlignment w:val="center"/>
              <w:rPr>
                <w:rFonts w:hint="eastAsia" w:ascii="宋体" w:hAnsi="宋体" w:cs="宋体"/>
                <w:color w:val="000000"/>
                <w:kern w:val="0"/>
                <w:sz w:val="20"/>
                <w:szCs w:val="20"/>
                <w:lang w:bidi="ar"/>
              </w:rPr>
            </w:pPr>
          </w:p>
        </w:tc>
        <w:tc>
          <w:tcPr>
            <w:tcW w:w="763" w:type="dxa"/>
            <w:tcBorders>
              <w:top w:val="single" w:color="000000" w:sz="4" w:space="0"/>
              <w:left w:val="single" w:color="000000" w:sz="4" w:space="0"/>
              <w:bottom w:val="single" w:color="000000" w:sz="4" w:space="0"/>
              <w:right w:val="single" w:color="000000" w:sz="4" w:space="0"/>
            </w:tcBorders>
            <w:vAlign w:val="center"/>
          </w:tcPr>
          <w:p w14:paraId="715A8327">
            <w:pPr>
              <w:widowControl/>
              <w:jc w:val="center"/>
              <w:textAlignment w:val="center"/>
              <w:rPr>
                <w:rFonts w:hint="eastAsia" w:ascii="宋体" w:hAnsi="宋体" w:cs="宋体"/>
                <w:color w:val="000000"/>
                <w:kern w:val="0"/>
                <w:sz w:val="20"/>
                <w:szCs w:val="20"/>
                <w:lang w:bidi="ar"/>
              </w:rPr>
            </w:pPr>
          </w:p>
        </w:tc>
        <w:tc>
          <w:tcPr>
            <w:tcW w:w="741" w:type="dxa"/>
            <w:tcBorders>
              <w:top w:val="single" w:color="000000" w:sz="4" w:space="0"/>
              <w:left w:val="single" w:color="000000" w:sz="4" w:space="0"/>
              <w:bottom w:val="single" w:color="000000" w:sz="4" w:space="0"/>
              <w:right w:val="single" w:color="000000" w:sz="4" w:space="0"/>
            </w:tcBorders>
            <w:vAlign w:val="center"/>
          </w:tcPr>
          <w:p w14:paraId="411392EF">
            <w:pPr>
              <w:widowControl/>
              <w:jc w:val="center"/>
              <w:textAlignment w:val="center"/>
              <w:rPr>
                <w:rFonts w:hint="eastAsia" w:ascii="宋体" w:hAnsi="宋体" w:cs="宋体"/>
                <w:color w:val="000000"/>
                <w:kern w:val="0"/>
                <w:sz w:val="20"/>
                <w:szCs w:val="20"/>
                <w:lang w:bidi="ar"/>
              </w:rPr>
            </w:pPr>
          </w:p>
        </w:tc>
      </w:tr>
      <w:tr w14:paraId="09F08F54">
        <w:tblPrEx>
          <w:tblCellMar>
            <w:top w:w="0" w:type="dxa"/>
            <w:left w:w="108" w:type="dxa"/>
            <w:bottom w:w="0" w:type="dxa"/>
            <w:right w:w="108" w:type="dxa"/>
          </w:tblCellMar>
        </w:tblPrEx>
        <w:trPr>
          <w:trHeight w:val="20" w:hRule="atLeast"/>
          <w:jc w:val="center"/>
        </w:trPr>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B77807">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169</w:t>
            </w:r>
          </w:p>
        </w:tc>
        <w:tc>
          <w:tcPr>
            <w:tcW w:w="2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E1E74E">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水中总余氯标准溶液</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EACCC1">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GBW(E)085501</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3995C9">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瓶</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036F11">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F3BDBD">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285</w:t>
            </w:r>
          </w:p>
        </w:tc>
        <w:tc>
          <w:tcPr>
            <w:tcW w:w="992" w:type="dxa"/>
            <w:tcBorders>
              <w:top w:val="single" w:color="000000" w:sz="4" w:space="0"/>
              <w:left w:val="single" w:color="000000" w:sz="4" w:space="0"/>
              <w:bottom w:val="single" w:color="000000" w:sz="4" w:space="0"/>
              <w:right w:val="single" w:color="000000" w:sz="4" w:space="0"/>
            </w:tcBorders>
            <w:vAlign w:val="center"/>
          </w:tcPr>
          <w:p w14:paraId="718599CF">
            <w:pPr>
              <w:widowControl/>
              <w:jc w:val="center"/>
              <w:textAlignment w:val="center"/>
              <w:rPr>
                <w:rFonts w:hint="eastAsia" w:ascii="宋体" w:hAnsi="宋体" w:cs="宋体"/>
                <w:color w:val="000000"/>
                <w:kern w:val="0"/>
                <w:sz w:val="20"/>
                <w:szCs w:val="20"/>
                <w:lang w:bidi="ar"/>
              </w:rPr>
            </w:pPr>
          </w:p>
        </w:tc>
        <w:tc>
          <w:tcPr>
            <w:tcW w:w="1239" w:type="dxa"/>
            <w:tcBorders>
              <w:top w:val="single" w:color="000000" w:sz="4" w:space="0"/>
              <w:left w:val="single" w:color="000000" w:sz="4" w:space="0"/>
              <w:bottom w:val="single" w:color="000000" w:sz="4" w:space="0"/>
              <w:right w:val="single" w:color="000000" w:sz="4" w:space="0"/>
            </w:tcBorders>
            <w:vAlign w:val="center"/>
          </w:tcPr>
          <w:p w14:paraId="6E8DF7EF">
            <w:pPr>
              <w:widowControl/>
              <w:jc w:val="center"/>
              <w:textAlignment w:val="center"/>
              <w:rPr>
                <w:rFonts w:hint="eastAsia" w:ascii="宋体" w:hAnsi="宋体" w:cs="宋体"/>
                <w:color w:val="000000"/>
                <w:kern w:val="0"/>
                <w:sz w:val="20"/>
                <w:szCs w:val="20"/>
                <w:lang w:bidi="ar"/>
              </w:rPr>
            </w:pPr>
          </w:p>
        </w:tc>
        <w:tc>
          <w:tcPr>
            <w:tcW w:w="900" w:type="dxa"/>
            <w:tcBorders>
              <w:top w:val="single" w:color="000000" w:sz="4" w:space="0"/>
              <w:left w:val="single" w:color="000000" w:sz="4" w:space="0"/>
              <w:bottom w:val="single" w:color="000000" w:sz="4" w:space="0"/>
              <w:right w:val="single" w:color="000000" w:sz="4" w:space="0"/>
            </w:tcBorders>
            <w:vAlign w:val="center"/>
          </w:tcPr>
          <w:p w14:paraId="0693D582">
            <w:pPr>
              <w:widowControl/>
              <w:jc w:val="center"/>
              <w:textAlignment w:val="center"/>
              <w:rPr>
                <w:rFonts w:hint="eastAsia" w:ascii="宋体" w:hAnsi="宋体" w:cs="宋体"/>
                <w:color w:val="000000"/>
                <w:kern w:val="0"/>
                <w:sz w:val="20"/>
                <w:szCs w:val="20"/>
                <w:lang w:bidi="ar"/>
              </w:rPr>
            </w:pPr>
          </w:p>
        </w:tc>
        <w:tc>
          <w:tcPr>
            <w:tcW w:w="832" w:type="dxa"/>
            <w:tcBorders>
              <w:top w:val="single" w:color="000000" w:sz="4" w:space="0"/>
              <w:left w:val="single" w:color="000000" w:sz="4" w:space="0"/>
              <w:bottom w:val="single" w:color="000000" w:sz="4" w:space="0"/>
              <w:right w:val="single" w:color="000000" w:sz="4" w:space="0"/>
            </w:tcBorders>
            <w:vAlign w:val="center"/>
          </w:tcPr>
          <w:p w14:paraId="2C1E2464">
            <w:pPr>
              <w:widowControl/>
              <w:jc w:val="center"/>
              <w:textAlignment w:val="center"/>
              <w:rPr>
                <w:rFonts w:hint="eastAsia" w:ascii="宋体" w:hAnsi="宋体" w:cs="宋体"/>
                <w:color w:val="000000"/>
                <w:kern w:val="0"/>
                <w:sz w:val="20"/>
                <w:szCs w:val="20"/>
                <w:lang w:bidi="ar"/>
              </w:rPr>
            </w:pPr>
          </w:p>
        </w:tc>
        <w:tc>
          <w:tcPr>
            <w:tcW w:w="1143" w:type="dxa"/>
            <w:tcBorders>
              <w:top w:val="single" w:color="000000" w:sz="4" w:space="0"/>
              <w:left w:val="single" w:color="000000" w:sz="4" w:space="0"/>
              <w:bottom w:val="single" w:color="000000" w:sz="4" w:space="0"/>
              <w:right w:val="single" w:color="000000" w:sz="4" w:space="0"/>
            </w:tcBorders>
            <w:vAlign w:val="center"/>
          </w:tcPr>
          <w:p w14:paraId="2960FEA5">
            <w:pPr>
              <w:widowControl/>
              <w:jc w:val="center"/>
              <w:textAlignment w:val="center"/>
              <w:rPr>
                <w:rFonts w:hint="eastAsia" w:ascii="宋体" w:hAnsi="宋体" w:cs="宋体"/>
                <w:color w:val="000000"/>
                <w:kern w:val="0"/>
                <w:sz w:val="20"/>
                <w:szCs w:val="20"/>
                <w:lang w:bidi="ar"/>
              </w:rPr>
            </w:pPr>
          </w:p>
        </w:tc>
        <w:tc>
          <w:tcPr>
            <w:tcW w:w="763" w:type="dxa"/>
            <w:tcBorders>
              <w:top w:val="single" w:color="000000" w:sz="4" w:space="0"/>
              <w:left w:val="single" w:color="000000" w:sz="4" w:space="0"/>
              <w:bottom w:val="single" w:color="000000" w:sz="4" w:space="0"/>
              <w:right w:val="single" w:color="000000" w:sz="4" w:space="0"/>
            </w:tcBorders>
            <w:vAlign w:val="center"/>
          </w:tcPr>
          <w:p w14:paraId="1CD024FA">
            <w:pPr>
              <w:widowControl/>
              <w:jc w:val="center"/>
              <w:textAlignment w:val="center"/>
              <w:rPr>
                <w:rFonts w:hint="eastAsia" w:ascii="宋体" w:hAnsi="宋体" w:cs="宋体"/>
                <w:color w:val="000000"/>
                <w:kern w:val="0"/>
                <w:sz w:val="20"/>
                <w:szCs w:val="20"/>
                <w:lang w:bidi="ar"/>
              </w:rPr>
            </w:pPr>
          </w:p>
        </w:tc>
        <w:tc>
          <w:tcPr>
            <w:tcW w:w="741" w:type="dxa"/>
            <w:tcBorders>
              <w:top w:val="single" w:color="000000" w:sz="4" w:space="0"/>
              <w:left w:val="single" w:color="000000" w:sz="4" w:space="0"/>
              <w:bottom w:val="single" w:color="000000" w:sz="4" w:space="0"/>
              <w:right w:val="single" w:color="000000" w:sz="4" w:space="0"/>
            </w:tcBorders>
            <w:vAlign w:val="center"/>
          </w:tcPr>
          <w:p w14:paraId="5564CE5D">
            <w:pPr>
              <w:widowControl/>
              <w:jc w:val="center"/>
              <w:textAlignment w:val="center"/>
              <w:rPr>
                <w:rFonts w:hint="eastAsia" w:ascii="宋体" w:hAnsi="宋体" w:cs="宋体"/>
                <w:color w:val="000000"/>
                <w:kern w:val="0"/>
                <w:sz w:val="20"/>
                <w:szCs w:val="20"/>
                <w:lang w:bidi="ar"/>
              </w:rPr>
            </w:pPr>
          </w:p>
        </w:tc>
      </w:tr>
      <w:tr w14:paraId="35CB3D7A">
        <w:tblPrEx>
          <w:tblCellMar>
            <w:top w:w="0" w:type="dxa"/>
            <w:left w:w="108" w:type="dxa"/>
            <w:bottom w:w="0" w:type="dxa"/>
            <w:right w:w="108" w:type="dxa"/>
          </w:tblCellMar>
        </w:tblPrEx>
        <w:trPr>
          <w:trHeight w:val="20" w:hRule="atLeast"/>
          <w:jc w:val="center"/>
        </w:trPr>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84F388">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170</w:t>
            </w:r>
          </w:p>
        </w:tc>
        <w:tc>
          <w:tcPr>
            <w:tcW w:w="2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E14792">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农药残留速测卡</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05714D">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20次测定用量</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88C112">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包</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11B595">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28B9DE">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29</w:t>
            </w:r>
          </w:p>
        </w:tc>
        <w:tc>
          <w:tcPr>
            <w:tcW w:w="992" w:type="dxa"/>
            <w:tcBorders>
              <w:top w:val="single" w:color="000000" w:sz="4" w:space="0"/>
              <w:left w:val="single" w:color="000000" w:sz="4" w:space="0"/>
              <w:bottom w:val="single" w:color="000000" w:sz="4" w:space="0"/>
              <w:right w:val="single" w:color="000000" w:sz="4" w:space="0"/>
            </w:tcBorders>
            <w:vAlign w:val="center"/>
          </w:tcPr>
          <w:p w14:paraId="0080C3A0">
            <w:pPr>
              <w:widowControl/>
              <w:jc w:val="center"/>
              <w:textAlignment w:val="center"/>
              <w:rPr>
                <w:rFonts w:hint="eastAsia" w:ascii="宋体" w:hAnsi="宋体" w:cs="宋体"/>
                <w:color w:val="000000"/>
                <w:kern w:val="0"/>
                <w:sz w:val="20"/>
                <w:szCs w:val="20"/>
                <w:lang w:bidi="ar"/>
              </w:rPr>
            </w:pPr>
          </w:p>
        </w:tc>
        <w:tc>
          <w:tcPr>
            <w:tcW w:w="1239" w:type="dxa"/>
            <w:tcBorders>
              <w:top w:val="single" w:color="000000" w:sz="4" w:space="0"/>
              <w:left w:val="single" w:color="000000" w:sz="4" w:space="0"/>
              <w:bottom w:val="single" w:color="000000" w:sz="4" w:space="0"/>
              <w:right w:val="single" w:color="000000" w:sz="4" w:space="0"/>
            </w:tcBorders>
            <w:vAlign w:val="center"/>
          </w:tcPr>
          <w:p w14:paraId="1557CCF4">
            <w:pPr>
              <w:widowControl/>
              <w:jc w:val="center"/>
              <w:textAlignment w:val="center"/>
              <w:rPr>
                <w:rFonts w:hint="eastAsia" w:ascii="宋体" w:hAnsi="宋体" w:cs="宋体"/>
                <w:color w:val="000000"/>
                <w:kern w:val="0"/>
                <w:sz w:val="20"/>
                <w:szCs w:val="20"/>
                <w:lang w:bidi="ar"/>
              </w:rPr>
            </w:pPr>
          </w:p>
        </w:tc>
        <w:tc>
          <w:tcPr>
            <w:tcW w:w="900" w:type="dxa"/>
            <w:tcBorders>
              <w:top w:val="single" w:color="000000" w:sz="4" w:space="0"/>
              <w:left w:val="single" w:color="000000" w:sz="4" w:space="0"/>
              <w:bottom w:val="single" w:color="000000" w:sz="4" w:space="0"/>
              <w:right w:val="single" w:color="000000" w:sz="4" w:space="0"/>
            </w:tcBorders>
            <w:vAlign w:val="center"/>
          </w:tcPr>
          <w:p w14:paraId="444516D9">
            <w:pPr>
              <w:widowControl/>
              <w:jc w:val="center"/>
              <w:textAlignment w:val="center"/>
              <w:rPr>
                <w:rFonts w:hint="eastAsia" w:ascii="宋体" w:hAnsi="宋体" w:cs="宋体"/>
                <w:color w:val="000000"/>
                <w:kern w:val="0"/>
                <w:sz w:val="20"/>
                <w:szCs w:val="20"/>
                <w:lang w:bidi="ar"/>
              </w:rPr>
            </w:pPr>
          </w:p>
        </w:tc>
        <w:tc>
          <w:tcPr>
            <w:tcW w:w="832" w:type="dxa"/>
            <w:tcBorders>
              <w:top w:val="single" w:color="000000" w:sz="4" w:space="0"/>
              <w:left w:val="single" w:color="000000" w:sz="4" w:space="0"/>
              <w:bottom w:val="single" w:color="000000" w:sz="4" w:space="0"/>
              <w:right w:val="single" w:color="000000" w:sz="4" w:space="0"/>
            </w:tcBorders>
            <w:vAlign w:val="center"/>
          </w:tcPr>
          <w:p w14:paraId="468387CA">
            <w:pPr>
              <w:widowControl/>
              <w:jc w:val="center"/>
              <w:textAlignment w:val="center"/>
              <w:rPr>
                <w:rFonts w:hint="eastAsia" w:ascii="宋体" w:hAnsi="宋体" w:cs="宋体"/>
                <w:color w:val="000000"/>
                <w:kern w:val="0"/>
                <w:sz w:val="20"/>
                <w:szCs w:val="20"/>
                <w:lang w:bidi="ar"/>
              </w:rPr>
            </w:pPr>
          </w:p>
        </w:tc>
        <w:tc>
          <w:tcPr>
            <w:tcW w:w="1143" w:type="dxa"/>
            <w:tcBorders>
              <w:top w:val="single" w:color="000000" w:sz="4" w:space="0"/>
              <w:left w:val="single" w:color="000000" w:sz="4" w:space="0"/>
              <w:bottom w:val="single" w:color="000000" w:sz="4" w:space="0"/>
              <w:right w:val="single" w:color="000000" w:sz="4" w:space="0"/>
            </w:tcBorders>
            <w:vAlign w:val="center"/>
          </w:tcPr>
          <w:p w14:paraId="4F5569BB">
            <w:pPr>
              <w:widowControl/>
              <w:jc w:val="center"/>
              <w:textAlignment w:val="center"/>
              <w:rPr>
                <w:rFonts w:hint="eastAsia" w:ascii="宋体" w:hAnsi="宋体" w:cs="宋体"/>
                <w:color w:val="000000"/>
                <w:kern w:val="0"/>
                <w:sz w:val="20"/>
                <w:szCs w:val="20"/>
                <w:lang w:bidi="ar"/>
              </w:rPr>
            </w:pPr>
          </w:p>
        </w:tc>
        <w:tc>
          <w:tcPr>
            <w:tcW w:w="763" w:type="dxa"/>
            <w:tcBorders>
              <w:top w:val="single" w:color="000000" w:sz="4" w:space="0"/>
              <w:left w:val="single" w:color="000000" w:sz="4" w:space="0"/>
              <w:bottom w:val="single" w:color="000000" w:sz="4" w:space="0"/>
              <w:right w:val="single" w:color="000000" w:sz="4" w:space="0"/>
            </w:tcBorders>
            <w:vAlign w:val="center"/>
          </w:tcPr>
          <w:p w14:paraId="2E0E5854">
            <w:pPr>
              <w:widowControl/>
              <w:jc w:val="center"/>
              <w:textAlignment w:val="center"/>
              <w:rPr>
                <w:rFonts w:hint="eastAsia" w:ascii="宋体" w:hAnsi="宋体" w:cs="宋体"/>
                <w:color w:val="000000"/>
                <w:kern w:val="0"/>
                <w:sz w:val="20"/>
                <w:szCs w:val="20"/>
                <w:lang w:bidi="ar"/>
              </w:rPr>
            </w:pPr>
          </w:p>
        </w:tc>
        <w:tc>
          <w:tcPr>
            <w:tcW w:w="741" w:type="dxa"/>
            <w:tcBorders>
              <w:top w:val="single" w:color="000000" w:sz="4" w:space="0"/>
              <w:left w:val="single" w:color="000000" w:sz="4" w:space="0"/>
              <w:bottom w:val="single" w:color="000000" w:sz="4" w:space="0"/>
              <w:right w:val="single" w:color="000000" w:sz="4" w:space="0"/>
            </w:tcBorders>
            <w:vAlign w:val="center"/>
          </w:tcPr>
          <w:p w14:paraId="57341D32">
            <w:pPr>
              <w:widowControl/>
              <w:jc w:val="center"/>
              <w:textAlignment w:val="center"/>
              <w:rPr>
                <w:rFonts w:hint="eastAsia" w:ascii="宋体" w:hAnsi="宋体" w:cs="宋体"/>
                <w:color w:val="000000"/>
                <w:kern w:val="0"/>
                <w:sz w:val="20"/>
                <w:szCs w:val="20"/>
                <w:lang w:bidi="ar"/>
              </w:rPr>
            </w:pPr>
          </w:p>
        </w:tc>
      </w:tr>
      <w:tr w14:paraId="5AE84CB6">
        <w:tblPrEx>
          <w:tblCellMar>
            <w:top w:w="0" w:type="dxa"/>
            <w:left w:w="108" w:type="dxa"/>
            <w:bottom w:w="0" w:type="dxa"/>
            <w:right w:w="108" w:type="dxa"/>
          </w:tblCellMar>
        </w:tblPrEx>
        <w:trPr>
          <w:trHeight w:val="20" w:hRule="atLeast"/>
          <w:jc w:val="center"/>
        </w:trPr>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C51A2F">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171</w:t>
            </w:r>
          </w:p>
        </w:tc>
        <w:tc>
          <w:tcPr>
            <w:tcW w:w="2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6BDB0B">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水中氨氮速测管</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144AE0">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20次测定用量</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AFDB92">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包</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D6C9F5">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84A6E4">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271</w:t>
            </w:r>
          </w:p>
        </w:tc>
        <w:tc>
          <w:tcPr>
            <w:tcW w:w="992" w:type="dxa"/>
            <w:tcBorders>
              <w:top w:val="single" w:color="000000" w:sz="4" w:space="0"/>
              <w:left w:val="single" w:color="000000" w:sz="4" w:space="0"/>
              <w:bottom w:val="single" w:color="000000" w:sz="4" w:space="0"/>
              <w:right w:val="single" w:color="000000" w:sz="4" w:space="0"/>
            </w:tcBorders>
            <w:vAlign w:val="center"/>
          </w:tcPr>
          <w:p w14:paraId="21CB34CB">
            <w:pPr>
              <w:widowControl/>
              <w:jc w:val="center"/>
              <w:textAlignment w:val="center"/>
              <w:rPr>
                <w:rFonts w:hint="eastAsia" w:ascii="宋体" w:hAnsi="宋体" w:cs="宋体"/>
                <w:color w:val="000000"/>
                <w:kern w:val="0"/>
                <w:sz w:val="20"/>
                <w:szCs w:val="20"/>
                <w:lang w:bidi="ar"/>
              </w:rPr>
            </w:pPr>
          </w:p>
        </w:tc>
        <w:tc>
          <w:tcPr>
            <w:tcW w:w="1239" w:type="dxa"/>
            <w:tcBorders>
              <w:top w:val="single" w:color="000000" w:sz="4" w:space="0"/>
              <w:left w:val="single" w:color="000000" w:sz="4" w:space="0"/>
              <w:bottom w:val="single" w:color="000000" w:sz="4" w:space="0"/>
              <w:right w:val="single" w:color="000000" w:sz="4" w:space="0"/>
            </w:tcBorders>
            <w:vAlign w:val="center"/>
          </w:tcPr>
          <w:p w14:paraId="444B4E5D">
            <w:pPr>
              <w:widowControl/>
              <w:jc w:val="center"/>
              <w:textAlignment w:val="center"/>
              <w:rPr>
                <w:rFonts w:hint="eastAsia" w:ascii="宋体" w:hAnsi="宋体" w:cs="宋体"/>
                <w:color w:val="000000"/>
                <w:kern w:val="0"/>
                <w:sz w:val="20"/>
                <w:szCs w:val="20"/>
                <w:lang w:bidi="ar"/>
              </w:rPr>
            </w:pPr>
          </w:p>
        </w:tc>
        <w:tc>
          <w:tcPr>
            <w:tcW w:w="900" w:type="dxa"/>
            <w:tcBorders>
              <w:top w:val="single" w:color="000000" w:sz="4" w:space="0"/>
              <w:left w:val="single" w:color="000000" w:sz="4" w:space="0"/>
              <w:bottom w:val="single" w:color="000000" w:sz="4" w:space="0"/>
              <w:right w:val="single" w:color="000000" w:sz="4" w:space="0"/>
            </w:tcBorders>
            <w:vAlign w:val="center"/>
          </w:tcPr>
          <w:p w14:paraId="38B39985">
            <w:pPr>
              <w:widowControl/>
              <w:jc w:val="center"/>
              <w:textAlignment w:val="center"/>
              <w:rPr>
                <w:rFonts w:hint="eastAsia" w:ascii="宋体" w:hAnsi="宋体" w:cs="宋体"/>
                <w:color w:val="000000"/>
                <w:kern w:val="0"/>
                <w:sz w:val="20"/>
                <w:szCs w:val="20"/>
                <w:lang w:bidi="ar"/>
              </w:rPr>
            </w:pPr>
          </w:p>
        </w:tc>
        <w:tc>
          <w:tcPr>
            <w:tcW w:w="832" w:type="dxa"/>
            <w:tcBorders>
              <w:top w:val="single" w:color="000000" w:sz="4" w:space="0"/>
              <w:left w:val="single" w:color="000000" w:sz="4" w:space="0"/>
              <w:bottom w:val="single" w:color="000000" w:sz="4" w:space="0"/>
              <w:right w:val="single" w:color="000000" w:sz="4" w:space="0"/>
            </w:tcBorders>
            <w:vAlign w:val="center"/>
          </w:tcPr>
          <w:p w14:paraId="3DEFB826">
            <w:pPr>
              <w:widowControl/>
              <w:jc w:val="center"/>
              <w:textAlignment w:val="center"/>
              <w:rPr>
                <w:rFonts w:hint="eastAsia" w:ascii="宋体" w:hAnsi="宋体" w:cs="宋体"/>
                <w:color w:val="000000"/>
                <w:kern w:val="0"/>
                <w:sz w:val="20"/>
                <w:szCs w:val="20"/>
                <w:lang w:bidi="ar"/>
              </w:rPr>
            </w:pPr>
          </w:p>
        </w:tc>
        <w:tc>
          <w:tcPr>
            <w:tcW w:w="1143" w:type="dxa"/>
            <w:tcBorders>
              <w:top w:val="single" w:color="000000" w:sz="4" w:space="0"/>
              <w:left w:val="single" w:color="000000" w:sz="4" w:space="0"/>
              <w:bottom w:val="single" w:color="000000" w:sz="4" w:space="0"/>
              <w:right w:val="single" w:color="000000" w:sz="4" w:space="0"/>
            </w:tcBorders>
            <w:vAlign w:val="center"/>
          </w:tcPr>
          <w:p w14:paraId="5B5B759C">
            <w:pPr>
              <w:widowControl/>
              <w:jc w:val="center"/>
              <w:textAlignment w:val="center"/>
              <w:rPr>
                <w:rFonts w:hint="eastAsia" w:ascii="宋体" w:hAnsi="宋体" w:cs="宋体"/>
                <w:color w:val="000000"/>
                <w:kern w:val="0"/>
                <w:sz w:val="20"/>
                <w:szCs w:val="20"/>
                <w:lang w:bidi="ar"/>
              </w:rPr>
            </w:pPr>
          </w:p>
        </w:tc>
        <w:tc>
          <w:tcPr>
            <w:tcW w:w="763" w:type="dxa"/>
            <w:tcBorders>
              <w:top w:val="single" w:color="000000" w:sz="4" w:space="0"/>
              <w:left w:val="single" w:color="000000" w:sz="4" w:space="0"/>
              <w:bottom w:val="single" w:color="000000" w:sz="4" w:space="0"/>
              <w:right w:val="single" w:color="000000" w:sz="4" w:space="0"/>
            </w:tcBorders>
            <w:vAlign w:val="center"/>
          </w:tcPr>
          <w:p w14:paraId="1F993682">
            <w:pPr>
              <w:widowControl/>
              <w:jc w:val="center"/>
              <w:textAlignment w:val="center"/>
              <w:rPr>
                <w:rFonts w:hint="eastAsia" w:ascii="宋体" w:hAnsi="宋体" w:cs="宋体"/>
                <w:color w:val="000000"/>
                <w:kern w:val="0"/>
                <w:sz w:val="20"/>
                <w:szCs w:val="20"/>
                <w:lang w:bidi="ar"/>
              </w:rPr>
            </w:pPr>
          </w:p>
        </w:tc>
        <w:tc>
          <w:tcPr>
            <w:tcW w:w="741" w:type="dxa"/>
            <w:tcBorders>
              <w:top w:val="single" w:color="000000" w:sz="4" w:space="0"/>
              <w:left w:val="single" w:color="000000" w:sz="4" w:space="0"/>
              <w:bottom w:val="single" w:color="000000" w:sz="4" w:space="0"/>
              <w:right w:val="single" w:color="000000" w:sz="4" w:space="0"/>
            </w:tcBorders>
            <w:vAlign w:val="center"/>
          </w:tcPr>
          <w:p w14:paraId="02EA4053">
            <w:pPr>
              <w:widowControl/>
              <w:jc w:val="center"/>
              <w:textAlignment w:val="center"/>
              <w:rPr>
                <w:rFonts w:hint="eastAsia" w:ascii="宋体" w:hAnsi="宋体" w:cs="宋体"/>
                <w:color w:val="000000"/>
                <w:kern w:val="0"/>
                <w:sz w:val="20"/>
                <w:szCs w:val="20"/>
                <w:lang w:bidi="ar"/>
              </w:rPr>
            </w:pPr>
          </w:p>
        </w:tc>
      </w:tr>
      <w:tr w14:paraId="13535800">
        <w:tblPrEx>
          <w:tblCellMar>
            <w:top w:w="0" w:type="dxa"/>
            <w:left w:w="108" w:type="dxa"/>
            <w:bottom w:w="0" w:type="dxa"/>
            <w:right w:w="108" w:type="dxa"/>
          </w:tblCellMar>
        </w:tblPrEx>
        <w:trPr>
          <w:trHeight w:val="20" w:hRule="atLeast"/>
          <w:jc w:val="center"/>
        </w:trPr>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C6F4CA">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172</w:t>
            </w:r>
          </w:p>
        </w:tc>
        <w:tc>
          <w:tcPr>
            <w:tcW w:w="2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EE4F7D">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水中甲醛速测盒</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B0CC2F">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50次测定用量</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C71BB9">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盒</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6D5B31">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7C0150">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271</w:t>
            </w:r>
          </w:p>
        </w:tc>
        <w:tc>
          <w:tcPr>
            <w:tcW w:w="992" w:type="dxa"/>
            <w:tcBorders>
              <w:top w:val="single" w:color="000000" w:sz="4" w:space="0"/>
              <w:left w:val="single" w:color="000000" w:sz="4" w:space="0"/>
              <w:bottom w:val="single" w:color="000000" w:sz="4" w:space="0"/>
              <w:right w:val="single" w:color="000000" w:sz="4" w:space="0"/>
            </w:tcBorders>
            <w:vAlign w:val="center"/>
          </w:tcPr>
          <w:p w14:paraId="706E5C7F">
            <w:pPr>
              <w:widowControl/>
              <w:jc w:val="center"/>
              <w:textAlignment w:val="center"/>
              <w:rPr>
                <w:rFonts w:hint="eastAsia" w:ascii="宋体" w:hAnsi="宋体" w:cs="宋体"/>
                <w:color w:val="000000"/>
                <w:kern w:val="0"/>
                <w:sz w:val="20"/>
                <w:szCs w:val="20"/>
                <w:lang w:bidi="ar"/>
              </w:rPr>
            </w:pPr>
          </w:p>
        </w:tc>
        <w:tc>
          <w:tcPr>
            <w:tcW w:w="1239" w:type="dxa"/>
            <w:tcBorders>
              <w:top w:val="single" w:color="000000" w:sz="4" w:space="0"/>
              <w:left w:val="single" w:color="000000" w:sz="4" w:space="0"/>
              <w:bottom w:val="single" w:color="000000" w:sz="4" w:space="0"/>
              <w:right w:val="single" w:color="000000" w:sz="4" w:space="0"/>
            </w:tcBorders>
            <w:vAlign w:val="center"/>
          </w:tcPr>
          <w:p w14:paraId="4EF8EEAA">
            <w:pPr>
              <w:widowControl/>
              <w:jc w:val="center"/>
              <w:textAlignment w:val="center"/>
              <w:rPr>
                <w:rFonts w:hint="eastAsia" w:ascii="宋体" w:hAnsi="宋体" w:cs="宋体"/>
                <w:color w:val="000000"/>
                <w:kern w:val="0"/>
                <w:sz w:val="20"/>
                <w:szCs w:val="20"/>
                <w:lang w:bidi="ar"/>
              </w:rPr>
            </w:pPr>
          </w:p>
        </w:tc>
        <w:tc>
          <w:tcPr>
            <w:tcW w:w="900" w:type="dxa"/>
            <w:tcBorders>
              <w:top w:val="single" w:color="000000" w:sz="4" w:space="0"/>
              <w:left w:val="single" w:color="000000" w:sz="4" w:space="0"/>
              <w:bottom w:val="single" w:color="000000" w:sz="4" w:space="0"/>
              <w:right w:val="single" w:color="000000" w:sz="4" w:space="0"/>
            </w:tcBorders>
            <w:vAlign w:val="center"/>
          </w:tcPr>
          <w:p w14:paraId="30138F15">
            <w:pPr>
              <w:widowControl/>
              <w:jc w:val="center"/>
              <w:textAlignment w:val="center"/>
              <w:rPr>
                <w:rFonts w:hint="eastAsia" w:ascii="宋体" w:hAnsi="宋体" w:cs="宋体"/>
                <w:color w:val="000000"/>
                <w:kern w:val="0"/>
                <w:sz w:val="20"/>
                <w:szCs w:val="20"/>
                <w:lang w:bidi="ar"/>
              </w:rPr>
            </w:pPr>
          </w:p>
        </w:tc>
        <w:tc>
          <w:tcPr>
            <w:tcW w:w="832" w:type="dxa"/>
            <w:tcBorders>
              <w:top w:val="single" w:color="000000" w:sz="4" w:space="0"/>
              <w:left w:val="single" w:color="000000" w:sz="4" w:space="0"/>
              <w:bottom w:val="single" w:color="000000" w:sz="4" w:space="0"/>
              <w:right w:val="single" w:color="000000" w:sz="4" w:space="0"/>
            </w:tcBorders>
            <w:vAlign w:val="center"/>
          </w:tcPr>
          <w:p w14:paraId="5150112F">
            <w:pPr>
              <w:widowControl/>
              <w:jc w:val="center"/>
              <w:textAlignment w:val="center"/>
              <w:rPr>
                <w:rFonts w:hint="eastAsia" w:ascii="宋体" w:hAnsi="宋体" w:cs="宋体"/>
                <w:color w:val="000000"/>
                <w:kern w:val="0"/>
                <w:sz w:val="20"/>
                <w:szCs w:val="20"/>
                <w:lang w:bidi="ar"/>
              </w:rPr>
            </w:pPr>
          </w:p>
        </w:tc>
        <w:tc>
          <w:tcPr>
            <w:tcW w:w="1143" w:type="dxa"/>
            <w:tcBorders>
              <w:top w:val="single" w:color="000000" w:sz="4" w:space="0"/>
              <w:left w:val="single" w:color="000000" w:sz="4" w:space="0"/>
              <w:bottom w:val="single" w:color="000000" w:sz="4" w:space="0"/>
              <w:right w:val="single" w:color="000000" w:sz="4" w:space="0"/>
            </w:tcBorders>
            <w:vAlign w:val="center"/>
          </w:tcPr>
          <w:p w14:paraId="0F4457F1">
            <w:pPr>
              <w:widowControl/>
              <w:jc w:val="center"/>
              <w:textAlignment w:val="center"/>
              <w:rPr>
                <w:rFonts w:hint="eastAsia" w:ascii="宋体" w:hAnsi="宋体" w:cs="宋体"/>
                <w:color w:val="000000"/>
                <w:kern w:val="0"/>
                <w:sz w:val="20"/>
                <w:szCs w:val="20"/>
                <w:lang w:bidi="ar"/>
              </w:rPr>
            </w:pPr>
          </w:p>
        </w:tc>
        <w:tc>
          <w:tcPr>
            <w:tcW w:w="763" w:type="dxa"/>
            <w:tcBorders>
              <w:top w:val="single" w:color="000000" w:sz="4" w:space="0"/>
              <w:left w:val="single" w:color="000000" w:sz="4" w:space="0"/>
              <w:bottom w:val="single" w:color="000000" w:sz="4" w:space="0"/>
              <w:right w:val="single" w:color="000000" w:sz="4" w:space="0"/>
            </w:tcBorders>
            <w:vAlign w:val="center"/>
          </w:tcPr>
          <w:p w14:paraId="03195540">
            <w:pPr>
              <w:widowControl/>
              <w:jc w:val="center"/>
              <w:textAlignment w:val="center"/>
              <w:rPr>
                <w:rFonts w:hint="eastAsia" w:ascii="宋体" w:hAnsi="宋体" w:cs="宋体"/>
                <w:color w:val="000000"/>
                <w:kern w:val="0"/>
                <w:sz w:val="20"/>
                <w:szCs w:val="20"/>
                <w:lang w:bidi="ar"/>
              </w:rPr>
            </w:pPr>
          </w:p>
        </w:tc>
        <w:tc>
          <w:tcPr>
            <w:tcW w:w="741" w:type="dxa"/>
            <w:tcBorders>
              <w:top w:val="single" w:color="000000" w:sz="4" w:space="0"/>
              <w:left w:val="single" w:color="000000" w:sz="4" w:space="0"/>
              <w:bottom w:val="single" w:color="000000" w:sz="4" w:space="0"/>
              <w:right w:val="single" w:color="000000" w:sz="4" w:space="0"/>
            </w:tcBorders>
            <w:vAlign w:val="center"/>
          </w:tcPr>
          <w:p w14:paraId="12CAA353">
            <w:pPr>
              <w:widowControl/>
              <w:jc w:val="center"/>
              <w:textAlignment w:val="center"/>
              <w:rPr>
                <w:rFonts w:hint="eastAsia" w:ascii="宋体" w:hAnsi="宋体" w:cs="宋体"/>
                <w:color w:val="000000"/>
                <w:kern w:val="0"/>
                <w:sz w:val="20"/>
                <w:szCs w:val="20"/>
                <w:lang w:bidi="ar"/>
              </w:rPr>
            </w:pPr>
          </w:p>
        </w:tc>
      </w:tr>
      <w:tr w14:paraId="2E98E326">
        <w:tblPrEx>
          <w:tblCellMar>
            <w:top w:w="0" w:type="dxa"/>
            <w:left w:w="108" w:type="dxa"/>
            <w:bottom w:w="0" w:type="dxa"/>
            <w:right w:w="108" w:type="dxa"/>
          </w:tblCellMar>
        </w:tblPrEx>
        <w:trPr>
          <w:trHeight w:val="20" w:hRule="atLeast"/>
          <w:jc w:val="center"/>
        </w:trPr>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6AA741">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173</w:t>
            </w:r>
          </w:p>
        </w:tc>
        <w:tc>
          <w:tcPr>
            <w:tcW w:w="2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EC458D">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水质总硬度速测盒</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3ECB35">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50次测定用量</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B793B2">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盒</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55F533">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3D85C2">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271</w:t>
            </w:r>
          </w:p>
        </w:tc>
        <w:tc>
          <w:tcPr>
            <w:tcW w:w="992" w:type="dxa"/>
            <w:tcBorders>
              <w:top w:val="single" w:color="000000" w:sz="4" w:space="0"/>
              <w:left w:val="single" w:color="000000" w:sz="4" w:space="0"/>
              <w:bottom w:val="single" w:color="000000" w:sz="4" w:space="0"/>
              <w:right w:val="single" w:color="000000" w:sz="4" w:space="0"/>
            </w:tcBorders>
            <w:vAlign w:val="center"/>
          </w:tcPr>
          <w:p w14:paraId="330CBEB7">
            <w:pPr>
              <w:widowControl/>
              <w:jc w:val="center"/>
              <w:textAlignment w:val="center"/>
              <w:rPr>
                <w:rFonts w:hint="eastAsia" w:ascii="宋体" w:hAnsi="宋体" w:cs="宋体"/>
                <w:color w:val="000000"/>
                <w:kern w:val="0"/>
                <w:sz w:val="20"/>
                <w:szCs w:val="20"/>
                <w:lang w:bidi="ar"/>
              </w:rPr>
            </w:pPr>
          </w:p>
        </w:tc>
        <w:tc>
          <w:tcPr>
            <w:tcW w:w="1239" w:type="dxa"/>
            <w:tcBorders>
              <w:top w:val="single" w:color="000000" w:sz="4" w:space="0"/>
              <w:left w:val="single" w:color="000000" w:sz="4" w:space="0"/>
              <w:bottom w:val="single" w:color="000000" w:sz="4" w:space="0"/>
              <w:right w:val="single" w:color="000000" w:sz="4" w:space="0"/>
            </w:tcBorders>
            <w:vAlign w:val="center"/>
          </w:tcPr>
          <w:p w14:paraId="3EA0F7EC">
            <w:pPr>
              <w:widowControl/>
              <w:jc w:val="center"/>
              <w:textAlignment w:val="center"/>
              <w:rPr>
                <w:rFonts w:hint="eastAsia" w:ascii="宋体" w:hAnsi="宋体" w:cs="宋体"/>
                <w:color w:val="000000"/>
                <w:kern w:val="0"/>
                <w:sz w:val="20"/>
                <w:szCs w:val="20"/>
                <w:lang w:bidi="ar"/>
              </w:rPr>
            </w:pPr>
          </w:p>
        </w:tc>
        <w:tc>
          <w:tcPr>
            <w:tcW w:w="900" w:type="dxa"/>
            <w:tcBorders>
              <w:top w:val="single" w:color="000000" w:sz="4" w:space="0"/>
              <w:left w:val="single" w:color="000000" w:sz="4" w:space="0"/>
              <w:bottom w:val="single" w:color="000000" w:sz="4" w:space="0"/>
              <w:right w:val="single" w:color="000000" w:sz="4" w:space="0"/>
            </w:tcBorders>
            <w:vAlign w:val="center"/>
          </w:tcPr>
          <w:p w14:paraId="54731A20">
            <w:pPr>
              <w:widowControl/>
              <w:jc w:val="center"/>
              <w:textAlignment w:val="center"/>
              <w:rPr>
                <w:rFonts w:hint="eastAsia" w:ascii="宋体" w:hAnsi="宋体" w:cs="宋体"/>
                <w:color w:val="000000"/>
                <w:kern w:val="0"/>
                <w:sz w:val="20"/>
                <w:szCs w:val="20"/>
                <w:lang w:bidi="ar"/>
              </w:rPr>
            </w:pPr>
          </w:p>
        </w:tc>
        <w:tc>
          <w:tcPr>
            <w:tcW w:w="832" w:type="dxa"/>
            <w:tcBorders>
              <w:top w:val="single" w:color="000000" w:sz="4" w:space="0"/>
              <w:left w:val="single" w:color="000000" w:sz="4" w:space="0"/>
              <w:bottom w:val="single" w:color="000000" w:sz="4" w:space="0"/>
              <w:right w:val="single" w:color="000000" w:sz="4" w:space="0"/>
            </w:tcBorders>
            <w:vAlign w:val="center"/>
          </w:tcPr>
          <w:p w14:paraId="3CE7FCD7">
            <w:pPr>
              <w:widowControl/>
              <w:jc w:val="center"/>
              <w:textAlignment w:val="center"/>
              <w:rPr>
                <w:rFonts w:hint="eastAsia" w:ascii="宋体" w:hAnsi="宋体" w:cs="宋体"/>
                <w:color w:val="000000"/>
                <w:kern w:val="0"/>
                <w:sz w:val="20"/>
                <w:szCs w:val="20"/>
                <w:lang w:bidi="ar"/>
              </w:rPr>
            </w:pPr>
          </w:p>
        </w:tc>
        <w:tc>
          <w:tcPr>
            <w:tcW w:w="1143" w:type="dxa"/>
            <w:tcBorders>
              <w:top w:val="single" w:color="000000" w:sz="4" w:space="0"/>
              <w:left w:val="single" w:color="000000" w:sz="4" w:space="0"/>
              <w:bottom w:val="single" w:color="000000" w:sz="4" w:space="0"/>
              <w:right w:val="single" w:color="000000" w:sz="4" w:space="0"/>
            </w:tcBorders>
            <w:vAlign w:val="center"/>
          </w:tcPr>
          <w:p w14:paraId="4D7F4A8E">
            <w:pPr>
              <w:widowControl/>
              <w:jc w:val="center"/>
              <w:textAlignment w:val="center"/>
              <w:rPr>
                <w:rFonts w:hint="eastAsia" w:ascii="宋体" w:hAnsi="宋体" w:cs="宋体"/>
                <w:color w:val="000000"/>
                <w:kern w:val="0"/>
                <w:sz w:val="20"/>
                <w:szCs w:val="20"/>
                <w:lang w:bidi="ar"/>
              </w:rPr>
            </w:pPr>
          </w:p>
        </w:tc>
        <w:tc>
          <w:tcPr>
            <w:tcW w:w="763" w:type="dxa"/>
            <w:tcBorders>
              <w:top w:val="single" w:color="000000" w:sz="4" w:space="0"/>
              <w:left w:val="single" w:color="000000" w:sz="4" w:space="0"/>
              <w:bottom w:val="single" w:color="000000" w:sz="4" w:space="0"/>
              <w:right w:val="single" w:color="000000" w:sz="4" w:space="0"/>
            </w:tcBorders>
            <w:vAlign w:val="center"/>
          </w:tcPr>
          <w:p w14:paraId="1A7D514D">
            <w:pPr>
              <w:widowControl/>
              <w:jc w:val="center"/>
              <w:textAlignment w:val="center"/>
              <w:rPr>
                <w:rFonts w:hint="eastAsia" w:ascii="宋体" w:hAnsi="宋体" w:cs="宋体"/>
                <w:color w:val="000000"/>
                <w:kern w:val="0"/>
                <w:sz w:val="20"/>
                <w:szCs w:val="20"/>
                <w:lang w:bidi="ar"/>
              </w:rPr>
            </w:pPr>
          </w:p>
        </w:tc>
        <w:tc>
          <w:tcPr>
            <w:tcW w:w="741" w:type="dxa"/>
            <w:tcBorders>
              <w:top w:val="single" w:color="000000" w:sz="4" w:space="0"/>
              <w:left w:val="single" w:color="000000" w:sz="4" w:space="0"/>
              <w:bottom w:val="single" w:color="000000" w:sz="4" w:space="0"/>
              <w:right w:val="single" w:color="000000" w:sz="4" w:space="0"/>
            </w:tcBorders>
            <w:vAlign w:val="center"/>
          </w:tcPr>
          <w:p w14:paraId="2CAD4DFF">
            <w:pPr>
              <w:widowControl/>
              <w:jc w:val="center"/>
              <w:textAlignment w:val="center"/>
              <w:rPr>
                <w:rFonts w:hint="eastAsia" w:ascii="宋体" w:hAnsi="宋体" w:cs="宋体"/>
                <w:color w:val="000000"/>
                <w:kern w:val="0"/>
                <w:sz w:val="20"/>
                <w:szCs w:val="20"/>
                <w:lang w:bidi="ar"/>
              </w:rPr>
            </w:pPr>
          </w:p>
        </w:tc>
      </w:tr>
      <w:tr w14:paraId="0B52DCAC">
        <w:tblPrEx>
          <w:tblCellMar>
            <w:top w:w="0" w:type="dxa"/>
            <w:left w:w="108" w:type="dxa"/>
            <w:bottom w:w="0" w:type="dxa"/>
            <w:right w:w="108" w:type="dxa"/>
          </w:tblCellMar>
        </w:tblPrEx>
        <w:trPr>
          <w:trHeight w:val="20" w:hRule="atLeast"/>
          <w:jc w:val="center"/>
        </w:trPr>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3FBCC3">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174</w:t>
            </w:r>
          </w:p>
        </w:tc>
        <w:tc>
          <w:tcPr>
            <w:tcW w:w="2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5411D8">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水中毒鼠强速测管</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9ECBEA">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30次测定用量</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16FE60">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包</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814A39">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F91F58">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271</w:t>
            </w:r>
          </w:p>
        </w:tc>
        <w:tc>
          <w:tcPr>
            <w:tcW w:w="992" w:type="dxa"/>
            <w:tcBorders>
              <w:top w:val="single" w:color="000000" w:sz="4" w:space="0"/>
              <w:left w:val="single" w:color="000000" w:sz="4" w:space="0"/>
              <w:bottom w:val="single" w:color="000000" w:sz="4" w:space="0"/>
              <w:right w:val="single" w:color="000000" w:sz="4" w:space="0"/>
            </w:tcBorders>
            <w:vAlign w:val="center"/>
          </w:tcPr>
          <w:p w14:paraId="496DACB9">
            <w:pPr>
              <w:widowControl/>
              <w:jc w:val="center"/>
              <w:textAlignment w:val="center"/>
              <w:rPr>
                <w:rFonts w:hint="eastAsia" w:ascii="宋体" w:hAnsi="宋体" w:cs="宋体"/>
                <w:color w:val="000000"/>
                <w:kern w:val="0"/>
                <w:sz w:val="20"/>
                <w:szCs w:val="20"/>
                <w:lang w:bidi="ar"/>
              </w:rPr>
            </w:pPr>
          </w:p>
        </w:tc>
        <w:tc>
          <w:tcPr>
            <w:tcW w:w="1239" w:type="dxa"/>
            <w:tcBorders>
              <w:top w:val="single" w:color="000000" w:sz="4" w:space="0"/>
              <w:left w:val="single" w:color="000000" w:sz="4" w:space="0"/>
              <w:bottom w:val="single" w:color="000000" w:sz="4" w:space="0"/>
              <w:right w:val="single" w:color="000000" w:sz="4" w:space="0"/>
            </w:tcBorders>
            <w:vAlign w:val="center"/>
          </w:tcPr>
          <w:p w14:paraId="7C02C08F">
            <w:pPr>
              <w:widowControl/>
              <w:jc w:val="center"/>
              <w:textAlignment w:val="center"/>
              <w:rPr>
                <w:rFonts w:hint="eastAsia" w:ascii="宋体" w:hAnsi="宋体" w:cs="宋体"/>
                <w:color w:val="000000"/>
                <w:kern w:val="0"/>
                <w:sz w:val="20"/>
                <w:szCs w:val="20"/>
                <w:lang w:bidi="ar"/>
              </w:rPr>
            </w:pPr>
          </w:p>
        </w:tc>
        <w:tc>
          <w:tcPr>
            <w:tcW w:w="900" w:type="dxa"/>
            <w:tcBorders>
              <w:top w:val="single" w:color="000000" w:sz="4" w:space="0"/>
              <w:left w:val="single" w:color="000000" w:sz="4" w:space="0"/>
              <w:bottom w:val="single" w:color="000000" w:sz="4" w:space="0"/>
              <w:right w:val="single" w:color="000000" w:sz="4" w:space="0"/>
            </w:tcBorders>
            <w:vAlign w:val="center"/>
          </w:tcPr>
          <w:p w14:paraId="6B798B19">
            <w:pPr>
              <w:widowControl/>
              <w:jc w:val="center"/>
              <w:textAlignment w:val="center"/>
              <w:rPr>
                <w:rFonts w:hint="eastAsia" w:ascii="宋体" w:hAnsi="宋体" w:cs="宋体"/>
                <w:color w:val="000000"/>
                <w:kern w:val="0"/>
                <w:sz w:val="20"/>
                <w:szCs w:val="20"/>
                <w:lang w:bidi="ar"/>
              </w:rPr>
            </w:pPr>
          </w:p>
        </w:tc>
        <w:tc>
          <w:tcPr>
            <w:tcW w:w="832" w:type="dxa"/>
            <w:tcBorders>
              <w:top w:val="single" w:color="000000" w:sz="4" w:space="0"/>
              <w:left w:val="single" w:color="000000" w:sz="4" w:space="0"/>
              <w:bottom w:val="single" w:color="000000" w:sz="4" w:space="0"/>
              <w:right w:val="single" w:color="000000" w:sz="4" w:space="0"/>
            </w:tcBorders>
            <w:vAlign w:val="center"/>
          </w:tcPr>
          <w:p w14:paraId="2968DC7C">
            <w:pPr>
              <w:widowControl/>
              <w:jc w:val="center"/>
              <w:textAlignment w:val="center"/>
              <w:rPr>
                <w:rFonts w:hint="eastAsia" w:ascii="宋体" w:hAnsi="宋体" w:cs="宋体"/>
                <w:color w:val="000000"/>
                <w:kern w:val="0"/>
                <w:sz w:val="20"/>
                <w:szCs w:val="20"/>
                <w:lang w:bidi="ar"/>
              </w:rPr>
            </w:pPr>
          </w:p>
        </w:tc>
        <w:tc>
          <w:tcPr>
            <w:tcW w:w="1143" w:type="dxa"/>
            <w:tcBorders>
              <w:top w:val="single" w:color="000000" w:sz="4" w:space="0"/>
              <w:left w:val="single" w:color="000000" w:sz="4" w:space="0"/>
              <w:bottom w:val="single" w:color="000000" w:sz="4" w:space="0"/>
              <w:right w:val="single" w:color="000000" w:sz="4" w:space="0"/>
            </w:tcBorders>
            <w:vAlign w:val="center"/>
          </w:tcPr>
          <w:p w14:paraId="4C6AE1CD">
            <w:pPr>
              <w:widowControl/>
              <w:jc w:val="center"/>
              <w:textAlignment w:val="center"/>
              <w:rPr>
                <w:rFonts w:hint="eastAsia" w:ascii="宋体" w:hAnsi="宋体" w:cs="宋体"/>
                <w:color w:val="000000"/>
                <w:kern w:val="0"/>
                <w:sz w:val="20"/>
                <w:szCs w:val="20"/>
                <w:lang w:bidi="ar"/>
              </w:rPr>
            </w:pPr>
          </w:p>
        </w:tc>
        <w:tc>
          <w:tcPr>
            <w:tcW w:w="763" w:type="dxa"/>
            <w:tcBorders>
              <w:top w:val="single" w:color="000000" w:sz="4" w:space="0"/>
              <w:left w:val="single" w:color="000000" w:sz="4" w:space="0"/>
              <w:bottom w:val="single" w:color="000000" w:sz="4" w:space="0"/>
              <w:right w:val="single" w:color="000000" w:sz="4" w:space="0"/>
            </w:tcBorders>
            <w:vAlign w:val="center"/>
          </w:tcPr>
          <w:p w14:paraId="25C6E908">
            <w:pPr>
              <w:widowControl/>
              <w:jc w:val="center"/>
              <w:textAlignment w:val="center"/>
              <w:rPr>
                <w:rFonts w:hint="eastAsia" w:ascii="宋体" w:hAnsi="宋体" w:cs="宋体"/>
                <w:color w:val="000000"/>
                <w:kern w:val="0"/>
                <w:sz w:val="20"/>
                <w:szCs w:val="20"/>
                <w:lang w:bidi="ar"/>
              </w:rPr>
            </w:pPr>
          </w:p>
        </w:tc>
        <w:tc>
          <w:tcPr>
            <w:tcW w:w="741" w:type="dxa"/>
            <w:tcBorders>
              <w:top w:val="single" w:color="000000" w:sz="4" w:space="0"/>
              <w:left w:val="single" w:color="000000" w:sz="4" w:space="0"/>
              <w:bottom w:val="single" w:color="000000" w:sz="4" w:space="0"/>
              <w:right w:val="single" w:color="000000" w:sz="4" w:space="0"/>
            </w:tcBorders>
            <w:vAlign w:val="center"/>
          </w:tcPr>
          <w:p w14:paraId="152A6311">
            <w:pPr>
              <w:widowControl/>
              <w:jc w:val="center"/>
              <w:textAlignment w:val="center"/>
              <w:rPr>
                <w:rFonts w:hint="eastAsia" w:ascii="宋体" w:hAnsi="宋体" w:cs="宋体"/>
                <w:color w:val="000000"/>
                <w:kern w:val="0"/>
                <w:sz w:val="20"/>
                <w:szCs w:val="20"/>
                <w:lang w:bidi="ar"/>
              </w:rPr>
            </w:pPr>
          </w:p>
        </w:tc>
      </w:tr>
      <w:tr w14:paraId="2252A1A8">
        <w:tblPrEx>
          <w:tblCellMar>
            <w:top w:w="0" w:type="dxa"/>
            <w:left w:w="108" w:type="dxa"/>
            <w:bottom w:w="0" w:type="dxa"/>
            <w:right w:w="108" w:type="dxa"/>
          </w:tblCellMar>
        </w:tblPrEx>
        <w:trPr>
          <w:trHeight w:val="20" w:hRule="atLeast"/>
          <w:jc w:val="center"/>
        </w:trPr>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C082F4">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175</w:t>
            </w:r>
          </w:p>
        </w:tc>
        <w:tc>
          <w:tcPr>
            <w:tcW w:w="2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3E7CDD">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水中硝酸盐速测管</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AAF3CF">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20次测定用量</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E75A54">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包</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B60590">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1D5E1D">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229</w:t>
            </w:r>
          </w:p>
        </w:tc>
        <w:tc>
          <w:tcPr>
            <w:tcW w:w="992" w:type="dxa"/>
            <w:tcBorders>
              <w:top w:val="single" w:color="000000" w:sz="4" w:space="0"/>
              <w:left w:val="single" w:color="000000" w:sz="4" w:space="0"/>
              <w:bottom w:val="single" w:color="000000" w:sz="4" w:space="0"/>
              <w:right w:val="single" w:color="000000" w:sz="4" w:space="0"/>
            </w:tcBorders>
            <w:vAlign w:val="center"/>
          </w:tcPr>
          <w:p w14:paraId="58BE29E5">
            <w:pPr>
              <w:widowControl/>
              <w:jc w:val="center"/>
              <w:textAlignment w:val="center"/>
              <w:rPr>
                <w:rFonts w:hint="eastAsia" w:ascii="宋体" w:hAnsi="宋体" w:cs="宋体"/>
                <w:color w:val="000000"/>
                <w:kern w:val="0"/>
                <w:sz w:val="20"/>
                <w:szCs w:val="20"/>
                <w:lang w:bidi="ar"/>
              </w:rPr>
            </w:pPr>
          </w:p>
        </w:tc>
        <w:tc>
          <w:tcPr>
            <w:tcW w:w="1239" w:type="dxa"/>
            <w:tcBorders>
              <w:top w:val="single" w:color="000000" w:sz="4" w:space="0"/>
              <w:left w:val="single" w:color="000000" w:sz="4" w:space="0"/>
              <w:bottom w:val="single" w:color="000000" w:sz="4" w:space="0"/>
              <w:right w:val="single" w:color="000000" w:sz="4" w:space="0"/>
            </w:tcBorders>
            <w:vAlign w:val="center"/>
          </w:tcPr>
          <w:p w14:paraId="7B60B7AB">
            <w:pPr>
              <w:widowControl/>
              <w:jc w:val="center"/>
              <w:textAlignment w:val="center"/>
              <w:rPr>
                <w:rFonts w:hint="eastAsia" w:ascii="宋体" w:hAnsi="宋体" w:cs="宋体"/>
                <w:color w:val="000000"/>
                <w:kern w:val="0"/>
                <w:sz w:val="20"/>
                <w:szCs w:val="20"/>
                <w:lang w:bidi="ar"/>
              </w:rPr>
            </w:pPr>
          </w:p>
        </w:tc>
        <w:tc>
          <w:tcPr>
            <w:tcW w:w="900" w:type="dxa"/>
            <w:tcBorders>
              <w:top w:val="single" w:color="000000" w:sz="4" w:space="0"/>
              <w:left w:val="single" w:color="000000" w:sz="4" w:space="0"/>
              <w:bottom w:val="single" w:color="000000" w:sz="4" w:space="0"/>
              <w:right w:val="single" w:color="000000" w:sz="4" w:space="0"/>
            </w:tcBorders>
            <w:vAlign w:val="center"/>
          </w:tcPr>
          <w:p w14:paraId="366D2DCB">
            <w:pPr>
              <w:widowControl/>
              <w:jc w:val="center"/>
              <w:textAlignment w:val="center"/>
              <w:rPr>
                <w:rFonts w:hint="eastAsia" w:ascii="宋体" w:hAnsi="宋体" w:cs="宋体"/>
                <w:color w:val="000000"/>
                <w:kern w:val="0"/>
                <w:sz w:val="20"/>
                <w:szCs w:val="20"/>
                <w:lang w:bidi="ar"/>
              </w:rPr>
            </w:pPr>
          </w:p>
        </w:tc>
        <w:tc>
          <w:tcPr>
            <w:tcW w:w="832" w:type="dxa"/>
            <w:tcBorders>
              <w:top w:val="single" w:color="000000" w:sz="4" w:space="0"/>
              <w:left w:val="single" w:color="000000" w:sz="4" w:space="0"/>
              <w:bottom w:val="single" w:color="000000" w:sz="4" w:space="0"/>
              <w:right w:val="single" w:color="000000" w:sz="4" w:space="0"/>
            </w:tcBorders>
            <w:vAlign w:val="center"/>
          </w:tcPr>
          <w:p w14:paraId="6FF40F3D">
            <w:pPr>
              <w:widowControl/>
              <w:jc w:val="center"/>
              <w:textAlignment w:val="center"/>
              <w:rPr>
                <w:rFonts w:hint="eastAsia" w:ascii="宋体" w:hAnsi="宋体" w:cs="宋体"/>
                <w:color w:val="000000"/>
                <w:kern w:val="0"/>
                <w:sz w:val="20"/>
                <w:szCs w:val="20"/>
                <w:lang w:bidi="ar"/>
              </w:rPr>
            </w:pPr>
          </w:p>
        </w:tc>
        <w:tc>
          <w:tcPr>
            <w:tcW w:w="1143" w:type="dxa"/>
            <w:tcBorders>
              <w:top w:val="single" w:color="000000" w:sz="4" w:space="0"/>
              <w:left w:val="single" w:color="000000" w:sz="4" w:space="0"/>
              <w:bottom w:val="single" w:color="000000" w:sz="4" w:space="0"/>
              <w:right w:val="single" w:color="000000" w:sz="4" w:space="0"/>
            </w:tcBorders>
            <w:vAlign w:val="center"/>
          </w:tcPr>
          <w:p w14:paraId="5CB3855F">
            <w:pPr>
              <w:widowControl/>
              <w:jc w:val="center"/>
              <w:textAlignment w:val="center"/>
              <w:rPr>
                <w:rFonts w:hint="eastAsia" w:ascii="宋体" w:hAnsi="宋体" w:cs="宋体"/>
                <w:color w:val="000000"/>
                <w:kern w:val="0"/>
                <w:sz w:val="20"/>
                <w:szCs w:val="20"/>
                <w:lang w:bidi="ar"/>
              </w:rPr>
            </w:pPr>
          </w:p>
        </w:tc>
        <w:tc>
          <w:tcPr>
            <w:tcW w:w="763" w:type="dxa"/>
            <w:tcBorders>
              <w:top w:val="single" w:color="000000" w:sz="4" w:space="0"/>
              <w:left w:val="single" w:color="000000" w:sz="4" w:space="0"/>
              <w:bottom w:val="single" w:color="000000" w:sz="4" w:space="0"/>
              <w:right w:val="single" w:color="000000" w:sz="4" w:space="0"/>
            </w:tcBorders>
            <w:vAlign w:val="center"/>
          </w:tcPr>
          <w:p w14:paraId="5074EB6B">
            <w:pPr>
              <w:widowControl/>
              <w:jc w:val="center"/>
              <w:textAlignment w:val="center"/>
              <w:rPr>
                <w:rFonts w:hint="eastAsia" w:ascii="宋体" w:hAnsi="宋体" w:cs="宋体"/>
                <w:color w:val="000000"/>
                <w:kern w:val="0"/>
                <w:sz w:val="20"/>
                <w:szCs w:val="20"/>
                <w:lang w:bidi="ar"/>
              </w:rPr>
            </w:pPr>
          </w:p>
        </w:tc>
        <w:tc>
          <w:tcPr>
            <w:tcW w:w="741" w:type="dxa"/>
            <w:tcBorders>
              <w:top w:val="single" w:color="000000" w:sz="4" w:space="0"/>
              <w:left w:val="single" w:color="000000" w:sz="4" w:space="0"/>
              <w:bottom w:val="single" w:color="000000" w:sz="4" w:space="0"/>
              <w:right w:val="single" w:color="000000" w:sz="4" w:space="0"/>
            </w:tcBorders>
            <w:vAlign w:val="center"/>
          </w:tcPr>
          <w:p w14:paraId="777FC621">
            <w:pPr>
              <w:widowControl/>
              <w:jc w:val="center"/>
              <w:textAlignment w:val="center"/>
              <w:rPr>
                <w:rFonts w:hint="eastAsia" w:ascii="宋体" w:hAnsi="宋体" w:cs="宋体"/>
                <w:color w:val="000000"/>
                <w:kern w:val="0"/>
                <w:sz w:val="20"/>
                <w:szCs w:val="20"/>
                <w:lang w:bidi="ar"/>
              </w:rPr>
            </w:pPr>
          </w:p>
        </w:tc>
      </w:tr>
      <w:tr w14:paraId="16009F77">
        <w:tblPrEx>
          <w:tblCellMar>
            <w:top w:w="0" w:type="dxa"/>
            <w:left w:w="108" w:type="dxa"/>
            <w:bottom w:w="0" w:type="dxa"/>
            <w:right w:w="108" w:type="dxa"/>
          </w:tblCellMar>
        </w:tblPrEx>
        <w:trPr>
          <w:trHeight w:val="20" w:hRule="atLeast"/>
          <w:jc w:val="center"/>
        </w:trPr>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EB62F4">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176</w:t>
            </w:r>
          </w:p>
        </w:tc>
        <w:tc>
          <w:tcPr>
            <w:tcW w:w="2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099274">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水中亚硝酸盐速测管</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97156D">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20次测定用量</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9B748B">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包</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A489F2">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828E12">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229</w:t>
            </w:r>
          </w:p>
        </w:tc>
        <w:tc>
          <w:tcPr>
            <w:tcW w:w="992" w:type="dxa"/>
            <w:tcBorders>
              <w:top w:val="single" w:color="000000" w:sz="4" w:space="0"/>
              <w:left w:val="single" w:color="000000" w:sz="4" w:space="0"/>
              <w:bottom w:val="single" w:color="000000" w:sz="4" w:space="0"/>
              <w:right w:val="single" w:color="000000" w:sz="4" w:space="0"/>
            </w:tcBorders>
            <w:vAlign w:val="center"/>
          </w:tcPr>
          <w:p w14:paraId="18AECC10">
            <w:pPr>
              <w:widowControl/>
              <w:jc w:val="center"/>
              <w:textAlignment w:val="center"/>
              <w:rPr>
                <w:rFonts w:hint="eastAsia" w:ascii="宋体" w:hAnsi="宋体" w:cs="宋体"/>
                <w:color w:val="000000"/>
                <w:kern w:val="0"/>
                <w:sz w:val="20"/>
                <w:szCs w:val="20"/>
                <w:lang w:bidi="ar"/>
              </w:rPr>
            </w:pPr>
          </w:p>
        </w:tc>
        <w:tc>
          <w:tcPr>
            <w:tcW w:w="1239" w:type="dxa"/>
            <w:tcBorders>
              <w:top w:val="single" w:color="000000" w:sz="4" w:space="0"/>
              <w:left w:val="single" w:color="000000" w:sz="4" w:space="0"/>
              <w:bottom w:val="single" w:color="000000" w:sz="4" w:space="0"/>
              <w:right w:val="single" w:color="000000" w:sz="4" w:space="0"/>
            </w:tcBorders>
            <w:vAlign w:val="center"/>
          </w:tcPr>
          <w:p w14:paraId="30FD7DDA">
            <w:pPr>
              <w:widowControl/>
              <w:jc w:val="center"/>
              <w:textAlignment w:val="center"/>
              <w:rPr>
                <w:rFonts w:hint="eastAsia" w:ascii="宋体" w:hAnsi="宋体" w:cs="宋体"/>
                <w:color w:val="000000"/>
                <w:kern w:val="0"/>
                <w:sz w:val="20"/>
                <w:szCs w:val="20"/>
                <w:lang w:bidi="ar"/>
              </w:rPr>
            </w:pPr>
          </w:p>
        </w:tc>
        <w:tc>
          <w:tcPr>
            <w:tcW w:w="900" w:type="dxa"/>
            <w:tcBorders>
              <w:top w:val="single" w:color="000000" w:sz="4" w:space="0"/>
              <w:left w:val="single" w:color="000000" w:sz="4" w:space="0"/>
              <w:bottom w:val="single" w:color="000000" w:sz="4" w:space="0"/>
              <w:right w:val="single" w:color="000000" w:sz="4" w:space="0"/>
            </w:tcBorders>
            <w:vAlign w:val="center"/>
          </w:tcPr>
          <w:p w14:paraId="76164D02">
            <w:pPr>
              <w:widowControl/>
              <w:jc w:val="center"/>
              <w:textAlignment w:val="center"/>
              <w:rPr>
                <w:rFonts w:hint="eastAsia" w:ascii="宋体" w:hAnsi="宋体" w:cs="宋体"/>
                <w:color w:val="000000"/>
                <w:kern w:val="0"/>
                <w:sz w:val="20"/>
                <w:szCs w:val="20"/>
                <w:lang w:bidi="ar"/>
              </w:rPr>
            </w:pPr>
          </w:p>
        </w:tc>
        <w:tc>
          <w:tcPr>
            <w:tcW w:w="832" w:type="dxa"/>
            <w:tcBorders>
              <w:top w:val="single" w:color="000000" w:sz="4" w:space="0"/>
              <w:left w:val="single" w:color="000000" w:sz="4" w:space="0"/>
              <w:bottom w:val="single" w:color="000000" w:sz="4" w:space="0"/>
              <w:right w:val="single" w:color="000000" w:sz="4" w:space="0"/>
            </w:tcBorders>
            <w:vAlign w:val="center"/>
          </w:tcPr>
          <w:p w14:paraId="52BD09F9">
            <w:pPr>
              <w:widowControl/>
              <w:jc w:val="center"/>
              <w:textAlignment w:val="center"/>
              <w:rPr>
                <w:rFonts w:hint="eastAsia" w:ascii="宋体" w:hAnsi="宋体" w:cs="宋体"/>
                <w:color w:val="000000"/>
                <w:kern w:val="0"/>
                <w:sz w:val="20"/>
                <w:szCs w:val="20"/>
                <w:lang w:bidi="ar"/>
              </w:rPr>
            </w:pPr>
          </w:p>
        </w:tc>
        <w:tc>
          <w:tcPr>
            <w:tcW w:w="1143" w:type="dxa"/>
            <w:tcBorders>
              <w:top w:val="single" w:color="000000" w:sz="4" w:space="0"/>
              <w:left w:val="single" w:color="000000" w:sz="4" w:space="0"/>
              <w:bottom w:val="single" w:color="000000" w:sz="4" w:space="0"/>
              <w:right w:val="single" w:color="000000" w:sz="4" w:space="0"/>
            </w:tcBorders>
            <w:vAlign w:val="center"/>
          </w:tcPr>
          <w:p w14:paraId="274F6DB7">
            <w:pPr>
              <w:widowControl/>
              <w:jc w:val="center"/>
              <w:textAlignment w:val="center"/>
              <w:rPr>
                <w:rFonts w:hint="eastAsia" w:ascii="宋体" w:hAnsi="宋体" w:cs="宋体"/>
                <w:color w:val="000000"/>
                <w:kern w:val="0"/>
                <w:sz w:val="20"/>
                <w:szCs w:val="20"/>
                <w:lang w:bidi="ar"/>
              </w:rPr>
            </w:pPr>
          </w:p>
        </w:tc>
        <w:tc>
          <w:tcPr>
            <w:tcW w:w="763" w:type="dxa"/>
            <w:tcBorders>
              <w:top w:val="single" w:color="000000" w:sz="4" w:space="0"/>
              <w:left w:val="single" w:color="000000" w:sz="4" w:space="0"/>
              <w:bottom w:val="single" w:color="000000" w:sz="4" w:space="0"/>
              <w:right w:val="single" w:color="000000" w:sz="4" w:space="0"/>
            </w:tcBorders>
            <w:vAlign w:val="center"/>
          </w:tcPr>
          <w:p w14:paraId="6FE98C51">
            <w:pPr>
              <w:widowControl/>
              <w:jc w:val="center"/>
              <w:textAlignment w:val="center"/>
              <w:rPr>
                <w:rFonts w:hint="eastAsia" w:ascii="宋体" w:hAnsi="宋体" w:cs="宋体"/>
                <w:color w:val="000000"/>
                <w:kern w:val="0"/>
                <w:sz w:val="20"/>
                <w:szCs w:val="20"/>
                <w:lang w:bidi="ar"/>
              </w:rPr>
            </w:pPr>
          </w:p>
        </w:tc>
        <w:tc>
          <w:tcPr>
            <w:tcW w:w="741" w:type="dxa"/>
            <w:tcBorders>
              <w:top w:val="single" w:color="000000" w:sz="4" w:space="0"/>
              <w:left w:val="single" w:color="000000" w:sz="4" w:space="0"/>
              <w:bottom w:val="single" w:color="000000" w:sz="4" w:space="0"/>
              <w:right w:val="single" w:color="000000" w:sz="4" w:space="0"/>
            </w:tcBorders>
            <w:vAlign w:val="center"/>
          </w:tcPr>
          <w:p w14:paraId="2B44E639">
            <w:pPr>
              <w:widowControl/>
              <w:jc w:val="center"/>
              <w:textAlignment w:val="center"/>
              <w:rPr>
                <w:rFonts w:hint="eastAsia" w:ascii="宋体" w:hAnsi="宋体" w:cs="宋体"/>
                <w:color w:val="000000"/>
                <w:kern w:val="0"/>
                <w:sz w:val="20"/>
                <w:szCs w:val="20"/>
                <w:lang w:bidi="ar"/>
              </w:rPr>
            </w:pPr>
          </w:p>
        </w:tc>
      </w:tr>
      <w:tr w14:paraId="5F703CBD">
        <w:tblPrEx>
          <w:tblCellMar>
            <w:top w:w="0" w:type="dxa"/>
            <w:left w:w="108" w:type="dxa"/>
            <w:bottom w:w="0" w:type="dxa"/>
            <w:right w:w="108" w:type="dxa"/>
          </w:tblCellMar>
        </w:tblPrEx>
        <w:trPr>
          <w:trHeight w:val="20" w:hRule="atLeast"/>
          <w:jc w:val="center"/>
        </w:trPr>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D0882C">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177</w:t>
            </w:r>
          </w:p>
        </w:tc>
        <w:tc>
          <w:tcPr>
            <w:tcW w:w="2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10899E">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水质耗氧量COD速测盒</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F6B6DD">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20次测定用量</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9B7CAE">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盒</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E17AE6">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3A20DB">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429</w:t>
            </w:r>
          </w:p>
        </w:tc>
        <w:tc>
          <w:tcPr>
            <w:tcW w:w="992" w:type="dxa"/>
            <w:tcBorders>
              <w:top w:val="single" w:color="000000" w:sz="4" w:space="0"/>
              <w:left w:val="single" w:color="000000" w:sz="4" w:space="0"/>
              <w:bottom w:val="single" w:color="000000" w:sz="4" w:space="0"/>
              <w:right w:val="single" w:color="000000" w:sz="4" w:space="0"/>
            </w:tcBorders>
            <w:vAlign w:val="center"/>
          </w:tcPr>
          <w:p w14:paraId="4542613D">
            <w:pPr>
              <w:widowControl/>
              <w:jc w:val="center"/>
              <w:textAlignment w:val="center"/>
              <w:rPr>
                <w:rFonts w:hint="eastAsia" w:ascii="宋体" w:hAnsi="宋体" w:cs="宋体"/>
                <w:color w:val="000000"/>
                <w:kern w:val="0"/>
                <w:sz w:val="20"/>
                <w:szCs w:val="20"/>
                <w:lang w:bidi="ar"/>
              </w:rPr>
            </w:pPr>
          </w:p>
        </w:tc>
        <w:tc>
          <w:tcPr>
            <w:tcW w:w="1239" w:type="dxa"/>
            <w:tcBorders>
              <w:top w:val="single" w:color="000000" w:sz="4" w:space="0"/>
              <w:left w:val="single" w:color="000000" w:sz="4" w:space="0"/>
              <w:bottom w:val="single" w:color="000000" w:sz="4" w:space="0"/>
              <w:right w:val="single" w:color="000000" w:sz="4" w:space="0"/>
            </w:tcBorders>
            <w:vAlign w:val="center"/>
          </w:tcPr>
          <w:p w14:paraId="45C1DD0C">
            <w:pPr>
              <w:widowControl/>
              <w:jc w:val="center"/>
              <w:textAlignment w:val="center"/>
              <w:rPr>
                <w:rFonts w:hint="eastAsia" w:ascii="宋体" w:hAnsi="宋体" w:cs="宋体"/>
                <w:color w:val="000000"/>
                <w:kern w:val="0"/>
                <w:sz w:val="20"/>
                <w:szCs w:val="20"/>
                <w:lang w:bidi="ar"/>
              </w:rPr>
            </w:pPr>
          </w:p>
        </w:tc>
        <w:tc>
          <w:tcPr>
            <w:tcW w:w="900" w:type="dxa"/>
            <w:tcBorders>
              <w:top w:val="single" w:color="000000" w:sz="4" w:space="0"/>
              <w:left w:val="single" w:color="000000" w:sz="4" w:space="0"/>
              <w:bottom w:val="single" w:color="000000" w:sz="4" w:space="0"/>
              <w:right w:val="single" w:color="000000" w:sz="4" w:space="0"/>
            </w:tcBorders>
            <w:vAlign w:val="center"/>
          </w:tcPr>
          <w:p w14:paraId="253BD7DD">
            <w:pPr>
              <w:widowControl/>
              <w:jc w:val="center"/>
              <w:textAlignment w:val="center"/>
              <w:rPr>
                <w:rFonts w:hint="eastAsia" w:ascii="宋体" w:hAnsi="宋体" w:cs="宋体"/>
                <w:color w:val="000000"/>
                <w:kern w:val="0"/>
                <w:sz w:val="20"/>
                <w:szCs w:val="20"/>
                <w:lang w:bidi="ar"/>
              </w:rPr>
            </w:pPr>
          </w:p>
        </w:tc>
        <w:tc>
          <w:tcPr>
            <w:tcW w:w="832" w:type="dxa"/>
            <w:tcBorders>
              <w:top w:val="single" w:color="000000" w:sz="4" w:space="0"/>
              <w:left w:val="single" w:color="000000" w:sz="4" w:space="0"/>
              <w:bottom w:val="single" w:color="000000" w:sz="4" w:space="0"/>
              <w:right w:val="single" w:color="000000" w:sz="4" w:space="0"/>
            </w:tcBorders>
            <w:vAlign w:val="center"/>
          </w:tcPr>
          <w:p w14:paraId="0109CFD3">
            <w:pPr>
              <w:widowControl/>
              <w:jc w:val="center"/>
              <w:textAlignment w:val="center"/>
              <w:rPr>
                <w:rFonts w:hint="eastAsia" w:ascii="宋体" w:hAnsi="宋体" w:cs="宋体"/>
                <w:color w:val="000000"/>
                <w:kern w:val="0"/>
                <w:sz w:val="20"/>
                <w:szCs w:val="20"/>
                <w:lang w:bidi="ar"/>
              </w:rPr>
            </w:pPr>
          </w:p>
        </w:tc>
        <w:tc>
          <w:tcPr>
            <w:tcW w:w="1143" w:type="dxa"/>
            <w:tcBorders>
              <w:top w:val="single" w:color="000000" w:sz="4" w:space="0"/>
              <w:left w:val="single" w:color="000000" w:sz="4" w:space="0"/>
              <w:bottom w:val="single" w:color="000000" w:sz="4" w:space="0"/>
              <w:right w:val="single" w:color="000000" w:sz="4" w:space="0"/>
            </w:tcBorders>
            <w:vAlign w:val="center"/>
          </w:tcPr>
          <w:p w14:paraId="41EE9867">
            <w:pPr>
              <w:widowControl/>
              <w:jc w:val="center"/>
              <w:textAlignment w:val="center"/>
              <w:rPr>
                <w:rFonts w:hint="eastAsia" w:ascii="宋体" w:hAnsi="宋体" w:cs="宋体"/>
                <w:color w:val="000000"/>
                <w:kern w:val="0"/>
                <w:sz w:val="20"/>
                <w:szCs w:val="20"/>
                <w:lang w:bidi="ar"/>
              </w:rPr>
            </w:pPr>
          </w:p>
        </w:tc>
        <w:tc>
          <w:tcPr>
            <w:tcW w:w="763" w:type="dxa"/>
            <w:tcBorders>
              <w:top w:val="single" w:color="000000" w:sz="4" w:space="0"/>
              <w:left w:val="single" w:color="000000" w:sz="4" w:space="0"/>
              <w:bottom w:val="single" w:color="000000" w:sz="4" w:space="0"/>
              <w:right w:val="single" w:color="000000" w:sz="4" w:space="0"/>
            </w:tcBorders>
            <w:vAlign w:val="center"/>
          </w:tcPr>
          <w:p w14:paraId="35099378">
            <w:pPr>
              <w:widowControl/>
              <w:jc w:val="center"/>
              <w:textAlignment w:val="center"/>
              <w:rPr>
                <w:rFonts w:hint="eastAsia" w:ascii="宋体" w:hAnsi="宋体" w:cs="宋体"/>
                <w:color w:val="000000"/>
                <w:kern w:val="0"/>
                <w:sz w:val="20"/>
                <w:szCs w:val="20"/>
                <w:lang w:bidi="ar"/>
              </w:rPr>
            </w:pPr>
          </w:p>
        </w:tc>
        <w:tc>
          <w:tcPr>
            <w:tcW w:w="741" w:type="dxa"/>
            <w:tcBorders>
              <w:top w:val="single" w:color="000000" w:sz="4" w:space="0"/>
              <w:left w:val="single" w:color="000000" w:sz="4" w:space="0"/>
              <w:bottom w:val="single" w:color="000000" w:sz="4" w:space="0"/>
              <w:right w:val="single" w:color="000000" w:sz="4" w:space="0"/>
            </w:tcBorders>
            <w:vAlign w:val="center"/>
          </w:tcPr>
          <w:p w14:paraId="79B1B54B">
            <w:pPr>
              <w:widowControl/>
              <w:jc w:val="center"/>
              <w:textAlignment w:val="center"/>
              <w:rPr>
                <w:rFonts w:hint="eastAsia" w:ascii="宋体" w:hAnsi="宋体" w:cs="宋体"/>
                <w:color w:val="000000"/>
                <w:kern w:val="0"/>
                <w:sz w:val="20"/>
                <w:szCs w:val="20"/>
                <w:lang w:bidi="ar"/>
              </w:rPr>
            </w:pPr>
          </w:p>
        </w:tc>
      </w:tr>
      <w:tr w14:paraId="2C052B7B">
        <w:tblPrEx>
          <w:tblCellMar>
            <w:top w:w="0" w:type="dxa"/>
            <w:left w:w="108" w:type="dxa"/>
            <w:bottom w:w="0" w:type="dxa"/>
            <w:right w:w="108" w:type="dxa"/>
          </w:tblCellMar>
        </w:tblPrEx>
        <w:trPr>
          <w:trHeight w:val="20" w:hRule="atLeast"/>
          <w:jc w:val="center"/>
        </w:trPr>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C7F035">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178</w:t>
            </w:r>
          </w:p>
        </w:tc>
        <w:tc>
          <w:tcPr>
            <w:tcW w:w="2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10E884">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水质浊度速测盒</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F57BDE">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50次测定用量</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3259FC">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盒</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F3C107">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7FCBA9">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343</w:t>
            </w:r>
          </w:p>
        </w:tc>
        <w:tc>
          <w:tcPr>
            <w:tcW w:w="992" w:type="dxa"/>
            <w:tcBorders>
              <w:top w:val="single" w:color="000000" w:sz="4" w:space="0"/>
              <w:left w:val="single" w:color="000000" w:sz="4" w:space="0"/>
              <w:bottom w:val="single" w:color="000000" w:sz="4" w:space="0"/>
              <w:right w:val="single" w:color="000000" w:sz="4" w:space="0"/>
            </w:tcBorders>
            <w:vAlign w:val="center"/>
          </w:tcPr>
          <w:p w14:paraId="7BDA0B8C">
            <w:pPr>
              <w:widowControl/>
              <w:jc w:val="center"/>
              <w:textAlignment w:val="center"/>
              <w:rPr>
                <w:rFonts w:hint="eastAsia" w:ascii="宋体" w:hAnsi="宋体" w:cs="宋体"/>
                <w:color w:val="000000"/>
                <w:kern w:val="0"/>
                <w:sz w:val="20"/>
                <w:szCs w:val="20"/>
                <w:lang w:bidi="ar"/>
              </w:rPr>
            </w:pPr>
          </w:p>
        </w:tc>
        <w:tc>
          <w:tcPr>
            <w:tcW w:w="1239" w:type="dxa"/>
            <w:tcBorders>
              <w:top w:val="single" w:color="000000" w:sz="4" w:space="0"/>
              <w:left w:val="single" w:color="000000" w:sz="4" w:space="0"/>
              <w:bottom w:val="single" w:color="000000" w:sz="4" w:space="0"/>
              <w:right w:val="single" w:color="000000" w:sz="4" w:space="0"/>
            </w:tcBorders>
            <w:vAlign w:val="center"/>
          </w:tcPr>
          <w:p w14:paraId="35FC3E42">
            <w:pPr>
              <w:widowControl/>
              <w:jc w:val="center"/>
              <w:textAlignment w:val="center"/>
              <w:rPr>
                <w:rFonts w:hint="eastAsia" w:ascii="宋体" w:hAnsi="宋体" w:cs="宋体"/>
                <w:color w:val="000000"/>
                <w:kern w:val="0"/>
                <w:sz w:val="20"/>
                <w:szCs w:val="20"/>
                <w:lang w:bidi="ar"/>
              </w:rPr>
            </w:pPr>
          </w:p>
        </w:tc>
        <w:tc>
          <w:tcPr>
            <w:tcW w:w="900" w:type="dxa"/>
            <w:tcBorders>
              <w:top w:val="single" w:color="000000" w:sz="4" w:space="0"/>
              <w:left w:val="single" w:color="000000" w:sz="4" w:space="0"/>
              <w:bottom w:val="single" w:color="000000" w:sz="4" w:space="0"/>
              <w:right w:val="single" w:color="000000" w:sz="4" w:space="0"/>
            </w:tcBorders>
            <w:vAlign w:val="center"/>
          </w:tcPr>
          <w:p w14:paraId="602CBE36">
            <w:pPr>
              <w:widowControl/>
              <w:jc w:val="center"/>
              <w:textAlignment w:val="center"/>
              <w:rPr>
                <w:rFonts w:hint="eastAsia" w:ascii="宋体" w:hAnsi="宋体" w:cs="宋体"/>
                <w:color w:val="000000"/>
                <w:kern w:val="0"/>
                <w:sz w:val="20"/>
                <w:szCs w:val="20"/>
                <w:lang w:bidi="ar"/>
              </w:rPr>
            </w:pPr>
          </w:p>
        </w:tc>
        <w:tc>
          <w:tcPr>
            <w:tcW w:w="832" w:type="dxa"/>
            <w:tcBorders>
              <w:top w:val="single" w:color="000000" w:sz="4" w:space="0"/>
              <w:left w:val="single" w:color="000000" w:sz="4" w:space="0"/>
              <w:bottom w:val="single" w:color="000000" w:sz="4" w:space="0"/>
              <w:right w:val="single" w:color="000000" w:sz="4" w:space="0"/>
            </w:tcBorders>
            <w:vAlign w:val="center"/>
          </w:tcPr>
          <w:p w14:paraId="6B5A1AE7">
            <w:pPr>
              <w:widowControl/>
              <w:jc w:val="center"/>
              <w:textAlignment w:val="center"/>
              <w:rPr>
                <w:rFonts w:hint="eastAsia" w:ascii="宋体" w:hAnsi="宋体" w:cs="宋体"/>
                <w:color w:val="000000"/>
                <w:kern w:val="0"/>
                <w:sz w:val="20"/>
                <w:szCs w:val="20"/>
                <w:lang w:bidi="ar"/>
              </w:rPr>
            </w:pPr>
          </w:p>
        </w:tc>
        <w:tc>
          <w:tcPr>
            <w:tcW w:w="1143" w:type="dxa"/>
            <w:tcBorders>
              <w:top w:val="single" w:color="000000" w:sz="4" w:space="0"/>
              <w:left w:val="single" w:color="000000" w:sz="4" w:space="0"/>
              <w:bottom w:val="single" w:color="000000" w:sz="4" w:space="0"/>
              <w:right w:val="single" w:color="000000" w:sz="4" w:space="0"/>
            </w:tcBorders>
            <w:vAlign w:val="center"/>
          </w:tcPr>
          <w:p w14:paraId="1DB0E510">
            <w:pPr>
              <w:widowControl/>
              <w:jc w:val="center"/>
              <w:textAlignment w:val="center"/>
              <w:rPr>
                <w:rFonts w:hint="eastAsia" w:ascii="宋体" w:hAnsi="宋体" w:cs="宋体"/>
                <w:color w:val="000000"/>
                <w:kern w:val="0"/>
                <w:sz w:val="20"/>
                <w:szCs w:val="20"/>
                <w:lang w:bidi="ar"/>
              </w:rPr>
            </w:pPr>
          </w:p>
        </w:tc>
        <w:tc>
          <w:tcPr>
            <w:tcW w:w="763" w:type="dxa"/>
            <w:tcBorders>
              <w:top w:val="single" w:color="000000" w:sz="4" w:space="0"/>
              <w:left w:val="single" w:color="000000" w:sz="4" w:space="0"/>
              <w:bottom w:val="single" w:color="000000" w:sz="4" w:space="0"/>
              <w:right w:val="single" w:color="000000" w:sz="4" w:space="0"/>
            </w:tcBorders>
            <w:vAlign w:val="center"/>
          </w:tcPr>
          <w:p w14:paraId="1A323494">
            <w:pPr>
              <w:widowControl/>
              <w:jc w:val="center"/>
              <w:textAlignment w:val="center"/>
              <w:rPr>
                <w:rFonts w:hint="eastAsia" w:ascii="宋体" w:hAnsi="宋体" w:cs="宋体"/>
                <w:color w:val="000000"/>
                <w:kern w:val="0"/>
                <w:sz w:val="20"/>
                <w:szCs w:val="20"/>
                <w:lang w:bidi="ar"/>
              </w:rPr>
            </w:pPr>
          </w:p>
        </w:tc>
        <w:tc>
          <w:tcPr>
            <w:tcW w:w="741" w:type="dxa"/>
            <w:tcBorders>
              <w:top w:val="single" w:color="000000" w:sz="4" w:space="0"/>
              <w:left w:val="single" w:color="000000" w:sz="4" w:space="0"/>
              <w:bottom w:val="single" w:color="000000" w:sz="4" w:space="0"/>
              <w:right w:val="single" w:color="000000" w:sz="4" w:space="0"/>
            </w:tcBorders>
            <w:vAlign w:val="center"/>
          </w:tcPr>
          <w:p w14:paraId="32F0F91F">
            <w:pPr>
              <w:widowControl/>
              <w:jc w:val="center"/>
              <w:textAlignment w:val="center"/>
              <w:rPr>
                <w:rFonts w:hint="eastAsia" w:ascii="宋体" w:hAnsi="宋体" w:cs="宋体"/>
                <w:color w:val="000000"/>
                <w:kern w:val="0"/>
                <w:sz w:val="20"/>
                <w:szCs w:val="20"/>
                <w:lang w:bidi="ar"/>
              </w:rPr>
            </w:pPr>
          </w:p>
        </w:tc>
      </w:tr>
      <w:tr w14:paraId="656417A6">
        <w:tblPrEx>
          <w:tblCellMar>
            <w:top w:w="0" w:type="dxa"/>
            <w:left w:w="108" w:type="dxa"/>
            <w:bottom w:w="0" w:type="dxa"/>
            <w:right w:w="108" w:type="dxa"/>
          </w:tblCellMar>
        </w:tblPrEx>
        <w:trPr>
          <w:trHeight w:val="20" w:hRule="atLeast"/>
          <w:jc w:val="center"/>
        </w:trPr>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C9DA28">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179</w:t>
            </w:r>
          </w:p>
        </w:tc>
        <w:tc>
          <w:tcPr>
            <w:tcW w:w="2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892E78">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水中六价铬速测管</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901485">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20次测定用量</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67A2F0">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包</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2A89CB">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E9668B">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271</w:t>
            </w:r>
          </w:p>
        </w:tc>
        <w:tc>
          <w:tcPr>
            <w:tcW w:w="992" w:type="dxa"/>
            <w:tcBorders>
              <w:top w:val="single" w:color="000000" w:sz="4" w:space="0"/>
              <w:left w:val="single" w:color="000000" w:sz="4" w:space="0"/>
              <w:bottom w:val="single" w:color="000000" w:sz="4" w:space="0"/>
              <w:right w:val="single" w:color="000000" w:sz="4" w:space="0"/>
            </w:tcBorders>
            <w:vAlign w:val="center"/>
          </w:tcPr>
          <w:p w14:paraId="79B75395">
            <w:pPr>
              <w:widowControl/>
              <w:jc w:val="center"/>
              <w:textAlignment w:val="center"/>
              <w:rPr>
                <w:rFonts w:hint="eastAsia" w:ascii="宋体" w:hAnsi="宋体" w:cs="宋体"/>
                <w:color w:val="000000"/>
                <w:kern w:val="0"/>
                <w:sz w:val="20"/>
                <w:szCs w:val="20"/>
                <w:lang w:bidi="ar"/>
              </w:rPr>
            </w:pPr>
          </w:p>
        </w:tc>
        <w:tc>
          <w:tcPr>
            <w:tcW w:w="1239" w:type="dxa"/>
            <w:tcBorders>
              <w:top w:val="single" w:color="000000" w:sz="4" w:space="0"/>
              <w:left w:val="single" w:color="000000" w:sz="4" w:space="0"/>
              <w:bottom w:val="single" w:color="000000" w:sz="4" w:space="0"/>
              <w:right w:val="single" w:color="000000" w:sz="4" w:space="0"/>
            </w:tcBorders>
            <w:vAlign w:val="center"/>
          </w:tcPr>
          <w:p w14:paraId="4CBBE96D">
            <w:pPr>
              <w:widowControl/>
              <w:jc w:val="center"/>
              <w:textAlignment w:val="center"/>
              <w:rPr>
                <w:rFonts w:hint="eastAsia" w:ascii="宋体" w:hAnsi="宋体" w:cs="宋体"/>
                <w:color w:val="000000"/>
                <w:kern w:val="0"/>
                <w:sz w:val="20"/>
                <w:szCs w:val="20"/>
                <w:lang w:bidi="ar"/>
              </w:rPr>
            </w:pPr>
          </w:p>
        </w:tc>
        <w:tc>
          <w:tcPr>
            <w:tcW w:w="900" w:type="dxa"/>
            <w:tcBorders>
              <w:top w:val="single" w:color="000000" w:sz="4" w:space="0"/>
              <w:left w:val="single" w:color="000000" w:sz="4" w:space="0"/>
              <w:bottom w:val="single" w:color="000000" w:sz="4" w:space="0"/>
              <w:right w:val="single" w:color="000000" w:sz="4" w:space="0"/>
            </w:tcBorders>
            <w:vAlign w:val="center"/>
          </w:tcPr>
          <w:p w14:paraId="66D8CFCA">
            <w:pPr>
              <w:widowControl/>
              <w:jc w:val="center"/>
              <w:textAlignment w:val="center"/>
              <w:rPr>
                <w:rFonts w:hint="eastAsia" w:ascii="宋体" w:hAnsi="宋体" w:cs="宋体"/>
                <w:color w:val="000000"/>
                <w:kern w:val="0"/>
                <w:sz w:val="20"/>
                <w:szCs w:val="20"/>
                <w:lang w:bidi="ar"/>
              </w:rPr>
            </w:pPr>
          </w:p>
        </w:tc>
        <w:tc>
          <w:tcPr>
            <w:tcW w:w="832" w:type="dxa"/>
            <w:tcBorders>
              <w:top w:val="single" w:color="000000" w:sz="4" w:space="0"/>
              <w:left w:val="single" w:color="000000" w:sz="4" w:space="0"/>
              <w:bottom w:val="single" w:color="000000" w:sz="4" w:space="0"/>
              <w:right w:val="single" w:color="000000" w:sz="4" w:space="0"/>
            </w:tcBorders>
            <w:vAlign w:val="center"/>
          </w:tcPr>
          <w:p w14:paraId="1E37D957">
            <w:pPr>
              <w:widowControl/>
              <w:jc w:val="center"/>
              <w:textAlignment w:val="center"/>
              <w:rPr>
                <w:rFonts w:hint="eastAsia" w:ascii="宋体" w:hAnsi="宋体" w:cs="宋体"/>
                <w:color w:val="000000"/>
                <w:kern w:val="0"/>
                <w:sz w:val="20"/>
                <w:szCs w:val="20"/>
                <w:lang w:bidi="ar"/>
              </w:rPr>
            </w:pPr>
          </w:p>
        </w:tc>
        <w:tc>
          <w:tcPr>
            <w:tcW w:w="1143" w:type="dxa"/>
            <w:tcBorders>
              <w:top w:val="single" w:color="000000" w:sz="4" w:space="0"/>
              <w:left w:val="single" w:color="000000" w:sz="4" w:space="0"/>
              <w:bottom w:val="single" w:color="000000" w:sz="4" w:space="0"/>
              <w:right w:val="single" w:color="000000" w:sz="4" w:space="0"/>
            </w:tcBorders>
            <w:vAlign w:val="center"/>
          </w:tcPr>
          <w:p w14:paraId="2D3649EB">
            <w:pPr>
              <w:widowControl/>
              <w:jc w:val="center"/>
              <w:textAlignment w:val="center"/>
              <w:rPr>
                <w:rFonts w:hint="eastAsia" w:ascii="宋体" w:hAnsi="宋体" w:cs="宋体"/>
                <w:color w:val="000000"/>
                <w:kern w:val="0"/>
                <w:sz w:val="20"/>
                <w:szCs w:val="20"/>
                <w:lang w:bidi="ar"/>
              </w:rPr>
            </w:pPr>
          </w:p>
        </w:tc>
        <w:tc>
          <w:tcPr>
            <w:tcW w:w="763" w:type="dxa"/>
            <w:tcBorders>
              <w:top w:val="single" w:color="000000" w:sz="4" w:space="0"/>
              <w:left w:val="single" w:color="000000" w:sz="4" w:space="0"/>
              <w:bottom w:val="single" w:color="000000" w:sz="4" w:space="0"/>
              <w:right w:val="single" w:color="000000" w:sz="4" w:space="0"/>
            </w:tcBorders>
            <w:vAlign w:val="center"/>
          </w:tcPr>
          <w:p w14:paraId="52F89BF3">
            <w:pPr>
              <w:widowControl/>
              <w:jc w:val="center"/>
              <w:textAlignment w:val="center"/>
              <w:rPr>
                <w:rFonts w:hint="eastAsia" w:ascii="宋体" w:hAnsi="宋体" w:cs="宋体"/>
                <w:color w:val="000000"/>
                <w:kern w:val="0"/>
                <w:sz w:val="20"/>
                <w:szCs w:val="20"/>
                <w:lang w:bidi="ar"/>
              </w:rPr>
            </w:pPr>
          </w:p>
        </w:tc>
        <w:tc>
          <w:tcPr>
            <w:tcW w:w="741" w:type="dxa"/>
            <w:tcBorders>
              <w:top w:val="single" w:color="000000" w:sz="4" w:space="0"/>
              <w:left w:val="single" w:color="000000" w:sz="4" w:space="0"/>
              <w:bottom w:val="single" w:color="000000" w:sz="4" w:space="0"/>
              <w:right w:val="single" w:color="000000" w:sz="4" w:space="0"/>
            </w:tcBorders>
            <w:vAlign w:val="center"/>
          </w:tcPr>
          <w:p w14:paraId="46DA334B">
            <w:pPr>
              <w:widowControl/>
              <w:jc w:val="center"/>
              <w:textAlignment w:val="center"/>
              <w:rPr>
                <w:rFonts w:hint="eastAsia" w:ascii="宋体" w:hAnsi="宋体" w:cs="宋体"/>
                <w:color w:val="000000"/>
                <w:kern w:val="0"/>
                <w:sz w:val="20"/>
                <w:szCs w:val="20"/>
                <w:lang w:bidi="ar"/>
              </w:rPr>
            </w:pPr>
          </w:p>
        </w:tc>
      </w:tr>
      <w:tr w14:paraId="0B3420AE">
        <w:tblPrEx>
          <w:tblCellMar>
            <w:top w:w="0" w:type="dxa"/>
            <w:left w:w="108" w:type="dxa"/>
            <w:bottom w:w="0" w:type="dxa"/>
            <w:right w:w="108" w:type="dxa"/>
          </w:tblCellMar>
        </w:tblPrEx>
        <w:trPr>
          <w:trHeight w:val="20" w:hRule="atLeast"/>
          <w:jc w:val="center"/>
        </w:trPr>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1F9E9D">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180</w:t>
            </w:r>
          </w:p>
        </w:tc>
        <w:tc>
          <w:tcPr>
            <w:tcW w:w="2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80B7DC">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水中砷速测盒</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BEFF81">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30次测定用量</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F31DD5">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盒</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E7310C">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557B58">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771</w:t>
            </w:r>
          </w:p>
        </w:tc>
        <w:tc>
          <w:tcPr>
            <w:tcW w:w="992" w:type="dxa"/>
            <w:tcBorders>
              <w:top w:val="single" w:color="000000" w:sz="4" w:space="0"/>
              <w:left w:val="single" w:color="000000" w:sz="4" w:space="0"/>
              <w:bottom w:val="single" w:color="000000" w:sz="4" w:space="0"/>
              <w:right w:val="single" w:color="000000" w:sz="4" w:space="0"/>
            </w:tcBorders>
            <w:vAlign w:val="center"/>
          </w:tcPr>
          <w:p w14:paraId="6F306039">
            <w:pPr>
              <w:widowControl/>
              <w:jc w:val="center"/>
              <w:textAlignment w:val="center"/>
              <w:rPr>
                <w:rFonts w:hint="eastAsia" w:ascii="宋体" w:hAnsi="宋体" w:cs="宋体"/>
                <w:color w:val="000000"/>
                <w:kern w:val="0"/>
                <w:sz w:val="20"/>
                <w:szCs w:val="20"/>
                <w:lang w:bidi="ar"/>
              </w:rPr>
            </w:pPr>
          </w:p>
        </w:tc>
        <w:tc>
          <w:tcPr>
            <w:tcW w:w="1239" w:type="dxa"/>
            <w:tcBorders>
              <w:top w:val="single" w:color="000000" w:sz="4" w:space="0"/>
              <w:left w:val="single" w:color="000000" w:sz="4" w:space="0"/>
              <w:bottom w:val="single" w:color="000000" w:sz="4" w:space="0"/>
              <w:right w:val="single" w:color="000000" w:sz="4" w:space="0"/>
            </w:tcBorders>
            <w:vAlign w:val="center"/>
          </w:tcPr>
          <w:p w14:paraId="271A076C">
            <w:pPr>
              <w:widowControl/>
              <w:jc w:val="center"/>
              <w:textAlignment w:val="center"/>
              <w:rPr>
                <w:rFonts w:hint="eastAsia" w:ascii="宋体" w:hAnsi="宋体" w:cs="宋体"/>
                <w:color w:val="000000"/>
                <w:kern w:val="0"/>
                <w:sz w:val="20"/>
                <w:szCs w:val="20"/>
                <w:lang w:bidi="ar"/>
              </w:rPr>
            </w:pPr>
          </w:p>
        </w:tc>
        <w:tc>
          <w:tcPr>
            <w:tcW w:w="900" w:type="dxa"/>
            <w:tcBorders>
              <w:top w:val="single" w:color="000000" w:sz="4" w:space="0"/>
              <w:left w:val="single" w:color="000000" w:sz="4" w:space="0"/>
              <w:bottom w:val="single" w:color="000000" w:sz="4" w:space="0"/>
              <w:right w:val="single" w:color="000000" w:sz="4" w:space="0"/>
            </w:tcBorders>
            <w:vAlign w:val="center"/>
          </w:tcPr>
          <w:p w14:paraId="2E863C99">
            <w:pPr>
              <w:widowControl/>
              <w:jc w:val="center"/>
              <w:textAlignment w:val="center"/>
              <w:rPr>
                <w:rFonts w:hint="eastAsia" w:ascii="宋体" w:hAnsi="宋体" w:cs="宋体"/>
                <w:color w:val="000000"/>
                <w:kern w:val="0"/>
                <w:sz w:val="20"/>
                <w:szCs w:val="20"/>
                <w:lang w:bidi="ar"/>
              </w:rPr>
            </w:pPr>
          </w:p>
        </w:tc>
        <w:tc>
          <w:tcPr>
            <w:tcW w:w="832" w:type="dxa"/>
            <w:tcBorders>
              <w:top w:val="single" w:color="000000" w:sz="4" w:space="0"/>
              <w:left w:val="single" w:color="000000" w:sz="4" w:space="0"/>
              <w:bottom w:val="single" w:color="000000" w:sz="4" w:space="0"/>
              <w:right w:val="single" w:color="000000" w:sz="4" w:space="0"/>
            </w:tcBorders>
            <w:vAlign w:val="center"/>
          </w:tcPr>
          <w:p w14:paraId="5D32FB5D">
            <w:pPr>
              <w:widowControl/>
              <w:jc w:val="center"/>
              <w:textAlignment w:val="center"/>
              <w:rPr>
                <w:rFonts w:hint="eastAsia" w:ascii="宋体" w:hAnsi="宋体" w:cs="宋体"/>
                <w:color w:val="000000"/>
                <w:kern w:val="0"/>
                <w:sz w:val="20"/>
                <w:szCs w:val="20"/>
                <w:lang w:bidi="ar"/>
              </w:rPr>
            </w:pPr>
          </w:p>
        </w:tc>
        <w:tc>
          <w:tcPr>
            <w:tcW w:w="1143" w:type="dxa"/>
            <w:tcBorders>
              <w:top w:val="single" w:color="000000" w:sz="4" w:space="0"/>
              <w:left w:val="single" w:color="000000" w:sz="4" w:space="0"/>
              <w:bottom w:val="single" w:color="000000" w:sz="4" w:space="0"/>
              <w:right w:val="single" w:color="000000" w:sz="4" w:space="0"/>
            </w:tcBorders>
            <w:vAlign w:val="center"/>
          </w:tcPr>
          <w:p w14:paraId="720EB4E9">
            <w:pPr>
              <w:widowControl/>
              <w:jc w:val="center"/>
              <w:textAlignment w:val="center"/>
              <w:rPr>
                <w:rFonts w:hint="eastAsia" w:ascii="宋体" w:hAnsi="宋体" w:cs="宋体"/>
                <w:color w:val="000000"/>
                <w:kern w:val="0"/>
                <w:sz w:val="20"/>
                <w:szCs w:val="20"/>
                <w:lang w:bidi="ar"/>
              </w:rPr>
            </w:pPr>
          </w:p>
        </w:tc>
        <w:tc>
          <w:tcPr>
            <w:tcW w:w="763" w:type="dxa"/>
            <w:tcBorders>
              <w:top w:val="single" w:color="000000" w:sz="4" w:space="0"/>
              <w:left w:val="single" w:color="000000" w:sz="4" w:space="0"/>
              <w:bottom w:val="single" w:color="000000" w:sz="4" w:space="0"/>
              <w:right w:val="single" w:color="000000" w:sz="4" w:space="0"/>
            </w:tcBorders>
            <w:vAlign w:val="center"/>
          </w:tcPr>
          <w:p w14:paraId="65D9CB58">
            <w:pPr>
              <w:widowControl/>
              <w:jc w:val="center"/>
              <w:textAlignment w:val="center"/>
              <w:rPr>
                <w:rFonts w:hint="eastAsia" w:ascii="宋体" w:hAnsi="宋体" w:cs="宋体"/>
                <w:color w:val="000000"/>
                <w:kern w:val="0"/>
                <w:sz w:val="20"/>
                <w:szCs w:val="20"/>
                <w:lang w:bidi="ar"/>
              </w:rPr>
            </w:pPr>
          </w:p>
        </w:tc>
        <w:tc>
          <w:tcPr>
            <w:tcW w:w="741" w:type="dxa"/>
            <w:tcBorders>
              <w:top w:val="single" w:color="000000" w:sz="4" w:space="0"/>
              <w:left w:val="single" w:color="000000" w:sz="4" w:space="0"/>
              <w:bottom w:val="single" w:color="000000" w:sz="4" w:space="0"/>
              <w:right w:val="single" w:color="000000" w:sz="4" w:space="0"/>
            </w:tcBorders>
            <w:vAlign w:val="center"/>
          </w:tcPr>
          <w:p w14:paraId="01FF61BC">
            <w:pPr>
              <w:widowControl/>
              <w:jc w:val="center"/>
              <w:textAlignment w:val="center"/>
              <w:rPr>
                <w:rFonts w:hint="eastAsia" w:ascii="宋体" w:hAnsi="宋体" w:cs="宋体"/>
                <w:color w:val="000000"/>
                <w:kern w:val="0"/>
                <w:sz w:val="20"/>
                <w:szCs w:val="20"/>
                <w:lang w:bidi="ar"/>
              </w:rPr>
            </w:pPr>
          </w:p>
        </w:tc>
      </w:tr>
      <w:tr w14:paraId="78FA0531">
        <w:tblPrEx>
          <w:tblCellMar>
            <w:top w:w="0" w:type="dxa"/>
            <w:left w:w="108" w:type="dxa"/>
            <w:bottom w:w="0" w:type="dxa"/>
            <w:right w:w="108" w:type="dxa"/>
          </w:tblCellMar>
        </w:tblPrEx>
        <w:trPr>
          <w:trHeight w:val="20" w:hRule="atLeast"/>
          <w:jc w:val="center"/>
        </w:trPr>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060672">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181</w:t>
            </w:r>
          </w:p>
        </w:tc>
        <w:tc>
          <w:tcPr>
            <w:tcW w:w="2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B4B237">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水中汞速测盒</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271FC8">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30次测定用量</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F818AD">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盒</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6FFE17">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2BA012">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657</w:t>
            </w:r>
          </w:p>
        </w:tc>
        <w:tc>
          <w:tcPr>
            <w:tcW w:w="992" w:type="dxa"/>
            <w:tcBorders>
              <w:top w:val="single" w:color="000000" w:sz="4" w:space="0"/>
              <w:left w:val="single" w:color="000000" w:sz="4" w:space="0"/>
              <w:bottom w:val="single" w:color="000000" w:sz="4" w:space="0"/>
              <w:right w:val="single" w:color="000000" w:sz="4" w:space="0"/>
            </w:tcBorders>
            <w:vAlign w:val="center"/>
          </w:tcPr>
          <w:p w14:paraId="7AE28845">
            <w:pPr>
              <w:widowControl/>
              <w:jc w:val="center"/>
              <w:textAlignment w:val="center"/>
              <w:rPr>
                <w:rFonts w:hint="eastAsia" w:ascii="宋体" w:hAnsi="宋体" w:cs="宋体"/>
                <w:color w:val="000000"/>
                <w:kern w:val="0"/>
                <w:sz w:val="20"/>
                <w:szCs w:val="20"/>
                <w:lang w:bidi="ar"/>
              </w:rPr>
            </w:pPr>
          </w:p>
        </w:tc>
        <w:tc>
          <w:tcPr>
            <w:tcW w:w="1239" w:type="dxa"/>
            <w:tcBorders>
              <w:top w:val="single" w:color="000000" w:sz="4" w:space="0"/>
              <w:left w:val="single" w:color="000000" w:sz="4" w:space="0"/>
              <w:bottom w:val="single" w:color="000000" w:sz="4" w:space="0"/>
              <w:right w:val="single" w:color="000000" w:sz="4" w:space="0"/>
            </w:tcBorders>
            <w:vAlign w:val="center"/>
          </w:tcPr>
          <w:p w14:paraId="32E6DA4E">
            <w:pPr>
              <w:widowControl/>
              <w:jc w:val="center"/>
              <w:textAlignment w:val="center"/>
              <w:rPr>
                <w:rFonts w:hint="eastAsia" w:ascii="宋体" w:hAnsi="宋体" w:cs="宋体"/>
                <w:color w:val="000000"/>
                <w:kern w:val="0"/>
                <w:sz w:val="20"/>
                <w:szCs w:val="20"/>
                <w:lang w:bidi="ar"/>
              </w:rPr>
            </w:pPr>
          </w:p>
        </w:tc>
        <w:tc>
          <w:tcPr>
            <w:tcW w:w="900" w:type="dxa"/>
            <w:tcBorders>
              <w:top w:val="single" w:color="000000" w:sz="4" w:space="0"/>
              <w:left w:val="single" w:color="000000" w:sz="4" w:space="0"/>
              <w:bottom w:val="single" w:color="000000" w:sz="4" w:space="0"/>
              <w:right w:val="single" w:color="000000" w:sz="4" w:space="0"/>
            </w:tcBorders>
            <w:vAlign w:val="center"/>
          </w:tcPr>
          <w:p w14:paraId="25A4DDA6">
            <w:pPr>
              <w:widowControl/>
              <w:jc w:val="center"/>
              <w:textAlignment w:val="center"/>
              <w:rPr>
                <w:rFonts w:hint="eastAsia" w:ascii="宋体" w:hAnsi="宋体" w:cs="宋体"/>
                <w:color w:val="000000"/>
                <w:kern w:val="0"/>
                <w:sz w:val="20"/>
                <w:szCs w:val="20"/>
                <w:lang w:bidi="ar"/>
              </w:rPr>
            </w:pPr>
          </w:p>
        </w:tc>
        <w:tc>
          <w:tcPr>
            <w:tcW w:w="832" w:type="dxa"/>
            <w:tcBorders>
              <w:top w:val="single" w:color="000000" w:sz="4" w:space="0"/>
              <w:left w:val="single" w:color="000000" w:sz="4" w:space="0"/>
              <w:bottom w:val="single" w:color="000000" w:sz="4" w:space="0"/>
              <w:right w:val="single" w:color="000000" w:sz="4" w:space="0"/>
            </w:tcBorders>
            <w:vAlign w:val="center"/>
          </w:tcPr>
          <w:p w14:paraId="02446811">
            <w:pPr>
              <w:widowControl/>
              <w:jc w:val="center"/>
              <w:textAlignment w:val="center"/>
              <w:rPr>
                <w:rFonts w:hint="eastAsia" w:ascii="宋体" w:hAnsi="宋体" w:cs="宋体"/>
                <w:color w:val="000000"/>
                <w:kern w:val="0"/>
                <w:sz w:val="20"/>
                <w:szCs w:val="20"/>
                <w:lang w:bidi="ar"/>
              </w:rPr>
            </w:pPr>
          </w:p>
        </w:tc>
        <w:tc>
          <w:tcPr>
            <w:tcW w:w="1143" w:type="dxa"/>
            <w:tcBorders>
              <w:top w:val="single" w:color="000000" w:sz="4" w:space="0"/>
              <w:left w:val="single" w:color="000000" w:sz="4" w:space="0"/>
              <w:bottom w:val="single" w:color="000000" w:sz="4" w:space="0"/>
              <w:right w:val="single" w:color="000000" w:sz="4" w:space="0"/>
            </w:tcBorders>
            <w:vAlign w:val="center"/>
          </w:tcPr>
          <w:p w14:paraId="7EAC6310">
            <w:pPr>
              <w:widowControl/>
              <w:jc w:val="center"/>
              <w:textAlignment w:val="center"/>
              <w:rPr>
                <w:rFonts w:hint="eastAsia" w:ascii="宋体" w:hAnsi="宋体" w:cs="宋体"/>
                <w:color w:val="000000"/>
                <w:kern w:val="0"/>
                <w:sz w:val="20"/>
                <w:szCs w:val="20"/>
                <w:lang w:bidi="ar"/>
              </w:rPr>
            </w:pPr>
          </w:p>
        </w:tc>
        <w:tc>
          <w:tcPr>
            <w:tcW w:w="763" w:type="dxa"/>
            <w:tcBorders>
              <w:top w:val="single" w:color="000000" w:sz="4" w:space="0"/>
              <w:left w:val="single" w:color="000000" w:sz="4" w:space="0"/>
              <w:bottom w:val="single" w:color="000000" w:sz="4" w:space="0"/>
              <w:right w:val="single" w:color="000000" w:sz="4" w:space="0"/>
            </w:tcBorders>
            <w:vAlign w:val="center"/>
          </w:tcPr>
          <w:p w14:paraId="0D940FF4">
            <w:pPr>
              <w:widowControl/>
              <w:jc w:val="center"/>
              <w:textAlignment w:val="center"/>
              <w:rPr>
                <w:rFonts w:hint="eastAsia" w:ascii="宋体" w:hAnsi="宋体" w:cs="宋体"/>
                <w:color w:val="000000"/>
                <w:kern w:val="0"/>
                <w:sz w:val="20"/>
                <w:szCs w:val="20"/>
                <w:lang w:bidi="ar"/>
              </w:rPr>
            </w:pPr>
          </w:p>
        </w:tc>
        <w:tc>
          <w:tcPr>
            <w:tcW w:w="741" w:type="dxa"/>
            <w:tcBorders>
              <w:top w:val="single" w:color="000000" w:sz="4" w:space="0"/>
              <w:left w:val="single" w:color="000000" w:sz="4" w:space="0"/>
              <w:bottom w:val="single" w:color="000000" w:sz="4" w:space="0"/>
              <w:right w:val="single" w:color="000000" w:sz="4" w:space="0"/>
            </w:tcBorders>
            <w:vAlign w:val="center"/>
          </w:tcPr>
          <w:p w14:paraId="0697DBFB">
            <w:pPr>
              <w:widowControl/>
              <w:jc w:val="center"/>
              <w:textAlignment w:val="center"/>
              <w:rPr>
                <w:rFonts w:hint="eastAsia" w:ascii="宋体" w:hAnsi="宋体" w:cs="宋体"/>
                <w:color w:val="000000"/>
                <w:kern w:val="0"/>
                <w:sz w:val="20"/>
                <w:szCs w:val="20"/>
                <w:lang w:bidi="ar"/>
              </w:rPr>
            </w:pPr>
          </w:p>
        </w:tc>
      </w:tr>
      <w:tr w14:paraId="19CBEAF8">
        <w:tblPrEx>
          <w:tblCellMar>
            <w:top w:w="0" w:type="dxa"/>
            <w:left w:w="108" w:type="dxa"/>
            <w:bottom w:w="0" w:type="dxa"/>
            <w:right w:w="108" w:type="dxa"/>
          </w:tblCellMar>
        </w:tblPrEx>
        <w:trPr>
          <w:trHeight w:val="20" w:hRule="atLeast"/>
          <w:jc w:val="center"/>
        </w:trPr>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A62972">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182</w:t>
            </w:r>
          </w:p>
        </w:tc>
        <w:tc>
          <w:tcPr>
            <w:tcW w:w="2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B94E40">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水中挥发酚速测盒</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D34A02">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20次测定用量</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A8835D">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盒</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9FBF9C">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E36926">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343</w:t>
            </w:r>
          </w:p>
        </w:tc>
        <w:tc>
          <w:tcPr>
            <w:tcW w:w="992" w:type="dxa"/>
            <w:tcBorders>
              <w:top w:val="single" w:color="000000" w:sz="4" w:space="0"/>
              <w:left w:val="single" w:color="000000" w:sz="4" w:space="0"/>
              <w:bottom w:val="single" w:color="000000" w:sz="4" w:space="0"/>
              <w:right w:val="single" w:color="000000" w:sz="4" w:space="0"/>
            </w:tcBorders>
            <w:vAlign w:val="center"/>
          </w:tcPr>
          <w:p w14:paraId="26A7EE0B">
            <w:pPr>
              <w:widowControl/>
              <w:jc w:val="center"/>
              <w:textAlignment w:val="center"/>
              <w:rPr>
                <w:rFonts w:hint="eastAsia" w:ascii="宋体" w:hAnsi="宋体" w:cs="宋体"/>
                <w:color w:val="000000"/>
                <w:kern w:val="0"/>
                <w:sz w:val="20"/>
                <w:szCs w:val="20"/>
                <w:lang w:bidi="ar"/>
              </w:rPr>
            </w:pPr>
          </w:p>
        </w:tc>
        <w:tc>
          <w:tcPr>
            <w:tcW w:w="1239" w:type="dxa"/>
            <w:tcBorders>
              <w:top w:val="single" w:color="000000" w:sz="4" w:space="0"/>
              <w:left w:val="single" w:color="000000" w:sz="4" w:space="0"/>
              <w:bottom w:val="single" w:color="000000" w:sz="4" w:space="0"/>
              <w:right w:val="single" w:color="000000" w:sz="4" w:space="0"/>
            </w:tcBorders>
            <w:vAlign w:val="center"/>
          </w:tcPr>
          <w:p w14:paraId="763ACD32">
            <w:pPr>
              <w:widowControl/>
              <w:jc w:val="center"/>
              <w:textAlignment w:val="center"/>
              <w:rPr>
                <w:rFonts w:hint="eastAsia" w:ascii="宋体" w:hAnsi="宋体" w:cs="宋体"/>
                <w:color w:val="000000"/>
                <w:kern w:val="0"/>
                <w:sz w:val="20"/>
                <w:szCs w:val="20"/>
                <w:lang w:bidi="ar"/>
              </w:rPr>
            </w:pPr>
          </w:p>
        </w:tc>
        <w:tc>
          <w:tcPr>
            <w:tcW w:w="900" w:type="dxa"/>
            <w:tcBorders>
              <w:top w:val="single" w:color="000000" w:sz="4" w:space="0"/>
              <w:left w:val="single" w:color="000000" w:sz="4" w:space="0"/>
              <w:bottom w:val="single" w:color="000000" w:sz="4" w:space="0"/>
              <w:right w:val="single" w:color="000000" w:sz="4" w:space="0"/>
            </w:tcBorders>
            <w:vAlign w:val="center"/>
          </w:tcPr>
          <w:p w14:paraId="4077AF15">
            <w:pPr>
              <w:widowControl/>
              <w:jc w:val="center"/>
              <w:textAlignment w:val="center"/>
              <w:rPr>
                <w:rFonts w:hint="eastAsia" w:ascii="宋体" w:hAnsi="宋体" w:cs="宋体"/>
                <w:color w:val="000000"/>
                <w:kern w:val="0"/>
                <w:sz w:val="20"/>
                <w:szCs w:val="20"/>
                <w:lang w:bidi="ar"/>
              </w:rPr>
            </w:pPr>
          </w:p>
        </w:tc>
        <w:tc>
          <w:tcPr>
            <w:tcW w:w="832" w:type="dxa"/>
            <w:tcBorders>
              <w:top w:val="single" w:color="000000" w:sz="4" w:space="0"/>
              <w:left w:val="single" w:color="000000" w:sz="4" w:space="0"/>
              <w:bottom w:val="single" w:color="000000" w:sz="4" w:space="0"/>
              <w:right w:val="single" w:color="000000" w:sz="4" w:space="0"/>
            </w:tcBorders>
            <w:vAlign w:val="center"/>
          </w:tcPr>
          <w:p w14:paraId="37988FB7">
            <w:pPr>
              <w:widowControl/>
              <w:jc w:val="center"/>
              <w:textAlignment w:val="center"/>
              <w:rPr>
                <w:rFonts w:hint="eastAsia" w:ascii="宋体" w:hAnsi="宋体" w:cs="宋体"/>
                <w:color w:val="000000"/>
                <w:kern w:val="0"/>
                <w:sz w:val="20"/>
                <w:szCs w:val="20"/>
                <w:lang w:bidi="ar"/>
              </w:rPr>
            </w:pPr>
          </w:p>
        </w:tc>
        <w:tc>
          <w:tcPr>
            <w:tcW w:w="1143" w:type="dxa"/>
            <w:tcBorders>
              <w:top w:val="single" w:color="000000" w:sz="4" w:space="0"/>
              <w:left w:val="single" w:color="000000" w:sz="4" w:space="0"/>
              <w:bottom w:val="single" w:color="000000" w:sz="4" w:space="0"/>
              <w:right w:val="single" w:color="000000" w:sz="4" w:space="0"/>
            </w:tcBorders>
            <w:vAlign w:val="center"/>
          </w:tcPr>
          <w:p w14:paraId="1439A157">
            <w:pPr>
              <w:widowControl/>
              <w:jc w:val="center"/>
              <w:textAlignment w:val="center"/>
              <w:rPr>
                <w:rFonts w:hint="eastAsia" w:ascii="宋体" w:hAnsi="宋体" w:cs="宋体"/>
                <w:color w:val="000000"/>
                <w:kern w:val="0"/>
                <w:sz w:val="20"/>
                <w:szCs w:val="20"/>
                <w:lang w:bidi="ar"/>
              </w:rPr>
            </w:pPr>
          </w:p>
        </w:tc>
        <w:tc>
          <w:tcPr>
            <w:tcW w:w="763" w:type="dxa"/>
            <w:tcBorders>
              <w:top w:val="single" w:color="000000" w:sz="4" w:space="0"/>
              <w:left w:val="single" w:color="000000" w:sz="4" w:space="0"/>
              <w:bottom w:val="single" w:color="000000" w:sz="4" w:space="0"/>
              <w:right w:val="single" w:color="000000" w:sz="4" w:space="0"/>
            </w:tcBorders>
            <w:vAlign w:val="center"/>
          </w:tcPr>
          <w:p w14:paraId="217ACAA1">
            <w:pPr>
              <w:widowControl/>
              <w:jc w:val="center"/>
              <w:textAlignment w:val="center"/>
              <w:rPr>
                <w:rFonts w:hint="eastAsia" w:ascii="宋体" w:hAnsi="宋体" w:cs="宋体"/>
                <w:color w:val="000000"/>
                <w:kern w:val="0"/>
                <w:sz w:val="20"/>
                <w:szCs w:val="20"/>
                <w:lang w:bidi="ar"/>
              </w:rPr>
            </w:pPr>
          </w:p>
        </w:tc>
        <w:tc>
          <w:tcPr>
            <w:tcW w:w="741" w:type="dxa"/>
            <w:tcBorders>
              <w:top w:val="single" w:color="000000" w:sz="4" w:space="0"/>
              <w:left w:val="single" w:color="000000" w:sz="4" w:space="0"/>
              <w:bottom w:val="single" w:color="000000" w:sz="4" w:space="0"/>
              <w:right w:val="single" w:color="000000" w:sz="4" w:space="0"/>
            </w:tcBorders>
            <w:vAlign w:val="center"/>
          </w:tcPr>
          <w:p w14:paraId="7A2013F1">
            <w:pPr>
              <w:widowControl/>
              <w:jc w:val="center"/>
              <w:textAlignment w:val="center"/>
              <w:rPr>
                <w:rFonts w:hint="eastAsia" w:ascii="宋体" w:hAnsi="宋体" w:cs="宋体"/>
                <w:color w:val="000000"/>
                <w:kern w:val="0"/>
                <w:sz w:val="20"/>
                <w:szCs w:val="20"/>
                <w:lang w:bidi="ar"/>
              </w:rPr>
            </w:pPr>
          </w:p>
        </w:tc>
      </w:tr>
      <w:tr w14:paraId="01D00C4C">
        <w:tblPrEx>
          <w:tblCellMar>
            <w:top w:w="0" w:type="dxa"/>
            <w:left w:w="108" w:type="dxa"/>
            <w:bottom w:w="0" w:type="dxa"/>
            <w:right w:w="108" w:type="dxa"/>
          </w:tblCellMar>
        </w:tblPrEx>
        <w:trPr>
          <w:trHeight w:val="20" w:hRule="atLeast"/>
          <w:jc w:val="center"/>
        </w:trPr>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B2CA00">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183</w:t>
            </w:r>
          </w:p>
        </w:tc>
        <w:tc>
          <w:tcPr>
            <w:tcW w:w="2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01E955">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水质色度速测盒</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C27558">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10次测定用量</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C9CE85">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盒</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36A38A">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20F77E">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343</w:t>
            </w:r>
          </w:p>
        </w:tc>
        <w:tc>
          <w:tcPr>
            <w:tcW w:w="992" w:type="dxa"/>
            <w:tcBorders>
              <w:top w:val="single" w:color="000000" w:sz="4" w:space="0"/>
              <w:left w:val="single" w:color="000000" w:sz="4" w:space="0"/>
              <w:bottom w:val="single" w:color="000000" w:sz="4" w:space="0"/>
              <w:right w:val="single" w:color="000000" w:sz="4" w:space="0"/>
            </w:tcBorders>
            <w:vAlign w:val="center"/>
          </w:tcPr>
          <w:p w14:paraId="702B74E9">
            <w:pPr>
              <w:widowControl/>
              <w:jc w:val="center"/>
              <w:textAlignment w:val="center"/>
              <w:rPr>
                <w:rFonts w:hint="eastAsia" w:ascii="宋体" w:hAnsi="宋体" w:cs="宋体"/>
                <w:color w:val="000000"/>
                <w:kern w:val="0"/>
                <w:sz w:val="20"/>
                <w:szCs w:val="20"/>
                <w:lang w:bidi="ar"/>
              </w:rPr>
            </w:pPr>
          </w:p>
        </w:tc>
        <w:tc>
          <w:tcPr>
            <w:tcW w:w="1239" w:type="dxa"/>
            <w:tcBorders>
              <w:top w:val="single" w:color="000000" w:sz="4" w:space="0"/>
              <w:left w:val="single" w:color="000000" w:sz="4" w:space="0"/>
              <w:bottom w:val="single" w:color="000000" w:sz="4" w:space="0"/>
              <w:right w:val="single" w:color="000000" w:sz="4" w:space="0"/>
            </w:tcBorders>
            <w:vAlign w:val="center"/>
          </w:tcPr>
          <w:p w14:paraId="0E8F0A6D">
            <w:pPr>
              <w:widowControl/>
              <w:jc w:val="center"/>
              <w:textAlignment w:val="center"/>
              <w:rPr>
                <w:rFonts w:hint="eastAsia" w:ascii="宋体" w:hAnsi="宋体" w:cs="宋体"/>
                <w:color w:val="000000"/>
                <w:kern w:val="0"/>
                <w:sz w:val="20"/>
                <w:szCs w:val="20"/>
                <w:lang w:bidi="ar"/>
              </w:rPr>
            </w:pPr>
          </w:p>
        </w:tc>
        <w:tc>
          <w:tcPr>
            <w:tcW w:w="900" w:type="dxa"/>
            <w:tcBorders>
              <w:top w:val="single" w:color="000000" w:sz="4" w:space="0"/>
              <w:left w:val="single" w:color="000000" w:sz="4" w:space="0"/>
              <w:bottom w:val="single" w:color="000000" w:sz="4" w:space="0"/>
              <w:right w:val="single" w:color="000000" w:sz="4" w:space="0"/>
            </w:tcBorders>
            <w:vAlign w:val="center"/>
          </w:tcPr>
          <w:p w14:paraId="716967FA">
            <w:pPr>
              <w:widowControl/>
              <w:jc w:val="center"/>
              <w:textAlignment w:val="center"/>
              <w:rPr>
                <w:rFonts w:hint="eastAsia" w:ascii="宋体" w:hAnsi="宋体" w:cs="宋体"/>
                <w:color w:val="000000"/>
                <w:kern w:val="0"/>
                <w:sz w:val="20"/>
                <w:szCs w:val="20"/>
                <w:lang w:bidi="ar"/>
              </w:rPr>
            </w:pPr>
          </w:p>
        </w:tc>
        <w:tc>
          <w:tcPr>
            <w:tcW w:w="832" w:type="dxa"/>
            <w:tcBorders>
              <w:top w:val="single" w:color="000000" w:sz="4" w:space="0"/>
              <w:left w:val="single" w:color="000000" w:sz="4" w:space="0"/>
              <w:bottom w:val="single" w:color="000000" w:sz="4" w:space="0"/>
              <w:right w:val="single" w:color="000000" w:sz="4" w:space="0"/>
            </w:tcBorders>
            <w:vAlign w:val="center"/>
          </w:tcPr>
          <w:p w14:paraId="088227B4">
            <w:pPr>
              <w:widowControl/>
              <w:jc w:val="center"/>
              <w:textAlignment w:val="center"/>
              <w:rPr>
                <w:rFonts w:hint="eastAsia" w:ascii="宋体" w:hAnsi="宋体" w:cs="宋体"/>
                <w:color w:val="000000"/>
                <w:kern w:val="0"/>
                <w:sz w:val="20"/>
                <w:szCs w:val="20"/>
                <w:lang w:bidi="ar"/>
              </w:rPr>
            </w:pPr>
          </w:p>
        </w:tc>
        <w:tc>
          <w:tcPr>
            <w:tcW w:w="1143" w:type="dxa"/>
            <w:tcBorders>
              <w:top w:val="single" w:color="000000" w:sz="4" w:space="0"/>
              <w:left w:val="single" w:color="000000" w:sz="4" w:space="0"/>
              <w:bottom w:val="single" w:color="000000" w:sz="4" w:space="0"/>
              <w:right w:val="single" w:color="000000" w:sz="4" w:space="0"/>
            </w:tcBorders>
            <w:vAlign w:val="center"/>
          </w:tcPr>
          <w:p w14:paraId="03065020">
            <w:pPr>
              <w:widowControl/>
              <w:jc w:val="center"/>
              <w:textAlignment w:val="center"/>
              <w:rPr>
                <w:rFonts w:hint="eastAsia" w:ascii="宋体" w:hAnsi="宋体" w:cs="宋体"/>
                <w:color w:val="000000"/>
                <w:kern w:val="0"/>
                <w:sz w:val="20"/>
                <w:szCs w:val="20"/>
                <w:lang w:bidi="ar"/>
              </w:rPr>
            </w:pPr>
          </w:p>
        </w:tc>
        <w:tc>
          <w:tcPr>
            <w:tcW w:w="763" w:type="dxa"/>
            <w:tcBorders>
              <w:top w:val="single" w:color="000000" w:sz="4" w:space="0"/>
              <w:left w:val="single" w:color="000000" w:sz="4" w:space="0"/>
              <w:bottom w:val="single" w:color="000000" w:sz="4" w:space="0"/>
              <w:right w:val="single" w:color="000000" w:sz="4" w:space="0"/>
            </w:tcBorders>
            <w:vAlign w:val="center"/>
          </w:tcPr>
          <w:p w14:paraId="55C34B7C">
            <w:pPr>
              <w:widowControl/>
              <w:jc w:val="center"/>
              <w:textAlignment w:val="center"/>
              <w:rPr>
                <w:rFonts w:hint="eastAsia" w:ascii="宋体" w:hAnsi="宋体" w:cs="宋体"/>
                <w:color w:val="000000"/>
                <w:kern w:val="0"/>
                <w:sz w:val="20"/>
                <w:szCs w:val="20"/>
                <w:lang w:bidi="ar"/>
              </w:rPr>
            </w:pPr>
          </w:p>
        </w:tc>
        <w:tc>
          <w:tcPr>
            <w:tcW w:w="741" w:type="dxa"/>
            <w:tcBorders>
              <w:top w:val="single" w:color="000000" w:sz="4" w:space="0"/>
              <w:left w:val="single" w:color="000000" w:sz="4" w:space="0"/>
              <w:bottom w:val="single" w:color="000000" w:sz="4" w:space="0"/>
              <w:right w:val="single" w:color="000000" w:sz="4" w:space="0"/>
            </w:tcBorders>
            <w:vAlign w:val="center"/>
          </w:tcPr>
          <w:p w14:paraId="340533F6">
            <w:pPr>
              <w:widowControl/>
              <w:jc w:val="center"/>
              <w:textAlignment w:val="center"/>
              <w:rPr>
                <w:rFonts w:hint="eastAsia" w:ascii="宋体" w:hAnsi="宋体" w:cs="宋体"/>
                <w:color w:val="000000"/>
                <w:kern w:val="0"/>
                <w:sz w:val="20"/>
                <w:szCs w:val="20"/>
                <w:lang w:bidi="ar"/>
              </w:rPr>
            </w:pPr>
          </w:p>
        </w:tc>
      </w:tr>
      <w:tr w14:paraId="290E5596">
        <w:tblPrEx>
          <w:tblCellMar>
            <w:top w:w="0" w:type="dxa"/>
            <w:left w:w="108" w:type="dxa"/>
            <w:bottom w:w="0" w:type="dxa"/>
            <w:right w:w="108" w:type="dxa"/>
          </w:tblCellMar>
        </w:tblPrEx>
        <w:trPr>
          <w:trHeight w:val="20" w:hRule="atLeast"/>
          <w:jc w:val="center"/>
        </w:trPr>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2300D5">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184</w:t>
            </w:r>
          </w:p>
        </w:tc>
        <w:tc>
          <w:tcPr>
            <w:tcW w:w="2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0E2C62">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棕色液相色谱流动相试剂瓶1</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82F882">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高硼硅1级，带GL452孔换气盖2孔（带PTFE单向阀，防挥发），棕色，1L</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E3A8A2">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个</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46AEEA">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8</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44D9FE">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150</w:t>
            </w:r>
          </w:p>
        </w:tc>
        <w:tc>
          <w:tcPr>
            <w:tcW w:w="992" w:type="dxa"/>
            <w:tcBorders>
              <w:top w:val="single" w:color="000000" w:sz="4" w:space="0"/>
              <w:left w:val="single" w:color="000000" w:sz="4" w:space="0"/>
              <w:bottom w:val="single" w:color="000000" w:sz="4" w:space="0"/>
              <w:right w:val="single" w:color="000000" w:sz="4" w:space="0"/>
            </w:tcBorders>
            <w:vAlign w:val="center"/>
          </w:tcPr>
          <w:p w14:paraId="3AF549FC">
            <w:pPr>
              <w:widowControl/>
              <w:jc w:val="center"/>
              <w:textAlignment w:val="center"/>
              <w:rPr>
                <w:rFonts w:hint="eastAsia" w:ascii="宋体" w:hAnsi="宋体" w:cs="宋体"/>
                <w:color w:val="000000"/>
                <w:kern w:val="0"/>
                <w:sz w:val="20"/>
                <w:szCs w:val="20"/>
                <w:lang w:bidi="ar"/>
              </w:rPr>
            </w:pPr>
          </w:p>
        </w:tc>
        <w:tc>
          <w:tcPr>
            <w:tcW w:w="1239" w:type="dxa"/>
            <w:tcBorders>
              <w:top w:val="single" w:color="000000" w:sz="4" w:space="0"/>
              <w:left w:val="single" w:color="000000" w:sz="4" w:space="0"/>
              <w:bottom w:val="single" w:color="000000" w:sz="4" w:space="0"/>
              <w:right w:val="single" w:color="000000" w:sz="4" w:space="0"/>
            </w:tcBorders>
            <w:vAlign w:val="center"/>
          </w:tcPr>
          <w:p w14:paraId="123F34CD">
            <w:pPr>
              <w:widowControl/>
              <w:jc w:val="center"/>
              <w:textAlignment w:val="center"/>
              <w:rPr>
                <w:rFonts w:hint="eastAsia" w:ascii="宋体" w:hAnsi="宋体" w:cs="宋体"/>
                <w:color w:val="000000"/>
                <w:kern w:val="0"/>
                <w:sz w:val="20"/>
                <w:szCs w:val="20"/>
                <w:lang w:bidi="ar"/>
              </w:rPr>
            </w:pPr>
          </w:p>
        </w:tc>
        <w:tc>
          <w:tcPr>
            <w:tcW w:w="900" w:type="dxa"/>
            <w:tcBorders>
              <w:top w:val="single" w:color="000000" w:sz="4" w:space="0"/>
              <w:left w:val="single" w:color="000000" w:sz="4" w:space="0"/>
              <w:bottom w:val="single" w:color="000000" w:sz="4" w:space="0"/>
              <w:right w:val="single" w:color="000000" w:sz="4" w:space="0"/>
            </w:tcBorders>
            <w:vAlign w:val="center"/>
          </w:tcPr>
          <w:p w14:paraId="38CBD95A">
            <w:pPr>
              <w:widowControl/>
              <w:jc w:val="center"/>
              <w:textAlignment w:val="center"/>
              <w:rPr>
                <w:rFonts w:hint="eastAsia" w:ascii="宋体" w:hAnsi="宋体" w:cs="宋体"/>
                <w:color w:val="000000"/>
                <w:kern w:val="0"/>
                <w:sz w:val="20"/>
                <w:szCs w:val="20"/>
                <w:lang w:bidi="ar"/>
              </w:rPr>
            </w:pPr>
          </w:p>
        </w:tc>
        <w:tc>
          <w:tcPr>
            <w:tcW w:w="832" w:type="dxa"/>
            <w:tcBorders>
              <w:top w:val="single" w:color="000000" w:sz="4" w:space="0"/>
              <w:left w:val="single" w:color="000000" w:sz="4" w:space="0"/>
              <w:bottom w:val="single" w:color="000000" w:sz="4" w:space="0"/>
              <w:right w:val="single" w:color="000000" w:sz="4" w:space="0"/>
            </w:tcBorders>
            <w:vAlign w:val="center"/>
          </w:tcPr>
          <w:p w14:paraId="1B5A7EFF">
            <w:pPr>
              <w:widowControl/>
              <w:jc w:val="center"/>
              <w:textAlignment w:val="center"/>
              <w:rPr>
                <w:rFonts w:hint="eastAsia" w:ascii="宋体" w:hAnsi="宋体" w:cs="宋体"/>
                <w:color w:val="000000"/>
                <w:kern w:val="0"/>
                <w:sz w:val="20"/>
                <w:szCs w:val="20"/>
                <w:lang w:bidi="ar"/>
              </w:rPr>
            </w:pPr>
          </w:p>
        </w:tc>
        <w:tc>
          <w:tcPr>
            <w:tcW w:w="1143" w:type="dxa"/>
            <w:tcBorders>
              <w:top w:val="single" w:color="000000" w:sz="4" w:space="0"/>
              <w:left w:val="single" w:color="000000" w:sz="4" w:space="0"/>
              <w:bottom w:val="single" w:color="000000" w:sz="4" w:space="0"/>
              <w:right w:val="single" w:color="000000" w:sz="4" w:space="0"/>
            </w:tcBorders>
            <w:vAlign w:val="center"/>
          </w:tcPr>
          <w:p w14:paraId="64CDB133">
            <w:pPr>
              <w:widowControl/>
              <w:jc w:val="center"/>
              <w:textAlignment w:val="center"/>
              <w:rPr>
                <w:rFonts w:hint="eastAsia" w:ascii="宋体" w:hAnsi="宋体" w:cs="宋体"/>
                <w:color w:val="000000"/>
                <w:kern w:val="0"/>
                <w:sz w:val="20"/>
                <w:szCs w:val="20"/>
                <w:lang w:bidi="ar"/>
              </w:rPr>
            </w:pPr>
          </w:p>
        </w:tc>
        <w:tc>
          <w:tcPr>
            <w:tcW w:w="763" w:type="dxa"/>
            <w:tcBorders>
              <w:top w:val="single" w:color="000000" w:sz="4" w:space="0"/>
              <w:left w:val="single" w:color="000000" w:sz="4" w:space="0"/>
              <w:bottom w:val="single" w:color="000000" w:sz="4" w:space="0"/>
              <w:right w:val="single" w:color="000000" w:sz="4" w:space="0"/>
            </w:tcBorders>
            <w:vAlign w:val="center"/>
          </w:tcPr>
          <w:p w14:paraId="3CC2F4DE">
            <w:pPr>
              <w:widowControl/>
              <w:jc w:val="center"/>
              <w:textAlignment w:val="center"/>
              <w:rPr>
                <w:rFonts w:hint="eastAsia" w:ascii="宋体" w:hAnsi="宋体" w:cs="宋体"/>
                <w:color w:val="000000"/>
                <w:kern w:val="0"/>
                <w:sz w:val="20"/>
                <w:szCs w:val="20"/>
                <w:lang w:bidi="ar"/>
              </w:rPr>
            </w:pPr>
          </w:p>
        </w:tc>
        <w:tc>
          <w:tcPr>
            <w:tcW w:w="741" w:type="dxa"/>
            <w:tcBorders>
              <w:top w:val="single" w:color="000000" w:sz="4" w:space="0"/>
              <w:left w:val="single" w:color="000000" w:sz="4" w:space="0"/>
              <w:bottom w:val="single" w:color="000000" w:sz="4" w:space="0"/>
              <w:right w:val="single" w:color="000000" w:sz="4" w:space="0"/>
            </w:tcBorders>
            <w:vAlign w:val="center"/>
          </w:tcPr>
          <w:p w14:paraId="5678766A">
            <w:pPr>
              <w:widowControl/>
              <w:jc w:val="center"/>
              <w:textAlignment w:val="center"/>
              <w:rPr>
                <w:rFonts w:hint="eastAsia" w:ascii="宋体" w:hAnsi="宋体" w:cs="宋体"/>
                <w:color w:val="000000"/>
                <w:kern w:val="0"/>
                <w:sz w:val="20"/>
                <w:szCs w:val="20"/>
                <w:lang w:bidi="ar"/>
              </w:rPr>
            </w:pPr>
          </w:p>
        </w:tc>
      </w:tr>
      <w:tr w14:paraId="67F74F17">
        <w:tblPrEx>
          <w:tblCellMar>
            <w:top w:w="0" w:type="dxa"/>
            <w:left w:w="108" w:type="dxa"/>
            <w:bottom w:w="0" w:type="dxa"/>
            <w:right w:w="108" w:type="dxa"/>
          </w:tblCellMar>
        </w:tblPrEx>
        <w:trPr>
          <w:trHeight w:val="20" w:hRule="atLeast"/>
          <w:jc w:val="center"/>
        </w:trPr>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0DE792">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185</w:t>
            </w:r>
          </w:p>
        </w:tc>
        <w:tc>
          <w:tcPr>
            <w:tcW w:w="2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431848">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透明液相色谱流动相试剂瓶2</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50161B">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高硼硅1级，带GL452孔换气盖3孔（带PTFE单向阀，防挥发），透明，1L</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487EBD">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个</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8FF444">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8</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C0790D">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150</w:t>
            </w:r>
          </w:p>
        </w:tc>
        <w:tc>
          <w:tcPr>
            <w:tcW w:w="992" w:type="dxa"/>
            <w:tcBorders>
              <w:top w:val="single" w:color="000000" w:sz="4" w:space="0"/>
              <w:left w:val="single" w:color="000000" w:sz="4" w:space="0"/>
              <w:bottom w:val="single" w:color="000000" w:sz="4" w:space="0"/>
              <w:right w:val="single" w:color="000000" w:sz="4" w:space="0"/>
            </w:tcBorders>
            <w:vAlign w:val="center"/>
          </w:tcPr>
          <w:p w14:paraId="07BBEC80">
            <w:pPr>
              <w:widowControl/>
              <w:jc w:val="center"/>
              <w:textAlignment w:val="center"/>
              <w:rPr>
                <w:rFonts w:hint="eastAsia" w:ascii="宋体" w:hAnsi="宋体" w:cs="宋体"/>
                <w:color w:val="000000"/>
                <w:kern w:val="0"/>
                <w:sz w:val="20"/>
                <w:szCs w:val="20"/>
                <w:lang w:bidi="ar"/>
              </w:rPr>
            </w:pPr>
          </w:p>
        </w:tc>
        <w:tc>
          <w:tcPr>
            <w:tcW w:w="1239" w:type="dxa"/>
            <w:tcBorders>
              <w:top w:val="single" w:color="000000" w:sz="4" w:space="0"/>
              <w:left w:val="single" w:color="000000" w:sz="4" w:space="0"/>
              <w:bottom w:val="single" w:color="000000" w:sz="4" w:space="0"/>
              <w:right w:val="single" w:color="000000" w:sz="4" w:space="0"/>
            </w:tcBorders>
            <w:vAlign w:val="center"/>
          </w:tcPr>
          <w:p w14:paraId="588521BB">
            <w:pPr>
              <w:widowControl/>
              <w:jc w:val="center"/>
              <w:textAlignment w:val="center"/>
              <w:rPr>
                <w:rFonts w:hint="eastAsia" w:ascii="宋体" w:hAnsi="宋体" w:cs="宋体"/>
                <w:color w:val="000000"/>
                <w:kern w:val="0"/>
                <w:sz w:val="20"/>
                <w:szCs w:val="20"/>
                <w:lang w:bidi="ar"/>
              </w:rPr>
            </w:pPr>
          </w:p>
        </w:tc>
        <w:tc>
          <w:tcPr>
            <w:tcW w:w="900" w:type="dxa"/>
            <w:tcBorders>
              <w:top w:val="single" w:color="000000" w:sz="4" w:space="0"/>
              <w:left w:val="single" w:color="000000" w:sz="4" w:space="0"/>
              <w:bottom w:val="single" w:color="000000" w:sz="4" w:space="0"/>
              <w:right w:val="single" w:color="000000" w:sz="4" w:space="0"/>
            </w:tcBorders>
            <w:vAlign w:val="center"/>
          </w:tcPr>
          <w:p w14:paraId="1745620D">
            <w:pPr>
              <w:widowControl/>
              <w:jc w:val="center"/>
              <w:textAlignment w:val="center"/>
              <w:rPr>
                <w:rFonts w:hint="eastAsia" w:ascii="宋体" w:hAnsi="宋体" w:cs="宋体"/>
                <w:color w:val="000000"/>
                <w:kern w:val="0"/>
                <w:sz w:val="20"/>
                <w:szCs w:val="20"/>
                <w:lang w:bidi="ar"/>
              </w:rPr>
            </w:pPr>
          </w:p>
        </w:tc>
        <w:tc>
          <w:tcPr>
            <w:tcW w:w="832" w:type="dxa"/>
            <w:tcBorders>
              <w:top w:val="single" w:color="000000" w:sz="4" w:space="0"/>
              <w:left w:val="single" w:color="000000" w:sz="4" w:space="0"/>
              <w:bottom w:val="single" w:color="000000" w:sz="4" w:space="0"/>
              <w:right w:val="single" w:color="000000" w:sz="4" w:space="0"/>
            </w:tcBorders>
            <w:vAlign w:val="center"/>
          </w:tcPr>
          <w:p w14:paraId="3F0F609E">
            <w:pPr>
              <w:widowControl/>
              <w:jc w:val="center"/>
              <w:textAlignment w:val="center"/>
              <w:rPr>
                <w:rFonts w:hint="eastAsia" w:ascii="宋体" w:hAnsi="宋体" w:cs="宋体"/>
                <w:color w:val="000000"/>
                <w:kern w:val="0"/>
                <w:sz w:val="20"/>
                <w:szCs w:val="20"/>
                <w:lang w:bidi="ar"/>
              </w:rPr>
            </w:pPr>
          </w:p>
        </w:tc>
        <w:tc>
          <w:tcPr>
            <w:tcW w:w="1143" w:type="dxa"/>
            <w:tcBorders>
              <w:top w:val="single" w:color="000000" w:sz="4" w:space="0"/>
              <w:left w:val="single" w:color="000000" w:sz="4" w:space="0"/>
              <w:bottom w:val="single" w:color="000000" w:sz="4" w:space="0"/>
              <w:right w:val="single" w:color="000000" w:sz="4" w:space="0"/>
            </w:tcBorders>
            <w:vAlign w:val="center"/>
          </w:tcPr>
          <w:p w14:paraId="0D4DF9E0">
            <w:pPr>
              <w:widowControl/>
              <w:jc w:val="center"/>
              <w:textAlignment w:val="center"/>
              <w:rPr>
                <w:rFonts w:hint="eastAsia" w:ascii="宋体" w:hAnsi="宋体" w:cs="宋体"/>
                <w:color w:val="000000"/>
                <w:kern w:val="0"/>
                <w:sz w:val="20"/>
                <w:szCs w:val="20"/>
                <w:lang w:bidi="ar"/>
              </w:rPr>
            </w:pPr>
          </w:p>
        </w:tc>
        <w:tc>
          <w:tcPr>
            <w:tcW w:w="763" w:type="dxa"/>
            <w:tcBorders>
              <w:top w:val="single" w:color="000000" w:sz="4" w:space="0"/>
              <w:left w:val="single" w:color="000000" w:sz="4" w:space="0"/>
              <w:bottom w:val="single" w:color="000000" w:sz="4" w:space="0"/>
              <w:right w:val="single" w:color="000000" w:sz="4" w:space="0"/>
            </w:tcBorders>
            <w:vAlign w:val="center"/>
          </w:tcPr>
          <w:p w14:paraId="32FFB0E2">
            <w:pPr>
              <w:widowControl/>
              <w:jc w:val="center"/>
              <w:textAlignment w:val="center"/>
              <w:rPr>
                <w:rFonts w:hint="eastAsia" w:ascii="宋体" w:hAnsi="宋体" w:cs="宋体"/>
                <w:color w:val="000000"/>
                <w:kern w:val="0"/>
                <w:sz w:val="20"/>
                <w:szCs w:val="20"/>
                <w:lang w:bidi="ar"/>
              </w:rPr>
            </w:pPr>
          </w:p>
        </w:tc>
        <w:tc>
          <w:tcPr>
            <w:tcW w:w="741" w:type="dxa"/>
            <w:tcBorders>
              <w:top w:val="single" w:color="000000" w:sz="4" w:space="0"/>
              <w:left w:val="single" w:color="000000" w:sz="4" w:space="0"/>
              <w:bottom w:val="single" w:color="000000" w:sz="4" w:space="0"/>
              <w:right w:val="single" w:color="000000" w:sz="4" w:space="0"/>
            </w:tcBorders>
            <w:vAlign w:val="center"/>
          </w:tcPr>
          <w:p w14:paraId="05AA18D8">
            <w:pPr>
              <w:widowControl/>
              <w:jc w:val="center"/>
              <w:textAlignment w:val="center"/>
              <w:rPr>
                <w:rFonts w:hint="eastAsia" w:ascii="宋体" w:hAnsi="宋体" w:cs="宋体"/>
                <w:color w:val="000000"/>
                <w:kern w:val="0"/>
                <w:sz w:val="20"/>
                <w:szCs w:val="20"/>
                <w:lang w:bidi="ar"/>
              </w:rPr>
            </w:pPr>
          </w:p>
        </w:tc>
      </w:tr>
      <w:tr w14:paraId="6EB1CE24">
        <w:tblPrEx>
          <w:tblCellMar>
            <w:top w:w="0" w:type="dxa"/>
            <w:left w:w="108" w:type="dxa"/>
            <w:bottom w:w="0" w:type="dxa"/>
            <w:right w:w="108" w:type="dxa"/>
          </w:tblCellMar>
        </w:tblPrEx>
        <w:trPr>
          <w:trHeight w:val="20" w:hRule="atLeast"/>
          <w:jc w:val="center"/>
        </w:trPr>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BD443A">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186</w:t>
            </w:r>
          </w:p>
        </w:tc>
        <w:tc>
          <w:tcPr>
            <w:tcW w:w="2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252423">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棕色液相色谱流动相试剂瓶3</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C70F44">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高硼硅1级，棕色，2L</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CBF8D9">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个</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7CC528">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4</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8D574D">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200</w:t>
            </w:r>
          </w:p>
        </w:tc>
        <w:tc>
          <w:tcPr>
            <w:tcW w:w="992" w:type="dxa"/>
            <w:tcBorders>
              <w:top w:val="single" w:color="000000" w:sz="4" w:space="0"/>
              <w:left w:val="single" w:color="000000" w:sz="4" w:space="0"/>
              <w:bottom w:val="single" w:color="000000" w:sz="4" w:space="0"/>
              <w:right w:val="single" w:color="000000" w:sz="4" w:space="0"/>
            </w:tcBorders>
            <w:vAlign w:val="center"/>
          </w:tcPr>
          <w:p w14:paraId="646F0408">
            <w:pPr>
              <w:widowControl/>
              <w:jc w:val="center"/>
              <w:textAlignment w:val="center"/>
              <w:rPr>
                <w:rFonts w:hint="eastAsia" w:ascii="宋体" w:hAnsi="宋体" w:cs="宋体"/>
                <w:color w:val="000000"/>
                <w:kern w:val="0"/>
                <w:sz w:val="20"/>
                <w:szCs w:val="20"/>
                <w:lang w:bidi="ar"/>
              </w:rPr>
            </w:pPr>
          </w:p>
        </w:tc>
        <w:tc>
          <w:tcPr>
            <w:tcW w:w="1239" w:type="dxa"/>
            <w:tcBorders>
              <w:top w:val="single" w:color="000000" w:sz="4" w:space="0"/>
              <w:left w:val="single" w:color="000000" w:sz="4" w:space="0"/>
              <w:bottom w:val="single" w:color="000000" w:sz="4" w:space="0"/>
              <w:right w:val="single" w:color="000000" w:sz="4" w:space="0"/>
            </w:tcBorders>
            <w:vAlign w:val="center"/>
          </w:tcPr>
          <w:p w14:paraId="4AFB735C">
            <w:pPr>
              <w:widowControl/>
              <w:jc w:val="center"/>
              <w:textAlignment w:val="center"/>
              <w:rPr>
                <w:rFonts w:hint="eastAsia" w:ascii="宋体" w:hAnsi="宋体" w:cs="宋体"/>
                <w:color w:val="000000"/>
                <w:kern w:val="0"/>
                <w:sz w:val="20"/>
                <w:szCs w:val="20"/>
                <w:lang w:bidi="ar"/>
              </w:rPr>
            </w:pPr>
          </w:p>
        </w:tc>
        <w:tc>
          <w:tcPr>
            <w:tcW w:w="900" w:type="dxa"/>
            <w:tcBorders>
              <w:top w:val="single" w:color="000000" w:sz="4" w:space="0"/>
              <w:left w:val="single" w:color="000000" w:sz="4" w:space="0"/>
              <w:bottom w:val="single" w:color="000000" w:sz="4" w:space="0"/>
              <w:right w:val="single" w:color="000000" w:sz="4" w:space="0"/>
            </w:tcBorders>
            <w:vAlign w:val="center"/>
          </w:tcPr>
          <w:p w14:paraId="5D20ABDE">
            <w:pPr>
              <w:widowControl/>
              <w:jc w:val="center"/>
              <w:textAlignment w:val="center"/>
              <w:rPr>
                <w:rFonts w:hint="eastAsia" w:ascii="宋体" w:hAnsi="宋体" w:cs="宋体"/>
                <w:color w:val="000000"/>
                <w:kern w:val="0"/>
                <w:sz w:val="20"/>
                <w:szCs w:val="20"/>
                <w:lang w:bidi="ar"/>
              </w:rPr>
            </w:pPr>
          </w:p>
        </w:tc>
        <w:tc>
          <w:tcPr>
            <w:tcW w:w="832" w:type="dxa"/>
            <w:tcBorders>
              <w:top w:val="single" w:color="000000" w:sz="4" w:space="0"/>
              <w:left w:val="single" w:color="000000" w:sz="4" w:space="0"/>
              <w:bottom w:val="single" w:color="000000" w:sz="4" w:space="0"/>
              <w:right w:val="single" w:color="000000" w:sz="4" w:space="0"/>
            </w:tcBorders>
            <w:vAlign w:val="center"/>
          </w:tcPr>
          <w:p w14:paraId="5608963F">
            <w:pPr>
              <w:widowControl/>
              <w:jc w:val="center"/>
              <w:textAlignment w:val="center"/>
              <w:rPr>
                <w:rFonts w:hint="eastAsia" w:ascii="宋体" w:hAnsi="宋体" w:cs="宋体"/>
                <w:color w:val="000000"/>
                <w:kern w:val="0"/>
                <w:sz w:val="20"/>
                <w:szCs w:val="20"/>
                <w:lang w:bidi="ar"/>
              </w:rPr>
            </w:pPr>
          </w:p>
        </w:tc>
        <w:tc>
          <w:tcPr>
            <w:tcW w:w="1143" w:type="dxa"/>
            <w:tcBorders>
              <w:top w:val="single" w:color="000000" w:sz="4" w:space="0"/>
              <w:left w:val="single" w:color="000000" w:sz="4" w:space="0"/>
              <w:bottom w:val="single" w:color="000000" w:sz="4" w:space="0"/>
              <w:right w:val="single" w:color="000000" w:sz="4" w:space="0"/>
            </w:tcBorders>
            <w:vAlign w:val="center"/>
          </w:tcPr>
          <w:p w14:paraId="62587BEE">
            <w:pPr>
              <w:widowControl/>
              <w:jc w:val="center"/>
              <w:textAlignment w:val="center"/>
              <w:rPr>
                <w:rFonts w:hint="eastAsia" w:ascii="宋体" w:hAnsi="宋体" w:cs="宋体"/>
                <w:color w:val="000000"/>
                <w:kern w:val="0"/>
                <w:sz w:val="20"/>
                <w:szCs w:val="20"/>
                <w:lang w:bidi="ar"/>
              </w:rPr>
            </w:pPr>
          </w:p>
        </w:tc>
        <w:tc>
          <w:tcPr>
            <w:tcW w:w="763" w:type="dxa"/>
            <w:tcBorders>
              <w:top w:val="single" w:color="000000" w:sz="4" w:space="0"/>
              <w:left w:val="single" w:color="000000" w:sz="4" w:space="0"/>
              <w:bottom w:val="single" w:color="000000" w:sz="4" w:space="0"/>
              <w:right w:val="single" w:color="000000" w:sz="4" w:space="0"/>
            </w:tcBorders>
            <w:vAlign w:val="center"/>
          </w:tcPr>
          <w:p w14:paraId="44C5768C">
            <w:pPr>
              <w:widowControl/>
              <w:jc w:val="center"/>
              <w:textAlignment w:val="center"/>
              <w:rPr>
                <w:rFonts w:hint="eastAsia" w:ascii="宋体" w:hAnsi="宋体" w:cs="宋体"/>
                <w:color w:val="000000"/>
                <w:kern w:val="0"/>
                <w:sz w:val="20"/>
                <w:szCs w:val="20"/>
                <w:lang w:bidi="ar"/>
              </w:rPr>
            </w:pPr>
          </w:p>
        </w:tc>
        <w:tc>
          <w:tcPr>
            <w:tcW w:w="741" w:type="dxa"/>
            <w:tcBorders>
              <w:top w:val="single" w:color="000000" w:sz="4" w:space="0"/>
              <w:left w:val="single" w:color="000000" w:sz="4" w:space="0"/>
              <w:bottom w:val="single" w:color="000000" w:sz="4" w:space="0"/>
              <w:right w:val="single" w:color="000000" w:sz="4" w:space="0"/>
            </w:tcBorders>
            <w:vAlign w:val="center"/>
          </w:tcPr>
          <w:p w14:paraId="631E861C">
            <w:pPr>
              <w:widowControl/>
              <w:jc w:val="center"/>
              <w:textAlignment w:val="center"/>
              <w:rPr>
                <w:rFonts w:hint="eastAsia" w:ascii="宋体" w:hAnsi="宋体" w:cs="宋体"/>
                <w:color w:val="000000"/>
                <w:kern w:val="0"/>
                <w:sz w:val="20"/>
                <w:szCs w:val="20"/>
                <w:lang w:bidi="ar"/>
              </w:rPr>
            </w:pPr>
          </w:p>
        </w:tc>
      </w:tr>
      <w:tr w14:paraId="3570F3C9">
        <w:tblPrEx>
          <w:tblCellMar>
            <w:top w:w="0" w:type="dxa"/>
            <w:left w:w="108" w:type="dxa"/>
            <w:bottom w:w="0" w:type="dxa"/>
            <w:right w:w="108" w:type="dxa"/>
          </w:tblCellMar>
        </w:tblPrEx>
        <w:trPr>
          <w:trHeight w:val="20" w:hRule="atLeast"/>
          <w:jc w:val="center"/>
        </w:trPr>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2D315A">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187</w:t>
            </w:r>
          </w:p>
        </w:tc>
        <w:tc>
          <w:tcPr>
            <w:tcW w:w="2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8C217F">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透明液相色谱流动相试剂瓶4</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1B03F1">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高硼硅1级，透明，2L</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E3780D">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个</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E59525">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4</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43593D">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200</w:t>
            </w:r>
          </w:p>
        </w:tc>
        <w:tc>
          <w:tcPr>
            <w:tcW w:w="992" w:type="dxa"/>
            <w:tcBorders>
              <w:top w:val="single" w:color="000000" w:sz="4" w:space="0"/>
              <w:left w:val="single" w:color="000000" w:sz="4" w:space="0"/>
              <w:bottom w:val="single" w:color="000000" w:sz="4" w:space="0"/>
              <w:right w:val="single" w:color="000000" w:sz="4" w:space="0"/>
            </w:tcBorders>
            <w:vAlign w:val="center"/>
          </w:tcPr>
          <w:p w14:paraId="33CCAFFF">
            <w:pPr>
              <w:widowControl/>
              <w:jc w:val="center"/>
              <w:textAlignment w:val="center"/>
              <w:rPr>
                <w:rFonts w:hint="eastAsia" w:ascii="宋体" w:hAnsi="宋体" w:cs="宋体"/>
                <w:color w:val="000000"/>
                <w:kern w:val="0"/>
                <w:sz w:val="20"/>
                <w:szCs w:val="20"/>
                <w:lang w:bidi="ar"/>
              </w:rPr>
            </w:pPr>
          </w:p>
        </w:tc>
        <w:tc>
          <w:tcPr>
            <w:tcW w:w="1239" w:type="dxa"/>
            <w:tcBorders>
              <w:top w:val="single" w:color="000000" w:sz="4" w:space="0"/>
              <w:left w:val="single" w:color="000000" w:sz="4" w:space="0"/>
              <w:bottom w:val="single" w:color="000000" w:sz="4" w:space="0"/>
              <w:right w:val="single" w:color="000000" w:sz="4" w:space="0"/>
            </w:tcBorders>
            <w:vAlign w:val="center"/>
          </w:tcPr>
          <w:p w14:paraId="00617844">
            <w:pPr>
              <w:widowControl/>
              <w:jc w:val="center"/>
              <w:textAlignment w:val="center"/>
              <w:rPr>
                <w:rFonts w:hint="eastAsia" w:ascii="宋体" w:hAnsi="宋体" w:cs="宋体"/>
                <w:color w:val="000000"/>
                <w:kern w:val="0"/>
                <w:sz w:val="20"/>
                <w:szCs w:val="20"/>
                <w:lang w:bidi="ar"/>
              </w:rPr>
            </w:pPr>
          </w:p>
        </w:tc>
        <w:tc>
          <w:tcPr>
            <w:tcW w:w="900" w:type="dxa"/>
            <w:tcBorders>
              <w:top w:val="single" w:color="000000" w:sz="4" w:space="0"/>
              <w:left w:val="single" w:color="000000" w:sz="4" w:space="0"/>
              <w:bottom w:val="single" w:color="000000" w:sz="4" w:space="0"/>
              <w:right w:val="single" w:color="000000" w:sz="4" w:space="0"/>
            </w:tcBorders>
            <w:vAlign w:val="center"/>
          </w:tcPr>
          <w:p w14:paraId="3DC6F323">
            <w:pPr>
              <w:widowControl/>
              <w:jc w:val="center"/>
              <w:textAlignment w:val="center"/>
              <w:rPr>
                <w:rFonts w:hint="eastAsia" w:ascii="宋体" w:hAnsi="宋体" w:cs="宋体"/>
                <w:color w:val="000000"/>
                <w:kern w:val="0"/>
                <w:sz w:val="20"/>
                <w:szCs w:val="20"/>
                <w:lang w:bidi="ar"/>
              </w:rPr>
            </w:pPr>
          </w:p>
        </w:tc>
        <w:tc>
          <w:tcPr>
            <w:tcW w:w="832" w:type="dxa"/>
            <w:tcBorders>
              <w:top w:val="single" w:color="000000" w:sz="4" w:space="0"/>
              <w:left w:val="single" w:color="000000" w:sz="4" w:space="0"/>
              <w:bottom w:val="single" w:color="000000" w:sz="4" w:space="0"/>
              <w:right w:val="single" w:color="000000" w:sz="4" w:space="0"/>
            </w:tcBorders>
            <w:vAlign w:val="center"/>
          </w:tcPr>
          <w:p w14:paraId="71ED8FF2">
            <w:pPr>
              <w:widowControl/>
              <w:jc w:val="center"/>
              <w:textAlignment w:val="center"/>
              <w:rPr>
                <w:rFonts w:hint="eastAsia" w:ascii="宋体" w:hAnsi="宋体" w:cs="宋体"/>
                <w:color w:val="000000"/>
                <w:kern w:val="0"/>
                <w:sz w:val="20"/>
                <w:szCs w:val="20"/>
                <w:lang w:bidi="ar"/>
              </w:rPr>
            </w:pPr>
          </w:p>
        </w:tc>
        <w:tc>
          <w:tcPr>
            <w:tcW w:w="1143" w:type="dxa"/>
            <w:tcBorders>
              <w:top w:val="single" w:color="000000" w:sz="4" w:space="0"/>
              <w:left w:val="single" w:color="000000" w:sz="4" w:space="0"/>
              <w:bottom w:val="single" w:color="000000" w:sz="4" w:space="0"/>
              <w:right w:val="single" w:color="000000" w:sz="4" w:space="0"/>
            </w:tcBorders>
            <w:vAlign w:val="center"/>
          </w:tcPr>
          <w:p w14:paraId="4054BA6A">
            <w:pPr>
              <w:widowControl/>
              <w:jc w:val="center"/>
              <w:textAlignment w:val="center"/>
              <w:rPr>
                <w:rFonts w:hint="eastAsia" w:ascii="宋体" w:hAnsi="宋体" w:cs="宋体"/>
                <w:color w:val="000000"/>
                <w:kern w:val="0"/>
                <w:sz w:val="20"/>
                <w:szCs w:val="20"/>
                <w:lang w:bidi="ar"/>
              </w:rPr>
            </w:pPr>
          </w:p>
        </w:tc>
        <w:tc>
          <w:tcPr>
            <w:tcW w:w="763" w:type="dxa"/>
            <w:tcBorders>
              <w:top w:val="single" w:color="000000" w:sz="4" w:space="0"/>
              <w:left w:val="single" w:color="000000" w:sz="4" w:space="0"/>
              <w:bottom w:val="single" w:color="000000" w:sz="4" w:space="0"/>
              <w:right w:val="single" w:color="000000" w:sz="4" w:space="0"/>
            </w:tcBorders>
            <w:vAlign w:val="center"/>
          </w:tcPr>
          <w:p w14:paraId="4B31F778">
            <w:pPr>
              <w:widowControl/>
              <w:jc w:val="center"/>
              <w:textAlignment w:val="center"/>
              <w:rPr>
                <w:rFonts w:hint="eastAsia" w:ascii="宋体" w:hAnsi="宋体" w:cs="宋体"/>
                <w:color w:val="000000"/>
                <w:kern w:val="0"/>
                <w:sz w:val="20"/>
                <w:szCs w:val="20"/>
                <w:lang w:bidi="ar"/>
              </w:rPr>
            </w:pPr>
          </w:p>
        </w:tc>
        <w:tc>
          <w:tcPr>
            <w:tcW w:w="741" w:type="dxa"/>
            <w:tcBorders>
              <w:top w:val="single" w:color="000000" w:sz="4" w:space="0"/>
              <w:left w:val="single" w:color="000000" w:sz="4" w:space="0"/>
              <w:bottom w:val="single" w:color="000000" w:sz="4" w:space="0"/>
              <w:right w:val="single" w:color="000000" w:sz="4" w:space="0"/>
            </w:tcBorders>
            <w:vAlign w:val="center"/>
          </w:tcPr>
          <w:p w14:paraId="57CDF26B">
            <w:pPr>
              <w:widowControl/>
              <w:jc w:val="center"/>
              <w:textAlignment w:val="center"/>
              <w:rPr>
                <w:rFonts w:hint="eastAsia" w:ascii="宋体" w:hAnsi="宋体" w:cs="宋体"/>
                <w:color w:val="000000"/>
                <w:kern w:val="0"/>
                <w:sz w:val="20"/>
                <w:szCs w:val="20"/>
                <w:lang w:bidi="ar"/>
              </w:rPr>
            </w:pPr>
          </w:p>
        </w:tc>
      </w:tr>
      <w:tr w14:paraId="7AB10AC6">
        <w:tblPrEx>
          <w:tblCellMar>
            <w:top w:w="0" w:type="dxa"/>
            <w:left w:w="108" w:type="dxa"/>
            <w:bottom w:w="0" w:type="dxa"/>
            <w:right w:w="108" w:type="dxa"/>
          </w:tblCellMar>
        </w:tblPrEx>
        <w:trPr>
          <w:trHeight w:val="20" w:hRule="atLeast"/>
          <w:jc w:val="center"/>
        </w:trPr>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07C681">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188</w:t>
            </w:r>
          </w:p>
        </w:tc>
        <w:tc>
          <w:tcPr>
            <w:tcW w:w="2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A6BE67">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石蜡封口膜1</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55063B">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10cm*38m</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3EA80D">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卷</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266458">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5</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43EB99">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180</w:t>
            </w:r>
          </w:p>
        </w:tc>
        <w:tc>
          <w:tcPr>
            <w:tcW w:w="992" w:type="dxa"/>
            <w:tcBorders>
              <w:top w:val="single" w:color="000000" w:sz="4" w:space="0"/>
              <w:left w:val="single" w:color="000000" w:sz="4" w:space="0"/>
              <w:bottom w:val="single" w:color="000000" w:sz="4" w:space="0"/>
              <w:right w:val="single" w:color="000000" w:sz="4" w:space="0"/>
            </w:tcBorders>
            <w:vAlign w:val="center"/>
          </w:tcPr>
          <w:p w14:paraId="2F1AB346">
            <w:pPr>
              <w:widowControl/>
              <w:jc w:val="center"/>
              <w:textAlignment w:val="center"/>
              <w:rPr>
                <w:rFonts w:hint="eastAsia" w:ascii="宋体" w:hAnsi="宋体" w:cs="宋体"/>
                <w:color w:val="000000"/>
                <w:kern w:val="0"/>
                <w:sz w:val="20"/>
                <w:szCs w:val="20"/>
                <w:lang w:bidi="ar"/>
              </w:rPr>
            </w:pPr>
          </w:p>
        </w:tc>
        <w:tc>
          <w:tcPr>
            <w:tcW w:w="1239" w:type="dxa"/>
            <w:tcBorders>
              <w:top w:val="single" w:color="000000" w:sz="4" w:space="0"/>
              <w:left w:val="single" w:color="000000" w:sz="4" w:space="0"/>
              <w:bottom w:val="single" w:color="000000" w:sz="4" w:space="0"/>
              <w:right w:val="single" w:color="000000" w:sz="4" w:space="0"/>
            </w:tcBorders>
            <w:vAlign w:val="center"/>
          </w:tcPr>
          <w:p w14:paraId="790D79BD">
            <w:pPr>
              <w:widowControl/>
              <w:jc w:val="center"/>
              <w:textAlignment w:val="center"/>
              <w:rPr>
                <w:rFonts w:hint="eastAsia" w:ascii="宋体" w:hAnsi="宋体" w:cs="宋体"/>
                <w:color w:val="000000"/>
                <w:kern w:val="0"/>
                <w:sz w:val="20"/>
                <w:szCs w:val="20"/>
                <w:lang w:bidi="ar"/>
              </w:rPr>
            </w:pPr>
          </w:p>
        </w:tc>
        <w:tc>
          <w:tcPr>
            <w:tcW w:w="900" w:type="dxa"/>
            <w:tcBorders>
              <w:top w:val="single" w:color="000000" w:sz="4" w:space="0"/>
              <w:left w:val="single" w:color="000000" w:sz="4" w:space="0"/>
              <w:bottom w:val="single" w:color="000000" w:sz="4" w:space="0"/>
              <w:right w:val="single" w:color="000000" w:sz="4" w:space="0"/>
            </w:tcBorders>
            <w:vAlign w:val="center"/>
          </w:tcPr>
          <w:p w14:paraId="4A7E0E6B">
            <w:pPr>
              <w:widowControl/>
              <w:jc w:val="center"/>
              <w:textAlignment w:val="center"/>
              <w:rPr>
                <w:rFonts w:hint="eastAsia" w:ascii="宋体" w:hAnsi="宋体" w:cs="宋体"/>
                <w:color w:val="000000"/>
                <w:kern w:val="0"/>
                <w:sz w:val="20"/>
                <w:szCs w:val="20"/>
                <w:lang w:bidi="ar"/>
              </w:rPr>
            </w:pPr>
          </w:p>
        </w:tc>
        <w:tc>
          <w:tcPr>
            <w:tcW w:w="832" w:type="dxa"/>
            <w:tcBorders>
              <w:top w:val="single" w:color="000000" w:sz="4" w:space="0"/>
              <w:left w:val="single" w:color="000000" w:sz="4" w:space="0"/>
              <w:bottom w:val="single" w:color="000000" w:sz="4" w:space="0"/>
              <w:right w:val="single" w:color="000000" w:sz="4" w:space="0"/>
            </w:tcBorders>
            <w:vAlign w:val="center"/>
          </w:tcPr>
          <w:p w14:paraId="5D4D7587">
            <w:pPr>
              <w:widowControl/>
              <w:jc w:val="center"/>
              <w:textAlignment w:val="center"/>
              <w:rPr>
                <w:rFonts w:hint="eastAsia" w:ascii="宋体" w:hAnsi="宋体" w:cs="宋体"/>
                <w:color w:val="000000"/>
                <w:kern w:val="0"/>
                <w:sz w:val="20"/>
                <w:szCs w:val="20"/>
                <w:lang w:bidi="ar"/>
              </w:rPr>
            </w:pPr>
          </w:p>
        </w:tc>
        <w:tc>
          <w:tcPr>
            <w:tcW w:w="1143" w:type="dxa"/>
            <w:tcBorders>
              <w:top w:val="single" w:color="000000" w:sz="4" w:space="0"/>
              <w:left w:val="single" w:color="000000" w:sz="4" w:space="0"/>
              <w:bottom w:val="single" w:color="000000" w:sz="4" w:space="0"/>
              <w:right w:val="single" w:color="000000" w:sz="4" w:space="0"/>
            </w:tcBorders>
            <w:vAlign w:val="center"/>
          </w:tcPr>
          <w:p w14:paraId="54EA0A89">
            <w:pPr>
              <w:widowControl/>
              <w:jc w:val="center"/>
              <w:textAlignment w:val="center"/>
              <w:rPr>
                <w:rFonts w:hint="eastAsia" w:ascii="宋体" w:hAnsi="宋体" w:cs="宋体"/>
                <w:color w:val="000000"/>
                <w:kern w:val="0"/>
                <w:sz w:val="20"/>
                <w:szCs w:val="20"/>
                <w:lang w:bidi="ar"/>
              </w:rPr>
            </w:pPr>
          </w:p>
        </w:tc>
        <w:tc>
          <w:tcPr>
            <w:tcW w:w="763" w:type="dxa"/>
            <w:tcBorders>
              <w:top w:val="single" w:color="000000" w:sz="4" w:space="0"/>
              <w:left w:val="single" w:color="000000" w:sz="4" w:space="0"/>
              <w:bottom w:val="single" w:color="000000" w:sz="4" w:space="0"/>
              <w:right w:val="single" w:color="000000" w:sz="4" w:space="0"/>
            </w:tcBorders>
            <w:vAlign w:val="center"/>
          </w:tcPr>
          <w:p w14:paraId="6962371B">
            <w:pPr>
              <w:widowControl/>
              <w:jc w:val="center"/>
              <w:textAlignment w:val="center"/>
              <w:rPr>
                <w:rFonts w:hint="eastAsia" w:ascii="宋体" w:hAnsi="宋体" w:cs="宋体"/>
                <w:color w:val="000000"/>
                <w:kern w:val="0"/>
                <w:sz w:val="20"/>
                <w:szCs w:val="20"/>
                <w:lang w:bidi="ar"/>
              </w:rPr>
            </w:pPr>
          </w:p>
        </w:tc>
        <w:tc>
          <w:tcPr>
            <w:tcW w:w="741" w:type="dxa"/>
            <w:tcBorders>
              <w:top w:val="single" w:color="000000" w:sz="4" w:space="0"/>
              <w:left w:val="single" w:color="000000" w:sz="4" w:space="0"/>
              <w:bottom w:val="single" w:color="000000" w:sz="4" w:space="0"/>
              <w:right w:val="single" w:color="000000" w:sz="4" w:space="0"/>
            </w:tcBorders>
            <w:vAlign w:val="center"/>
          </w:tcPr>
          <w:p w14:paraId="0B27CAA1">
            <w:pPr>
              <w:widowControl/>
              <w:jc w:val="center"/>
              <w:textAlignment w:val="center"/>
              <w:rPr>
                <w:rFonts w:hint="eastAsia" w:ascii="宋体" w:hAnsi="宋体" w:cs="宋体"/>
                <w:color w:val="000000"/>
                <w:kern w:val="0"/>
                <w:sz w:val="20"/>
                <w:szCs w:val="20"/>
                <w:lang w:bidi="ar"/>
              </w:rPr>
            </w:pPr>
          </w:p>
        </w:tc>
      </w:tr>
      <w:tr w14:paraId="7A1B3999">
        <w:tblPrEx>
          <w:tblCellMar>
            <w:top w:w="0" w:type="dxa"/>
            <w:left w:w="108" w:type="dxa"/>
            <w:bottom w:w="0" w:type="dxa"/>
            <w:right w:w="108" w:type="dxa"/>
          </w:tblCellMar>
        </w:tblPrEx>
        <w:trPr>
          <w:trHeight w:val="20" w:hRule="atLeast"/>
          <w:jc w:val="center"/>
        </w:trPr>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76863E">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189</w:t>
            </w:r>
          </w:p>
        </w:tc>
        <w:tc>
          <w:tcPr>
            <w:tcW w:w="2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6B9CFC">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石蜡封口膜2</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31FC2F">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5cm*76m</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AE36D4">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卷</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7438F6">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5</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793807">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180</w:t>
            </w:r>
          </w:p>
        </w:tc>
        <w:tc>
          <w:tcPr>
            <w:tcW w:w="992" w:type="dxa"/>
            <w:tcBorders>
              <w:top w:val="single" w:color="000000" w:sz="4" w:space="0"/>
              <w:left w:val="single" w:color="000000" w:sz="4" w:space="0"/>
              <w:bottom w:val="single" w:color="000000" w:sz="4" w:space="0"/>
              <w:right w:val="single" w:color="000000" w:sz="4" w:space="0"/>
            </w:tcBorders>
            <w:vAlign w:val="center"/>
          </w:tcPr>
          <w:p w14:paraId="0838126B">
            <w:pPr>
              <w:widowControl/>
              <w:jc w:val="center"/>
              <w:textAlignment w:val="center"/>
              <w:rPr>
                <w:rFonts w:hint="eastAsia" w:ascii="宋体" w:hAnsi="宋体" w:cs="宋体"/>
                <w:color w:val="000000"/>
                <w:kern w:val="0"/>
                <w:sz w:val="20"/>
                <w:szCs w:val="20"/>
                <w:lang w:bidi="ar"/>
              </w:rPr>
            </w:pPr>
          </w:p>
        </w:tc>
        <w:tc>
          <w:tcPr>
            <w:tcW w:w="1239" w:type="dxa"/>
            <w:tcBorders>
              <w:top w:val="single" w:color="000000" w:sz="4" w:space="0"/>
              <w:left w:val="single" w:color="000000" w:sz="4" w:space="0"/>
              <w:bottom w:val="single" w:color="000000" w:sz="4" w:space="0"/>
              <w:right w:val="single" w:color="000000" w:sz="4" w:space="0"/>
            </w:tcBorders>
            <w:vAlign w:val="center"/>
          </w:tcPr>
          <w:p w14:paraId="3F5B6DEE">
            <w:pPr>
              <w:widowControl/>
              <w:jc w:val="center"/>
              <w:textAlignment w:val="center"/>
              <w:rPr>
                <w:rFonts w:hint="eastAsia" w:ascii="宋体" w:hAnsi="宋体" w:cs="宋体"/>
                <w:color w:val="000000"/>
                <w:kern w:val="0"/>
                <w:sz w:val="20"/>
                <w:szCs w:val="20"/>
                <w:lang w:bidi="ar"/>
              </w:rPr>
            </w:pPr>
          </w:p>
        </w:tc>
        <w:tc>
          <w:tcPr>
            <w:tcW w:w="900" w:type="dxa"/>
            <w:tcBorders>
              <w:top w:val="single" w:color="000000" w:sz="4" w:space="0"/>
              <w:left w:val="single" w:color="000000" w:sz="4" w:space="0"/>
              <w:bottom w:val="single" w:color="000000" w:sz="4" w:space="0"/>
              <w:right w:val="single" w:color="000000" w:sz="4" w:space="0"/>
            </w:tcBorders>
            <w:vAlign w:val="center"/>
          </w:tcPr>
          <w:p w14:paraId="4399B3A7">
            <w:pPr>
              <w:widowControl/>
              <w:jc w:val="center"/>
              <w:textAlignment w:val="center"/>
              <w:rPr>
                <w:rFonts w:hint="eastAsia" w:ascii="宋体" w:hAnsi="宋体" w:cs="宋体"/>
                <w:color w:val="000000"/>
                <w:kern w:val="0"/>
                <w:sz w:val="20"/>
                <w:szCs w:val="20"/>
                <w:lang w:bidi="ar"/>
              </w:rPr>
            </w:pPr>
          </w:p>
        </w:tc>
        <w:tc>
          <w:tcPr>
            <w:tcW w:w="832" w:type="dxa"/>
            <w:tcBorders>
              <w:top w:val="single" w:color="000000" w:sz="4" w:space="0"/>
              <w:left w:val="single" w:color="000000" w:sz="4" w:space="0"/>
              <w:bottom w:val="single" w:color="000000" w:sz="4" w:space="0"/>
              <w:right w:val="single" w:color="000000" w:sz="4" w:space="0"/>
            </w:tcBorders>
            <w:vAlign w:val="center"/>
          </w:tcPr>
          <w:p w14:paraId="1881DD63">
            <w:pPr>
              <w:widowControl/>
              <w:jc w:val="center"/>
              <w:textAlignment w:val="center"/>
              <w:rPr>
                <w:rFonts w:hint="eastAsia" w:ascii="宋体" w:hAnsi="宋体" w:cs="宋体"/>
                <w:color w:val="000000"/>
                <w:kern w:val="0"/>
                <w:sz w:val="20"/>
                <w:szCs w:val="20"/>
                <w:lang w:bidi="ar"/>
              </w:rPr>
            </w:pPr>
          </w:p>
        </w:tc>
        <w:tc>
          <w:tcPr>
            <w:tcW w:w="1143" w:type="dxa"/>
            <w:tcBorders>
              <w:top w:val="single" w:color="000000" w:sz="4" w:space="0"/>
              <w:left w:val="single" w:color="000000" w:sz="4" w:space="0"/>
              <w:bottom w:val="single" w:color="000000" w:sz="4" w:space="0"/>
              <w:right w:val="single" w:color="000000" w:sz="4" w:space="0"/>
            </w:tcBorders>
            <w:vAlign w:val="center"/>
          </w:tcPr>
          <w:p w14:paraId="530124F0">
            <w:pPr>
              <w:widowControl/>
              <w:jc w:val="center"/>
              <w:textAlignment w:val="center"/>
              <w:rPr>
                <w:rFonts w:hint="eastAsia" w:ascii="宋体" w:hAnsi="宋体" w:cs="宋体"/>
                <w:color w:val="000000"/>
                <w:kern w:val="0"/>
                <w:sz w:val="20"/>
                <w:szCs w:val="20"/>
                <w:lang w:bidi="ar"/>
              </w:rPr>
            </w:pPr>
          </w:p>
        </w:tc>
        <w:tc>
          <w:tcPr>
            <w:tcW w:w="763" w:type="dxa"/>
            <w:tcBorders>
              <w:top w:val="single" w:color="000000" w:sz="4" w:space="0"/>
              <w:left w:val="single" w:color="000000" w:sz="4" w:space="0"/>
              <w:bottom w:val="single" w:color="000000" w:sz="4" w:space="0"/>
              <w:right w:val="single" w:color="000000" w:sz="4" w:space="0"/>
            </w:tcBorders>
            <w:vAlign w:val="center"/>
          </w:tcPr>
          <w:p w14:paraId="782BDB0D">
            <w:pPr>
              <w:widowControl/>
              <w:jc w:val="center"/>
              <w:textAlignment w:val="center"/>
              <w:rPr>
                <w:rFonts w:hint="eastAsia" w:ascii="宋体" w:hAnsi="宋体" w:cs="宋体"/>
                <w:color w:val="000000"/>
                <w:kern w:val="0"/>
                <w:sz w:val="20"/>
                <w:szCs w:val="20"/>
                <w:lang w:bidi="ar"/>
              </w:rPr>
            </w:pPr>
          </w:p>
        </w:tc>
        <w:tc>
          <w:tcPr>
            <w:tcW w:w="741" w:type="dxa"/>
            <w:tcBorders>
              <w:top w:val="single" w:color="000000" w:sz="4" w:space="0"/>
              <w:left w:val="single" w:color="000000" w:sz="4" w:space="0"/>
              <w:bottom w:val="single" w:color="000000" w:sz="4" w:space="0"/>
              <w:right w:val="single" w:color="000000" w:sz="4" w:space="0"/>
            </w:tcBorders>
            <w:vAlign w:val="center"/>
          </w:tcPr>
          <w:p w14:paraId="04EC4DF9">
            <w:pPr>
              <w:widowControl/>
              <w:jc w:val="center"/>
              <w:textAlignment w:val="center"/>
              <w:rPr>
                <w:rFonts w:hint="eastAsia" w:ascii="宋体" w:hAnsi="宋体" w:cs="宋体"/>
                <w:color w:val="000000"/>
                <w:kern w:val="0"/>
                <w:sz w:val="20"/>
                <w:szCs w:val="20"/>
                <w:lang w:bidi="ar"/>
              </w:rPr>
            </w:pPr>
          </w:p>
        </w:tc>
      </w:tr>
      <w:tr w14:paraId="7492454A">
        <w:tblPrEx>
          <w:tblCellMar>
            <w:top w:w="0" w:type="dxa"/>
            <w:left w:w="108" w:type="dxa"/>
            <w:bottom w:w="0" w:type="dxa"/>
            <w:right w:w="108" w:type="dxa"/>
          </w:tblCellMar>
        </w:tblPrEx>
        <w:trPr>
          <w:trHeight w:val="20" w:hRule="atLeast"/>
          <w:jc w:val="center"/>
        </w:trPr>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0EC0D6">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190</w:t>
            </w:r>
          </w:p>
        </w:tc>
        <w:tc>
          <w:tcPr>
            <w:tcW w:w="2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46BA10">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10 uL 气相色谱进样针</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DBCFAA">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适配岛津气相色谱2010-plus</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3B1766">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支</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223733">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40A503">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100</w:t>
            </w:r>
          </w:p>
        </w:tc>
        <w:tc>
          <w:tcPr>
            <w:tcW w:w="992" w:type="dxa"/>
            <w:tcBorders>
              <w:top w:val="single" w:color="000000" w:sz="4" w:space="0"/>
              <w:left w:val="single" w:color="000000" w:sz="4" w:space="0"/>
              <w:bottom w:val="single" w:color="000000" w:sz="4" w:space="0"/>
              <w:right w:val="single" w:color="000000" w:sz="4" w:space="0"/>
            </w:tcBorders>
            <w:vAlign w:val="center"/>
          </w:tcPr>
          <w:p w14:paraId="66E05E57">
            <w:pPr>
              <w:widowControl/>
              <w:jc w:val="center"/>
              <w:textAlignment w:val="center"/>
              <w:rPr>
                <w:rFonts w:hint="eastAsia" w:ascii="宋体" w:hAnsi="宋体" w:cs="宋体"/>
                <w:color w:val="000000"/>
                <w:kern w:val="0"/>
                <w:sz w:val="20"/>
                <w:szCs w:val="20"/>
                <w:lang w:bidi="ar"/>
              </w:rPr>
            </w:pPr>
          </w:p>
        </w:tc>
        <w:tc>
          <w:tcPr>
            <w:tcW w:w="1239" w:type="dxa"/>
            <w:tcBorders>
              <w:top w:val="single" w:color="000000" w:sz="4" w:space="0"/>
              <w:left w:val="single" w:color="000000" w:sz="4" w:space="0"/>
              <w:bottom w:val="single" w:color="000000" w:sz="4" w:space="0"/>
              <w:right w:val="single" w:color="000000" w:sz="4" w:space="0"/>
            </w:tcBorders>
            <w:vAlign w:val="center"/>
          </w:tcPr>
          <w:p w14:paraId="7905988F">
            <w:pPr>
              <w:widowControl/>
              <w:jc w:val="center"/>
              <w:textAlignment w:val="center"/>
              <w:rPr>
                <w:rFonts w:hint="eastAsia" w:ascii="宋体" w:hAnsi="宋体" w:cs="宋体"/>
                <w:color w:val="000000"/>
                <w:kern w:val="0"/>
                <w:sz w:val="20"/>
                <w:szCs w:val="20"/>
                <w:lang w:bidi="ar"/>
              </w:rPr>
            </w:pPr>
          </w:p>
        </w:tc>
        <w:tc>
          <w:tcPr>
            <w:tcW w:w="900" w:type="dxa"/>
            <w:tcBorders>
              <w:top w:val="single" w:color="000000" w:sz="4" w:space="0"/>
              <w:left w:val="single" w:color="000000" w:sz="4" w:space="0"/>
              <w:bottom w:val="single" w:color="000000" w:sz="4" w:space="0"/>
              <w:right w:val="single" w:color="000000" w:sz="4" w:space="0"/>
            </w:tcBorders>
            <w:vAlign w:val="center"/>
          </w:tcPr>
          <w:p w14:paraId="754910EA">
            <w:pPr>
              <w:widowControl/>
              <w:jc w:val="center"/>
              <w:textAlignment w:val="center"/>
              <w:rPr>
                <w:rFonts w:hint="eastAsia" w:ascii="宋体" w:hAnsi="宋体" w:cs="宋体"/>
                <w:color w:val="000000"/>
                <w:kern w:val="0"/>
                <w:sz w:val="20"/>
                <w:szCs w:val="20"/>
                <w:lang w:bidi="ar"/>
              </w:rPr>
            </w:pPr>
          </w:p>
        </w:tc>
        <w:tc>
          <w:tcPr>
            <w:tcW w:w="832" w:type="dxa"/>
            <w:tcBorders>
              <w:top w:val="single" w:color="000000" w:sz="4" w:space="0"/>
              <w:left w:val="single" w:color="000000" w:sz="4" w:space="0"/>
              <w:bottom w:val="single" w:color="000000" w:sz="4" w:space="0"/>
              <w:right w:val="single" w:color="000000" w:sz="4" w:space="0"/>
            </w:tcBorders>
            <w:vAlign w:val="center"/>
          </w:tcPr>
          <w:p w14:paraId="7BC18396">
            <w:pPr>
              <w:widowControl/>
              <w:jc w:val="center"/>
              <w:textAlignment w:val="center"/>
              <w:rPr>
                <w:rFonts w:hint="eastAsia" w:ascii="宋体" w:hAnsi="宋体" w:cs="宋体"/>
                <w:color w:val="000000"/>
                <w:kern w:val="0"/>
                <w:sz w:val="20"/>
                <w:szCs w:val="20"/>
                <w:lang w:bidi="ar"/>
              </w:rPr>
            </w:pPr>
          </w:p>
        </w:tc>
        <w:tc>
          <w:tcPr>
            <w:tcW w:w="1143" w:type="dxa"/>
            <w:tcBorders>
              <w:top w:val="single" w:color="000000" w:sz="4" w:space="0"/>
              <w:left w:val="single" w:color="000000" w:sz="4" w:space="0"/>
              <w:bottom w:val="single" w:color="000000" w:sz="4" w:space="0"/>
              <w:right w:val="single" w:color="000000" w:sz="4" w:space="0"/>
            </w:tcBorders>
            <w:vAlign w:val="center"/>
          </w:tcPr>
          <w:p w14:paraId="11511A8D">
            <w:pPr>
              <w:widowControl/>
              <w:jc w:val="center"/>
              <w:textAlignment w:val="center"/>
              <w:rPr>
                <w:rFonts w:hint="eastAsia" w:ascii="宋体" w:hAnsi="宋体" w:cs="宋体"/>
                <w:color w:val="000000"/>
                <w:kern w:val="0"/>
                <w:sz w:val="20"/>
                <w:szCs w:val="20"/>
                <w:lang w:bidi="ar"/>
              </w:rPr>
            </w:pPr>
          </w:p>
        </w:tc>
        <w:tc>
          <w:tcPr>
            <w:tcW w:w="763" w:type="dxa"/>
            <w:tcBorders>
              <w:top w:val="single" w:color="000000" w:sz="4" w:space="0"/>
              <w:left w:val="single" w:color="000000" w:sz="4" w:space="0"/>
              <w:bottom w:val="single" w:color="000000" w:sz="4" w:space="0"/>
              <w:right w:val="single" w:color="000000" w:sz="4" w:space="0"/>
            </w:tcBorders>
            <w:vAlign w:val="center"/>
          </w:tcPr>
          <w:p w14:paraId="0527B6A1">
            <w:pPr>
              <w:widowControl/>
              <w:jc w:val="center"/>
              <w:textAlignment w:val="center"/>
              <w:rPr>
                <w:rFonts w:hint="eastAsia" w:ascii="宋体" w:hAnsi="宋体" w:cs="宋体"/>
                <w:color w:val="000000"/>
                <w:kern w:val="0"/>
                <w:sz w:val="20"/>
                <w:szCs w:val="20"/>
                <w:lang w:bidi="ar"/>
              </w:rPr>
            </w:pPr>
          </w:p>
        </w:tc>
        <w:tc>
          <w:tcPr>
            <w:tcW w:w="741" w:type="dxa"/>
            <w:tcBorders>
              <w:top w:val="single" w:color="000000" w:sz="4" w:space="0"/>
              <w:left w:val="single" w:color="000000" w:sz="4" w:space="0"/>
              <w:bottom w:val="single" w:color="000000" w:sz="4" w:space="0"/>
              <w:right w:val="single" w:color="000000" w:sz="4" w:space="0"/>
            </w:tcBorders>
            <w:vAlign w:val="center"/>
          </w:tcPr>
          <w:p w14:paraId="556B5932">
            <w:pPr>
              <w:widowControl/>
              <w:jc w:val="center"/>
              <w:textAlignment w:val="center"/>
              <w:rPr>
                <w:rFonts w:hint="eastAsia" w:ascii="宋体" w:hAnsi="宋体" w:cs="宋体"/>
                <w:color w:val="000000"/>
                <w:kern w:val="0"/>
                <w:sz w:val="20"/>
                <w:szCs w:val="20"/>
                <w:lang w:bidi="ar"/>
              </w:rPr>
            </w:pPr>
          </w:p>
        </w:tc>
      </w:tr>
      <w:tr w14:paraId="60C25C58">
        <w:tblPrEx>
          <w:tblCellMar>
            <w:top w:w="0" w:type="dxa"/>
            <w:left w:w="108" w:type="dxa"/>
            <w:bottom w:w="0" w:type="dxa"/>
            <w:right w:w="108" w:type="dxa"/>
          </w:tblCellMar>
        </w:tblPrEx>
        <w:trPr>
          <w:trHeight w:val="20" w:hRule="atLeast"/>
          <w:jc w:val="center"/>
        </w:trPr>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315EC3">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191</w:t>
            </w:r>
          </w:p>
        </w:tc>
        <w:tc>
          <w:tcPr>
            <w:tcW w:w="2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F96CA0">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10 uL微量注射器</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AFF298">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10uL，尖头，气密款</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538F9B">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支</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26FEA0">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5</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ACE2AE">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100</w:t>
            </w:r>
          </w:p>
        </w:tc>
        <w:tc>
          <w:tcPr>
            <w:tcW w:w="992" w:type="dxa"/>
            <w:tcBorders>
              <w:top w:val="single" w:color="000000" w:sz="4" w:space="0"/>
              <w:left w:val="single" w:color="000000" w:sz="4" w:space="0"/>
              <w:bottom w:val="single" w:color="000000" w:sz="4" w:space="0"/>
              <w:right w:val="single" w:color="000000" w:sz="4" w:space="0"/>
            </w:tcBorders>
            <w:vAlign w:val="center"/>
          </w:tcPr>
          <w:p w14:paraId="722FA0B3">
            <w:pPr>
              <w:widowControl/>
              <w:jc w:val="center"/>
              <w:textAlignment w:val="center"/>
              <w:rPr>
                <w:rFonts w:hint="eastAsia" w:ascii="宋体" w:hAnsi="宋体" w:cs="宋体"/>
                <w:color w:val="000000"/>
                <w:kern w:val="0"/>
                <w:sz w:val="20"/>
                <w:szCs w:val="20"/>
                <w:lang w:bidi="ar"/>
              </w:rPr>
            </w:pPr>
          </w:p>
        </w:tc>
        <w:tc>
          <w:tcPr>
            <w:tcW w:w="1239" w:type="dxa"/>
            <w:tcBorders>
              <w:top w:val="single" w:color="000000" w:sz="4" w:space="0"/>
              <w:left w:val="single" w:color="000000" w:sz="4" w:space="0"/>
              <w:bottom w:val="single" w:color="000000" w:sz="4" w:space="0"/>
              <w:right w:val="single" w:color="000000" w:sz="4" w:space="0"/>
            </w:tcBorders>
            <w:vAlign w:val="center"/>
          </w:tcPr>
          <w:p w14:paraId="67D3FBBF">
            <w:pPr>
              <w:widowControl/>
              <w:jc w:val="center"/>
              <w:textAlignment w:val="center"/>
              <w:rPr>
                <w:rFonts w:hint="eastAsia" w:ascii="宋体" w:hAnsi="宋体" w:cs="宋体"/>
                <w:color w:val="000000"/>
                <w:kern w:val="0"/>
                <w:sz w:val="20"/>
                <w:szCs w:val="20"/>
                <w:lang w:bidi="ar"/>
              </w:rPr>
            </w:pPr>
          </w:p>
        </w:tc>
        <w:tc>
          <w:tcPr>
            <w:tcW w:w="900" w:type="dxa"/>
            <w:tcBorders>
              <w:top w:val="single" w:color="000000" w:sz="4" w:space="0"/>
              <w:left w:val="single" w:color="000000" w:sz="4" w:space="0"/>
              <w:bottom w:val="single" w:color="000000" w:sz="4" w:space="0"/>
              <w:right w:val="single" w:color="000000" w:sz="4" w:space="0"/>
            </w:tcBorders>
            <w:vAlign w:val="center"/>
          </w:tcPr>
          <w:p w14:paraId="155E46C7">
            <w:pPr>
              <w:widowControl/>
              <w:jc w:val="center"/>
              <w:textAlignment w:val="center"/>
              <w:rPr>
                <w:rFonts w:hint="eastAsia" w:ascii="宋体" w:hAnsi="宋体" w:cs="宋体"/>
                <w:color w:val="000000"/>
                <w:kern w:val="0"/>
                <w:sz w:val="20"/>
                <w:szCs w:val="20"/>
                <w:lang w:bidi="ar"/>
              </w:rPr>
            </w:pPr>
          </w:p>
        </w:tc>
        <w:tc>
          <w:tcPr>
            <w:tcW w:w="832" w:type="dxa"/>
            <w:tcBorders>
              <w:top w:val="single" w:color="000000" w:sz="4" w:space="0"/>
              <w:left w:val="single" w:color="000000" w:sz="4" w:space="0"/>
              <w:bottom w:val="single" w:color="000000" w:sz="4" w:space="0"/>
              <w:right w:val="single" w:color="000000" w:sz="4" w:space="0"/>
            </w:tcBorders>
            <w:vAlign w:val="center"/>
          </w:tcPr>
          <w:p w14:paraId="6507721D">
            <w:pPr>
              <w:widowControl/>
              <w:jc w:val="center"/>
              <w:textAlignment w:val="center"/>
              <w:rPr>
                <w:rFonts w:hint="eastAsia" w:ascii="宋体" w:hAnsi="宋体" w:cs="宋体"/>
                <w:color w:val="000000"/>
                <w:kern w:val="0"/>
                <w:sz w:val="20"/>
                <w:szCs w:val="20"/>
                <w:lang w:bidi="ar"/>
              </w:rPr>
            </w:pPr>
          </w:p>
        </w:tc>
        <w:tc>
          <w:tcPr>
            <w:tcW w:w="1143" w:type="dxa"/>
            <w:tcBorders>
              <w:top w:val="single" w:color="000000" w:sz="4" w:space="0"/>
              <w:left w:val="single" w:color="000000" w:sz="4" w:space="0"/>
              <w:bottom w:val="single" w:color="000000" w:sz="4" w:space="0"/>
              <w:right w:val="single" w:color="000000" w:sz="4" w:space="0"/>
            </w:tcBorders>
            <w:vAlign w:val="center"/>
          </w:tcPr>
          <w:p w14:paraId="1CED2251">
            <w:pPr>
              <w:widowControl/>
              <w:jc w:val="center"/>
              <w:textAlignment w:val="center"/>
              <w:rPr>
                <w:rFonts w:hint="eastAsia" w:ascii="宋体" w:hAnsi="宋体" w:cs="宋体"/>
                <w:color w:val="000000"/>
                <w:kern w:val="0"/>
                <w:sz w:val="20"/>
                <w:szCs w:val="20"/>
                <w:lang w:bidi="ar"/>
              </w:rPr>
            </w:pPr>
          </w:p>
        </w:tc>
        <w:tc>
          <w:tcPr>
            <w:tcW w:w="763" w:type="dxa"/>
            <w:tcBorders>
              <w:top w:val="single" w:color="000000" w:sz="4" w:space="0"/>
              <w:left w:val="single" w:color="000000" w:sz="4" w:space="0"/>
              <w:bottom w:val="single" w:color="000000" w:sz="4" w:space="0"/>
              <w:right w:val="single" w:color="000000" w:sz="4" w:space="0"/>
            </w:tcBorders>
            <w:vAlign w:val="center"/>
          </w:tcPr>
          <w:p w14:paraId="6DF09DBD">
            <w:pPr>
              <w:widowControl/>
              <w:jc w:val="center"/>
              <w:textAlignment w:val="center"/>
              <w:rPr>
                <w:rFonts w:hint="eastAsia" w:ascii="宋体" w:hAnsi="宋体" w:cs="宋体"/>
                <w:color w:val="000000"/>
                <w:kern w:val="0"/>
                <w:sz w:val="20"/>
                <w:szCs w:val="20"/>
                <w:lang w:bidi="ar"/>
              </w:rPr>
            </w:pPr>
          </w:p>
        </w:tc>
        <w:tc>
          <w:tcPr>
            <w:tcW w:w="741" w:type="dxa"/>
            <w:tcBorders>
              <w:top w:val="single" w:color="000000" w:sz="4" w:space="0"/>
              <w:left w:val="single" w:color="000000" w:sz="4" w:space="0"/>
              <w:bottom w:val="single" w:color="000000" w:sz="4" w:space="0"/>
              <w:right w:val="single" w:color="000000" w:sz="4" w:space="0"/>
            </w:tcBorders>
            <w:vAlign w:val="center"/>
          </w:tcPr>
          <w:p w14:paraId="5D367676">
            <w:pPr>
              <w:widowControl/>
              <w:jc w:val="center"/>
              <w:textAlignment w:val="center"/>
              <w:rPr>
                <w:rFonts w:hint="eastAsia" w:ascii="宋体" w:hAnsi="宋体" w:cs="宋体"/>
                <w:color w:val="000000"/>
                <w:kern w:val="0"/>
                <w:sz w:val="20"/>
                <w:szCs w:val="20"/>
                <w:lang w:bidi="ar"/>
              </w:rPr>
            </w:pPr>
          </w:p>
        </w:tc>
      </w:tr>
      <w:tr w14:paraId="08E1B9BE">
        <w:tblPrEx>
          <w:tblCellMar>
            <w:top w:w="0" w:type="dxa"/>
            <w:left w:w="108" w:type="dxa"/>
            <w:bottom w:w="0" w:type="dxa"/>
            <w:right w:w="108" w:type="dxa"/>
          </w:tblCellMar>
        </w:tblPrEx>
        <w:trPr>
          <w:trHeight w:val="20" w:hRule="atLeast"/>
          <w:jc w:val="center"/>
        </w:trPr>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90F3F9">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192</w:t>
            </w:r>
          </w:p>
        </w:tc>
        <w:tc>
          <w:tcPr>
            <w:tcW w:w="2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2FCD29">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100 uL微量注射器</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0FA40E">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100uL 尖头，气密款</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9CB8E9">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支</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10AF93">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5</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CAE314">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100</w:t>
            </w:r>
          </w:p>
        </w:tc>
        <w:tc>
          <w:tcPr>
            <w:tcW w:w="992" w:type="dxa"/>
            <w:tcBorders>
              <w:top w:val="single" w:color="000000" w:sz="4" w:space="0"/>
              <w:left w:val="single" w:color="000000" w:sz="4" w:space="0"/>
              <w:bottom w:val="single" w:color="000000" w:sz="4" w:space="0"/>
              <w:right w:val="single" w:color="000000" w:sz="4" w:space="0"/>
            </w:tcBorders>
            <w:vAlign w:val="center"/>
          </w:tcPr>
          <w:p w14:paraId="724EA959">
            <w:pPr>
              <w:widowControl/>
              <w:jc w:val="center"/>
              <w:textAlignment w:val="center"/>
              <w:rPr>
                <w:rFonts w:hint="eastAsia" w:ascii="宋体" w:hAnsi="宋体" w:cs="宋体"/>
                <w:color w:val="000000"/>
                <w:kern w:val="0"/>
                <w:sz w:val="20"/>
                <w:szCs w:val="20"/>
                <w:lang w:bidi="ar"/>
              </w:rPr>
            </w:pPr>
          </w:p>
        </w:tc>
        <w:tc>
          <w:tcPr>
            <w:tcW w:w="1239" w:type="dxa"/>
            <w:tcBorders>
              <w:top w:val="single" w:color="000000" w:sz="4" w:space="0"/>
              <w:left w:val="single" w:color="000000" w:sz="4" w:space="0"/>
              <w:bottom w:val="single" w:color="000000" w:sz="4" w:space="0"/>
              <w:right w:val="single" w:color="000000" w:sz="4" w:space="0"/>
            </w:tcBorders>
            <w:vAlign w:val="center"/>
          </w:tcPr>
          <w:p w14:paraId="07A73377">
            <w:pPr>
              <w:widowControl/>
              <w:jc w:val="center"/>
              <w:textAlignment w:val="center"/>
              <w:rPr>
                <w:rFonts w:hint="eastAsia" w:ascii="宋体" w:hAnsi="宋体" w:cs="宋体"/>
                <w:color w:val="000000"/>
                <w:kern w:val="0"/>
                <w:sz w:val="20"/>
                <w:szCs w:val="20"/>
                <w:lang w:bidi="ar"/>
              </w:rPr>
            </w:pPr>
          </w:p>
        </w:tc>
        <w:tc>
          <w:tcPr>
            <w:tcW w:w="900" w:type="dxa"/>
            <w:tcBorders>
              <w:top w:val="single" w:color="000000" w:sz="4" w:space="0"/>
              <w:left w:val="single" w:color="000000" w:sz="4" w:space="0"/>
              <w:bottom w:val="single" w:color="000000" w:sz="4" w:space="0"/>
              <w:right w:val="single" w:color="000000" w:sz="4" w:space="0"/>
            </w:tcBorders>
            <w:vAlign w:val="center"/>
          </w:tcPr>
          <w:p w14:paraId="2169F84F">
            <w:pPr>
              <w:widowControl/>
              <w:jc w:val="center"/>
              <w:textAlignment w:val="center"/>
              <w:rPr>
                <w:rFonts w:hint="eastAsia" w:ascii="宋体" w:hAnsi="宋体" w:cs="宋体"/>
                <w:color w:val="000000"/>
                <w:kern w:val="0"/>
                <w:sz w:val="20"/>
                <w:szCs w:val="20"/>
                <w:lang w:bidi="ar"/>
              </w:rPr>
            </w:pPr>
          </w:p>
        </w:tc>
        <w:tc>
          <w:tcPr>
            <w:tcW w:w="832" w:type="dxa"/>
            <w:tcBorders>
              <w:top w:val="single" w:color="000000" w:sz="4" w:space="0"/>
              <w:left w:val="single" w:color="000000" w:sz="4" w:space="0"/>
              <w:bottom w:val="single" w:color="000000" w:sz="4" w:space="0"/>
              <w:right w:val="single" w:color="000000" w:sz="4" w:space="0"/>
            </w:tcBorders>
            <w:vAlign w:val="center"/>
          </w:tcPr>
          <w:p w14:paraId="015B0061">
            <w:pPr>
              <w:widowControl/>
              <w:jc w:val="center"/>
              <w:textAlignment w:val="center"/>
              <w:rPr>
                <w:rFonts w:hint="eastAsia" w:ascii="宋体" w:hAnsi="宋体" w:cs="宋体"/>
                <w:color w:val="000000"/>
                <w:kern w:val="0"/>
                <w:sz w:val="20"/>
                <w:szCs w:val="20"/>
                <w:lang w:bidi="ar"/>
              </w:rPr>
            </w:pPr>
          </w:p>
        </w:tc>
        <w:tc>
          <w:tcPr>
            <w:tcW w:w="1143" w:type="dxa"/>
            <w:tcBorders>
              <w:top w:val="single" w:color="000000" w:sz="4" w:space="0"/>
              <w:left w:val="single" w:color="000000" w:sz="4" w:space="0"/>
              <w:bottom w:val="single" w:color="000000" w:sz="4" w:space="0"/>
              <w:right w:val="single" w:color="000000" w:sz="4" w:space="0"/>
            </w:tcBorders>
            <w:vAlign w:val="center"/>
          </w:tcPr>
          <w:p w14:paraId="4B6EEF9B">
            <w:pPr>
              <w:widowControl/>
              <w:jc w:val="center"/>
              <w:textAlignment w:val="center"/>
              <w:rPr>
                <w:rFonts w:hint="eastAsia" w:ascii="宋体" w:hAnsi="宋体" w:cs="宋体"/>
                <w:color w:val="000000"/>
                <w:kern w:val="0"/>
                <w:sz w:val="20"/>
                <w:szCs w:val="20"/>
                <w:lang w:bidi="ar"/>
              </w:rPr>
            </w:pPr>
          </w:p>
        </w:tc>
        <w:tc>
          <w:tcPr>
            <w:tcW w:w="763" w:type="dxa"/>
            <w:tcBorders>
              <w:top w:val="single" w:color="000000" w:sz="4" w:space="0"/>
              <w:left w:val="single" w:color="000000" w:sz="4" w:space="0"/>
              <w:bottom w:val="single" w:color="000000" w:sz="4" w:space="0"/>
              <w:right w:val="single" w:color="000000" w:sz="4" w:space="0"/>
            </w:tcBorders>
            <w:vAlign w:val="center"/>
          </w:tcPr>
          <w:p w14:paraId="089CD802">
            <w:pPr>
              <w:widowControl/>
              <w:jc w:val="center"/>
              <w:textAlignment w:val="center"/>
              <w:rPr>
                <w:rFonts w:hint="eastAsia" w:ascii="宋体" w:hAnsi="宋体" w:cs="宋体"/>
                <w:color w:val="000000"/>
                <w:kern w:val="0"/>
                <w:sz w:val="20"/>
                <w:szCs w:val="20"/>
                <w:lang w:bidi="ar"/>
              </w:rPr>
            </w:pPr>
          </w:p>
        </w:tc>
        <w:tc>
          <w:tcPr>
            <w:tcW w:w="741" w:type="dxa"/>
            <w:tcBorders>
              <w:top w:val="single" w:color="000000" w:sz="4" w:space="0"/>
              <w:left w:val="single" w:color="000000" w:sz="4" w:space="0"/>
              <w:bottom w:val="single" w:color="000000" w:sz="4" w:space="0"/>
              <w:right w:val="single" w:color="000000" w:sz="4" w:space="0"/>
            </w:tcBorders>
            <w:vAlign w:val="center"/>
          </w:tcPr>
          <w:p w14:paraId="26D53D97">
            <w:pPr>
              <w:widowControl/>
              <w:jc w:val="center"/>
              <w:textAlignment w:val="center"/>
              <w:rPr>
                <w:rFonts w:hint="eastAsia" w:ascii="宋体" w:hAnsi="宋体" w:cs="宋体"/>
                <w:color w:val="000000"/>
                <w:kern w:val="0"/>
                <w:sz w:val="20"/>
                <w:szCs w:val="20"/>
                <w:lang w:bidi="ar"/>
              </w:rPr>
            </w:pPr>
          </w:p>
        </w:tc>
      </w:tr>
      <w:tr w14:paraId="62D088E5">
        <w:tblPrEx>
          <w:tblCellMar>
            <w:top w:w="0" w:type="dxa"/>
            <w:left w:w="108" w:type="dxa"/>
            <w:bottom w:w="0" w:type="dxa"/>
            <w:right w:w="108" w:type="dxa"/>
          </w:tblCellMar>
        </w:tblPrEx>
        <w:trPr>
          <w:trHeight w:val="20" w:hRule="atLeast"/>
          <w:jc w:val="center"/>
        </w:trPr>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45F06A">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193</w:t>
            </w:r>
          </w:p>
        </w:tc>
        <w:tc>
          <w:tcPr>
            <w:tcW w:w="2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666501">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50mL棕色蓝盖玻璃试剂瓶</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3B9A86">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高硼硅，透明，带蓝盖</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5CF74F">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个</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27F706">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10</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8C5A48">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15</w:t>
            </w:r>
          </w:p>
        </w:tc>
        <w:tc>
          <w:tcPr>
            <w:tcW w:w="992" w:type="dxa"/>
            <w:tcBorders>
              <w:top w:val="single" w:color="000000" w:sz="4" w:space="0"/>
              <w:left w:val="single" w:color="000000" w:sz="4" w:space="0"/>
              <w:bottom w:val="single" w:color="000000" w:sz="4" w:space="0"/>
              <w:right w:val="single" w:color="000000" w:sz="4" w:space="0"/>
            </w:tcBorders>
            <w:vAlign w:val="center"/>
          </w:tcPr>
          <w:p w14:paraId="000D08DC">
            <w:pPr>
              <w:widowControl/>
              <w:jc w:val="center"/>
              <w:textAlignment w:val="center"/>
              <w:rPr>
                <w:rFonts w:hint="eastAsia" w:ascii="宋体" w:hAnsi="宋体" w:cs="宋体"/>
                <w:color w:val="000000"/>
                <w:kern w:val="0"/>
                <w:sz w:val="20"/>
                <w:szCs w:val="20"/>
                <w:lang w:bidi="ar"/>
              </w:rPr>
            </w:pPr>
          </w:p>
        </w:tc>
        <w:tc>
          <w:tcPr>
            <w:tcW w:w="1239" w:type="dxa"/>
            <w:tcBorders>
              <w:top w:val="single" w:color="000000" w:sz="4" w:space="0"/>
              <w:left w:val="single" w:color="000000" w:sz="4" w:space="0"/>
              <w:bottom w:val="single" w:color="000000" w:sz="4" w:space="0"/>
              <w:right w:val="single" w:color="000000" w:sz="4" w:space="0"/>
            </w:tcBorders>
            <w:vAlign w:val="center"/>
          </w:tcPr>
          <w:p w14:paraId="4BF78495">
            <w:pPr>
              <w:widowControl/>
              <w:jc w:val="center"/>
              <w:textAlignment w:val="center"/>
              <w:rPr>
                <w:rFonts w:hint="eastAsia" w:ascii="宋体" w:hAnsi="宋体" w:cs="宋体"/>
                <w:color w:val="000000"/>
                <w:kern w:val="0"/>
                <w:sz w:val="20"/>
                <w:szCs w:val="20"/>
                <w:lang w:bidi="ar"/>
              </w:rPr>
            </w:pPr>
          </w:p>
        </w:tc>
        <w:tc>
          <w:tcPr>
            <w:tcW w:w="900" w:type="dxa"/>
            <w:tcBorders>
              <w:top w:val="single" w:color="000000" w:sz="4" w:space="0"/>
              <w:left w:val="single" w:color="000000" w:sz="4" w:space="0"/>
              <w:bottom w:val="single" w:color="000000" w:sz="4" w:space="0"/>
              <w:right w:val="single" w:color="000000" w:sz="4" w:space="0"/>
            </w:tcBorders>
            <w:vAlign w:val="center"/>
          </w:tcPr>
          <w:p w14:paraId="64611617">
            <w:pPr>
              <w:widowControl/>
              <w:jc w:val="center"/>
              <w:textAlignment w:val="center"/>
              <w:rPr>
                <w:rFonts w:hint="eastAsia" w:ascii="宋体" w:hAnsi="宋体" w:cs="宋体"/>
                <w:color w:val="000000"/>
                <w:kern w:val="0"/>
                <w:sz w:val="20"/>
                <w:szCs w:val="20"/>
                <w:lang w:bidi="ar"/>
              </w:rPr>
            </w:pPr>
          </w:p>
        </w:tc>
        <w:tc>
          <w:tcPr>
            <w:tcW w:w="832" w:type="dxa"/>
            <w:tcBorders>
              <w:top w:val="single" w:color="000000" w:sz="4" w:space="0"/>
              <w:left w:val="single" w:color="000000" w:sz="4" w:space="0"/>
              <w:bottom w:val="single" w:color="000000" w:sz="4" w:space="0"/>
              <w:right w:val="single" w:color="000000" w:sz="4" w:space="0"/>
            </w:tcBorders>
            <w:vAlign w:val="center"/>
          </w:tcPr>
          <w:p w14:paraId="5CB4B757">
            <w:pPr>
              <w:widowControl/>
              <w:jc w:val="center"/>
              <w:textAlignment w:val="center"/>
              <w:rPr>
                <w:rFonts w:hint="eastAsia" w:ascii="宋体" w:hAnsi="宋体" w:cs="宋体"/>
                <w:color w:val="000000"/>
                <w:kern w:val="0"/>
                <w:sz w:val="20"/>
                <w:szCs w:val="20"/>
                <w:lang w:bidi="ar"/>
              </w:rPr>
            </w:pPr>
          </w:p>
        </w:tc>
        <w:tc>
          <w:tcPr>
            <w:tcW w:w="1143" w:type="dxa"/>
            <w:tcBorders>
              <w:top w:val="single" w:color="000000" w:sz="4" w:space="0"/>
              <w:left w:val="single" w:color="000000" w:sz="4" w:space="0"/>
              <w:bottom w:val="single" w:color="000000" w:sz="4" w:space="0"/>
              <w:right w:val="single" w:color="000000" w:sz="4" w:space="0"/>
            </w:tcBorders>
            <w:vAlign w:val="center"/>
          </w:tcPr>
          <w:p w14:paraId="05732348">
            <w:pPr>
              <w:widowControl/>
              <w:jc w:val="center"/>
              <w:textAlignment w:val="center"/>
              <w:rPr>
                <w:rFonts w:hint="eastAsia" w:ascii="宋体" w:hAnsi="宋体" w:cs="宋体"/>
                <w:color w:val="000000"/>
                <w:kern w:val="0"/>
                <w:sz w:val="20"/>
                <w:szCs w:val="20"/>
                <w:lang w:bidi="ar"/>
              </w:rPr>
            </w:pPr>
          </w:p>
        </w:tc>
        <w:tc>
          <w:tcPr>
            <w:tcW w:w="763" w:type="dxa"/>
            <w:tcBorders>
              <w:top w:val="single" w:color="000000" w:sz="4" w:space="0"/>
              <w:left w:val="single" w:color="000000" w:sz="4" w:space="0"/>
              <w:bottom w:val="single" w:color="000000" w:sz="4" w:space="0"/>
              <w:right w:val="single" w:color="000000" w:sz="4" w:space="0"/>
            </w:tcBorders>
            <w:vAlign w:val="center"/>
          </w:tcPr>
          <w:p w14:paraId="47250169">
            <w:pPr>
              <w:widowControl/>
              <w:jc w:val="center"/>
              <w:textAlignment w:val="center"/>
              <w:rPr>
                <w:rFonts w:hint="eastAsia" w:ascii="宋体" w:hAnsi="宋体" w:cs="宋体"/>
                <w:color w:val="000000"/>
                <w:kern w:val="0"/>
                <w:sz w:val="20"/>
                <w:szCs w:val="20"/>
                <w:lang w:bidi="ar"/>
              </w:rPr>
            </w:pPr>
          </w:p>
        </w:tc>
        <w:tc>
          <w:tcPr>
            <w:tcW w:w="741" w:type="dxa"/>
            <w:tcBorders>
              <w:top w:val="single" w:color="000000" w:sz="4" w:space="0"/>
              <w:left w:val="single" w:color="000000" w:sz="4" w:space="0"/>
              <w:bottom w:val="single" w:color="000000" w:sz="4" w:space="0"/>
              <w:right w:val="single" w:color="000000" w:sz="4" w:space="0"/>
            </w:tcBorders>
            <w:vAlign w:val="center"/>
          </w:tcPr>
          <w:p w14:paraId="35E25AD5">
            <w:pPr>
              <w:widowControl/>
              <w:jc w:val="center"/>
              <w:textAlignment w:val="center"/>
              <w:rPr>
                <w:rFonts w:hint="eastAsia" w:ascii="宋体" w:hAnsi="宋体" w:cs="宋体"/>
                <w:color w:val="000000"/>
                <w:kern w:val="0"/>
                <w:sz w:val="20"/>
                <w:szCs w:val="20"/>
                <w:lang w:bidi="ar"/>
              </w:rPr>
            </w:pPr>
          </w:p>
        </w:tc>
      </w:tr>
      <w:tr w14:paraId="1CEDC52F">
        <w:tblPrEx>
          <w:tblCellMar>
            <w:top w:w="0" w:type="dxa"/>
            <w:left w:w="108" w:type="dxa"/>
            <w:bottom w:w="0" w:type="dxa"/>
            <w:right w:w="108" w:type="dxa"/>
          </w:tblCellMar>
        </w:tblPrEx>
        <w:trPr>
          <w:trHeight w:val="20" w:hRule="atLeast"/>
          <w:jc w:val="center"/>
        </w:trPr>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6BC0F0">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194</w:t>
            </w:r>
          </w:p>
        </w:tc>
        <w:tc>
          <w:tcPr>
            <w:tcW w:w="2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BA5C7B">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100mL棕色蓝盖玻璃试剂瓶</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231F22">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高硼硅，透明，带蓝盖</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E972D5">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个</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AC30EB">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10</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EED22B">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18</w:t>
            </w:r>
          </w:p>
        </w:tc>
        <w:tc>
          <w:tcPr>
            <w:tcW w:w="992" w:type="dxa"/>
            <w:tcBorders>
              <w:top w:val="single" w:color="000000" w:sz="4" w:space="0"/>
              <w:left w:val="single" w:color="000000" w:sz="4" w:space="0"/>
              <w:bottom w:val="single" w:color="000000" w:sz="4" w:space="0"/>
              <w:right w:val="single" w:color="000000" w:sz="4" w:space="0"/>
            </w:tcBorders>
            <w:vAlign w:val="center"/>
          </w:tcPr>
          <w:p w14:paraId="4D005C65">
            <w:pPr>
              <w:widowControl/>
              <w:jc w:val="center"/>
              <w:textAlignment w:val="center"/>
              <w:rPr>
                <w:rFonts w:hint="eastAsia" w:ascii="宋体" w:hAnsi="宋体" w:cs="宋体"/>
                <w:color w:val="000000"/>
                <w:kern w:val="0"/>
                <w:sz w:val="20"/>
                <w:szCs w:val="20"/>
                <w:lang w:bidi="ar"/>
              </w:rPr>
            </w:pPr>
          </w:p>
        </w:tc>
        <w:tc>
          <w:tcPr>
            <w:tcW w:w="1239" w:type="dxa"/>
            <w:tcBorders>
              <w:top w:val="single" w:color="000000" w:sz="4" w:space="0"/>
              <w:left w:val="single" w:color="000000" w:sz="4" w:space="0"/>
              <w:bottom w:val="single" w:color="000000" w:sz="4" w:space="0"/>
              <w:right w:val="single" w:color="000000" w:sz="4" w:space="0"/>
            </w:tcBorders>
            <w:vAlign w:val="center"/>
          </w:tcPr>
          <w:p w14:paraId="56805B7C">
            <w:pPr>
              <w:widowControl/>
              <w:jc w:val="center"/>
              <w:textAlignment w:val="center"/>
              <w:rPr>
                <w:rFonts w:hint="eastAsia" w:ascii="宋体" w:hAnsi="宋体" w:cs="宋体"/>
                <w:color w:val="000000"/>
                <w:kern w:val="0"/>
                <w:sz w:val="20"/>
                <w:szCs w:val="20"/>
                <w:lang w:bidi="ar"/>
              </w:rPr>
            </w:pPr>
          </w:p>
        </w:tc>
        <w:tc>
          <w:tcPr>
            <w:tcW w:w="900" w:type="dxa"/>
            <w:tcBorders>
              <w:top w:val="single" w:color="000000" w:sz="4" w:space="0"/>
              <w:left w:val="single" w:color="000000" w:sz="4" w:space="0"/>
              <w:bottom w:val="single" w:color="000000" w:sz="4" w:space="0"/>
              <w:right w:val="single" w:color="000000" w:sz="4" w:space="0"/>
            </w:tcBorders>
            <w:vAlign w:val="center"/>
          </w:tcPr>
          <w:p w14:paraId="695995A8">
            <w:pPr>
              <w:widowControl/>
              <w:jc w:val="center"/>
              <w:textAlignment w:val="center"/>
              <w:rPr>
                <w:rFonts w:hint="eastAsia" w:ascii="宋体" w:hAnsi="宋体" w:cs="宋体"/>
                <w:color w:val="000000"/>
                <w:kern w:val="0"/>
                <w:sz w:val="20"/>
                <w:szCs w:val="20"/>
                <w:lang w:bidi="ar"/>
              </w:rPr>
            </w:pPr>
          </w:p>
        </w:tc>
        <w:tc>
          <w:tcPr>
            <w:tcW w:w="832" w:type="dxa"/>
            <w:tcBorders>
              <w:top w:val="single" w:color="000000" w:sz="4" w:space="0"/>
              <w:left w:val="single" w:color="000000" w:sz="4" w:space="0"/>
              <w:bottom w:val="single" w:color="000000" w:sz="4" w:space="0"/>
              <w:right w:val="single" w:color="000000" w:sz="4" w:space="0"/>
            </w:tcBorders>
            <w:vAlign w:val="center"/>
          </w:tcPr>
          <w:p w14:paraId="74EFBC1D">
            <w:pPr>
              <w:widowControl/>
              <w:jc w:val="center"/>
              <w:textAlignment w:val="center"/>
              <w:rPr>
                <w:rFonts w:hint="eastAsia" w:ascii="宋体" w:hAnsi="宋体" w:cs="宋体"/>
                <w:color w:val="000000"/>
                <w:kern w:val="0"/>
                <w:sz w:val="20"/>
                <w:szCs w:val="20"/>
                <w:lang w:bidi="ar"/>
              </w:rPr>
            </w:pPr>
          </w:p>
        </w:tc>
        <w:tc>
          <w:tcPr>
            <w:tcW w:w="1143" w:type="dxa"/>
            <w:tcBorders>
              <w:top w:val="single" w:color="000000" w:sz="4" w:space="0"/>
              <w:left w:val="single" w:color="000000" w:sz="4" w:space="0"/>
              <w:bottom w:val="single" w:color="000000" w:sz="4" w:space="0"/>
              <w:right w:val="single" w:color="000000" w:sz="4" w:space="0"/>
            </w:tcBorders>
            <w:vAlign w:val="center"/>
          </w:tcPr>
          <w:p w14:paraId="3231604F">
            <w:pPr>
              <w:widowControl/>
              <w:jc w:val="center"/>
              <w:textAlignment w:val="center"/>
              <w:rPr>
                <w:rFonts w:hint="eastAsia" w:ascii="宋体" w:hAnsi="宋体" w:cs="宋体"/>
                <w:color w:val="000000"/>
                <w:kern w:val="0"/>
                <w:sz w:val="20"/>
                <w:szCs w:val="20"/>
                <w:lang w:bidi="ar"/>
              </w:rPr>
            </w:pPr>
          </w:p>
        </w:tc>
        <w:tc>
          <w:tcPr>
            <w:tcW w:w="763" w:type="dxa"/>
            <w:tcBorders>
              <w:top w:val="single" w:color="000000" w:sz="4" w:space="0"/>
              <w:left w:val="single" w:color="000000" w:sz="4" w:space="0"/>
              <w:bottom w:val="single" w:color="000000" w:sz="4" w:space="0"/>
              <w:right w:val="single" w:color="000000" w:sz="4" w:space="0"/>
            </w:tcBorders>
            <w:vAlign w:val="center"/>
          </w:tcPr>
          <w:p w14:paraId="2A502251">
            <w:pPr>
              <w:widowControl/>
              <w:jc w:val="center"/>
              <w:textAlignment w:val="center"/>
              <w:rPr>
                <w:rFonts w:hint="eastAsia" w:ascii="宋体" w:hAnsi="宋体" w:cs="宋体"/>
                <w:color w:val="000000"/>
                <w:kern w:val="0"/>
                <w:sz w:val="20"/>
                <w:szCs w:val="20"/>
                <w:lang w:bidi="ar"/>
              </w:rPr>
            </w:pPr>
          </w:p>
        </w:tc>
        <w:tc>
          <w:tcPr>
            <w:tcW w:w="741" w:type="dxa"/>
            <w:tcBorders>
              <w:top w:val="single" w:color="000000" w:sz="4" w:space="0"/>
              <w:left w:val="single" w:color="000000" w:sz="4" w:space="0"/>
              <w:bottom w:val="single" w:color="000000" w:sz="4" w:space="0"/>
              <w:right w:val="single" w:color="000000" w:sz="4" w:space="0"/>
            </w:tcBorders>
            <w:vAlign w:val="center"/>
          </w:tcPr>
          <w:p w14:paraId="7EDBF947">
            <w:pPr>
              <w:widowControl/>
              <w:jc w:val="center"/>
              <w:textAlignment w:val="center"/>
              <w:rPr>
                <w:rFonts w:hint="eastAsia" w:ascii="宋体" w:hAnsi="宋体" w:cs="宋体"/>
                <w:color w:val="000000"/>
                <w:kern w:val="0"/>
                <w:sz w:val="20"/>
                <w:szCs w:val="20"/>
                <w:lang w:bidi="ar"/>
              </w:rPr>
            </w:pPr>
          </w:p>
        </w:tc>
      </w:tr>
      <w:tr w14:paraId="0D819785">
        <w:tblPrEx>
          <w:tblCellMar>
            <w:top w:w="0" w:type="dxa"/>
            <w:left w:w="108" w:type="dxa"/>
            <w:bottom w:w="0" w:type="dxa"/>
            <w:right w:w="108" w:type="dxa"/>
          </w:tblCellMar>
        </w:tblPrEx>
        <w:trPr>
          <w:trHeight w:val="20" w:hRule="atLeast"/>
          <w:jc w:val="center"/>
        </w:trPr>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01A56F">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195</w:t>
            </w:r>
          </w:p>
        </w:tc>
        <w:tc>
          <w:tcPr>
            <w:tcW w:w="2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68F76D">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250mL棕色蓝盖玻璃试剂瓶</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077AF3">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高硼硅，透明，带蓝盖</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B2E650">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个</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5327AC">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10</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BC2477">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23</w:t>
            </w:r>
          </w:p>
        </w:tc>
        <w:tc>
          <w:tcPr>
            <w:tcW w:w="992" w:type="dxa"/>
            <w:tcBorders>
              <w:top w:val="single" w:color="000000" w:sz="4" w:space="0"/>
              <w:left w:val="single" w:color="000000" w:sz="4" w:space="0"/>
              <w:bottom w:val="single" w:color="000000" w:sz="4" w:space="0"/>
              <w:right w:val="single" w:color="000000" w:sz="4" w:space="0"/>
            </w:tcBorders>
            <w:vAlign w:val="center"/>
          </w:tcPr>
          <w:p w14:paraId="2DC630BE">
            <w:pPr>
              <w:widowControl/>
              <w:jc w:val="center"/>
              <w:textAlignment w:val="center"/>
              <w:rPr>
                <w:rFonts w:hint="eastAsia" w:ascii="宋体" w:hAnsi="宋体" w:cs="宋体"/>
                <w:color w:val="000000"/>
                <w:kern w:val="0"/>
                <w:sz w:val="20"/>
                <w:szCs w:val="20"/>
                <w:lang w:bidi="ar"/>
              </w:rPr>
            </w:pPr>
          </w:p>
        </w:tc>
        <w:tc>
          <w:tcPr>
            <w:tcW w:w="1239" w:type="dxa"/>
            <w:tcBorders>
              <w:top w:val="single" w:color="000000" w:sz="4" w:space="0"/>
              <w:left w:val="single" w:color="000000" w:sz="4" w:space="0"/>
              <w:bottom w:val="single" w:color="000000" w:sz="4" w:space="0"/>
              <w:right w:val="single" w:color="000000" w:sz="4" w:space="0"/>
            </w:tcBorders>
            <w:vAlign w:val="center"/>
          </w:tcPr>
          <w:p w14:paraId="4A38BA1E">
            <w:pPr>
              <w:widowControl/>
              <w:jc w:val="center"/>
              <w:textAlignment w:val="center"/>
              <w:rPr>
                <w:rFonts w:hint="eastAsia" w:ascii="宋体" w:hAnsi="宋体" w:cs="宋体"/>
                <w:color w:val="000000"/>
                <w:kern w:val="0"/>
                <w:sz w:val="20"/>
                <w:szCs w:val="20"/>
                <w:lang w:bidi="ar"/>
              </w:rPr>
            </w:pPr>
          </w:p>
        </w:tc>
        <w:tc>
          <w:tcPr>
            <w:tcW w:w="900" w:type="dxa"/>
            <w:tcBorders>
              <w:top w:val="single" w:color="000000" w:sz="4" w:space="0"/>
              <w:left w:val="single" w:color="000000" w:sz="4" w:space="0"/>
              <w:bottom w:val="single" w:color="000000" w:sz="4" w:space="0"/>
              <w:right w:val="single" w:color="000000" w:sz="4" w:space="0"/>
            </w:tcBorders>
            <w:vAlign w:val="center"/>
          </w:tcPr>
          <w:p w14:paraId="1A546DE3">
            <w:pPr>
              <w:widowControl/>
              <w:jc w:val="center"/>
              <w:textAlignment w:val="center"/>
              <w:rPr>
                <w:rFonts w:hint="eastAsia" w:ascii="宋体" w:hAnsi="宋体" w:cs="宋体"/>
                <w:color w:val="000000"/>
                <w:kern w:val="0"/>
                <w:sz w:val="20"/>
                <w:szCs w:val="20"/>
                <w:lang w:bidi="ar"/>
              </w:rPr>
            </w:pPr>
          </w:p>
        </w:tc>
        <w:tc>
          <w:tcPr>
            <w:tcW w:w="832" w:type="dxa"/>
            <w:tcBorders>
              <w:top w:val="single" w:color="000000" w:sz="4" w:space="0"/>
              <w:left w:val="single" w:color="000000" w:sz="4" w:space="0"/>
              <w:bottom w:val="single" w:color="000000" w:sz="4" w:space="0"/>
              <w:right w:val="single" w:color="000000" w:sz="4" w:space="0"/>
            </w:tcBorders>
            <w:vAlign w:val="center"/>
          </w:tcPr>
          <w:p w14:paraId="218CC340">
            <w:pPr>
              <w:widowControl/>
              <w:jc w:val="center"/>
              <w:textAlignment w:val="center"/>
              <w:rPr>
                <w:rFonts w:hint="eastAsia" w:ascii="宋体" w:hAnsi="宋体" w:cs="宋体"/>
                <w:color w:val="000000"/>
                <w:kern w:val="0"/>
                <w:sz w:val="20"/>
                <w:szCs w:val="20"/>
                <w:lang w:bidi="ar"/>
              </w:rPr>
            </w:pPr>
          </w:p>
        </w:tc>
        <w:tc>
          <w:tcPr>
            <w:tcW w:w="1143" w:type="dxa"/>
            <w:tcBorders>
              <w:top w:val="single" w:color="000000" w:sz="4" w:space="0"/>
              <w:left w:val="single" w:color="000000" w:sz="4" w:space="0"/>
              <w:bottom w:val="single" w:color="000000" w:sz="4" w:space="0"/>
              <w:right w:val="single" w:color="000000" w:sz="4" w:space="0"/>
            </w:tcBorders>
            <w:vAlign w:val="center"/>
          </w:tcPr>
          <w:p w14:paraId="473B45F9">
            <w:pPr>
              <w:widowControl/>
              <w:jc w:val="center"/>
              <w:textAlignment w:val="center"/>
              <w:rPr>
                <w:rFonts w:hint="eastAsia" w:ascii="宋体" w:hAnsi="宋体" w:cs="宋体"/>
                <w:color w:val="000000"/>
                <w:kern w:val="0"/>
                <w:sz w:val="20"/>
                <w:szCs w:val="20"/>
                <w:lang w:bidi="ar"/>
              </w:rPr>
            </w:pPr>
          </w:p>
        </w:tc>
        <w:tc>
          <w:tcPr>
            <w:tcW w:w="763" w:type="dxa"/>
            <w:tcBorders>
              <w:top w:val="single" w:color="000000" w:sz="4" w:space="0"/>
              <w:left w:val="single" w:color="000000" w:sz="4" w:space="0"/>
              <w:bottom w:val="single" w:color="000000" w:sz="4" w:space="0"/>
              <w:right w:val="single" w:color="000000" w:sz="4" w:space="0"/>
            </w:tcBorders>
            <w:vAlign w:val="center"/>
          </w:tcPr>
          <w:p w14:paraId="3A1BEFEC">
            <w:pPr>
              <w:widowControl/>
              <w:jc w:val="center"/>
              <w:textAlignment w:val="center"/>
              <w:rPr>
                <w:rFonts w:hint="eastAsia" w:ascii="宋体" w:hAnsi="宋体" w:cs="宋体"/>
                <w:color w:val="000000"/>
                <w:kern w:val="0"/>
                <w:sz w:val="20"/>
                <w:szCs w:val="20"/>
                <w:lang w:bidi="ar"/>
              </w:rPr>
            </w:pPr>
          </w:p>
        </w:tc>
        <w:tc>
          <w:tcPr>
            <w:tcW w:w="741" w:type="dxa"/>
            <w:tcBorders>
              <w:top w:val="single" w:color="000000" w:sz="4" w:space="0"/>
              <w:left w:val="single" w:color="000000" w:sz="4" w:space="0"/>
              <w:bottom w:val="single" w:color="000000" w:sz="4" w:space="0"/>
              <w:right w:val="single" w:color="000000" w:sz="4" w:space="0"/>
            </w:tcBorders>
            <w:vAlign w:val="center"/>
          </w:tcPr>
          <w:p w14:paraId="5EE4C84A">
            <w:pPr>
              <w:widowControl/>
              <w:jc w:val="center"/>
              <w:textAlignment w:val="center"/>
              <w:rPr>
                <w:rFonts w:hint="eastAsia" w:ascii="宋体" w:hAnsi="宋体" w:cs="宋体"/>
                <w:color w:val="000000"/>
                <w:kern w:val="0"/>
                <w:sz w:val="20"/>
                <w:szCs w:val="20"/>
                <w:lang w:bidi="ar"/>
              </w:rPr>
            </w:pPr>
          </w:p>
        </w:tc>
      </w:tr>
      <w:tr w14:paraId="0C0ED450">
        <w:tblPrEx>
          <w:tblCellMar>
            <w:top w:w="0" w:type="dxa"/>
            <w:left w:w="108" w:type="dxa"/>
            <w:bottom w:w="0" w:type="dxa"/>
            <w:right w:w="108" w:type="dxa"/>
          </w:tblCellMar>
        </w:tblPrEx>
        <w:trPr>
          <w:trHeight w:val="20" w:hRule="atLeast"/>
          <w:jc w:val="center"/>
        </w:trPr>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9E2699">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196</w:t>
            </w:r>
          </w:p>
        </w:tc>
        <w:tc>
          <w:tcPr>
            <w:tcW w:w="2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CDD2AE">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500mL棕色蓝盖玻璃试剂瓶</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8A6EA6">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高硼硅，透明，带蓝盖</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EA7F58">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个</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79CC01">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10</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D5901F">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30</w:t>
            </w:r>
          </w:p>
        </w:tc>
        <w:tc>
          <w:tcPr>
            <w:tcW w:w="992" w:type="dxa"/>
            <w:tcBorders>
              <w:top w:val="single" w:color="000000" w:sz="4" w:space="0"/>
              <w:left w:val="single" w:color="000000" w:sz="4" w:space="0"/>
              <w:bottom w:val="single" w:color="000000" w:sz="4" w:space="0"/>
              <w:right w:val="single" w:color="000000" w:sz="4" w:space="0"/>
            </w:tcBorders>
            <w:vAlign w:val="center"/>
          </w:tcPr>
          <w:p w14:paraId="29E4D3C1">
            <w:pPr>
              <w:widowControl/>
              <w:jc w:val="center"/>
              <w:textAlignment w:val="center"/>
              <w:rPr>
                <w:rFonts w:hint="eastAsia" w:ascii="宋体" w:hAnsi="宋体" w:cs="宋体"/>
                <w:color w:val="000000"/>
                <w:kern w:val="0"/>
                <w:sz w:val="20"/>
                <w:szCs w:val="20"/>
                <w:lang w:bidi="ar"/>
              </w:rPr>
            </w:pPr>
          </w:p>
        </w:tc>
        <w:tc>
          <w:tcPr>
            <w:tcW w:w="1239" w:type="dxa"/>
            <w:tcBorders>
              <w:top w:val="single" w:color="000000" w:sz="4" w:space="0"/>
              <w:left w:val="single" w:color="000000" w:sz="4" w:space="0"/>
              <w:bottom w:val="single" w:color="000000" w:sz="4" w:space="0"/>
              <w:right w:val="single" w:color="000000" w:sz="4" w:space="0"/>
            </w:tcBorders>
            <w:vAlign w:val="center"/>
          </w:tcPr>
          <w:p w14:paraId="283E40E8">
            <w:pPr>
              <w:widowControl/>
              <w:jc w:val="center"/>
              <w:textAlignment w:val="center"/>
              <w:rPr>
                <w:rFonts w:hint="eastAsia" w:ascii="宋体" w:hAnsi="宋体" w:cs="宋体"/>
                <w:color w:val="000000"/>
                <w:kern w:val="0"/>
                <w:sz w:val="20"/>
                <w:szCs w:val="20"/>
                <w:lang w:bidi="ar"/>
              </w:rPr>
            </w:pPr>
          </w:p>
        </w:tc>
        <w:tc>
          <w:tcPr>
            <w:tcW w:w="900" w:type="dxa"/>
            <w:tcBorders>
              <w:top w:val="single" w:color="000000" w:sz="4" w:space="0"/>
              <w:left w:val="single" w:color="000000" w:sz="4" w:space="0"/>
              <w:bottom w:val="single" w:color="000000" w:sz="4" w:space="0"/>
              <w:right w:val="single" w:color="000000" w:sz="4" w:space="0"/>
            </w:tcBorders>
            <w:vAlign w:val="center"/>
          </w:tcPr>
          <w:p w14:paraId="05B9C86F">
            <w:pPr>
              <w:widowControl/>
              <w:jc w:val="center"/>
              <w:textAlignment w:val="center"/>
              <w:rPr>
                <w:rFonts w:hint="eastAsia" w:ascii="宋体" w:hAnsi="宋体" w:cs="宋体"/>
                <w:color w:val="000000"/>
                <w:kern w:val="0"/>
                <w:sz w:val="20"/>
                <w:szCs w:val="20"/>
                <w:lang w:bidi="ar"/>
              </w:rPr>
            </w:pPr>
          </w:p>
        </w:tc>
        <w:tc>
          <w:tcPr>
            <w:tcW w:w="832" w:type="dxa"/>
            <w:tcBorders>
              <w:top w:val="single" w:color="000000" w:sz="4" w:space="0"/>
              <w:left w:val="single" w:color="000000" w:sz="4" w:space="0"/>
              <w:bottom w:val="single" w:color="000000" w:sz="4" w:space="0"/>
              <w:right w:val="single" w:color="000000" w:sz="4" w:space="0"/>
            </w:tcBorders>
            <w:vAlign w:val="center"/>
          </w:tcPr>
          <w:p w14:paraId="32D1E8DF">
            <w:pPr>
              <w:widowControl/>
              <w:jc w:val="center"/>
              <w:textAlignment w:val="center"/>
              <w:rPr>
                <w:rFonts w:hint="eastAsia" w:ascii="宋体" w:hAnsi="宋体" w:cs="宋体"/>
                <w:color w:val="000000"/>
                <w:kern w:val="0"/>
                <w:sz w:val="20"/>
                <w:szCs w:val="20"/>
                <w:lang w:bidi="ar"/>
              </w:rPr>
            </w:pPr>
          </w:p>
        </w:tc>
        <w:tc>
          <w:tcPr>
            <w:tcW w:w="1143" w:type="dxa"/>
            <w:tcBorders>
              <w:top w:val="single" w:color="000000" w:sz="4" w:space="0"/>
              <w:left w:val="single" w:color="000000" w:sz="4" w:space="0"/>
              <w:bottom w:val="single" w:color="000000" w:sz="4" w:space="0"/>
              <w:right w:val="single" w:color="000000" w:sz="4" w:space="0"/>
            </w:tcBorders>
            <w:vAlign w:val="center"/>
          </w:tcPr>
          <w:p w14:paraId="7ABFCE45">
            <w:pPr>
              <w:widowControl/>
              <w:jc w:val="center"/>
              <w:textAlignment w:val="center"/>
              <w:rPr>
                <w:rFonts w:hint="eastAsia" w:ascii="宋体" w:hAnsi="宋体" w:cs="宋体"/>
                <w:color w:val="000000"/>
                <w:kern w:val="0"/>
                <w:sz w:val="20"/>
                <w:szCs w:val="20"/>
                <w:lang w:bidi="ar"/>
              </w:rPr>
            </w:pPr>
          </w:p>
        </w:tc>
        <w:tc>
          <w:tcPr>
            <w:tcW w:w="763" w:type="dxa"/>
            <w:tcBorders>
              <w:top w:val="single" w:color="000000" w:sz="4" w:space="0"/>
              <w:left w:val="single" w:color="000000" w:sz="4" w:space="0"/>
              <w:bottom w:val="single" w:color="000000" w:sz="4" w:space="0"/>
              <w:right w:val="single" w:color="000000" w:sz="4" w:space="0"/>
            </w:tcBorders>
            <w:vAlign w:val="center"/>
          </w:tcPr>
          <w:p w14:paraId="0614EBA4">
            <w:pPr>
              <w:widowControl/>
              <w:jc w:val="center"/>
              <w:textAlignment w:val="center"/>
              <w:rPr>
                <w:rFonts w:hint="eastAsia" w:ascii="宋体" w:hAnsi="宋体" w:cs="宋体"/>
                <w:color w:val="000000"/>
                <w:kern w:val="0"/>
                <w:sz w:val="20"/>
                <w:szCs w:val="20"/>
                <w:lang w:bidi="ar"/>
              </w:rPr>
            </w:pPr>
          </w:p>
        </w:tc>
        <w:tc>
          <w:tcPr>
            <w:tcW w:w="741" w:type="dxa"/>
            <w:tcBorders>
              <w:top w:val="single" w:color="000000" w:sz="4" w:space="0"/>
              <w:left w:val="single" w:color="000000" w:sz="4" w:space="0"/>
              <w:bottom w:val="single" w:color="000000" w:sz="4" w:space="0"/>
              <w:right w:val="single" w:color="000000" w:sz="4" w:space="0"/>
            </w:tcBorders>
            <w:vAlign w:val="center"/>
          </w:tcPr>
          <w:p w14:paraId="3E69A97D">
            <w:pPr>
              <w:widowControl/>
              <w:jc w:val="center"/>
              <w:textAlignment w:val="center"/>
              <w:rPr>
                <w:rFonts w:hint="eastAsia" w:ascii="宋体" w:hAnsi="宋体" w:cs="宋体"/>
                <w:color w:val="000000"/>
                <w:kern w:val="0"/>
                <w:sz w:val="20"/>
                <w:szCs w:val="20"/>
                <w:lang w:bidi="ar"/>
              </w:rPr>
            </w:pPr>
          </w:p>
        </w:tc>
      </w:tr>
      <w:tr w14:paraId="0ECBB9F1">
        <w:tblPrEx>
          <w:tblCellMar>
            <w:top w:w="0" w:type="dxa"/>
            <w:left w:w="108" w:type="dxa"/>
            <w:bottom w:w="0" w:type="dxa"/>
            <w:right w:w="108" w:type="dxa"/>
          </w:tblCellMar>
        </w:tblPrEx>
        <w:trPr>
          <w:trHeight w:val="20" w:hRule="atLeast"/>
          <w:jc w:val="center"/>
        </w:trPr>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90E12B">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197</w:t>
            </w:r>
          </w:p>
        </w:tc>
        <w:tc>
          <w:tcPr>
            <w:tcW w:w="2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37CEB0">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Ba/Ag/H离子高钡负载量复合SPE小柱</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65A031">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Ba/Ag/H离子高钡负载, 2.5 mL, 50/PK</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61D5D7">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盒</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D41358">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5</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FCE2F3">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4375</w:t>
            </w:r>
          </w:p>
        </w:tc>
        <w:tc>
          <w:tcPr>
            <w:tcW w:w="992" w:type="dxa"/>
            <w:tcBorders>
              <w:top w:val="single" w:color="000000" w:sz="4" w:space="0"/>
              <w:left w:val="single" w:color="000000" w:sz="4" w:space="0"/>
              <w:bottom w:val="single" w:color="000000" w:sz="4" w:space="0"/>
              <w:right w:val="single" w:color="000000" w:sz="4" w:space="0"/>
            </w:tcBorders>
            <w:vAlign w:val="center"/>
          </w:tcPr>
          <w:p w14:paraId="6A5B13EF">
            <w:pPr>
              <w:widowControl/>
              <w:jc w:val="center"/>
              <w:textAlignment w:val="center"/>
              <w:rPr>
                <w:rFonts w:hint="eastAsia" w:ascii="宋体" w:hAnsi="宋体" w:cs="宋体"/>
                <w:color w:val="000000"/>
                <w:kern w:val="0"/>
                <w:sz w:val="20"/>
                <w:szCs w:val="20"/>
                <w:lang w:bidi="ar"/>
              </w:rPr>
            </w:pPr>
          </w:p>
        </w:tc>
        <w:tc>
          <w:tcPr>
            <w:tcW w:w="1239" w:type="dxa"/>
            <w:tcBorders>
              <w:top w:val="single" w:color="000000" w:sz="4" w:space="0"/>
              <w:left w:val="single" w:color="000000" w:sz="4" w:space="0"/>
              <w:bottom w:val="single" w:color="000000" w:sz="4" w:space="0"/>
              <w:right w:val="single" w:color="000000" w:sz="4" w:space="0"/>
            </w:tcBorders>
            <w:vAlign w:val="center"/>
          </w:tcPr>
          <w:p w14:paraId="5092E0E7">
            <w:pPr>
              <w:widowControl/>
              <w:jc w:val="center"/>
              <w:textAlignment w:val="center"/>
              <w:rPr>
                <w:rFonts w:hint="eastAsia" w:ascii="宋体" w:hAnsi="宋体" w:cs="宋体"/>
                <w:color w:val="000000"/>
                <w:kern w:val="0"/>
                <w:sz w:val="20"/>
                <w:szCs w:val="20"/>
                <w:lang w:bidi="ar"/>
              </w:rPr>
            </w:pPr>
          </w:p>
        </w:tc>
        <w:tc>
          <w:tcPr>
            <w:tcW w:w="900" w:type="dxa"/>
            <w:tcBorders>
              <w:top w:val="single" w:color="000000" w:sz="4" w:space="0"/>
              <w:left w:val="single" w:color="000000" w:sz="4" w:space="0"/>
              <w:bottom w:val="single" w:color="000000" w:sz="4" w:space="0"/>
              <w:right w:val="single" w:color="000000" w:sz="4" w:space="0"/>
            </w:tcBorders>
            <w:vAlign w:val="center"/>
          </w:tcPr>
          <w:p w14:paraId="63ED73A6">
            <w:pPr>
              <w:widowControl/>
              <w:jc w:val="center"/>
              <w:textAlignment w:val="center"/>
              <w:rPr>
                <w:rFonts w:hint="eastAsia" w:ascii="宋体" w:hAnsi="宋体" w:cs="宋体"/>
                <w:color w:val="000000"/>
                <w:kern w:val="0"/>
                <w:sz w:val="20"/>
                <w:szCs w:val="20"/>
                <w:lang w:bidi="ar"/>
              </w:rPr>
            </w:pPr>
          </w:p>
        </w:tc>
        <w:tc>
          <w:tcPr>
            <w:tcW w:w="832" w:type="dxa"/>
            <w:tcBorders>
              <w:top w:val="single" w:color="000000" w:sz="4" w:space="0"/>
              <w:left w:val="single" w:color="000000" w:sz="4" w:space="0"/>
              <w:bottom w:val="single" w:color="000000" w:sz="4" w:space="0"/>
              <w:right w:val="single" w:color="000000" w:sz="4" w:space="0"/>
            </w:tcBorders>
            <w:vAlign w:val="center"/>
          </w:tcPr>
          <w:p w14:paraId="5079F052">
            <w:pPr>
              <w:widowControl/>
              <w:jc w:val="center"/>
              <w:textAlignment w:val="center"/>
              <w:rPr>
                <w:rFonts w:hint="eastAsia" w:ascii="宋体" w:hAnsi="宋体" w:cs="宋体"/>
                <w:color w:val="000000"/>
                <w:kern w:val="0"/>
                <w:sz w:val="20"/>
                <w:szCs w:val="20"/>
                <w:lang w:bidi="ar"/>
              </w:rPr>
            </w:pPr>
          </w:p>
        </w:tc>
        <w:tc>
          <w:tcPr>
            <w:tcW w:w="1143" w:type="dxa"/>
            <w:tcBorders>
              <w:top w:val="single" w:color="000000" w:sz="4" w:space="0"/>
              <w:left w:val="single" w:color="000000" w:sz="4" w:space="0"/>
              <w:bottom w:val="single" w:color="000000" w:sz="4" w:space="0"/>
              <w:right w:val="single" w:color="000000" w:sz="4" w:space="0"/>
            </w:tcBorders>
            <w:vAlign w:val="center"/>
          </w:tcPr>
          <w:p w14:paraId="020643B7">
            <w:pPr>
              <w:widowControl/>
              <w:jc w:val="center"/>
              <w:textAlignment w:val="center"/>
              <w:rPr>
                <w:rFonts w:hint="eastAsia" w:ascii="宋体" w:hAnsi="宋体" w:cs="宋体"/>
                <w:color w:val="000000"/>
                <w:kern w:val="0"/>
                <w:sz w:val="20"/>
                <w:szCs w:val="20"/>
                <w:lang w:bidi="ar"/>
              </w:rPr>
            </w:pPr>
          </w:p>
        </w:tc>
        <w:tc>
          <w:tcPr>
            <w:tcW w:w="763" w:type="dxa"/>
            <w:tcBorders>
              <w:top w:val="single" w:color="000000" w:sz="4" w:space="0"/>
              <w:left w:val="single" w:color="000000" w:sz="4" w:space="0"/>
              <w:bottom w:val="single" w:color="000000" w:sz="4" w:space="0"/>
              <w:right w:val="single" w:color="000000" w:sz="4" w:space="0"/>
            </w:tcBorders>
            <w:vAlign w:val="center"/>
          </w:tcPr>
          <w:p w14:paraId="51BE60AC">
            <w:pPr>
              <w:widowControl/>
              <w:jc w:val="center"/>
              <w:textAlignment w:val="center"/>
              <w:rPr>
                <w:rFonts w:hint="eastAsia" w:ascii="宋体" w:hAnsi="宋体" w:cs="宋体"/>
                <w:color w:val="000000"/>
                <w:kern w:val="0"/>
                <w:sz w:val="20"/>
                <w:szCs w:val="20"/>
                <w:lang w:bidi="ar"/>
              </w:rPr>
            </w:pPr>
          </w:p>
        </w:tc>
        <w:tc>
          <w:tcPr>
            <w:tcW w:w="741" w:type="dxa"/>
            <w:tcBorders>
              <w:top w:val="single" w:color="000000" w:sz="4" w:space="0"/>
              <w:left w:val="single" w:color="000000" w:sz="4" w:space="0"/>
              <w:bottom w:val="single" w:color="000000" w:sz="4" w:space="0"/>
              <w:right w:val="single" w:color="000000" w:sz="4" w:space="0"/>
            </w:tcBorders>
            <w:vAlign w:val="center"/>
          </w:tcPr>
          <w:p w14:paraId="3FEA0B0F">
            <w:pPr>
              <w:widowControl/>
              <w:jc w:val="center"/>
              <w:textAlignment w:val="center"/>
              <w:rPr>
                <w:rFonts w:hint="eastAsia" w:ascii="宋体" w:hAnsi="宋体" w:cs="宋体"/>
                <w:color w:val="000000"/>
                <w:kern w:val="0"/>
                <w:sz w:val="20"/>
                <w:szCs w:val="20"/>
                <w:lang w:bidi="ar"/>
              </w:rPr>
            </w:pPr>
          </w:p>
        </w:tc>
      </w:tr>
      <w:tr w14:paraId="37051667">
        <w:tblPrEx>
          <w:tblCellMar>
            <w:top w:w="0" w:type="dxa"/>
            <w:left w:w="108" w:type="dxa"/>
            <w:bottom w:w="0" w:type="dxa"/>
            <w:right w:w="108" w:type="dxa"/>
          </w:tblCellMar>
        </w:tblPrEx>
        <w:trPr>
          <w:trHeight w:val="20" w:hRule="atLeast"/>
          <w:jc w:val="center"/>
        </w:trPr>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5ED6D0">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198</w:t>
            </w:r>
          </w:p>
        </w:tc>
        <w:tc>
          <w:tcPr>
            <w:tcW w:w="2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808C81">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超高压溶剂效应消除柱</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811CD3">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1/PK</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47ED1A">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支</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5E2567">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E0123A">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6200</w:t>
            </w:r>
          </w:p>
        </w:tc>
        <w:tc>
          <w:tcPr>
            <w:tcW w:w="992" w:type="dxa"/>
            <w:tcBorders>
              <w:top w:val="single" w:color="000000" w:sz="4" w:space="0"/>
              <w:left w:val="single" w:color="000000" w:sz="4" w:space="0"/>
              <w:bottom w:val="single" w:color="000000" w:sz="4" w:space="0"/>
              <w:right w:val="single" w:color="000000" w:sz="4" w:space="0"/>
            </w:tcBorders>
            <w:vAlign w:val="center"/>
          </w:tcPr>
          <w:p w14:paraId="67EB4A46">
            <w:pPr>
              <w:widowControl/>
              <w:jc w:val="center"/>
              <w:textAlignment w:val="center"/>
              <w:rPr>
                <w:rFonts w:hint="eastAsia" w:ascii="宋体" w:hAnsi="宋体" w:cs="宋体"/>
                <w:color w:val="000000"/>
                <w:kern w:val="0"/>
                <w:sz w:val="20"/>
                <w:szCs w:val="20"/>
                <w:lang w:bidi="ar"/>
              </w:rPr>
            </w:pPr>
          </w:p>
        </w:tc>
        <w:tc>
          <w:tcPr>
            <w:tcW w:w="1239" w:type="dxa"/>
            <w:tcBorders>
              <w:top w:val="single" w:color="000000" w:sz="4" w:space="0"/>
              <w:left w:val="single" w:color="000000" w:sz="4" w:space="0"/>
              <w:bottom w:val="single" w:color="000000" w:sz="4" w:space="0"/>
              <w:right w:val="single" w:color="000000" w:sz="4" w:space="0"/>
            </w:tcBorders>
            <w:vAlign w:val="center"/>
          </w:tcPr>
          <w:p w14:paraId="120951CC">
            <w:pPr>
              <w:widowControl/>
              <w:jc w:val="center"/>
              <w:textAlignment w:val="center"/>
              <w:rPr>
                <w:rFonts w:hint="eastAsia" w:ascii="宋体" w:hAnsi="宋体" w:cs="宋体"/>
                <w:color w:val="000000"/>
                <w:kern w:val="0"/>
                <w:sz w:val="20"/>
                <w:szCs w:val="20"/>
                <w:lang w:bidi="ar"/>
              </w:rPr>
            </w:pPr>
          </w:p>
        </w:tc>
        <w:tc>
          <w:tcPr>
            <w:tcW w:w="900" w:type="dxa"/>
            <w:tcBorders>
              <w:top w:val="single" w:color="000000" w:sz="4" w:space="0"/>
              <w:left w:val="single" w:color="000000" w:sz="4" w:space="0"/>
              <w:bottom w:val="single" w:color="000000" w:sz="4" w:space="0"/>
              <w:right w:val="single" w:color="000000" w:sz="4" w:space="0"/>
            </w:tcBorders>
            <w:vAlign w:val="center"/>
          </w:tcPr>
          <w:p w14:paraId="730FB63F">
            <w:pPr>
              <w:widowControl/>
              <w:jc w:val="center"/>
              <w:textAlignment w:val="center"/>
              <w:rPr>
                <w:rFonts w:hint="eastAsia" w:ascii="宋体" w:hAnsi="宋体" w:cs="宋体"/>
                <w:color w:val="000000"/>
                <w:kern w:val="0"/>
                <w:sz w:val="20"/>
                <w:szCs w:val="20"/>
                <w:lang w:bidi="ar"/>
              </w:rPr>
            </w:pPr>
          </w:p>
        </w:tc>
        <w:tc>
          <w:tcPr>
            <w:tcW w:w="832" w:type="dxa"/>
            <w:tcBorders>
              <w:top w:val="single" w:color="000000" w:sz="4" w:space="0"/>
              <w:left w:val="single" w:color="000000" w:sz="4" w:space="0"/>
              <w:bottom w:val="single" w:color="000000" w:sz="4" w:space="0"/>
              <w:right w:val="single" w:color="000000" w:sz="4" w:space="0"/>
            </w:tcBorders>
            <w:vAlign w:val="center"/>
          </w:tcPr>
          <w:p w14:paraId="386C3A69">
            <w:pPr>
              <w:widowControl/>
              <w:jc w:val="center"/>
              <w:textAlignment w:val="center"/>
              <w:rPr>
                <w:rFonts w:hint="eastAsia" w:ascii="宋体" w:hAnsi="宋体" w:cs="宋体"/>
                <w:color w:val="000000"/>
                <w:kern w:val="0"/>
                <w:sz w:val="20"/>
                <w:szCs w:val="20"/>
                <w:lang w:bidi="ar"/>
              </w:rPr>
            </w:pPr>
          </w:p>
        </w:tc>
        <w:tc>
          <w:tcPr>
            <w:tcW w:w="1143" w:type="dxa"/>
            <w:tcBorders>
              <w:top w:val="single" w:color="000000" w:sz="4" w:space="0"/>
              <w:left w:val="single" w:color="000000" w:sz="4" w:space="0"/>
              <w:bottom w:val="single" w:color="000000" w:sz="4" w:space="0"/>
              <w:right w:val="single" w:color="000000" w:sz="4" w:space="0"/>
            </w:tcBorders>
            <w:vAlign w:val="center"/>
          </w:tcPr>
          <w:p w14:paraId="10C8DF42">
            <w:pPr>
              <w:widowControl/>
              <w:jc w:val="center"/>
              <w:textAlignment w:val="center"/>
              <w:rPr>
                <w:rFonts w:hint="eastAsia" w:ascii="宋体" w:hAnsi="宋体" w:cs="宋体"/>
                <w:color w:val="000000"/>
                <w:kern w:val="0"/>
                <w:sz w:val="20"/>
                <w:szCs w:val="20"/>
                <w:lang w:bidi="ar"/>
              </w:rPr>
            </w:pPr>
          </w:p>
        </w:tc>
        <w:tc>
          <w:tcPr>
            <w:tcW w:w="763" w:type="dxa"/>
            <w:tcBorders>
              <w:top w:val="single" w:color="000000" w:sz="4" w:space="0"/>
              <w:left w:val="single" w:color="000000" w:sz="4" w:space="0"/>
              <w:bottom w:val="single" w:color="000000" w:sz="4" w:space="0"/>
              <w:right w:val="single" w:color="000000" w:sz="4" w:space="0"/>
            </w:tcBorders>
            <w:vAlign w:val="center"/>
          </w:tcPr>
          <w:p w14:paraId="2B7D7264">
            <w:pPr>
              <w:widowControl/>
              <w:jc w:val="center"/>
              <w:textAlignment w:val="center"/>
              <w:rPr>
                <w:rFonts w:hint="eastAsia" w:ascii="宋体" w:hAnsi="宋体" w:cs="宋体"/>
                <w:color w:val="000000"/>
                <w:kern w:val="0"/>
                <w:sz w:val="20"/>
                <w:szCs w:val="20"/>
                <w:lang w:bidi="ar"/>
              </w:rPr>
            </w:pPr>
          </w:p>
        </w:tc>
        <w:tc>
          <w:tcPr>
            <w:tcW w:w="741" w:type="dxa"/>
            <w:tcBorders>
              <w:top w:val="single" w:color="000000" w:sz="4" w:space="0"/>
              <w:left w:val="single" w:color="000000" w:sz="4" w:space="0"/>
              <w:bottom w:val="single" w:color="000000" w:sz="4" w:space="0"/>
              <w:right w:val="single" w:color="000000" w:sz="4" w:space="0"/>
            </w:tcBorders>
            <w:vAlign w:val="center"/>
          </w:tcPr>
          <w:p w14:paraId="588F9857">
            <w:pPr>
              <w:widowControl/>
              <w:jc w:val="center"/>
              <w:textAlignment w:val="center"/>
              <w:rPr>
                <w:rFonts w:hint="eastAsia" w:ascii="宋体" w:hAnsi="宋体" w:cs="宋体"/>
                <w:color w:val="000000"/>
                <w:kern w:val="0"/>
                <w:sz w:val="20"/>
                <w:szCs w:val="20"/>
                <w:lang w:bidi="ar"/>
              </w:rPr>
            </w:pPr>
          </w:p>
        </w:tc>
      </w:tr>
      <w:tr w14:paraId="7095FC2E">
        <w:tblPrEx>
          <w:tblCellMar>
            <w:top w:w="0" w:type="dxa"/>
            <w:left w:w="108" w:type="dxa"/>
            <w:bottom w:w="0" w:type="dxa"/>
            <w:right w:w="108" w:type="dxa"/>
          </w:tblCellMar>
        </w:tblPrEx>
        <w:trPr>
          <w:trHeight w:val="20" w:hRule="atLeast"/>
          <w:jc w:val="center"/>
        </w:trPr>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C78E1E">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199</w:t>
            </w:r>
          </w:p>
        </w:tc>
        <w:tc>
          <w:tcPr>
            <w:tcW w:w="2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3D096E">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AC SPE 小柱—椰壳活性炭</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31513A">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500 mg, 6 mL, 30/PK</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FEC3DD">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盒</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B7BB7B">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00BB42">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861</w:t>
            </w:r>
          </w:p>
        </w:tc>
        <w:tc>
          <w:tcPr>
            <w:tcW w:w="992" w:type="dxa"/>
            <w:tcBorders>
              <w:top w:val="single" w:color="000000" w:sz="4" w:space="0"/>
              <w:left w:val="single" w:color="000000" w:sz="4" w:space="0"/>
              <w:bottom w:val="single" w:color="000000" w:sz="4" w:space="0"/>
              <w:right w:val="single" w:color="000000" w:sz="4" w:space="0"/>
            </w:tcBorders>
            <w:vAlign w:val="center"/>
          </w:tcPr>
          <w:p w14:paraId="48FA5C65">
            <w:pPr>
              <w:widowControl/>
              <w:jc w:val="center"/>
              <w:textAlignment w:val="center"/>
              <w:rPr>
                <w:rFonts w:hint="eastAsia" w:ascii="宋体" w:hAnsi="宋体" w:cs="宋体"/>
                <w:color w:val="000000"/>
                <w:kern w:val="0"/>
                <w:sz w:val="20"/>
                <w:szCs w:val="20"/>
                <w:lang w:bidi="ar"/>
              </w:rPr>
            </w:pPr>
          </w:p>
        </w:tc>
        <w:tc>
          <w:tcPr>
            <w:tcW w:w="1239" w:type="dxa"/>
            <w:tcBorders>
              <w:top w:val="single" w:color="000000" w:sz="4" w:space="0"/>
              <w:left w:val="single" w:color="000000" w:sz="4" w:space="0"/>
              <w:bottom w:val="single" w:color="000000" w:sz="4" w:space="0"/>
              <w:right w:val="single" w:color="000000" w:sz="4" w:space="0"/>
            </w:tcBorders>
            <w:vAlign w:val="center"/>
          </w:tcPr>
          <w:p w14:paraId="09A34101">
            <w:pPr>
              <w:widowControl/>
              <w:jc w:val="center"/>
              <w:textAlignment w:val="center"/>
              <w:rPr>
                <w:rFonts w:hint="eastAsia" w:ascii="宋体" w:hAnsi="宋体" w:cs="宋体"/>
                <w:color w:val="000000"/>
                <w:kern w:val="0"/>
                <w:sz w:val="20"/>
                <w:szCs w:val="20"/>
                <w:lang w:bidi="ar"/>
              </w:rPr>
            </w:pPr>
          </w:p>
        </w:tc>
        <w:tc>
          <w:tcPr>
            <w:tcW w:w="900" w:type="dxa"/>
            <w:tcBorders>
              <w:top w:val="single" w:color="000000" w:sz="4" w:space="0"/>
              <w:left w:val="single" w:color="000000" w:sz="4" w:space="0"/>
              <w:bottom w:val="single" w:color="000000" w:sz="4" w:space="0"/>
              <w:right w:val="single" w:color="000000" w:sz="4" w:space="0"/>
            </w:tcBorders>
            <w:vAlign w:val="center"/>
          </w:tcPr>
          <w:p w14:paraId="70A8D65D">
            <w:pPr>
              <w:widowControl/>
              <w:jc w:val="center"/>
              <w:textAlignment w:val="center"/>
              <w:rPr>
                <w:rFonts w:hint="eastAsia" w:ascii="宋体" w:hAnsi="宋体" w:cs="宋体"/>
                <w:color w:val="000000"/>
                <w:kern w:val="0"/>
                <w:sz w:val="20"/>
                <w:szCs w:val="20"/>
                <w:lang w:bidi="ar"/>
              </w:rPr>
            </w:pPr>
          </w:p>
        </w:tc>
        <w:tc>
          <w:tcPr>
            <w:tcW w:w="832" w:type="dxa"/>
            <w:tcBorders>
              <w:top w:val="single" w:color="000000" w:sz="4" w:space="0"/>
              <w:left w:val="single" w:color="000000" w:sz="4" w:space="0"/>
              <w:bottom w:val="single" w:color="000000" w:sz="4" w:space="0"/>
              <w:right w:val="single" w:color="000000" w:sz="4" w:space="0"/>
            </w:tcBorders>
            <w:vAlign w:val="center"/>
          </w:tcPr>
          <w:p w14:paraId="65B75AFC">
            <w:pPr>
              <w:widowControl/>
              <w:jc w:val="center"/>
              <w:textAlignment w:val="center"/>
              <w:rPr>
                <w:rFonts w:hint="eastAsia" w:ascii="宋体" w:hAnsi="宋体" w:cs="宋体"/>
                <w:color w:val="000000"/>
                <w:kern w:val="0"/>
                <w:sz w:val="20"/>
                <w:szCs w:val="20"/>
                <w:lang w:bidi="ar"/>
              </w:rPr>
            </w:pPr>
          </w:p>
        </w:tc>
        <w:tc>
          <w:tcPr>
            <w:tcW w:w="1143" w:type="dxa"/>
            <w:tcBorders>
              <w:top w:val="single" w:color="000000" w:sz="4" w:space="0"/>
              <w:left w:val="single" w:color="000000" w:sz="4" w:space="0"/>
              <w:bottom w:val="single" w:color="000000" w:sz="4" w:space="0"/>
              <w:right w:val="single" w:color="000000" w:sz="4" w:space="0"/>
            </w:tcBorders>
            <w:vAlign w:val="center"/>
          </w:tcPr>
          <w:p w14:paraId="3551AA70">
            <w:pPr>
              <w:widowControl/>
              <w:jc w:val="center"/>
              <w:textAlignment w:val="center"/>
              <w:rPr>
                <w:rFonts w:hint="eastAsia" w:ascii="宋体" w:hAnsi="宋体" w:cs="宋体"/>
                <w:color w:val="000000"/>
                <w:kern w:val="0"/>
                <w:sz w:val="20"/>
                <w:szCs w:val="20"/>
                <w:lang w:bidi="ar"/>
              </w:rPr>
            </w:pPr>
          </w:p>
        </w:tc>
        <w:tc>
          <w:tcPr>
            <w:tcW w:w="763" w:type="dxa"/>
            <w:tcBorders>
              <w:top w:val="single" w:color="000000" w:sz="4" w:space="0"/>
              <w:left w:val="single" w:color="000000" w:sz="4" w:space="0"/>
              <w:bottom w:val="single" w:color="000000" w:sz="4" w:space="0"/>
              <w:right w:val="single" w:color="000000" w:sz="4" w:space="0"/>
            </w:tcBorders>
            <w:vAlign w:val="center"/>
          </w:tcPr>
          <w:p w14:paraId="6AD5F106">
            <w:pPr>
              <w:widowControl/>
              <w:jc w:val="center"/>
              <w:textAlignment w:val="center"/>
              <w:rPr>
                <w:rFonts w:hint="eastAsia" w:ascii="宋体" w:hAnsi="宋体" w:cs="宋体"/>
                <w:color w:val="000000"/>
                <w:kern w:val="0"/>
                <w:sz w:val="20"/>
                <w:szCs w:val="20"/>
                <w:lang w:bidi="ar"/>
              </w:rPr>
            </w:pPr>
          </w:p>
        </w:tc>
        <w:tc>
          <w:tcPr>
            <w:tcW w:w="741" w:type="dxa"/>
            <w:tcBorders>
              <w:top w:val="single" w:color="000000" w:sz="4" w:space="0"/>
              <w:left w:val="single" w:color="000000" w:sz="4" w:space="0"/>
              <w:bottom w:val="single" w:color="000000" w:sz="4" w:space="0"/>
              <w:right w:val="single" w:color="000000" w:sz="4" w:space="0"/>
            </w:tcBorders>
            <w:vAlign w:val="center"/>
          </w:tcPr>
          <w:p w14:paraId="1C8A9FDC">
            <w:pPr>
              <w:widowControl/>
              <w:jc w:val="center"/>
              <w:textAlignment w:val="center"/>
              <w:rPr>
                <w:rFonts w:hint="eastAsia" w:ascii="宋体" w:hAnsi="宋体" w:cs="宋体"/>
                <w:color w:val="000000"/>
                <w:kern w:val="0"/>
                <w:sz w:val="20"/>
                <w:szCs w:val="20"/>
                <w:lang w:bidi="ar"/>
              </w:rPr>
            </w:pPr>
          </w:p>
        </w:tc>
      </w:tr>
      <w:tr w14:paraId="65D5F54D">
        <w:tblPrEx>
          <w:tblCellMar>
            <w:top w:w="0" w:type="dxa"/>
            <w:left w:w="108" w:type="dxa"/>
            <w:bottom w:w="0" w:type="dxa"/>
            <w:right w:w="108" w:type="dxa"/>
          </w:tblCellMar>
        </w:tblPrEx>
        <w:trPr>
          <w:trHeight w:val="20" w:hRule="atLeast"/>
          <w:jc w:val="center"/>
        </w:trPr>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E57CD7">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200</w:t>
            </w:r>
          </w:p>
        </w:tc>
        <w:tc>
          <w:tcPr>
            <w:tcW w:w="2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8AFCC2">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预柱一体式亲水C18色谱柱</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AFBE8C">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 xml:space="preserve"> 5μm,250 x 4.6mm, 1/PK</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EEF991">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支</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6BD515">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40EF9E">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3100</w:t>
            </w:r>
          </w:p>
        </w:tc>
        <w:tc>
          <w:tcPr>
            <w:tcW w:w="992" w:type="dxa"/>
            <w:tcBorders>
              <w:top w:val="single" w:color="000000" w:sz="4" w:space="0"/>
              <w:left w:val="single" w:color="000000" w:sz="4" w:space="0"/>
              <w:bottom w:val="single" w:color="000000" w:sz="4" w:space="0"/>
              <w:right w:val="single" w:color="000000" w:sz="4" w:space="0"/>
            </w:tcBorders>
            <w:vAlign w:val="center"/>
          </w:tcPr>
          <w:p w14:paraId="74B8DB23">
            <w:pPr>
              <w:widowControl/>
              <w:jc w:val="center"/>
              <w:textAlignment w:val="center"/>
              <w:rPr>
                <w:rFonts w:hint="eastAsia" w:ascii="宋体" w:hAnsi="宋体" w:cs="宋体"/>
                <w:color w:val="000000"/>
                <w:kern w:val="0"/>
                <w:sz w:val="20"/>
                <w:szCs w:val="20"/>
                <w:lang w:bidi="ar"/>
              </w:rPr>
            </w:pPr>
          </w:p>
        </w:tc>
        <w:tc>
          <w:tcPr>
            <w:tcW w:w="1239" w:type="dxa"/>
            <w:tcBorders>
              <w:top w:val="single" w:color="000000" w:sz="4" w:space="0"/>
              <w:left w:val="single" w:color="000000" w:sz="4" w:space="0"/>
              <w:bottom w:val="single" w:color="000000" w:sz="4" w:space="0"/>
              <w:right w:val="single" w:color="000000" w:sz="4" w:space="0"/>
            </w:tcBorders>
            <w:vAlign w:val="center"/>
          </w:tcPr>
          <w:p w14:paraId="658548F8">
            <w:pPr>
              <w:widowControl/>
              <w:jc w:val="center"/>
              <w:textAlignment w:val="center"/>
              <w:rPr>
                <w:rFonts w:hint="eastAsia" w:ascii="宋体" w:hAnsi="宋体" w:cs="宋体"/>
                <w:color w:val="000000"/>
                <w:kern w:val="0"/>
                <w:sz w:val="20"/>
                <w:szCs w:val="20"/>
                <w:lang w:bidi="ar"/>
              </w:rPr>
            </w:pPr>
          </w:p>
        </w:tc>
        <w:tc>
          <w:tcPr>
            <w:tcW w:w="900" w:type="dxa"/>
            <w:tcBorders>
              <w:top w:val="single" w:color="000000" w:sz="4" w:space="0"/>
              <w:left w:val="single" w:color="000000" w:sz="4" w:space="0"/>
              <w:bottom w:val="single" w:color="000000" w:sz="4" w:space="0"/>
              <w:right w:val="single" w:color="000000" w:sz="4" w:space="0"/>
            </w:tcBorders>
            <w:vAlign w:val="center"/>
          </w:tcPr>
          <w:p w14:paraId="43536F04">
            <w:pPr>
              <w:widowControl/>
              <w:jc w:val="center"/>
              <w:textAlignment w:val="center"/>
              <w:rPr>
                <w:rFonts w:hint="eastAsia" w:ascii="宋体" w:hAnsi="宋体" w:cs="宋体"/>
                <w:color w:val="000000"/>
                <w:kern w:val="0"/>
                <w:sz w:val="20"/>
                <w:szCs w:val="20"/>
                <w:lang w:bidi="ar"/>
              </w:rPr>
            </w:pPr>
          </w:p>
        </w:tc>
        <w:tc>
          <w:tcPr>
            <w:tcW w:w="832" w:type="dxa"/>
            <w:tcBorders>
              <w:top w:val="single" w:color="000000" w:sz="4" w:space="0"/>
              <w:left w:val="single" w:color="000000" w:sz="4" w:space="0"/>
              <w:bottom w:val="single" w:color="000000" w:sz="4" w:space="0"/>
              <w:right w:val="single" w:color="000000" w:sz="4" w:space="0"/>
            </w:tcBorders>
            <w:vAlign w:val="center"/>
          </w:tcPr>
          <w:p w14:paraId="32E3892E">
            <w:pPr>
              <w:widowControl/>
              <w:jc w:val="center"/>
              <w:textAlignment w:val="center"/>
              <w:rPr>
                <w:rFonts w:hint="eastAsia" w:ascii="宋体" w:hAnsi="宋体" w:cs="宋体"/>
                <w:color w:val="000000"/>
                <w:kern w:val="0"/>
                <w:sz w:val="20"/>
                <w:szCs w:val="20"/>
                <w:lang w:bidi="ar"/>
              </w:rPr>
            </w:pPr>
          </w:p>
        </w:tc>
        <w:tc>
          <w:tcPr>
            <w:tcW w:w="1143" w:type="dxa"/>
            <w:tcBorders>
              <w:top w:val="single" w:color="000000" w:sz="4" w:space="0"/>
              <w:left w:val="single" w:color="000000" w:sz="4" w:space="0"/>
              <w:bottom w:val="single" w:color="000000" w:sz="4" w:space="0"/>
              <w:right w:val="single" w:color="000000" w:sz="4" w:space="0"/>
            </w:tcBorders>
            <w:vAlign w:val="center"/>
          </w:tcPr>
          <w:p w14:paraId="26A108EC">
            <w:pPr>
              <w:widowControl/>
              <w:jc w:val="center"/>
              <w:textAlignment w:val="center"/>
              <w:rPr>
                <w:rFonts w:hint="eastAsia" w:ascii="宋体" w:hAnsi="宋体" w:cs="宋体"/>
                <w:color w:val="000000"/>
                <w:kern w:val="0"/>
                <w:sz w:val="20"/>
                <w:szCs w:val="20"/>
                <w:lang w:bidi="ar"/>
              </w:rPr>
            </w:pPr>
          </w:p>
        </w:tc>
        <w:tc>
          <w:tcPr>
            <w:tcW w:w="763" w:type="dxa"/>
            <w:tcBorders>
              <w:top w:val="single" w:color="000000" w:sz="4" w:space="0"/>
              <w:left w:val="single" w:color="000000" w:sz="4" w:space="0"/>
              <w:bottom w:val="single" w:color="000000" w:sz="4" w:space="0"/>
              <w:right w:val="single" w:color="000000" w:sz="4" w:space="0"/>
            </w:tcBorders>
            <w:vAlign w:val="center"/>
          </w:tcPr>
          <w:p w14:paraId="1F212D81">
            <w:pPr>
              <w:widowControl/>
              <w:jc w:val="center"/>
              <w:textAlignment w:val="center"/>
              <w:rPr>
                <w:rFonts w:hint="eastAsia" w:ascii="宋体" w:hAnsi="宋体" w:cs="宋体"/>
                <w:color w:val="000000"/>
                <w:kern w:val="0"/>
                <w:sz w:val="20"/>
                <w:szCs w:val="20"/>
                <w:lang w:bidi="ar"/>
              </w:rPr>
            </w:pPr>
          </w:p>
        </w:tc>
        <w:tc>
          <w:tcPr>
            <w:tcW w:w="741" w:type="dxa"/>
            <w:tcBorders>
              <w:top w:val="single" w:color="000000" w:sz="4" w:space="0"/>
              <w:left w:val="single" w:color="000000" w:sz="4" w:space="0"/>
              <w:bottom w:val="single" w:color="000000" w:sz="4" w:space="0"/>
              <w:right w:val="single" w:color="000000" w:sz="4" w:space="0"/>
            </w:tcBorders>
            <w:vAlign w:val="center"/>
          </w:tcPr>
          <w:p w14:paraId="02068E8C">
            <w:pPr>
              <w:widowControl/>
              <w:jc w:val="center"/>
              <w:textAlignment w:val="center"/>
              <w:rPr>
                <w:rFonts w:hint="eastAsia" w:ascii="宋体" w:hAnsi="宋体" w:cs="宋体"/>
                <w:color w:val="000000"/>
                <w:kern w:val="0"/>
                <w:sz w:val="20"/>
                <w:szCs w:val="20"/>
                <w:lang w:bidi="ar"/>
              </w:rPr>
            </w:pPr>
          </w:p>
        </w:tc>
      </w:tr>
      <w:tr w14:paraId="0F1FE971">
        <w:tblPrEx>
          <w:tblCellMar>
            <w:top w:w="0" w:type="dxa"/>
            <w:left w:w="108" w:type="dxa"/>
            <w:bottom w:w="0" w:type="dxa"/>
            <w:right w:w="108" w:type="dxa"/>
          </w:tblCellMar>
        </w:tblPrEx>
        <w:trPr>
          <w:trHeight w:val="20" w:hRule="atLeast"/>
          <w:jc w:val="center"/>
        </w:trPr>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C42539">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201</w:t>
            </w:r>
          </w:p>
        </w:tc>
        <w:tc>
          <w:tcPr>
            <w:tcW w:w="2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C88FDD">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超高压液相色谱核壳C18色谱柱</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C75291">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 xml:space="preserve"> 2.1*100</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27E1FA">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支</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6B62CC">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763B8A">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6922</w:t>
            </w:r>
          </w:p>
        </w:tc>
        <w:tc>
          <w:tcPr>
            <w:tcW w:w="992" w:type="dxa"/>
            <w:tcBorders>
              <w:top w:val="single" w:color="000000" w:sz="4" w:space="0"/>
              <w:left w:val="single" w:color="000000" w:sz="4" w:space="0"/>
              <w:bottom w:val="single" w:color="000000" w:sz="4" w:space="0"/>
              <w:right w:val="single" w:color="000000" w:sz="4" w:space="0"/>
            </w:tcBorders>
            <w:vAlign w:val="center"/>
          </w:tcPr>
          <w:p w14:paraId="47BED3FD">
            <w:pPr>
              <w:widowControl/>
              <w:jc w:val="center"/>
              <w:textAlignment w:val="center"/>
              <w:rPr>
                <w:rFonts w:hint="eastAsia" w:ascii="宋体" w:hAnsi="宋体" w:cs="宋体"/>
                <w:color w:val="000000"/>
                <w:kern w:val="0"/>
                <w:sz w:val="20"/>
                <w:szCs w:val="20"/>
                <w:lang w:bidi="ar"/>
              </w:rPr>
            </w:pPr>
          </w:p>
        </w:tc>
        <w:tc>
          <w:tcPr>
            <w:tcW w:w="1239" w:type="dxa"/>
            <w:tcBorders>
              <w:top w:val="single" w:color="000000" w:sz="4" w:space="0"/>
              <w:left w:val="single" w:color="000000" w:sz="4" w:space="0"/>
              <w:bottom w:val="single" w:color="000000" w:sz="4" w:space="0"/>
              <w:right w:val="single" w:color="000000" w:sz="4" w:space="0"/>
            </w:tcBorders>
            <w:vAlign w:val="center"/>
          </w:tcPr>
          <w:p w14:paraId="4885A66D">
            <w:pPr>
              <w:widowControl/>
              <w:jc w:val="center"/>
              <w:textAlignment w:val="center"/>
              <w:rPr>
                <w:rFonts w:hint="eastAsia" w:ascii="宋体" w:hAnsi="宋体" w:cs="宋体"/>
                <w:color w:val="000000"/>
                <w:kern w:val="0"/>
                <w:sz w:val="20"/>
                <w:szCs w:val="20"/>
                <w:lang w:bidi="ar"/>
              </w:rPr>
            </w:pPr>
          </w:p>
        </w:tc>
        <w:tc>
          <w:tcPr>
            <w:tcW w:w="900" w:type="dxa"/>
            <w:tcBorders>
              <w:top w:val="single" w:color="000000" w:sz="4" w:space="0"/>
              <w:left w:val="single" w:color="000000" w:sz="4" w:space="0"/>
              <w:bottom w:val="single" w:color="000000" w:sz="4" w:space="0"/>
              <w:right w:val="single" w:color="000000" w:sz="4" w:space="0"/>
            </w:tcBorders>
            <w:vAlign w:val="center"/>
          </w:tcPr>
          <w:p w14:paraId="168C1EC3">
            <w:pPr>
              <w:widowControl/>
              <w:jc w:val="center"/>
              <w:textAlignment w:val="center"/>
              <w:rPr>
                <w:rFonts w:hint="eastAsia" w:ascii="宋体" w:hAnsi="宋体" w:cs="宋体"/>
                <w:color w:val="000000"/>
                <w:kern w:val="0"/>
                <w:sz w:val="20"/>
                <w:szCs w:val="20"/>
                <w:lang w:bidi="ar"/>
              </w:rPr>
            </w:pPr>
          </w:p>
        </w:tc>
        <w:tc>
          <w:tcPr>
            <w:tcW w:w="832" w:type="dxa"/>
            <w:tcBorders>
              <w:top w:val="single" w:color="000000" w:sz="4" w:space="0"/>
              <w:left w:val="single" w:color="000000" w:sz="4" w:space="0"/>
              <w:bottom w:val="single" w:color="000000" w:sz="4" w:space="0"/>
              <w:right w:val="single" w:color="000000" w:sz="4" w:space="0"/>
            </w:tcBorders>
            <w:vAlign w:val="center"/>
          </w:tcPr>
          <w:p w14:paraId="6254C46C">
            <w:pPr>
              <w:widowControl/>
              <w:jc w:val="center"/>
              <w:textAlignment w:val="center"/>
              <w:rPr>
                <w:rFonts w:hint="eastAsia" w:ascii="宋体" w:hAnsi="宋体" w:cs="宋体"/>
                <w:color w:val="000000"/>
                <w:kern w:val="0"/>
                <w:sz w:val="20"/>
                <w:szCs w:val="20"/>
                <w:lang w:bidi="ar"/>
              </w:rPr>
            </w:pPr>
          </w:p>
        </w:tc>
        <w:tc>
          <w:tcPr>
            <w:tcW w:w="1143" w:type="dxa"/>
            <w:tcBorders>
              <w:top w:val="single" w:color="000000" w:sz="4" w:space="0"/>
              <w:left w:val="single" w:color="000000" w:sz="4" w:space="0"/>
              <w:bottom w:val="single" w:color="000000" w:sz="4" w:space="0"/>
              <w:right w:val="single" w:color="000000" w:sz="4" w:space="0"/>
            </w:tcBorders>
            <w:vAlign w:val="center"/>
          </w:tcPr>
          <w:p w14:paraId="647EB1D0">
            <w:pPr>
              <w:widowControl/>
              <w:jc w:val="center"/>
              <w:textAlignment w:val="center"/>
              <w:rPr>
                <w:rFonts w:hint="eastAsia" w:ascii="宋体" w:hAnsi="宋体" w:cs="宋体"/>
                <w:color w:val="000000"/>
                <w:kern w:val="0"/>
                <w:sz w:val="20"/>
                <w:szCs w:val="20"/>
                <w:lang w:bidi="ar"/>
              </w:rPr>
            </w:pPr>
          </w:p>
        </w:tc>
        <w:tc>
          <w:tcPr>
            <w:tcW w:w="763" w:type="dxa"/>
            <w:tcBorders>
              <w:top w:val="single" w:color="000000" w:sz="4" w:space="0"/>
              <w:left w:val="single" w:color="000000" w:sz="4" w:space="0"/>
              <w:bottom w:val="single" w:color="000000" w:sz="4" w:space="0"/>
              <w:right w:val="single" w:color="000000" w:sz="4" w:space="0"/>
            </w:tcBorders>
            <w:vAlign w:val="center"/>
          </w:tcPr>
          <w:p w14:paraId="4A1549D8">
            <w:pPr>
              <w:widowControl/>
              <w:jc w:val="center"/>
              <w:textAlignment w:val="center"/>
              <w:rPr>
                <w:rFonts w:hint="eastAsia" w:ascii="宋体" w:hAnsi="宋体" w:cs="宋体"/>
                <w:color w:val="000000"/>
                <w:kern w:val="0"/>
                <w:sz w:val="20"/>
                <w:szCs w:val="20"/>
                <w:lang w:bidi="ar"/>
              </w:rPr>
            </w:pPr>
          </w:p>
        </w:tc>
        <w:tc>
          <w:tcPr>
            <w:tcW w:w="741" w:type="dxa"/>
            <w:tcBorders>
              <w:top w:val="single" w:color="000000" w:sz="4" w:space="0"/>
              <w:left w:val="single" w:color="000000" w:sz="4" w:space="0"/>
              <w:bottom w:val="single" w:color="000000" w:sz="4" w:space="0"/>
              <w:right w:val="single" w:color="000000" w:sz="4" w:space="0"/>
            </w:tcBorders>
            <w:vAlign w:val="center"/>
          </w:tcPr>
          <w:p w14:paraId="41A85E0F">
            <w:pPr>
              <w:widowControl/>
              <w:jc w:val="center"/>
              <w:textAlignment w:val="center"/>
              <w:rPr>
                <w:rFonts w:hint="eastAsia" w:ascii="宋体" w:hAnsi="宋体" w:cs="宋体"/>
                <w:color w:val="000000"/>
                <w:kern w:val="0"/>
                <w:sz w:val="20"/>
                <w:szCs w:val="20"/>
                <w:lang w:bidi="ar"/>
              </w:rPr>
            </w:pPr>
          </w:p>
        </w:tc>
      </w:tr>
      <w:tr w14:paraId="241453E2">
        <w:tblPrEx>
          <w:tblCellMar>
            <w:top w:w="0" w:type="dxa"/>
            <w:left w:w="108" w:type="dxa"/>
            <w:bottom w:w="0" w:type="dxa"/>
            <w:right w:w="108" w:type="dxa"/>
          </w:tblCellMar>
        </w:tblPrEx>
        <w:trPr>
          <w:trHeight w:val="20" w:hRule="atLeast"/>
          <w:jc w:val="center"/>
        </w:trPr>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C8E7A7">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202</w:t>
            </w:r>
          </w:p>
        </w:tc>
        <w:tc>
          <w:tcPr>
            <w:tcW w:w="2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B61516">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混合型弱阴离子交换反固相萃取柱</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CC1A6B">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150 mg, 6 mL, 30/PK</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84E934">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盒</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9AAA39">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5</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FA61E8">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1070</w:t>
            </w:r>
          </w:p>
        </w:tc>
        <w:tc>
          <w:tcPr>
            <w:tcW w:w="992" w:type="dxa"/>
            <w:tcBorders>
              <w:top w:val="single" w:color="000000" w:sz="4" w:space="0"/>
              <w:left w:val="single" w:color="000000" w:sz="4" w:space="0"/>
              <w:bottom w:val="single" w:color="000000" w:sz="4" w:space="0"/>
              <w:right w:val="single" w:color="000000" w:sz="4" w:space="0"/>
            </w:tcBorders>
            <w:vAlign w:val="center"/>
          </w:tcPr>
          <w:p w14:paraId="10AA09A5">
            <w:pPr>
              <w:widowControl/>
              <w:jc w:val="center"/>
              <w:textAlignment w:val="center"/>
              <w:rPr>
                <w:rFonts w:hint="eastAsia" w:ascii="宋体" w:hAnsi="宋体" w:cs="宋体"/>
                <w:color w:val="000000"/>
                <w:kern w:val="0"/>
                <w:sz w:val="20"/>
                <w:szCs w:val="20"/>
                <w:lang w:bidi="ar"/>
              </w:rPr>
            </w:pPr>
          </w:p>
        </w:tc>
        <w:tc>
          <w:tcPr>
            <w:tcW w:w="1239" w:type="dxa"/>
            <w:tcBorders>
              <w:top w:val="single" w:color="000000" w:sz="4" w:space="0"/>
              <w:left w:val="single" w:color="000000" w:sz="4" w:space="0"/>
              <w:bottom w:val="single" w:color="000000" w:sz="4" w:space="0"/>
              <w:right w:val="single" w:color="000000" w:sz="4" w:space="0"/>
            </w:tcBorders>
            <w:vAlign w:val="center"/>
          </w:tcPr>
          <w:p w14:paraId="32FB893A">
            <w:pPr>
              <w:widowControl/>
              <w:jc w:val="center"/>
              <w:textAlignment w:val="center"/>
              <w:rPr>
                <w:rFonts w:hint="eastAsia" w:ascii="宋体" w:hAnsi="宋体" w:cs="宋体"/>
                <w:color w:val="000000"/>
                <w:kern w:val="0"/>
                <w:sz w:val="20"/>
                <w:szCs w:val="20"/>
                <w:lang w:bidi="ar"/>
              </w:rPr>
            </w:pPr>
          </w:p>
        </w:tc>
        <w:tc>
          <w:tcPr>
            <w:tcW w:w="900" w:type="dxa"/>
            <w:tcBorders>
              <w:top w:val="single" w:color="000000" w:sz="4" w:space="0"/>
              <w:left w:val="single" w:color="000000" w:sz="4" w:space="0"/>
              <w:bottom w:val="single" w:color="000000" w:sz="4" w:space="0"/>
              <w:right w:val="single" w:color="000000" w:sz="4" w:space="0"/>
            </w:tcBorders>
            <w:vAlign w:val="center"/>
          </w:tcPr>
          <w:p w14:paraId="239A3B1C">
            <w:pPr>
              <w:widowControl/>
              <w:jc w:val="center"/>
              <w:textAlignment w:val="center"/>
              <w:rPr>
                <w:rFonts w:hint="eastAsia" w:ascii="宋体" w:hAnsi="宋体" w:cs="宋体"/>
                <w:color w:val="000000"/>
                <w:kern w:val="0"/>
                <w:sz w:val="20"/>
                <w:szCs w:val="20"/>
                <w:lang w:bidi="ar"/>
              </w:rPr>
            </w:pPr>
          </w:p>
        </w:tc>
        <w:tc>
          <w:tcPr>
            <w:tcW w:w="832" w:type="dxa"/>
            <w:tcBorders>
              <w:top w:val="single" w:color="000000" w:sz="4" w:space="0"/>
              <w:left w:val="single" w:color="000000" w:sz="4" w:space="0"/>
              <w:bottom w:val="single" w:color="000000" w:sz="4" w:space="0"/>
              <w:right w:val="single" w:color="000000" w:sz="4" w:space="0"/>
            </w:tcBorders>
            <w:vAlign w:val="center"/>
          </w:tcPr>
          <w:p w14:paraId="702B112E">
            <w:pPr>
              <w:widowControl/>
              <w:jc w:val="center"/>
              <w:textAlignment w:val="center"/>
              <w:rPr>
                <w:rFonts w:hint="eastAsia" w:ascii="宋体" w:hAnsi="宋体" w:cs="宋体"/>
                <w:color w:val="000000"/>
                <w:kern w:val="0"/>
                <w:sz w:val="20"/>
                <w:szCs w:val="20"/>
                <w:lang w:bidi="ar"/>
              </w:rPr>
            </w:pPr>
          </w:p>
        </w:tc>
        <w:tc>
          <w:tcPr>
            <w:tcW w:w="1143" w:type="dxa"/>
            <w:tcBorders>
              <w:top w:val="single" w:color="000000" w:sz="4" w:space="0"/>
              <w:left w:val="single" w:color="000000" w:sz="4" w:space="0"/>
              <w:bottom w:val="single" w:color="000000" w:sz="4" w:space="0"/>
              <w:right w:val="single" w:color="000000" w:sz="4" w:space="0"/>
            </w:tcBorders>
            <w:vAlign w:val="center"/>
          </w:tcPr>
          <w:p w14:paraId="2ABC1B15">
            <w:pPr>
              <w:widowControl/>
              <w:jc w:val="center"/>
              <w:textAlignment w:val="center"/>
              <w:rPr>
                <w:rFonts w:hint="eastAsia" w:ascii="宋体" w:hAnsi="宋体" w:cs="宋体"/>
                <w:color w:val="000000"/>
                <w:kern w:val="0"/>
                <w:sz w:val="20"/>
                <w:szCs w:val="20"/>
                <w:lang w:bidi="ar"/>
              </w:rPr>
            </w:pPr>
          </w:p>
        </w:tc>
        <w:tc>
          <w:tcPr>
            <w:tcW w:w="763" w:type="dxa"/>
            <w:tcBorders>
              <w:top w:val="single" w:color="000000" w:sz="4" w:space="0"/>
              <w:left w:val="single" w:color="000000" w:sz="4" w:space="0"/>
              <w:bottom w:val="single" w:color="000000" w:sz="4" w:space="0"/>
              <w:right w:val="single" w:color="000000" w:sz="4" w:space="0"/>
            </w:tcBorders>
            <w:vAlign w:val="center"/>
          </w:tcPr>
          <w:p w14:paraId="6B9E6AF1">
            <w:pPr>
              <w:widowControl/>
              <w:jc w:val="center"/>
              <w:textAlignment w:val="center"/>
              <w:rPr>
                <w:rFonts w:hint="eastAsia" w:ascii="宋体" w:hAnsi="宋体" w:cs="宋体"/>
                <w:color w:val="000000"/>
                <w:kern w:val="0"/>
                <w:sz w:val="20"/>
                <w:szCs w:val="20"/>
                <w:lang w:bidi="ar"/>
              </w:rPr>
            </w:pPr>
          </w:p>
        </w:tc>
        <w:tc>
          <w:tcPr>
            <w:tcW w:w="741" w:type="dxa"/>
            <w:tcBorders>
              <w:top w:val="single" w:color="000000" w:sz="4" w:space="0"/>
              <w:left w:val="single" w:color="000000" w:sz="4" w:space="0"/>
              <w:bottom w:val="single" w:color="000000" w:sz="4" w:space="0"/>
              <w:right w:val="single" w:color="000000" w:sz="4" w:space="0"/>
            </w:tcBorders>
            <w:vAlign w:val="center"/>
          </w:tcPr>
          <w:p w14:paraId="2E6577B0">
            <w:pPr>
              <w:widowControl/>
              <w:jc w:val="center"/>
              <w:textAlignment w:val="center"/>
              <w:rPr>
                <w:rFonts w:hint="eastAsia" w:ascii="宋体" w:hAnsi="宋体" w:cs="宋体"/>
                <w:color w:val="000000"/>
                <w:kern w:val="0"/>
                <w:sz w:val="20"/>
                <w:szCs w:val="20"/>
                <w:lang w:bidi="ar"/>
              </w:rPr>
            </w:pPr>
          </w:p>
        </w:tc>
      </w:tr>
      <w:tr w14:paraId="24E3A724">
        <w:tblPrEx>
          <w:tblCellMar>
            <w:top w:w="0" w:type="dxa"/>
            <w:left w:w="108" w:type="dxa"/>
            <w:bottom w:w="0" w:type="dxa"/>
            <w:right w:w="108" w:type="dxa"/>
          </w:tblCellMar>
        </w:tblPrEx>
        <w:trPr>
          <w:trHeight w:val="20" w:hRule="atLeast"/>
          <w:jc w:val="center"/>
        </w:trPr>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9E8078">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203</w:t>
            </w:r>
          </w:p>
        </w:tc>
        <w:tc>
          <w:tcPr>
            <w:tcW w:w="2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787D3D">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亲水PTFE针头式过滤器</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641362">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亲水型,聚四氟乙烯, 0.22μm, 13 mm, 100/PK</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E39C6B">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盒</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AE1103">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10</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A1325A">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168</w:t>
            </w:r>
          </w:p>
        </w:tc>
        <w:tc>
          <w:tcPr>
            <w:tcW w:w="992" w:type="dxa"/>
            <w:tcBorders>
              <w:top w:val="single" w:color="000000" w:sz="4" w:space="0"/>
              <w:left w:val="single" w:color="000000" w:sz="4" w:space="0"/>
              <w:bottom w:val="single" w:color="000000" w:sz="4" w:space="0"/>
              <w:right w:val="single" w:color="000000" w:sz="4" w:space="0"/>
            </w:tcBorders>
            <w:vAlign w:val="center"/>
          </w:tcPr>
          <w:p w14:paraId="6A0BB213">
            <w:pPr>
              <w:widowControl/>
              <w:jc w:val="center"/>
              <w:textAlignment w:val="center"/>
              <w:rPr>
                <w:rFonts w:hint="eastAsia" w:ascii="宋体" w:hAnsi="宋体" w:cs="宋体"/>
                <w:color w:val="000000"/>
                <w:kern w:val="0"/>
                <w:sz w:val="20"/>
                <w:szCs w:val="20"/>
                <w:lang w:bidi="ar"/>
              </w:rPr>
            </w:pPr>
          </w:p>
        </w:tc>
        <w:tc>
          <w:tcPr>
            <w:tcW w:w="1239" w:type="dxa"/>
            <w:tcBorders>
              <w:top w:val="single" w:color="000000" w:sz="4" w:space="0"/>
              <w:left w:val="single" w:color="000000" w:sz="4" w:space="0"/>
              <w:bottom w:val="single" w:color="000000" w:sz="4" w:space="0"/>
              <w:right w:val="single" w:color="000000" w:sz="4" w:space="0"/>
            </w:tcBorders>
            <w:vAlign w:val="center"/>
          </w:tcPr>
          <w:p w14:paraId="16A9B402">
            <w:pPr>
              <w:widowControl/>
              <w:jc w:val="center"/>
              <w:textAlignment w:val="center"/>
              <w:rPr>
                <w:rFonts w:hint="eastAsia" w:ascii="宋体" w:hAnsi="宋体" w:cs="宋体"/>
                <w:color w:val="000000"/>
                <w:kern w:val="0"/>
                <w:sz w:val="20"/>
                <w:szCs w:val="20"/>
                <w:lang w:bidi="ar"/>
              </w:rPr>
            </w:pPr>
          </w:p>
        </w:tc>
        <w:tc>
          <w:tcPr>
            <w:tcW w:w="900" w:type="dxa"/>
            <w:tcBorders>
              <w:top w:val="single" w:color="000000" w:sz="4" w:space="0"/>
              <w:left w:val="single" w:color="000000" w:sz="4" w:space="0"/>
              <w:bottom w:val="single" w:color="000000" w:sz="4" w:space="0"/>
              <w:right w:val="single" w:color="000000" w:sz="4" w:space="0"/>
            </w:tcBorders>
            <w:vAlign w:val="center"/>
          </w:tcPr>
          <w:p w14:paraId="4FFB2545">
            <w:pPr>
              <w:widowControl/>
              <w:jc w:val="center"/>
              <w:textAlignment w:val="center"/>
              <w:rPr>
                <w:rFonts w:hint="eastAsia" w:ascii="宋体" w:hAnsi="宋体" w:cs="宋体"/>
                <w:color w:val="000000"/>
                <w:kern w:val="0"/>
                <w:sz w:val="20"/>
                <w:szCs w:val="20"/>
                <w:lang w:bidi="ar"/>
              </w:rPr>
            </w:pPr>
          </w:p>
        </w:tc>
        <w:tc>
          <w:tcPr>
            <w:tcW w:w="832" w:type="dxa"/>
            <w:tcBorders>
              <w:top w:val="single" w:color="000000" w:sz="4" w:space="0"/>
              <w:left w:val="single" w:color="000000" w:sz="4" w:space="0"/>
              <w:bottom w:val="single" w:color="000000" w:sz="4" w:space="0"/>
              <w:right w:val="single" w:color="000000" w:sz="4" w:space="0"/>
            </w:tcBorders>
            <w:vAlign w:val="center"/>
          </w:tcPr>
          <w:p w14:paraId="65D7C426">
            <w:pPr>
              <w:widowControl/>
              <w:jc w:val="center"/>
              <w:textAlignment w:val="center"/>
              <w:rPr>
                <w:rFonts w:hint="eastAsia" w:ascii="宋体" w:hAnsi="宋体" w:cs="宋体"/>
                <w:color w:val="000000"/>
                <w:kern w:val="0"/>
                <w:sz w:val="20"/>
                <w:szCs w:val="20"/>
                <w:lang w:bidi="ar"/>
              </w:rPr>
            </w:pPr>
          </w:p>
        </w:tc>
        <w:tc>
          <w:tcPr>
            <w:tcW w:w="1143" w:type="dxa"/>
            <w:tcBorders>
              <w:top w:val="single" w:color="000000" w:sz="4" w:space="0"/>
              <w:left w:val="single" w:color="000000" w:sz="4" w:space="0"/>
              <w:bottom w:val="single" w:color="000000" w:sz="4" w:space="0"/>
              <w:right w:val="single" w:color="000000" w:sz="4" w:space="0"/>
            </w:tcBorders>
            <w:vAlign w:val="center"/>
          </w:tcPr>
          <w:p w14:paraId="4016E8D8">
            <w:pPr>
              <w:widowControl/>
              <w:jc w:val="center"/>
              <w:textAlignment w:val="center"/>
              <w:rPr>
                <w:rFonts w:hint="eastAsia" w:ascii="宋体" w:hAnsi="宋体" w:cs="宋体"/>
                <w:color w:val="000000"/>
                <w:kern w:val="0"/>
                <w:sz w:val="20"/>
                <w:szCs w:val="20"/>
                <w:lang w:bidi="ar"/>
              </w:rPr>
            </w:pPr>
          </w:p>
        </w:tc>
        <w:tc>
          <w:tcPr>
            <w:tcW w:w="763" w:type="dxa"/>
            <w:tcBorders>
              <w:top w:val="single" w:color="000000" w:sz="4" w:space="0"/>
              <w:left w:val="single" w:color="000000" w:sz="4" w:space="0"/>
              <w:bottom w:val="single" w:color="000000" w:sz="4" w:space="0"/>
              <w:right w:val="single" w:color="000000" w:sz="4" w:space="0"/>
            </w:tcBorders>
            <w:vAlign w:val="center"/>
          </w:tcPr>
          <w:p w14:paraId="02BCDAB8">
            <w:pPr>
              <w:widowControl/>
              <w:jc w:val="center"/>
              <w:textAlignment w:val="center"/>
              <w:rPr>
                <w:rFonts w:hint="eastAsia" w:ascii="宋体" w:hAnsi="宋体" w:cs="宋体"/>
                <w:color w:val="000000"/>
                <w:kern w:val="0"/>
                <w:sz w:val="20"/>
                <w:szCs w:val="20"/>
                <w:lang w:bidi="ar"/>
              </w:rPr>
            </w:pPr>
          </w:p>
        </w:tc>
        <w:tc>
          <w:tcPr>
            <w:tcW w:w="741" w:type="dxa"/>
            <w:tcBorders>
              <w:top w:val="single" w:color="000000" w:sz="4" w:space="0"/>
              <w:left w:val="single" w:color="000000" w:sz="4" w:space="0"/>
              <w:bottom w:val="single" w:color="000000" w:sz="4" w:space="0"/>
              <w:right w:val="single" w:color="000000" w:sz="4" w:space="0"/>
            </w:tcBorders>
            <w:vAlign w:val="center"/>
          </w:tcPr>
          <w:p w14:paraId="11FBCFEA">
            <w:pPr>
              <w:widowControl/>
              <w:jc w:val="center"/>
              <w:textAlignment w:val="center"/>
              <w:rPr>
                <w:rFonts w:hint="eastAsia" w:ascii="宋体" w:hAnsi="宋体" w:cs="宋体"/>
                <w:color w:val="000000"/>
                <w:kern w:val="0"/>
                <w:sz w:val="20"/>
                <w:szCs w:val="20"/>
                <w:lang w:bidi="ar"/>
              </w:rPr>
            </w:pPr>
          </w:p>
        </w:tc>
      </w:tr>
      <w:tr w14:paraId="148827C1">
        <w:tblPrEx>
          <w:tblCellMar>
            <w:top w:w="0" w:type="dxa"/>
            <w:left w:w="108" w:type="dxa"/>
            <w:bottom w:w="0" w:type="dxa"/>
            <w:right w:w="108" w:type="dxa"/>
          </w:tblCellMar>
        </w:tblPrEx>
        <w:trPr>
          <w:trHeight w:val="20" w:hRule="atLeast"/>
          <w:jc w:val="center"/>
        </w:trPr>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6982B4">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204</w:t>
            </w:r>
          </w:p>
        </w:tc>
        <w:tc>
          <w:tcPr>
            <w:tcW w:w="2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992E0B">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疏水PTFE针头式过滤器</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7D988B">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疏水型,聚四氟乙烯 0.22μm, 13 mm, 100/PK</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7316B9">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盒</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3DC107">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10</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8292FE">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118</w:t>
            </w:r>
          </w:p>
        </w:tc>
        <w:tc>
          <w:tcPr>
            <w:tcW w:w="992" w:type="dxa"/>
            <w:tcBorders>
              <w:top w:val="single" w:color="000000" w:sz="4" w:space="0"/>
              <w:left w:val="single" w:color="000000" w:sz="4" w:space="0"/>
              <w:bottom w:val="single" w:color="000000" w:sz="4" w:space="0"/>
              <w:right w:val="single" w:color="000000" w:sz="4" w:space="0"/>
            </w:tcBorders>
            <w:vAlign w:val="center"/>
          </w:tcPr>
          <w:p w14:paraId="4BB0D862">
            <w:pPr>
              <w:widowControl/>
              <w:jc w:val="center"/>
              <w:textAlignment w:val="center"/>
              <w:rPr>
                <w:rFonts w:hint="eastAsia" w:ascii="宋体" w:hAnsi="宋体" w:cs="宋体"/>
                <w:color w:val="000000"/>
                <w:kern w:val="0"/>
                <w:sz w:val="20"/>
                <w:szCs w:val="20"/>
                <w:lang w:bidi="ar"/>
              </w:rPr>
            </w:pPr>
          </w:p>
        </w:tc>
        <w:tc>
          <w:tcPr>
            <w:tcW w:w="1239" w:type="dxa"/>
            <w:tcBorders>
              <w:top w:val="single" w:color="000000" w:sz="4" w:space="0"/>
              <w:left w:val="single" w:color="000000" w:sz="4" w:space="0"/>
              <w:bottom w:val="single" w:color="000000" w:sz="4" w:space="0"/>
              <w:right w:val="single" w:color="000000" w:sz="4" w:space="0"/>
            </w:tcBorders>
            <w:vAlign w:val="center"/>
          </w:tcPr>
          <w:p w14:paraId="78404784">
            <w:pPr>
              <w:widowControl/>
              <w:jc w:val="center"/>
              <w:textAlignment w:val="center"/>
              <w:rPr>
                <w:rFonts w:hint="eastAsia" w:ascii="宋体" w:hAnsi="宋体" w:cs="宋体"/>
                <w:color w:val="000000"/>
                <w:kern w:val="0"/>
                <w:sz w:val="20"/>
                <w:szCs w:val="20"/>
                <w:lang w:bidi="ar"/>
              </w:rPr>
            </w:pPr>
          </w:p>
        </w:tc>
        <w:tc>
          <w:tcPr>
            <w:tcW w:w="900" w:type="dxa"/>
            <w:tcBorders>
              <w:top w:val="single" w:color="000000" w:sz="4" w:space="0"/>
              <w:left w:val="single" w:color="000000" w:sz="4" w:space="0"/>
              <w:bottom w:val="single" w:color="000000" w:sz="4" w:space="0"/>
              <w:right w:val="single" w:color="000000" w:sz="4" w:space="0"/>
            </w:tcBorders>
            <w:vAlign w:val="center"/>
          </w:tcPr>
          <w:p w14:paraId="22B7B137">
            <w:pPr>
              <w:widowControl/>
              <w:jc w:val="center"/>
              <w:textAlignment w:val="center"/>
              <w:rPr>
                <w:rFonts w:hint="eastAsia" w:ascii="宋体" w:hAnsi="宋体" w:cs="宋体"/>
                <w:color w:val="000000"/>
                <w:kern w:val="0"/>
                <w:sz w:val="20"/>
                <w:szCs w:val="20"/>
                <w:lang w:bidi="ar"/>
              </w:rPr>
            </w:pPr>
          </w:p>
        </w:tc>
        <w:tc>
          <w:tcPr>
            <w:tcW w:w="832" w:type="dxa"/>
            <w:tcBorders>
              <w:top w:val="single" w:color="000000" w:sz="4" w:space="0"/>
              <w:left w:val="single" w:color="000000" w:sz="4" w:space="0"/>
              <w:bottom w:val="single" w:color="000000" w:sz="4" w:space="0"/>
              <w:right w:val="single" w:color="000000" w:sz="4" w:space="0"/>
            </w:tcBorders>
            <w:vAlign w:val="center"/>
          </w:tcPr>
          <w:p w14:paraId="761D406D">
            <w:pPr>
              <w:widowControl/>
              <w:jc w:val="center"/>
              <w:textAlignment w:val="center"/>
              <w:rPr>
                <w:rFonts w:hint="eastAsia" w:ascii="宋体" w:hAnsi="宋体" w:cs="宋体"/>
                <w:color w:val="000000"/>
                <w:kern w:val="0"/>
                <w:sz w:val="20"/>
                <w:szCs w:val="20"/>
                <w:lang w:bidi="ar"/>
              </w:rPr>
            </w:pPr>
          </w:p>
        </w:tc>
        <w:tc>
          <w:tcPr>
            <w:tcW w:w="1143" w:type="dxa"/>
            <w:tcBorders>
              <w:top w:val="single" w:color="000000" w:sz="4" w:space="0"/>
              <w:left w:val="single" w:color="000000" w:sz="4" w:space="0"/>
              <w:bottom w:val="single" w:color="000000" w:sz="4" w:space="0"/>
              <w:right w:val="single" w:color="000000" w:sz="4" w:space="0"/>
            </w:tcBorders>
            <w:vAlign w:val="center"/>
          </w:tcPr>
          <w:p w14:paraId="40EF9B29">
            <w:pPr>
              <w:widowControl/>
              <w:jc w:val="center"/>
              <w:textAlignment w:val="center"/>
              <w:rPr>
                <w:rFonts w:hint="eastAsia" w:ascii="宋体" w:hAnsi="宋体" w:cs="宋体"/>
                <w:color w:val="000000"/>
                <w:kern w:val="0"/>
                <w:sz w:val="20"/>
                <w:szCs w:val="20"/>
                <w:lang w:bidi="ar"/>
              </w:rPr>
            </w:pPr>
          </w:p>
        </w:tc>
        <w:tc>
          <w:tcPr>
            <w:tcW w:w="763" w:type="dxa"/>
            <w:tcBorders>
              <w:top w:val="single" w:color="000000" w:sz="4" w:space="0"/>
              <w:left w:val="single" w:color="000000" w:sz="4" w:space="0"/>
              <w:bottom w:val="single" w:color="000000" w:sz="4" w:space="0"/>
              <w:right w:val="single" w:color="000000" w:sz="4" w:space="0"/>
            </w:tcBorders>
            <w:vAlign w:val="center"/>
          </w:tcPr>
          <w:p w14:paraId="1F4E6DE9">
            <w:pPr>
              <w:widowControl/>
              <w:jc w:val="center"/>
              <w:textAlignment w:val="center"/>
              <w:rPr>
                <w:rFonts w:hint="eastAsia" w:ascii="宋体" w:hAnsi="宋体" w:cs="宋体"/>
                <w:color w:val="000000"/>
                <w:kern w:val="0"/>
                <w:sz w:val="20"/>
                <w:szCs w:val="20"/>
                <w:lang w:bidi="ar"/>
              </w:rPr>
            </w:pPr>
          </w:p>
        </w:tc>
        <w:tc>
          <w:tcPr>
            <w:tcW w:w="741" w:type="dxa"/>
            <w:tcBorders>
              <w:top w:val="single" w:color="000000" w:sz="4" w:space="0"/>
              <w:left w:val="single" w:color="000000" w:sz="4" w:space="0"/>
              <w:bottom w:val="single" w:color="000000" w:sz="4" w:space="0"/>
              <w:right w:val="single" w:color="000000" w:sz="4" w:space="0"/>
            </w:tcBorders>
            <w:vAlign w:val="center"/>
          </w:tcPr>
          <w:p w14:paraId="53C54D7C">
            <w:pPr>
              <w:widowControl/>
              <w:jc w:val="center"/>
              <w:textAlignment w:val="center"/>
              <w:rPr>
                <w:rFonts w:hint="eastAsia" w:ascii="宋体" w:hAnsi="宋体" w:cs="宋体"/>
                <w:color w:val="000000"/>
                <w:kern w:val="0"/>
                <w:sz w:val="20"/>
                <w:szCs w:val="20"/>
                <w:lang w:bidi="ar"/>
              </w:rPr>
            </w:pPr>
          </w:p>
        </w:tc>
      </w:tr>
      <w:tr w14:paraId="4C56AE7E">
        <w:tblPrEx>
          <w:tblCellMar>
            <w:top w:w="0" w:type="dxa"/>
            <w:left w:w="108" w:type="dxa"/>
            <w:bottom w:w="0" w:type="dxa"/>
            <w:right w:w="108" w:type="dxa"/>
          </w:tblCellMar>
        </w:tblPrEx>
        <w:trPr>
          <w:trHeight w:val="20" w:hRule="atLeast"/>
          <w:jc w:val="center"/>
        </w:trPr>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351E6A">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205</w:t>
            </w:r>
          </w:p>
        </w:tc>
        <w:tc>
          <w:tcPr>
            <w:tcW w:w="2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86E744">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FFAP气相色谱柱</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A7E2CC">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0.25um*0.25mm*30m</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3A12E3">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个</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D053E9">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AA0870">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1200</w:t>
            </w:r>
          </w:p>
        </w:tc>
        <w:tc>
          <w:tcPr>
            <w:tcW w:w="992" w:type="dxa"/>
            <w:tcBorders>
              <w:top w:val="single" w:color="000000" w:sz="4" w:space="0"/>
              <w:left w:val="single" w:color="000000" w:sz="4" w:space="0"/>
              <w:bottom w:val="single" w:color="000000" w:sz="4" w:space="0"/>
              <w:right w:val="single" w:color="000000" w:sz="4" w:space="0"/>
            </w:tcBorders>
            <w:vAlign w:val="center"/>
          </w:tcPr>
          <w:p w14:paraId="73D16451">
            <w:pPr>
              <w:widowControl/>
              <w:jc w:val="center"/>
              <w:textAlignment w:val="center"/>
              <w:rPr>
                <w:rFonts w:hint="eastAsia" w:ascii="宋体" w:hAnsi="宋体" w:cs="宋体"/>
                <w:color w:val="000000"/>
                <w:kern w:val="0"/>
                <w:sz w:val="20"/>
                <w:szCs w:val="20"/>
                <w:lang w:bidi="ar"/>
              </w:rPr>
            </w:pPr>
          </w:p>
        </w:tc>
        <w:tc>
          <w:tcPr>
            <w:tcW w:w="1239" w:type="dxa"/>
            <w:tcBorders>
              <w:top w:val="single" w:color="000000" w:sz="4" w:space="0"/>
              <w:left w:val="single" w:color="000000" w:sz="4" w:space="0"/>
              <w:bottom w:val="single" w:color="000000" w:sz="4" w:space="0"/>
              <w:right w:val="single" w:color="000000" w:sz="4" w:space="0"/>
            </w:tcBorders>
            <w:vAlign w:val="center"/>
          </w:tcPr>
          <w:p w14:paraId="24E77695">
            <w:pPr>
              <w:widowControl/>
              <w:jc w:val="center"/>
              <w:textAlignment w:val="center"/>
              <w:rPr>
                <w:rFonts w:hint="eastAsia" w:ascii="宋体" w:hAnsi="宋体" w:cs="宋体"/>
                <w:color w:val="000000"/>
                <w:kern w:val="0"/>
                <w:sz w:val="20"/>
                <w:szCs w:val="20"/>
                <w:lang w:bidi="ar"/>
              </w:rPr>
            </w:pPr>
          </w:p>
        </w:tc>
        <w:tc>
          <w:tcPr>
            <w:tcW w:w="900" w:type="dxa"/>
            <w:tcBorders>
              <w:top w:val="single" w:color="000000" w:sz="4" w:space="0"/>
              <w:left w:val="single" w:color="000000" w:sz="4" w:space="0"/>
              <w:bottom w:val="single" w:color="000000" w:sz="4" w:space="0"/>
              <w:right w:val="single" w:color="000000" w:sz="4" w:space="0"/>
            </w:tcBorders>
            <w:vAlign w:val="center"/>
          </w:tcPr>
          <w:p w14:paraId="1E991538">
            <w:pPr>
              <w:widowControl/>
              <w:jc w:val="center"/>
              <w:textAlignment w:val="center"/>
              <w:rPr>
                <w:rFonts w:hint="eastAsia" w:ascii="宋体" w:hAnsi="宋体" w:cs="宋体"/>
                <w:color w:val="000000"/>
                <w:kern w:val="0"/>
                <w:sz w:val="20"/>
                <w:szCs w:val="20"/>
                <w:lang w:bidi="ar"/>
              </w:rPr>
            </w:pPr>
          </w:p>
        </w:tc>
        <w:tc>
          <w:tcPr>
            <w:tcW w:w="832" w:type="dxa"/>
            <w:tcBorders>
              <w:top w:val="single" w:color="000000" w:sz="4" w:space="0"/>
              <w:left w:val="single" w:color="000000" w:sz="4" w:space="0"/>
              <w:bottom w:val="single" w:color="000000" w:sz="4" w:space="0"/>
              <w:right w:val="single" w:color="000000" w:sz="4" w:space="0"/>
            </w:tcBorders>
            <w:vAlign w:val="center"/>
          </w:tcPr>
          <w:p w14:paraId="5B614D7E">
            <w:pPr>
              <w:widowControl/>
              <w:jc w:val="center"/>
              <w:textAlignment w:val="center"/>
              <w:rPr>
                <w:rFonts w:hint="eastAsia" w:ascii="宋体" w:hAnsi="宋体" w:cs="宋体"/>
                <w:color w:val="000000"/>
                <w:kern w:val="0"/>
                <w:sz w:val="20"/>
                <w:szCs w:val="20"/>
                <w:lang w:bidi="ar"/>
              </w:rPr>
            </w:pPr>
          </w:p>
        </w:tc>
        <w:tc>
          <w:tcPr>
            <w:tcW w:w="1143" w:type="dxa"/>
            <w:tcBorders>
              <w:top w:val="single" w:color="000000" w:sz="4" w:space="0"/>
              <w:left w:val="single" w:color="000000" w:sz="4" w:space="0"/>
              <w:bottom w:val="single" w:color="000000" w:sz="4" w:space="0"/>
              <w:right w:val="single" w:color="000000" w:sz="4" w:space="0"/>
            </w:tcBorders>
            <w:vAlign w:val="center"/>
          </w:tcPr>
          <w:p w14:paraId="7D5CAFF5">
            <w:pPr>
              <w:widowControl/>
              <w:jc w:val="center"/>
              <w:textAlignment w:val="center"/>
              <w:rPr>
                <w:rFonts w:hint="eastAsia" w:ascii="宋体" w:hAnsi="宋体" w:cs="宋体"/>
                <w:color w:val="000000"/>
                <w:kern w:val="0"/>
                <w:sz w:val="20"/>
                <w:szCs w:val="20"/>
                <w:lang w:bidi="ar"/>
              </w:rPr>
            </w:pPr>
          </w:p>
        </w:tc>
        <w:tc>
          <w:tcPr>
            <w:tcW w:w="763" w:type="dxa"/>
            <w:tcBorders>
              <w:top w:val="single" w:color="000000" w:sz="4" w:space="0"/>
              <w:left w:val="single" w:color="000000" w:sz="4" w:space="0"/>
              <w:bottom w:val="single" w:color="000000" w:sz="4" w:space="0"/>
              <w:right w:val="single" w:color="000000" w:sz="4" w:space="0"/>
            </w:tcBorders>
            <w:vAlign w:val="center"/>
          </w:tcPr>
          <w:p w14:paraId="6ACC8C51">
            <w:pPr>
              <w:widowControl/>
              <w:jc w:val="center"/>
              <w:textAlignment w:val="center"/>
              <w:rPr>
                <w:rFonts w:hint="eastAsia" w:ascii="宋体" w:hAnsi="宋体" w:cs="宋体"/>
                <w:color w:val="000000"/>
                <w:kern w:val="0"/>
                <w:sz w:val="20"/>
                <w:szCs w:val="20"/>
                <w:lang w:bidi="ar"/>
              </w:rPr>
            </w:pPr>
          </w:p>
        </w:tc>
        <w:tc>
          <w:tcPr>
            <w:tcW w:w="741" w:type="dxa"/>
            <w:tcBorders>
              <w:top w:val="single" w:color="000000" w:sz="4" w:space="0"/>
              <w:left w:val="single" w:color="000000" w:sz="4" w:space="0"/>
              <w:bottom w:val="single" w:color="000000" w:sz="4" w:space="0"/>
              <w:right w:val="single" w:color="000000" w:sz="4" w:space="0"/>
            </w:tcBorders>
            <w:vAlign w:val="center"/>
          </w:tcPr>
          <w:p w14:paraId="1A55986D">
            <w:pPr>
              <w:widowControl/>
              <w:jc w:val="center"/>
              <w:textAlignment w:val="center"/>
              <w:rPr>
                <w:rFonts w:hint="eastAsia" w:ascii="宋体" w:hAnsi="宋体" w:cs="宋体"/>
                <w:color w:val="000000"/>
                <w:kern w:val="0"/>
                <w:sz w:val="20"/>
                <w:szCs w:val="20"/>
                <w:lang w:bidi="ar"/>
              </w:rPr>
            </w:pPr>
          </w:p>
        </w:tc>
      </w:tr>
      <w:tr w14:paraId="65D4AAAC">
        <w:tblPrEx>
          <w:tblCellMar>
            <w:top w:w="0" w:type="dxa"/>
            <w:left w:w="108" w:type="dxa"/>
            <w:bottom w:w="0" w:type="dxa"/>
            <w:right w:w="108" w:type="dxa"/>
          </w:tblCellMar>
        </w:tblPrEx>
        <w:trPr>
          <w:trHeight w:val="20" w:hRule="atLeast"/>
          <w:jc w:val="center"/>
        </w:trPr>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849B91">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206</w:t>
            </w:r>
          </w:p>
        </w:tc>
        <w:tc>
          <w:tcPr>
            <w:tcW w:w="2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66D587">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KP95活性炭口罩</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5A3908">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带呼吸阀，挂耳式</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A6D773">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支</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5FE95B">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50</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330257">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3</w:t>
            </w:r>
          </w:p>
        </w:tc>
        <w:tc>
          <w:tcPr>
            <w:tcW w:w="992" w:type="dxa"/>
            <w:tcBorders>
              <w:top w:val="single" w:color="000000" w:sz="4" w:space="0"/>
              <w:left w:val="single" w:color="000000" w:sz="4" w:space="0"/>
              <w:bottom w:val="single" w:color="000000" w:sz="4" w:space="0"/>
              <w:right w:val="single" w:color="000000" w:sz="4" w:space="0"/>
            </w:tcBorders>
            <w:vAlign w:val="center"/>
          </w:tcPr>
          <w:p w14:paraId="77BCB8C1">
            <w:pPr>
              <w:widowControl/>
              <w:jc w:val="center"/>
              <w:textAlignment w:val="center"/>
              <w:rPr>
                <w:rFonts w:hint="eastAsia" w:ascii="宋体" w:hAnsi="宋体" w:cs="宋体"/>
                <w:color w:val="000000"/>
                <w:kern w:val="0"/>
                <w:sz w:val="20"/>
                <w:szCs w:val="20"/>
                <w:lang w:bidi="ar"/>
              </w:rPr>
            </w:pPr>
          </w:p>
        </w:tc>
        <w:tc>
          <w:tcPr>
            <w:tcW w:w="1239" w:type="dxa"/>
            <w:tcBorders>
              <w:top w:val="single" w:color="000000" w:sz="4" w:space="0"/>
              <w:left w:val="single" w:color="000000" w:sz="4" w:space="0"/>
              <w:bottom w:val="single" w:color="000000" w:sz="4" w:space="0"/>
              <w:right w:val="single" w:color="000000" w:sz="4" w:space="0"/>
            </w:tcBorders>
            <w:vAlign w:val="center"/>
          </w:tcPr>
          <w:p w14:paraId="696D6E73">
            <w:pPr>
              <w:widowControl/>
              <w:jc w:val="center"/>
              <w:textAlignment w:val="center"/>
              <w:rPr>
                <w:rFonts w:hint="eastAsia" w:ascii="宋体" w:hAnsi="宋体" w:cs="宋体"/>
                <w:color w:val="000000"/>
                <w:kern w:val="0"/>
                <w:sz w:val="20"/>
                <w:szCs w:val="20"/>
                <w:lang w:bidi="ar"/>
              </w:rPr>
            </w:pPr>
          </w:p>
        </w:tc>
        <w:tc>
          <w:tcPr>
            <w:tcW w:w="900" w:type="dxa"/>
            <w:tcBorders>
              <w:top w:val="single" w:color="000000" w:sz="4" w:space="0"/>
              <w:left w:val="single" w:color="000000" w:sz="4" w:space="0"/>
              <w:bottom w:val="single" w:color="000000" w:sz="4" w:space="0"/>
              <w:right w:val="single" w:color="000000" w:sz="4" w:space="0"/>
            </w:tcBorders>
            <w:vAlign w:val="center"/>
          </w:tcPr>
          <w:p w14:paraId="38FCF8BF">
            <w:pPr>
              <w:widowControl/>
              <w:jc w:val="center"/>
              <w:textAlignment w:val="center"/>
              <w:rPr>
                <w:rFonts w:hint="eastAsia" w:ascii="宋体" w:hAnsi="宋体" w:cs="宋体"/>
                <w:color w:val="000000"/>
                <w:kern w:val="0"/>
                <w:sz w:val="20"/>
                <w:szCs w:val="20"/>
                <w:lang w:bidi="ar"/>
              </w:rPr>
            </w:pPr>
          </w:p>
        </w:tc>
        <w:tc>
          <w:tcPr>
            <w:tcW w:w="832" w:type="dxa"/>
            <w:tcBorders>
              <w:top w:val="single" w:color="000000" w:sz="4" w:space="0"/>
              <w:left w:val="single" w:color="000000" w:sz="4" w:space="0"/>
              <w:bottom w:val="single" w:color="000000" w:sz="4" w:space="0"/>
              <w:right w:val="single" w:color="000000" w:sz="4" w:space="0"/>
            </w:tcBorders>
            <w:vAlign w:val="center"/>
          </w:tcPr>
          <w:p w14:paraId="09A312E0">
            <w:pPr>
              <w:widowControl/>
              <w:jc w:val="center"/>
              <w:textAlignment w:val="center"/>
              <w:rPr>
                <w:rFonts w:hint="eastAsia" w:ascii="宋体" w:hAnsi="宋体" w:cs="宋体"/>
                <w:color w:val="000000"/>
                <w:kern w:val="0"/>
                <w:sz w:val="20"/>
                <w:szCs w:val="20"/>
                <w:lang w:bidi="ar"/>
              </w:rPr>
            </w:pPr>
          </w:p>
        </w:tc>
        <w:tc>
          <w:tcPr>
            <w:tcW w:w="1143" w:type="dxa"/>
            <w:tcBorders>
              <w:top w:val="single" w:color="000000" w:sz="4" w:space="0"/>
              <w:left w:val="single" w:color="000000" w:sz="4" w:space="0"/>
              <w:bottom w:val="single" w:color="000000" w:sz="4" w:space="0"/>
              <w:right w:val="single" w:color="000000" w:sz="4" w:space="0"/>
            </w:tcBorders>
            <w:vAlign w:val="center"/>
          </w:tcPr>
          <w:p w14:paraId="2E06349B">
            <w:pPr>
              <w:widowControl/>
              <w:jc w:val="center"/>
              <w:textAlignment w:val="center"/>
              <w:rPr>
                <w:rFonts w:hint="eastAsia" w:ascii="宋体" w:hAnsi="宋体" w:cs="宋体"/>
                <w:color w:val="000000"/>
                <w:kern w:val="0"/>
                <w:sz w:val="20"/>
                <w:szCs w:val="20"/>
                <w:lang w:bidi="ar"/>
              </w:rPr>
            </w:pPr>
          </w:p>
        </w:tc>
        <w:tc>
          <w:tcPr>
            <w:tcW w:w="763" w:type="dxa"/>
            <w:tcBorders>
              <w:top w:val="single" w:color="000000" w:sz="4" w:space="0"/>
              <w:left w:val="single" w:color="000000" w:sz="4" w:space="0"/>
              <w:bottom w:val="single" w:color="000000" w:sz="4" w:space="0"/>
              <w:right w:val="single" w:color="000000" w:sz="4" w:space="0"/>
            </w:tcBorders>
            <w:vAlign w:val="center"/>
          </w:tcPr>
          <w:p w14:paraId="203A02F1">
            <w:pPr>
              <w:widowControl/>
              <w:jc w:val="center"/>
              <w:textAlignment w:val="center"/>
              <w:rPr>
                <w:rFonts w:hint="eastAsia" w:ascii="宋体" w:hAnsi="宋体" w:cs="宋体"/>
                <w:color w:val="000000"/>
                <w:kern w:val="0"/>
                <w:sz w:val="20"/>
                <w:szCs w:val="20"/>
                <w:lang w:bidi="ar"/>
              </w:rPr>
            </w:pPr>
          </w:p>
        </w:tc>
        <w:tc>
          <w:tcPr>
            <w:tcW w:w="741" w:type="dxa"/>
            <w:tcBorders>
              <w:top w:val="single" w:color="000000" w:sz="4" w:space="0"/>
              <w:left w:val="single" w:color="000000" w:sz="4" w:space="0"/>
              <w:bottom w:val="single" w:color="000000" w:sz="4" w:space="0"/>
              <w:right w:val="single" w:color="000000" w:sz="4" w:space="0"/>
            </w:tcBorders>
            <w:vAlign w:val="center"/>
          </w:tcPr>
          <w:p w14:paraId="131A094F">
            <w:pPr>
              <w:widowControl/>
              <w:jc w:val="center"/>
              <w:textAlignment w:val="center"/>
              <w:rPr>
                <w:rFonts w:hint="eastAsia" w:ascii="宋体" w:hAnsi="宋体" w:cs="宋体"/>
                <w:color w:val="000000"/>
                <w:kern w:val="0"/>
                <w:sz w:val="20"/>
                <w:szCs w:val="20"/>
                <w:lang w:bidi="ar"/>
              </w:rPr>
            </w:pPr>
          </w:p>
        </w:tc>
      </w:tr>
      <w:tr w14:paraId="1BF4AED6">
        <w:tblPrEx>
          <w:tblCellMar>
            <w:top w:w="0" w:type="dxa"/>
            <w:left w:w="108" w:type="dxa"/>
            <w:bottom w:w="0" w:type="dxa"/>
            <w:right w:w="108" w:type="dxa"/>
          </w:tblCellMar>
        </w:tblPrEx>
        <w:trPr>
          <w:trHeight w:val="20" w:hRule="atLeast"/>
          <w:jc w:val="center"/>
        </w:trPr>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144F09">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207</w:t>
            </w:r>
          </w:p>
        </w:tc>
        <w:tc>
          <w:tcPr>
            <w:tcW w:w="2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024D82">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正己烷纯度标准物质</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51B16C">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2mL/支</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312188">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支</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869498">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5A1C92">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280</w:t>
            </w:r>
          </w:p>
        </w:tc>
        <w:tc>
          <w:tcPr>
            <w:tcW w:w="992" w:type="dxa"/>
            <w:tcBorders>
              <w:top w:val="single" w:color="000000" w:sz="4" w:space="0"/>
              <w:left w:val="single" w:color="000000" w:sz="4" w:space="0"/>
              <w:bottom w:val="single" w:color="000000" w:sz="4" w:space="0"/>
              <w:right w:val="single" w:color="000000" w:sz="4" w:space="0"/>
            </w:tcBorders>
            <w:vAlign w:val="center"/>
          </w:tcPr>
          <w:p w14:paraId="580BD111">
            <w:pPr>
              <w:widowControl/>
              <w:jc w:val="center"/>
              <w:textAlignment w:val="center"/>
              <w:rPr>
                <w:rFonts w:hint="eastAsia" w:ascii="宋体" w:hAnsi="宋体" w:cs="宋体"/>
                <w:color w:val="000000"/>
                <w:kern w:val="0"/>
                <w:sz w:val="20"/>
                <w:szCs w:val="20"/>
                <w:lang w:bidi="ar"/>
              </w:rPr>
            </w:pPr>
          </w:p>
        </w:tc>
        <w:tc>
          <w:tcPr>
            <w:tcW w:w="1239" w:type="dxa"/>
            <w:tcBorders>
              <w:top w:val="single" w:color="000000" w:sz="4" w:space="0"/>
              <w:left w:val="single" w:color="000000" w:sz="4" w:space="0"/>
              <w:bottom w:val="single" w:color="000000" w:sz="4" w:space="0"/>
              <w:right w:val="single" w:color="000000" w:sz="4" w:space="0"/>
            </w:tcBorders>
            <w:vAlign w:val="center"/>
          </w:tcPr>
          <w:p w14:paraId="2D292623">
            <w:pPr>
              <w:widowControl/>
              <w:jc w:val="center"/>
              <w:textAlignment w:val="center"/>
              <w:rPr>
                <w:rFonts w:hint="eastAsia" w:ascii="宋体" w:hAnsi="宋体" w:cs="宋体"/>
                <w:color w:val="000000"/>
                <w:kern w:val="0"/>
                <w:sz w:val="20"/>
                <w:szCs w:val="20"/>
                <w:lang w:bidi="ar"/>
              </w:rPr>
            </w:pPr>
          </w:p>
        </w:tc>
        <w:tc>
          <w:tcPr>
            <w:tcW w:w="900" w:type="dxa"/>
            <w:tcBorders>
              <w:top w:val="single" w:color="000000" w:sz="4" w:space="0"/>
              <w:left w:val="single" w:color="000000" w:sz="4" w:space="0"/>
              <w:bottom w:val="single" w:color="000000" w:sz="4" w:space="0"/>
              <w:right w:val="single" w:color="000000" w:sz="4" w:space="0"/>
            </w:tcBorders>
            <w:vAlign w:val="center"/>
          </w:tcPr>
          <w:p w14:paraId="15FB8158">
            <w:pPr>
              <w:widowControl/>
              <w:jc w:val="center"/>
              <w:textAlignment w:val="center"/>
              <w:rPr>
                <w:rFonts w:hint="eastAsia" w:ascii="宋体" w:hAnsi="宋体" w:cs="宋体"/>
                <w:color w:val="000000"/>
                <w:kern w:val="0"/>
                <w:sz w:val="20"/>
                <w:szCs w:val="20"/>
                <w:lang w:bidi="ar"/>
              </w:rPr>
            </w:pPr>
          </w:p>
        </w:tc>
        <w:tc>
          <w:tcPr>
            <w:tcW w:w="832" w:type="dxa"/>
            <w:tcBorders>
              <w:top w:val="single" w:color="000000" w:sz="4" w:space="0"/>
              <w:left w:val="single" w:color="000000" w:sz="4" w:space="0"/>
              <w:bottom w:val="single" w:color="000000" w:sz="4" w:space="0"/>
              <w:right w:val="single" w:color="000000" w:sz="4" w:space="0"/>
            </w:tcBorders>
            <w:vAlign w:val="center"/>
          </w:tcPr>
          <w:p w14:paraId="37585295">
            <w:pPr>
              <w:widowControl/>
              <w:jc w:val="center"/>
              <w:textAlignment w:val="center"/>
              <w:rPr>
                <w:rFonts w:hint="eastAsia" w:ascii="宋体" w:hAnsi="宋体" w:cs="宋体"/>
                <w:color w:val="000000"/>
                <w:kern w:val="0"/>
                <w:sz w:val="20"/>
                <w:szCs w:val="20"/>
                <w:lang w:bidi="ar"/>
              </w:rPr>
            </w:pPr>
          </w:p>
        </w:tc>
        <w:tc>
          <w:tcPr>
            <w:tcW w:w="1143" w:type="dxa"/>
            <w:tcBorders>
              <w:top w:val="single" w:color="000000" w:sz="4" w:space="0"/>
              <w:left w:val="single" w:color="000000" w:sz="4" w:space="0"/>
              <w:bottom w:val="single" w:color="000000" w:sz="4" w:space="0"/>
              <w:right w:val="single" w:color="000000" w:sz="4" w:space="0"/>
            </w:tcBorders>
            <w:vAlign w:val="center"/>
          </w:tcPr>
          <w:p w14:paraId="1CA4BB1C">
            <w:pPr>
              <w:widowControl/>
              <w:jc w:val="center"/>
              <w:textAlignment w:val="center"/>
              <w:rPr>
                <w:rFonts w:hint="eastAsia" w:ascii="宋体" w:hAnsi="宋体" w:cs="宋体"/>
                <w:color w:val="000000"/>
                <w:kern w:val="0"/>
                <w:sz w:val="20"/>
                <w:szCs w:val="20"/>
                <w:lang w:bidi="ar"/>
              </w:rPr>
            </w:pPr>
          </w:p>
        </w:tc>
        <w:tc>
          <w:tcPr>
            <w:tcW w:w="763" w:type="dxa"/>
            <w:tcBorders>
              <w:top w:val="single" w:color="000000" w:sz="4" w:space="0"/>
              <w:left w:val="single" w:color="000000" w:sz="4" w:space="0"/>
              <w:bottom w:val="single" w:color="000000" w:sz="4" w:space="0"/>
              <w:right w:val="single" w:color="000000" w:sz="4" w:space="0"/>
            </w:tcBorders>
            <w:vAlign w:val="center"/>
          </w:tcPr>
          <w:p w14:paraId="0D80E15F">
            <w:pPr>
              <w:widowControl/>
              <w:jc w:val="center"/>
              <w:textAlignment w:val="center"/>
              <w:rPr>
                <w:rFonts w:hint="eastAsia" w:ascii="宋体" w:hAnsi="宋体" w:cs="宋体"/>
                <w:color w:val="000000"/>
                <w:kern w:val="0"/>
                <w:sz w:val="20"/>
                <w:szCs w:val="20"/>
                <w:lang w:bidi="ar"/>
              </w:rPr>
            </w:pPr>
          </w:p>
        </w:tc>
        <w:tc>
          <w:tcPr>
            <w:tcW w:w="741" w:type="dxa"/>
            <w:tcBorders>
              <w:top w:val="single" w:color="000000" w:sz="4" w:space="0"/>
              <w:left w:val="single" w:color="000000" w:sz="4" w:space="0"/>
              <w:bottom w:val="single" w:color="000000" w:sz="4" w:space="0"/>
              <w:right w:val="single" w:color="000000" w:sz="4" w:space="0"/>
            </w:tcBorders>
            <w:vAlign w:val="center"/>
          </w:tcPr>
          <w:p w14:paraId="20D63C94">
            <w:pPr>
              <w:widowControl/>
              <w:jc w:val="center"/>
              <w:textAlignment w:val="center"/>
              <w:rPr>
                <w:rFonts w:hint="eastAsia" w:ascii="宋体" w:hAnsi="宋体" w:cs="宋体"/>
                <w:color w:val="000000"/>
                <w:kern w:val="0"/>
                <w:sz w:val="20"/>
                <w:szCs w:val="20"/>
                <w:lang w:bidi="ar"/>
              </w:rPr>
            </w:pPr>
          </w:p>
        </w:tc>
      </w:tr>
      <w:tr w14:paraId="4220DF7F">
        <w:tblPrEx>
          <w:tblCellMar>
            <w:top w:w="0" w:type="dxa"/>
            <w:left w:w="108" w:type="dxa"/>
            <w:bottom w:w="0" w:type="dxa"/>
            <w:right w:w="108" w:type="dxa"/>
          </w:tblCellMar>
        </w:tblPrEx>
        <w:trPr>
          <w:trHeight w:val="20" w:hRule="atLeast"/>
          <w:jc w:val="center"/>
        </w:trPr>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F0A63E">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208</w:t>
            </w:r>
          </w:p>
        </w:tc>
        <w:tc>
          <w:tcPr>
            <w:tcW w:w="2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8DEC19">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二硫化碳中萘溶液标准物质</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177D63">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1000ug/mL，2ml/支</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D17511">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支</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0A8EC6">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3</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52CDD4">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80</w:t>
            </w:r>
          </w:p>
        </w:tc>
        <w:tc>
          <w:tcPr>
            <w:tcW w:w="992" w:type="dxa"/>
            <w:tcBorders>
              <w:top w:val="single" w:color="000000" w:sz="4" w:space="0"/>
              <w:left w:val="single" w:color="000000" w:sz="4" w:space="0"/>
              <w:bottom w:val="single" w:color="000000" w:sz="4" w:space="0"/>
              <w:right w:val="single" w:color="000000" w:sz="4" w:space="0"/>
            </w:tcBorders>
            <w:vAlign w:val="center"/>
          </w:tcPr>
          <w:p w14:paraId="328DC08C">
            <w:pPr>
              <w:widowControl/>
              <w:jc w:val="center"/>
              <w:textAlignment w:val="center"/>
              <w:rPr>
                <w:rFonts w:hint="eastAsia" w:ascii="宋体" w:hAnsi="宋体" w:cs="宋体"/>
                <w:color w:val="000000"/>
                <w:kern w:val="0"/>
                <w:sz w:val="20"/>
                <w:szCs w:val="20"/>
                <w:lang w:bidi="ar"/>
              </w:rPr>
            </w:pPr>
          </w:p>
        </w:tc>
        <w:tc>
          <w:tcPr>
            <w:tcW w:w="1239" w:type="dxa"/>
            <w:tcBorders>
              <w:top w:val="single" w:color="000000" w:sz="4" w:space="0"/>
              <w:left w:val="single" w:color="000000" w:sz="4" w:space="0"/>
              <w:bottom w:val="single" w:color="000000" w:sz="4" w:space="0"/>
              <w:right w:val="single" w:color="000000" w:sz="4" w:space="0"/>
            </w:tcBorders>
            <w:vAlign w:val="center"/>
          </w:tcPr>
          <w:p w14:paraId="603EF5CD">
            <w:pPr>
              <w:widowControl/>
              <w:jc w:val="center"/>
              <w:textAlignment w:val="center"/>
              <w:rPr>
                <w:rFonts w:hint="eastAsia" w:ascii="宋体" w:hAnsi="宋体" w:cs="宋体"/>
                <w:color w:val="000000"/>
                <w:kern w:val="0"/>
                <w:sz w:val="20"/>
                <w:szCs w:val="20"/>
                <w:lang w:bidi="ar"/>
              </w:rPr>
            </w:pPr>
          </w:p>
        </w:tc>
        <w:tc>
          <w:tcPr>
            <w:tcW w:w="900" w:type="dxa"/>
            <w:tcBorders>
              <w:top w:val="single" w:color="000000" w:sz="4" w:space="0"/>
              <w:left w:val="single" w:color="000000" w:sz="4" w:space="0"/>
              <w:bottom w:val="single" w:color="000000" w:sz="4" w:space="0"/>
              <w:right w:val="single" w:color="000000" w:sz="4" w:space="0"/>
            </w:tcBorders>
            <w:vAlign w:val="center"/>
          </w:tcPr>
          <w:p w14:paraId="456B7D1D">
            <w:pPr>
              <w:widowControl/>
              <w:jc w:val="center"/>
              <w:textAlignment w:val="center"/>
              <w:rPr>
                <w:rFonts w:hint="eastAsia" w:ascii="宋体" w:hAnsi="宋体" w:cs="宋体"/>
                <w:color w:val="000000"/>
                <w:kern w:val="0"/>
                <w:sz w:val="20"/>
                <w:szCs w:val="20"/>
                <w:lang w:bidi="ar"/>
              </w:rPr>
            </w:pPr>
          </w:p>
        </w:tc>
        <w:tc>
          <w:tcPr>
            <w:tcW w:w="832" w:type="dxa"/>
            <w:tcBorders>
              <w:top w:val="single" w:color="000000" w:sz="4" w:space="0"/>
              <w:left w:val="single" w:color="000000" w:sz="4" w:space="0"/>
              <w:bottom w:val="single" w:color="000000" w:sz="4" w:space="0"/>
              <w:right w:val="single" w:color="000000" w:sz="4" w:space="0"/>
            </w:tcBorders>
            <w:vAlign w:val="center"/>
          </w:tcPr>
          <w:p w14:paraId="5DDC465D">
            <w:pPr>
              <w:widowControl/>
              <w:jc w:val="center"/>
              <w:textAlignment w:val="center"/>
              <w:rPr>
                <w:rFonts w:hint="eastAsia" w:ascii="宋体" w:hAnsi="宋体" w:cs="宋体"/>
                <w:color w:val="000000"/>
                <w:kern w:val="0"/>
                <w:sz w:val="20"/>
                <w:szCs w:val="20"/>
                <w:lang w:bidi="ar"/>
              </w:rPr>
            </w:pPr>
          </w:p>
        </w:tc>
        <w:tc>
          <w:tcPr>
            <w:tcW w:w="1143" w:type="dxa"/>
            <w:tcBorders>
              <w:top w:val="single" w:color="000000" w:sz="4" w:space="0"/>
              <w:left w:val="single" w:color="000000" w:sz="4" w:space="0"/>
              <w:bottom w:val="single" w:color="000000" w:sz="4" w:space="0"/>
              <w:right w:val="single" w:color="000000" w:sz="4" w:space="0"/>
            </w:tcBorders>
            <w:vAlign w:val="center"/>
          </w:tcPr>
          <w:p w14:paraId="2DBE839C">
            <w:pPr>
              <w:widowControl/>
              <w:jc w:val="center"/>
              <w:textAlignment w:val="center"/>
              <w:rPr>
                <w:rFonts w:hint="eastAsia" w:ascii="宋体" w:hAnsi="宋体" w:cs="宋体"/>
                <w:color w:val="000000"/>
                <w:kern w:val="0"/>
                <w:sz w:val="20"/>
                <w:szCs w:val="20"/>
                <w:lang w:bidi="ar"/>
              </w:rPr>
            </w:pPr>
          </w:p>
        </w:tc>
        <w:tc>
          <w:tcPr>
            <w:tcW w:w="763" w:type="dxa"/>
            <w:tcBorders>
              <w:top w:val="single" w:color="000000" w:sz="4" w:space="0"/>
              <w:left w:val="single" w:color="000000" w:sz="4" w:space="0"/>
              <w:bottom w:val="single" w:color="000000" w:sz="4" w:space="0"/>
              <w:right w:val="single" w:color="000000" w:sz="4" w:space="0"/>
            </w:tcBorders>
            <w:vAlign w:val="center"/>
          </w:tcPr>
          <w:p w14:paraId="7FBCF2E4">
            <w:pPr>
              <w:widowControl/>
              <w:jc w:val="center"/>
              <w:textAlignment w:val="center"/>
              <w:rPr>
                <w:rFonts w:hint="eastAsia" w:ascii="宋体" w:hAnsi="宋体" w:cs="宋体"/>
                <w:color w:val="000000"/>
                <w:kern w:val="0"/>
                <w:sz w:val="20"/>
                <w:szCs w:val="20"/>
                <w:lang w:bidi="ar"/>
              </w:rPr>
            </w:pPr>
          </w:p>
        </w:tc>
        <w:tc>
          <w:tcPr>
            <w:tcW w:w="741" w:type="dxa"/>
            <w:tcBorders>
              <w:top w:val="single" w:color="000000" w:sz="4" w:space="0"/>
              <w:left w:val="single" w:color="000000" w:sz="4" w:space="0"/>
              <w:bottom w:val="single" w:color="000000" w:sz="4" w:space="0"/>
              <w:right w:val="single" w:color="000000" w:sz="4" w:space="0"/>
            </w:tcBorders>
            <w:vAlign w:val="center"/>
          </w:tcPr>
          <w:p w14:paraId="3DA5773D">
            <w:pPr>
              <w:widowControl/>
              <w:jc w:val="center"/>
              <w:textAlignment w:val="center"/>
              <w:rPr>
                <w:rFonts w:hint="eastAsia" w:ascii="宋体" w:hAnsi="宋体" w:cs="宋体"/>
                <w:color w:val="000000"/>
                <w:kern w:val="0"/>
                <w:sz w:val="20"/>
                <w:szCs w:val="20"/>
                <w:lang w:bidi="ar"/>
              </w:rPr>
            </w:pPr>
          </w:p>
        </w:tc>
      </w:tr>
      <w:tr w14:paraId="479C0487">
        <w:tblPrEx>
          <w:tblCellMar>
            <w:top w:w="0" w:type="dxa"/>
            <w:left w:w="108" w:type="dxa"/>
            <w:bottom w:w="0" w:type="dxa"/>
            <w:right w:w="108" w:type="dxa"/>
          </w:tblCellMar>
        </w:tblPrEx>
        <w:trPr>
          <w:trHeight w:val="20" w:hRule="atLeast"/>
          <w:jc w:val="center"/>
        </w:trPr>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728C29">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209</w:t>
            </w:r>
          </w:p>
        </w:tc>
        <w:tc>
          <w:tcPr>
            <w:tcW w:w="2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C97EE3">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二硫化碳中四氯化碳溶液标准物质</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C2BD0E">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5000ug/mL，2ml/支</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556B62">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支</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0D94E5">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3</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F55E7D">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100</w:t>
            </w:r>
          </w:p>
        </w:tc>
        <w:tc>
          <w:tcPr>
            <w:tcW w:w="992" w:type="dxa"/>
            <w:tcBorders>
              <w:top w:val="single" w:color="000000" w:sz="4" w:space="0"/>
              <w:left w:val="single" w:color="000000" w:sz="4" w:space="0"/>
              <w:bottom w:val="single" w:color="000000" w:sz="4" w:space="0"/>
              <w:right w:val="single" w:color="000000" w:sz="4" w:space="0"/>
            </w:tcBorders>
            <w:vAlign w:val="center"/>
          </w:tcPr>
          <w:p w14:paraId="44CD9DAD">
            <w:pPr>
              <w:widowControl/>
              <w:jc w:val="center"/>
              <w:textAlignment w:val="center"/>
              <w:rPr>
                <w:rFonts w:hint="eastAsia" w:ascii="宋体" w:hAnsi="宋体" w:cs="宋体"/>
                <w:color w:val="000000"/>
                <w:kern w:val="0"/>
                <w:sz w:val="20"/>
                <w:szCs w:val="20"/>
                <w:lang w:bidi="ar"/>
              </w:rPr>
            </w:pPr>
          </w:p>
        </w:tc>
        <w:tc>
          <w:tcPr>
            <w:tcW w:w="1239" w:type="dxa"/>
            <w:tcBorders>
              <w:top w:val="single" w:color="000000" w:sz="4" w:space="0"/>
              <w:left w:val="single" w:color="000000" w:sz="4" w:space="0"/>
              <w:bottom w:val="single" w:color="000000" w:sz="4" w:space="0"/>
              <w:right w:val="single" w:color="000000" w:sz="4" w:space="0"/>
            </w:tcBorders>
            <w:vAlign w:val="center"/>
          </w:tcPr>
          <w:p w14:paraId="3911BFE0">
            <w:pPr>
              <w:widowControl/>
              <w:jc w:val="center"/>
              <w:textAlignment w:val="center"/>
              <w:rPr>
                <w:rFonts w:hint="eastAsia" w:ascii="宋体" w:hAnsi="宋体" w:cs="宋体"/>
                <w:color w:val="000000"/>
                <w:kern w:val="0"/>
                <w:sz w:val="20"/>
                <w:szCs w:val="20"/>
                <w:lang w:bidi="ar"/>
              </w:rPr>
            </w:pPr>
          </w:p>
        </w:tc>
        <w:tc>
          <w:tcPr>
            <w:tcW w:w="900" w:type="dxa"/>
            <w:tcBorders>
              <w:top w:val="single" w:color="000000" w:sz="4" w:space="0"/>
              <w:left w:val="single" w:color="000000" w:sz="4" w:space="0"/>
              <w:bottom w:val="single" w:color="000000" w:sz="4" w:space="0"/>
              <w:right w:val="single" w:color="000000" w:sz="4" w:space="0"/>
            </w:tcBorders>
            <w:vAlign w:val="center"/>
          </w:tcPr>
          <w:p w14:paraId="2F0993BC">
            <w:pPr>
              <w:widowControl/>
              <w:jc w:val="center"/>
              <w:textAlignment w:val="center"/>
              <w:rPr>
                <w:rFonts w:hint="eastAsia" w:ascii="宋体" w:hAnsi="宋体" w:cs="宋体"/>
                <w:color w:val="000000"/>
                <w:kern w:val="0"/>
                <w:sz w:val="20"/>
                <w:szCs w:val="20"/>
                <w:lang w:bidi="ar"/>
              </w:rPr>
            </w:pPr>
          </w:p>
        </w:tc>
        <w:tc>
          <w:tcPr>
            <w:tcW w:w="832" w:type="dxa"/>
            <w:tcBorders>
              <w:top w:val="single" w:color="000000" w:sz="4" w:space="0"/>
              <w:left w:val="single" w:color="000000" w:sz="4" w:space="0"/>
              <w:bottom w:val="single" w:color="000000" w:sz="4" w:space="0"/>
              <w:right w:val="single" w:color="000000" w:sz="4" w:space="0"/>
            </w:tcBorders>
            <w:vAlign w:val="center"/>
          </w:tcPr>
          <w:p w14:paraId="00975213">
            <w:pPr>
              <w:widowControl/>
              <w:jc w:val="center"/>
              <w:textAlignment w:val="center"/>
              <w:rPr>
                <w:rFonts w:hint="eastAsia" w:ascii="宋体" w:hAnsi="宋体" w:cs="宋体"/>
                <w:color w:val="000000"/>
                <w:kern w:val="0"/>
                <w:sz w:val="20"/>
                <w:szCs w:val="20"/>
                <w:lang w:bidi="ar"/>
              </w:rPr>
            </w:pPr>
          </w:p>
        </w:tc>
        <w:tc>
          <w:tcPr>
            <w:tcW w:w="1143" w:type="dxa"/>
            <w:tcBorders>
              <w:top w:val="single" w:color="000000" w:sz="4" w:space="0"/>
              <w:left w:val="single" w:color="000000" w:sz="4" w:space="0"/>
              <w:bottom w:val="single" w:color="000000" w:sz="4" w:space="0"/>
              <w:right w:val="single" w:color="000000" w:sz="4" w:space="0"/>
            </w:tcBorders>
            <w:vAlign w:val="center"/>
          </w:tcPr>
          <w:p w14:paraId="4BAC92B0">
            <w:pPr>
              <w:widowControl/>
              <w:jc w:val="center"/>
              <w:textAlignment w:val="center"/>
              <w:rPr>
                <w:rFonts w:hint="eastAsia" w:ascii="宋体" w:hAnsi="宋体" w:cs="宋体"/>
                <w:color w:val="000000"/>
                <w:kern w:val="0"/>
                <w:sz w:val="20"/>
                <w:szCs w:val="20"/>
                <w:lang w:bidi="ar"/>
              </w:rPr>
            </w:pPr>
          </w:p>
        </w:tc>
        <w:tc>
          <w:tcPr>
            <w:tcW w:w="763" w:type="dxa"/>
            <w:tcBorders>
              <w:top w:val="single" w:color="000000" w:sz="4" w:space="0"/>
              <w:left w:val="single" w:color="000000" w:sz="4" w:space="0"/>
              <w:bottom w:val="single" w:color="000000" w:sz="4" w:space="0"/>
              <w:right w:val="single" w:color="000000" w:sz="4" w:space="0"/>
            </w:tcBorders>
            <w:vAlign w:val="center"/>
          </w:tcPr>
          <w:p w14:paraId="5D269A56">
            <w:pPr>
              <w:widowControl/>
              <w:jc w:val="center"/>
              <w:textAlignment w:val="center"/>
              <w:rPr>
                <w:rFonts w:hint="eastAsia" w:ascii="宋体" w:hAnsi="宋体" w:cs="宋体"/>
                <w:color w:val="000000"/>
                <w:kern w:val="0"/>
                <w:sz w:val="20"/>
                <w:szCs w:val="20"/>
                <w:lang w:bidi="ar"/>
              </w:rPr>
            </w:pPr>
          </w:p>
        </w:tc>
        <w:tc>
          <w:tcPr>
            <w:tcW w:w="741" w:type="dxa"/>
            <w:tcBorders>
              <w:top w:val="single" w:color="000000" w:sz="4" w:space="0"/>
              <w:left w:val="single" w:color="000000" w:sz="4" w:space="0"/>
              <w:bottom w:val="single" w:color="000000" w:sz="4" w:space="0"/>
              <w:right w:val="single" w:color="000000" w:sz="4" w:space="0"/>
            </w:tcBorders>
            <w:vAlign w:val="center"/>
          </w:tcPr>
          <w:p w14:paraId="769674F7">
            <w:pPr>
              <w:widowControl/>
              <w:jc w:val="center"/>
              <w:textAlignment w:val="center"/>
              <w:rPr>
                <w:rFonts w:hint="eastAsia" w:ascii="宋体" w:hAnsi="宋体" w:cs="宋体"/>
                <w:color w:val="000000"/>
                <w:kern w:val="0"/>
                <w:sz w:val="20"/>
                <w:szCs w:val="20"/>
                <w:lang w:bidi="ar"/>
              </w:rPr>
            </w:pPr>
          </w:p>
        </w:tc>
      </w:tr>
      <w:tr w14:paraId="4EC485ED">
        <w:tblPrEx>
          <w:tblCellMar>
            <w:top w:w="0" w:type="dxa"/>
            <w:left w:w="108" w:type="dxa"/>
            <w:bottom w:w="0" w:type="dxa"/>
            <w:right w:w="108" w:type="dxa"/>
          </w:tblCellMar>
        </w:tblPrEx>
        <w:trPr>
          <w:trHeight w:val="20" w:hRule="atLeast"/>
          <w:jc w:val="center"/>
        </w:trPr>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4A2F24">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210</w:t>
            </w:r>
          </w:p>
        </w:tc>
        <w:tc>
          <w:tcPr>
            <w:tcW w:w="2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7FA436">
            <w:pPr>
              <w:widowControl/>
              <w:jc w:val="center"/>
              <w:textAlignment w:val="center"/>
              <w:rPr>
                <w:rFonts w:ascii="宋体" w:hAnsi="宋体" w:cs="宋体"/>
                <w:color w:val="333333"/>
                <w:sz w:val="20"/>
                <w:szCs w:val="20"/>
              </w:rPr>
            </w:pPr>
            <w:r>
              <w:rPr>
                <w:rFonts w:hint="eastAsia" w:ascii="宋体" w:hAnsi="宋体" w:cs="宋体"/>
                <w:color w:val="333333"/>
                <w:kern w:val="0"/>
                <w:sz w:val="20"/>
                <w:szCs w:val="20"/>
                <w:lang w:bidi="ar"/>
              </w:rPr>
              <w:t>二硫化碳中1,2-二氯乙烷溶液标准物质</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881698">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5000ug/mL，2ml/支</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F9BDC1">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支</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145A89">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3</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DC3876">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80</w:t>
            </w:r>
          </w:p>
        </w:tc>
        <w:tc>
          <w:tcPr>
            <w:tcW w:w="992" w:type="dxa"/>
            <w:tcBorders>
              <w:top w:val="single" w:color="000000" w:sz="4" w:space="0"/>
              <w:left w:val="single" w:color="000000" w:sz="4" w:space="0"/>
              <w:bottom w:val="single" w:color="000000" w:sz="4" w:space="0"/>
              <w:right w:val="single" w:color="000000" w:sz="4" w:space="0"/>
            </w:tcBorders>
            <w:vAlign w:val="center"/>
          </w:tcPr>
          <w:p w14:paraId="5EF13AD6">
            <w:pPr>
              <w:widowControl/>
              <w:jc w:val="center"/>
              <w:textAlignment w:val="center"/>
              <w:rPr>
                <w:rFonts w:hint="eastAsia" w:ascii="宋体" w:hAnsi="宋体" w:cs="宋体"/>
                <w:color w:val="000000"/>
                <w:kern w:val="0"/>
                <w:sz w:val="20"/>
                <w:szCs w:val="20"/>
                <w:lang w:bidi="ar"/>
              </w:rPr>
            </w:pPr>
          </w:p>
        </w:tc>
        <w:tc>
          <w:tcPr>
            <w:tcW w:w="1239" w:type="dxa"/>
            <w:tcBorders>
              <w:top w:val="single" w:color="000000" w:sz="4" w:space="0"/>
              <w:left w:val="single" w:color="000000" w:sz="4" w:space="0"/>
              <w:bottom w:val="single" w:color="000000" w:sz="4" w:space="0"/>
              <w:right w:val="single" w:color="000000" w:sz="4" w:space="0"/>
            </w:tcBorders>
            <w:vAlign w:val="center"/>
          </w:tcPr>
          <w:p w14:paraId="7C9E57A0">
            <w:pPr>
              <w:widowControl/>
              <w:jc w:val="center"/>
              <w:textAlignment w:val="center"/>
              <w:rPr>
                <w:rFonts w:hint="eastAsia" w:ascii="宋体" w:hAnsi="宋体" w:cs="宋体"/>
                <w:color w:val="000000"/>
                <w:kern w:val="0"/>
                <w:sz w:val="20"/>
                <w:szCs w:val="20"/>
                <w:lang w:bidi="ar"/>
              </w:rPr>
            </w:pPr>
          </w:p>
        </w:tc>
        <w:tc>
          <w:tcPr>
            <w:tcW w:w="900" w:type="dxa"/>
            <w:tcBorders>
              <w:top w:val="single" w:color="000000" w:sz="4" w:space="0"/>
              <w:left w:val="single" w:color="000000" w:sz="4" w:space="0"/>
              <w:bottom w:val="single" w:color="000000" w:sz="4" w:space="0"/>
              <w:right w:val="single" w:color="000000" w:sz="4" w:space="0"/>
            </w:tcBorders>
            <w:vAlign w:val="center"/>
          </w:tcPr>
          <w:p w14:paraId="4295469B">
            <w:pPr>
              <w:widowControl/>
              <w:jc w:val="center"/>
              <w:textAlignment w:val="center"/>
              <w:rPr>
                <w:rFonts w:hint="eastAsia" w:ascii="宋体" w:hAnsi="宋体" w:cs="宋体"/>
                <w:color w:val="000000"/>
                <w:kern w:val="0"/>
                <w:sz w:val="20"/>
                <w:szCs w:val="20"/>
                <w:lang w:bidi="ar"/>
              </w:rPr>
            </w:pPr>
          </w:p>
        </w:tc>
        <w:tc>
          <w:tcPr>
            <w:tcW w:w="832" w:type="dxa"/>
            <w:tcBorders>
              <w:top w:val="single" w:color="000000" w:sz="4" w:space="0"/>
              <w:left w:val="single" w:color="000000" w:sz="4" w:space="0"/>
              <w:bottom w:val="single" w:color="000000" w:sz="4" w:space="0"/>
              <w:right w:val="single" w:color="000000" w:sz="4" w:space="0"/>
            </w:tcBorders>
            <w:vAlign w:val="center"/>
          </w:tcPr>
          <w:p w14:paraId="5B137519">
            <w:pPr>
              <w:widowControl/>
              <w:jc w:val="center"/>
              <w:textAlignment w:val="center"/>
              <w:rPr>
                <w:rFonts w:hint="eastAsia" w:ascii="宋体" w:hAnsi="宋体" w:cs="宋体"/>
                <w:color w:val="000000"/>
                <w:kern w:val="0"/>
                <w:sz w:val="20"/>
                <w:szCs w:val="20"/>
                <w:lang w:bidi="ar"/>
              </w:rPr>
            </w:pPr>
          </w:p>
        </w:tc>
        <w:tc>
          <w:tcPr>
            <w:tcW w:w="1143" w:type="dxa"/>
            <w:tcBorders>
              <w:top w:val="single" w:color="000000" w:sz="4" w:space="0"/>
              <w:left w:val="single" w:color="000000" w:sz="4" w:space="0"/>
              <w:bottom w:val="single" w:color="000000" w:sz="4" w:space="0"/>
              <w:right w:val="single" w:color="000000" w:sz="4" w:space="0"/>
            </w:tcBorders>
            <w:vAlign w:val="center"/>
          </w:tcPr>
          <w:p w14:paraId="244CA6E1">
            <w:pPr>
              <w:widowControl/>
              <w:jc w:val="center"/>
              <w:textAlignment w:val="center"/>
              <w:rPr>
                <w:rFonts w:hint="eastAsia" w:ascii="宋体" w:hAnsi="宋体" w:cs="宋体"/>
                <w:color w:val="000000"/>
                <w:kern w:val="0"/>
                <w:sz w:val="20"/>
                <w:szCs w:val="20"/>
                <w:lang w:bidi="ar"/>
              </w:rPr>
            </w:pPr>
          </w:p>
        </w:tc>
        <w:tc>
          <w:tcPr>
            <w:tcW w:w="763" w:type="dxa"/>
            <w:tcBorders>
              <w:top w:val="single" w:color="000000" w:sz="4" w:space="0"/>
              <w:left w:val="single" w:color="000000" w:sz="4" w:space="0"/>
              <w:bottom w:val="single" w:color="000000" w:sz="4" w:space="0"/>
              <w:right w:val="single" w:color="000000" w:sz="4" w:space="0"/>
            </w:tcBorders>
            <w:vAlign w:val="center"/>
          </w:tcPr>
          <w:p w14:paraId="7697CA46">
            <w:pPr>
              <w:widowControl/>
              <w:jc w:val="center"/>
              <w:textAlignment w:val="center"/>
              <w:rPr>
                <w:rFonts w:hint="eastAsia" w:ascii="宋体" w:hAnsi="宋体" w:cs="宋体"/>
                <w:color w:val="000000"/>
                <w:kern w:val="0"/>
                <w:sz w:val="20"/>
                <w:szCs w:val="20"/>
                <w:lang w:bidi="ar"/>
              </w:rPr>
            </w:pPr>
          </w:p>
        </w:tc>
        <w:tc>
          <w:tcPr>
            <w:tcW w:w="741" w:type="dxa"/>
            <w:tcBorders>
              <w:top w:val="single" w:color="000000" w:sz="4" w:space="0"/>
              <w:left w:val="single" w:color="000000" w:sz="4" w:space="0"/>
              <w:bottom w:val="single" w:color="000000" w:sz="4" w:space="0"/>
              <w:right w:val="single" w:color="000000" w:sz="4" w:space="0"/>
            </w:tcBorders>
            <w:vAlign w:val="center"/>
          </w:tcPr>
          <w:p w14:paraId="41BCBCEF">
            <w:pPr>
              <w:widowControl/>
              <w:jc w:val="center"/>
              <w:textAlignment w:val="center"/>
              <w:rPr>
                <w:rFonts w:hint="eastAsia" w:ascii="宋体" w:hAnsi="宋体" w:cs="宋体"/>
                <w:color w:val="000000"/>
                <w:kern w:val="0"/>
                <w:sz w:val="20"/>
                <w:szCs w:val="20"/>
                <w:lang w:bidi="ar"/>
              </w:rPr>
            </w:pPr>
          </w:p>
        </w:tc>
      </w:tr>
      <w:tr w14:paraId="2CB7A445">
        <w:tblPrEx>
          <w:tblCellMar>
            <w:top w:w="0" w:type="dxa"/>
            <w:left w:w="108" w:type="dxa"/>
            <w:bottom w:w="0" w:type="dxa"/>
            <w:right w:w="108" w:type="dxa"/>
          </w:tblCellMar>
        </w:tblPrEx>
        <w:trPr>
          <w:trHeight w:val="20" w:hRule="atLeast"/>
          <w:jc w:val="center"/>
        </w:trPr>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5E1CCF">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211</w:t>
            </w:r>
          </w:p>
        </w:tc>
        <w:tc>
          <w:tcPr>
            <w:tcW w:w="2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4061F1">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二硫化碳中六氯乙烷溶液标准物质</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642594">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6000ug/mL，5ml/支或2ml/支</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401B2A">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支</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E02511">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3</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A50263">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500</w:t>
            </w:r>
          </w:p>
        </w:tc>
        <w:tc>
          <w:tcPr>
            <w:tcW w:w="992" w:type="dxa"/>
            <w:tcBorders>
              <w:top w:val="single" w:color="000000" w:sz="4" w:space="0"/>
              <w:left w:val="single" w:color="000000" w:sz="4" w:space="0"/>
              <w:bottom w:val="single" w:color="000000" w:sz="4" w:space="0"/>
              <w:right w:val="single" w:color="000000" w:sz="4" w:space="0"/>
            </w:tcBorders>
            <w:vAlign w:val="center"/>
          </w:tcPr>
          <w:p w14:paraId="6FBA7BA1">
            <w:pPr>
              <w:widowControl/>
              <w:jc w:val="center"/>
              <w:textAlignment w:val="center"/>
              <w:rPr>
                <w:rFonts w:hint="eastAsia" w:ascii="宋体" w:hAnsi="宋体" w:cs="宋体"/>
                <w:color w:val="000000"/>
                <w:kern w:val="0"/>
                <w:sz w:val="20"/>
                <w:szCs w:val="20"/>
                <w:lang w:bidi="ar"/>
              </w:rPr>
            </w:pPr>
          </w:p>
        </w:tc>
        <w:tc>
          <w:tcPr>
            <w:tcW w:w="1239" w:type="dxa"/>
            <w:tcBorders>
              <w:top w:val="single" w:color="000000" w:sz="4" w:space="0"/>
              <w:left w:val="single" w:color="000000" w:sz="4" w:space="0"/>
              <w:bottom w:val="single" w:color="000000" w:sz="4" w:space="0"/>
              <w:right w:val="single" w:color="000000" w:sz="4" w:space="0"/>
            </w:tcBorders>
            <w:vAlign w:val="center"/>
          </w:tcPr>
          <w:p w14:paraId="605A09A7">
            <w:pPr>
              <w:widowControl/>
              <w:jc w:val="center"/>
              <w:textAlignment w:val="center"/>
              <w:rPr>
                <w:rFonts w:hint="eastAsia" w:ascii="宋体" w:hAnsi="宋体" w:cs="宋体"/>
                <w:color w:val="000000"/>
                <w:kern w:val="0"/>
                <w:sz w:val="20"/>
                <w:szCs w:val="20"/>
                <w:lang w:bidi="ar"/>
              </w:rPr>
            </w:pPr>
          </w:p>
        </w:tc>
        <w:tc>
          <w:tcPr>
            <w:tcW w:w="900" w:type="dxa"/>
            <w:tcBorders>
              <w:top w:val="single" w:color="000000" w:sz="4" w:space="0"/>
              <w:left w:val="single" w:color="000000" w:sz="4" w:space="0"/>
              <w:bottom w:val="single" w:color="000000" w:sz="4" w:space="0"/>
              <w:right w:val="single" w:color="000000" w:sz="4" w:space="0"/>
            </w:tcBorders>
            <w:vAlign w:val="center"/>
          </w:tcPr>
          <w:p w14:paraId="30EA8A8C">
            <w:pPr>
              <w:widowControl/>
              <w:jc w:val="center"/>
              <w:textAlignment w:val="center"/>
              <w:rPr>
                <w:rFonts w:hint="eastAsia" w:ascii="宋体" w:hAnsi="宋体" w:cs="宋体"/>
                <w:color w:val="000000"/>
                <w:kern w:val="0"/>
                <w:sz w:val="20"/>
                <w:szCs w:val="20"/>
                <w:lang w:bidi="ar"/>
              </w:rPr>
            </w:pPr>
          </w:p>
        </w:tc>
        <w:tc>
          <w:tcPr>
            <w:tcW w:w="832" w:type="dxa"/>
            <w:tcBorders>
              <w:top w:val="single" w:color="000000" w:sz="4" w:space="0"/>
              <w:left w:val="single" w:color="000000" w:sz="4" w:space="0"/>
              <w:bottom w:val="single" w:color="000000" w:sz="4" w:space="0"/>
              <w:right w:val="single" w:color="000000" w:sz="4" w:space="0"/>
            </w:tcBorders>
            <w:vAlign w:val="center"/>
          </w:tcPr>
          <w:p w14:paraId="659951AE">
            <w:pPr>
              <w:widowControl/>
              <w:jc w:val="center"/>
              <w:textAlignment w:val="center"/>
              <w:rPr>
                <w:rFonts w:hint="eastAsia" w:ascii="宋体" w:hAnsi="宋体" w:cs="宋体"/>
                <w:color w:val="000000"/>
                <w:kern w:val="0"/>
                <w:sz w:val="20"/>
                <w:szCs w:val="20"/>
                <w:lang w:bidi="ar"/>
              </w:rPr>
            </w:pPr>
          </w:p>
        </w:tc>
        <w:tc>
          <w:tcPr>
            <w:tcW w:w="1143" w:type="dxa"/>
            <w:tcBorders>
              <w:top w:val="single" w:color="000000" w:sz="4" w:space="0"/>
              <w:left w:val="single" w:color="000000" w:sz="4" w:space="0"/>
              <w:bottom w:val="single" w:color="000000" w:sz="4" w:space="0"/>
              <w:right w:val="single" w:color="000000" w:sz="4" w:space="0"/>
            </w:tcBorders>
            <w:vAlign w:val="center"/>
          </w:tcPr>
          <w:p w14:paraId="3FDAA97B">
            <w:pPr>
              <w:widowControl/>
              <w:jc w:val="center"/>
              <w:textAlignment w:val="center"/>
              <w:rPr>
                <w:rFonts w:hint="eastAsia" w:ascii="宋体" w:hAnsi="宋体" w:cs="宋体"/>
                <w:color w:val="000000"/>
                <w:kern w:val="0"/>
                <w:sz w:val="20"/>
                <w:szCs w:val="20"/>
                <w:lang w:bidi="ar"/>
              </w:rPr>
            </w:pPr>
          </w:p>
        </w:tc>
        <w:tc>
          <w:tcPr>
            <w:tcW w:w="763" w:type="dxa"/>
            <w:tcBorders>
              <w:top w:val="single" w:color="000000" w:sz="4" w:space="0"/>
              <w:left w:val="single" w:color="000000" w:sz="4" w:space="0"/>
              <w:bottom w:val="single" w:color="000000" w:sz="4" w:space="0"/>
              <w:right w:val="single" w:color="000000" w:sz="4" w:space="0"/>
            </w:tcBorders>
            <w:vAlign w:val="center"/>
          </w:tcPr>
          <w:p w14:paraId="69E4B23B">
            <w:pPr>
              <w:widowControl/>
              <w:jc w:val="center"/>
              <w:textAlignment w:val="center"/>
              <w:rPr>
                <w:rFonts w:hint="eastAsia" w:ascii="宋体" w:hAnsi="宋体" w:cs="宋体"/>
                <w:color w:val="000000"/>
                <w:kern w:val="0"/>
                <w:sz w:val="20"/>
                <w:szCs w:val="20"/>
                <w:lang w:bidi="ar"/>
              </w:rPr>
            </w:pPr>
          </w:p>
        </w:tc>
        <w:tc>
          <w:tcPr>
            <w:tcW w:w="741" w:type="dxa"/>
            <w:tcBorders>
              <w:top w:val="single" w:color="000000" w:sz="4" w:space="0"/>
              <w:left w:val="single" w:color="000000" w:sz="4" w:space="0"/>
              <w:bottom w:val="single" w:color="000000" w:sz="4" w:space="0"/>
              <w:right w:val="single" w:color="000000" w:sz="4" w:space="0"/>
            </w:tcBorders>
            <w:vAlign w:val="center"/>
          </w:tcPr>
          <w:p w14:paraId="37D27C75">
            <w:pPr>
              <w:widowControl/>
              <w:jc w:val="center"/>
              <w:textAlignment w:val="center"/>
              <w:rPr>
                <w:rFonts w:hint="eastAsia" w:ascii="宋体" w:hAnsi="宋体" w:cs="宋体"/>
                <w:color w:val="000000"/>
                <w:kern w:val="0"/>
                <w:sz w:val="20"/>
                <w:szCs w:val="20"/>
                <w:lang w:bidi="ar"/>
              </w:rPr>
            </w:pPr>
          </w:p>
        </w:tc>
      </w:tr>
      <w:tr w14:paraId="40CADC8E">
        <w:tblPrEx>
          <w:tblCellMar>
            <w:top w:w="0" w:type="dxa"/>
            <w:left w:w="108" w:type="dxa"/>
            <w:bottom w:w="0" w:type="dxa"/>
            <w:right w:w="108" w:type="dxa"/>
          </w:tblCellMar>
        </w:tblPrEx>
        <w:trPr>
          <w:trHeight w:val="20" w:hRule="atLeast"/>
          <w:jc w:val="center"/>
        </w:trPr>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5352CC">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212</w:t>
            </w:r>
          </w:p>
        </w:tc>
        <w:tc>
          <w:tcPr>
            <w:tcW w:w="2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72E518">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二硫化碳中三氯丙烷溶液标准物质</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5AC528">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5000ug/mL，2ml/支</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22C471">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支</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8F1CCC">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3</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8F306E">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130</w:t>
            </w:r>
          </w:p>
        </w:tc>
        <w:tc>
          <w:tcPr>
            <w:tcW w:w="992" w:type="dxa"/>
            <w:tcBorders>
              <w:top w:val="single" w:color="000000" w:sz="4" w:space="0"/>
              <w:left w:val="single" w:color="000000" w:sz="4" w:space="0"/>
              <w:bottom w:val="single" w:color="000000" w:sz="4" w:space="0"/>
              <w:right w:val="single" w:color="000000" w:sz="4" w:space="0"/>
            </w:tcBorders>
            <w:vAlign w:val="center"/>
          </w:tcPr>
          <w:p w14:paraId="1E9D7214">
            <w:pPr>
              <w:widowControl/>
              <w:jc w:val="center"/>
              <w:textAlignment w:val="center"/>
              <w:rPr>
                <w:rFonts w:hint="eastAsia" w:ascii="宋体" w:hAnsi="宋体" w:cs="宋体"/>
                <w:color w:val="000000"/>
                <w:kern w:val="0"/>
                <w:sz w:val="20"/>
                <w:szCs w:val="20"/>
                <w:lang w:bidi="ar"/>
              </w:rPr>
            </w:pPr>
          </w:p>
        </w:tc>
        <w:tc>
          <w:tcPr>
            <w:tcW w:w="1239" w:type="dxa"/>
            <w:tcBorders>
              <w:top w:val="single" w:color="000000" w:sz="4" w:space="0"/>
              <w:left w:val="single" w:color="000000" w:sz="4" w:space="0"/>
              <w:bottom w:val="single" w:color="000000" w:sz="4" w:space="0"/>
              <w:right w:val="single" w:color="000000" w:sz="4" w:space="0"/>
            </w:tcBorders>
            <w:vAlign w:val="center"/>
          </w:tcPr>
          <w:p w14:paraId="625C18BA">
            <w:pPr>
              <w:widowControl/>
              <w:jc w:val="center"/>
              <w:textAlignment w:val="center"/>
              <w:rPr>
                <w:rFonts w:hint="eastAsia" w:ascii="宋体" w:hAnsi="宋体" w:cs="宋体"/>
                <w:color w:val="000000"/>
                <w:kern w:val="0"/>
                <w:sz w:val="20"/>
                <w:szCs w:val="20"/>
                <w:lang w:bidi="ar"/>
              </w:rPr>
            </w:pPr>
          </w:p>
        </w:tc>
        <w:tc>
          <w:tcPr>
            <w:tcW w:w="900" w:type="dxa"/>
            <w:tcBorders>
              <w:top w:val="single" w:color="000000" w:sz="4" w:space="0"/>
              <w:left w:val="single" w:color="000000" w:sz="4" w:space="0"/>
              <w:bottom w:val="single" w:color="000000" w:sz="4" w:space="0"/>
              <w:right w:val="single" w:color="000000" w:sz="4" w:space="0"/>
            </w:tcBorders>
            <w:vAlign w:val="center"/>
          </w:tcPr>
          <w:p w14:paraId="2E33F1F9">
            <w:pPr>
              <w:widowControl/>
              <w:jc w:val="center"/>
              <w:textAlignment w:val="center"/>
              <w:rPr>
                <w:rFonts w:hint="eastAsia" w:ascii="宋体" w:hAnsi="宋体" w:cs="宋体"/>
                <w:color w:val="000000"/>
                <w:kern w:val="0"/>
                <w:sz w:val="20"/>
                <w:szCs w:val="20"/>
                <w:lang w:bidi="ar"/>
              </w:rPr>
            </w:pPr>
          </w:p>
        </w:tc>
        <w:tc>
          <w:tcPr>
            <w:tcW w:w="832" w:type="dxa"/>
            <w:tcBorders>
              <w:top w:val="single" w:color="000000" w:sz="4" w:space="0"/>
              <w:left w:val="single" w:color="000000" w:sz="4" w:space="0"/>
              <w:bottom w:val="single" w:color="000000" w:sz="4" w:space="0"/>
              <w:right w:val="single" w:color="000000" w:sz="4" w:space="0"/>
            </w:tcBorders>
            <w:vAlign w:val="center"/>
          </w:tcPr>
          <w:p w14:paraId="12EBB60A">
            <w:pPr>
              <w:widowControl/>
              <w:jc w:val="center"/>
              <w:textAlignment w:val="center"/>
              <w:rPr>
                <w:rFonts w:hint="eastAsia" w:ascii="宋体" w:hAnsi="宋体" w:cs="宋体"/>
                <w:color w:val="000000"/>
                <w:kern w:val="0"/>
                <w:sz w:val="20"/>
                <w:szCs w:val="20"/>
                <w:lang w:bidi="ar"/>
              </w:rPr>
            </w:pPr>
          </w:p>
        </w:tc>
        <w:tc>
          <w:tcPr>
            <w:tcW w:w="1143" w:type="dxa"/>
            <w:tcBorders>
              <w:top w:val="single" w:color="000000" w:sz="4" w:space="0"/>
              <w:left w:val="single" w:color="000000" w:sz="4" w:space="0"/>
              <w:bottom w:val="single" w:color="000000" w:sz="4" w:space="0"/>
              <w:right w:val="single" w:color="000000" w:sz="4" w:space="0"/>
            </w:tcBorders>
            <w:vAlign w:val="center"/>
          </w:tcPr>
          <w:p w14:paraId="37BA420F">
            <w:pPr>
              <w:widowControl/>
              <w:jc w:val="center"/>
              <w:textAlignment w:val="center"/>
              <w:rPr>
                <w:rFonts w:hint="eastAsia" w:ascii="宋体" w:hAnsi="宋体" w:cs="宋体"/>
                <w:color w:val="000000"/>
                <w:kern w:val="0"/>
                <w:sz w:val="20"/>
                <w:szCs w:val="20"/>
                <w:lang w:bidi="ar"/>
              </w:rPr>
            </w:pPr>
          </w:p>
        </w:tc>
        <w:tc>
          <w:tcPr>
            <w:tcW w:w="763" w:type="dxa"/>
            <w:tcBorders>
              <w:top w:val="single" w:color="000000" w:sz="4" w:space="0"/>
              <w:left w:val="single" w:color="000000" w:sz="4" w:space="0"/>
              <w:bottom w:val="single" w:color="000000" w:sz="4" w:space="0"/>
              <w:right w:val="single" w:color="000000" w:sz="4" w:space="0"/>
            </w:tcBorders>
            <w:vAlign w:val="center"/>
          </w:tcPr>
          <w:p w14:paraId="75C6C0E2">
            <w:pPr>
              <w:widowControl/>
              <w:jc w:val="center"/>
              <w:textAlignment w:val="center"/>
              <w:rPr>
                <w:rFonts w:hint="eastAsia" w:ascii="宋体" w:hAnsi="宋体" w:cs="宋体"/>
                <w:color w:val="000000"/>
                <w:kern w:val="0"/>
                <w:sz w:val="20"/>
                <w:szCs w:val="20"/>
                <w:lang w:bidi="ar"/>
              </w:rPr>
            </w:pPr>
          </w:p>
        </w:tc>
        <w:tc>
          <w:tcPr>
            <w:tcW w:w="741" w:type="dxa"/>
            <w:tcBorders>
              <w:top w:val="single" w:color="000000" w:sz="4" w:space="0"/>
              <w:left w:val="single" w:color="000000" w:sz="4" w:space="0"/>
              <w:bottom w:val="single" w:color="000000" w:sz="4" w:space="0"/>
              <w:right w:val="single" w:color="000000" w:sz="4" w:space="0"/>
            </w:tcBorders>
            <w:vAlign w:val="center"/>
          </w:tcPr>
          <w:p w14:paraId="222446C2">
            <w:pPr>
              <w:widowControl/>
              <w:jc w:val="center"/>
              <w:textAlignment w:val="center"/>
              <w:rPr>
                <w:rFonts w:hint="eastAsia" w:ascii="宋体" w:hAnsi="宋体" w:cs="宋体"/>
                <w:color w:val="000000"/>
                <w:kern w:val="0"/>
                <w:sz w:val="20"/>
                <w:szCs w:val="20"/>
                <w:lang w:bidi="ar"/>
              </w:rPr>
            </w:pPr>
          </w:p>
        </w:tc>
      </w:tr>
      <w:tr w14:paraId="2A15E6D4">
        <w:tblPrEx>
          <w:tblCellMar>
            <w:top w:w="0" w:type="dxa"/>
            <w:left w:w="108" w:type="dxa"/>
            <w:bottom w:w="0" w:type="dxa"/>
            <w:right w:w="108" w:type="dxa"/>
          </w:tblCellMar>
        </w:tblPrEx>
        <w:trPr>
          <w:trHeight w:val="20" w:hRule="atLeast"/>
          <w:jc w:val="center"/>
        </w:trPr>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091CCB">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213</w:t>
            </w:r>
          </w:p>
        </w:tc>
        <w:tc>
          <w:tcPr>
            <w:tcW w:w="2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3A06D2">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二硫化碳中三种二氯苯溶液标准物质</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A35AB8">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1000ug/mL，2ml/支</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C22CA0">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支</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A78201">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3</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D91197">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300</w:t>
            </w:r>
          </w:p>
        </w:tc>
        <w:tc>
          <w:tcPr>
            <w:tcW w:w="992" w:type="dxa"/>
            <w:tcBorders>
              <w:top w:val="single" w:color="000000" w:sz="4" w:space="0"/>
              <w:left w:val="single" w:color="000000" w:sz="4" w:space="0"/>
              <w:bottom w:val="single" w:color="000000" w:sz="4" w:space="0"/>
              <w:right w:val="single" w:color="000000" w:sz="4" w:space="0"/>
            </w:tcBorders>
            <w:vAlign w:val="center"/>
          </w:tcPr>
          <w:p w14:paraId="34C9FB76">
            <w:pPr>
              <w:widowControl/>
              <w:jc w:val="center"/>
              <w:textAlignment w:val="center"/>
              <w:rPr>
                <w:rFonts w:hint="eastAsia" w:ascii="宋体" w:hAnsi="宋体" w:cs="宋体"/>
                <w:color w:val="000000"/>
                <w:kern w:val="0"/>
                <w:sz w:val="20"/>
                <w:szCs w:val="20"/>
                <w:lang w:bidi="ar"/>
              </w:rPr>
            </w:pPr>
          </w:p>
        </w:tc>
        <w:tc>
          <w:tcPr>
            <w:tcW w:w="1239" w:type="dxa"/>
            <w:tcBorders>
              <w:top w:val="single" w:color="000000" w:sz="4" w:space="0"/>
              <w:left w:val="single" w:color="000000" w:sz="4" w:space="0"/>
              <w:bottom w:val="single" w:color="000000" w:sz="4" w:space="0"/>
              <w:right w:val="single" w:color="000000" w:sz="4" w:space="0"/>
            </w:tcBorders>
            <w:vAlign w:val="center"/>
          </w:tcPr>
          <w:p w14:paraId="142263A8">
            <w:pPr>
              <w:widowControl/>
              <w:jc w:val="center"/>
              <w:textAlignment w:val="center"/>
              <w:rPr>
                <w:rFonts w:hint="eastAsia" w:ascii="宋体" w:hAnsi="宋体" w:cs="宋体"/>
                <w:color w:val="000000"/>
                <w:kern w:val="0"/>
                <w:sz w:val="20"/>
                <w:szCs w:val="20"/>
                <w:lang w:bidi="ar"/>
              </w:rPr>
            </w:pPr>
          </w:p>
        </w:tc>
        <w:tc>
          <w:tcPr>
            <w:tcW w:w="900" w:type="dxa"/>
            <w:tcBorders>
              <w:top w:val="single" w:color="000000" w:sz="4" w:space="0"/>
              <w:left w:val="single" w:color="000000" w:sz="4" w:space="0"/>
              <w:bottom w:val="single" w:color="000000" w:sz="4" w:space="0"/>
              <w:right w:val="single" w:color="000000" w:sz="4" w:space="0"/>
            </w:tcBorders>
            <w:vAlign w:val="center"/>
          </w:tcPr>
          <w:p w14:paraId="79C9D0A8">
            <w:pPr>
              <w:widowControl/>
              <w:jc w:val="center"/>
              <w:textAlignment w:val="center"/>
              <w:rPr>
                <w:rFonts w:hint="eastAsia" w:ascii="宋体" w:hAnsi="宋体" w:cs="宋体"/>
                <w:color w:val="000000"/>
                <w:kern w:val="0"/>
                <w:sz w:val="20"/>
                <w:szCs w:val="20"/>
                <w:lang w:bidi="ar"/>
              </w:rPr>
            </w:pPr>
          </w:p>
        </w:tc>
        <w:tc>
          <w:tcPr>
            <w:tcW w:w="832" w:type="dxa"/>
            <w:tcBorders>
              <w:top w:val="single" w:color="000000" w:sz="4" w:space="0"/>
              <w:left w:val="single" w:color="000000" w:sz="4" w:space="0"/>
              <w:bottom w:val="single" w:color="000000" w:sz="4" w:space="0"/>
              <w:right w:val="single" w:color="000000" w:sz="4" w:space="0"/>
            </w:tcBorders>
            <w:vAlign w:val="center"/>
          </w:tcPr>
          <w:p w14:paraId="1FEF1A68">
            <w:pPr>
              <w:widowControl/>
              <w:jc w:val="center"/>
              <w:textAlignment w:val="center"/>
              <w:rPr>
                <w:rFonts w:hint="eastAsia" w:ascii="宋体" w:hAnsi="宋体" w:cs="宋体"/>
                <w:color w:val="000000"/>
                <w:kern w:val="0"/>
                <w:sz w:val="20"/>
                <w:szCs w:val="20"/>
                <w:lang w:bidi="ar"/>
              </w:rPr>
            </w:pPr>
          </w:p>
        </w:tc>
        <w:tc>
          <w:tcPr>
            <w:tcW w:w="1143" w:type="dxa"/>
            <w:tcBorders>
              <w:top w:val="single" w:color="000000" w:sz="4" w:space="0"/>
              <w:left w:val="single" w:color="000000" w:sz="4" w:space="0"/>
              <w:bottom w:val="single" w:color="000000" w:sz="4" w:space="0"/>
              <w:right w:val="single" w:color="000000" w:sz="4" w:space="0"/>
            </w:tcBorders>
            <w:vAlign w:val="center"/>
          </w:tcPr>
          <w:p w14:paraId="6D6E2B98">
            <w:pPr>
              <w:widowControl/>
              <w:jc w:val="center"/>
              <w:textAlignment w:val="center"/>
              <w:rPr>
                <w:rFonts w:hint="eastAsia" w:ascii="宋体" w:hAnsi="宋体" w:cs="宋体"/>
                <w:color w:val="000000"/>
                <w:kern w:val="0"/>
                <w:sz w:val="20"/>
                <w:szCs w:val="20"/>
                <w:lang w:bidi="ar"/>
              </w:rPr>
            </w:pPr>
          </w:p>
        </w:tc>
        <w:tc>
          <w:tcPr>
            <w:tcW w:w="763" w:type="dxa"/>
            <w:tcBorders>
              <w:top w:val="single" w:color="000000" w:sz="4" w:space="0"/>
              <w:left w:val="single" w:color="000000" w:sz="4" w:space="0"/>
              <w:bottom w:val="single" w:color="000000" w:sz="4" w:space="0"/>
              <w:right w:val="single" w:color="000000" w:sz="4" w:space="0"/>
            </w:tcBorders>
            <w:vAlign w:val="center"/>
          </w:tcPr>
          <w:p w14:paraId="71F2C272">
            <w:pPr>
              <w:widowControl/>
              <w:jc w:val="center"/>
              <w:textAlignment w:val="center"/>
              <w:rPr>
                <w:rFonts w:hint="eastAsia" w:ascii="宋体" w:hAnsi="宋体" w:cs="宋体"/>
                <w:color w:val="000000"/>
                <w:kern w:val="0"/>
                <w:sz w:val="20"/>
                <w:szCs w:val="20"/>
                <w:lang w:bidi="ar"/>
              </w:rPr>
            </w:pPr>
          </w:p>
        </w:tc>
        <w:tc>
          <w:tcPr>
            <w:tcW w:w="741" w:type="dxa"/>
            <w:tcBorders>
              <w:top w:val="single" w:color="000000" w:sz="4" w:space="0"/>
              <w:left w:val="single" w:color="000000" w:sz="4" w:space="0"/>
              <w:bottom w:val="single" w:color="000000" w:sz="4" w:space="0"/>
              <w:right w:val="single" w:color="000000" w:sz="4" w:space="0"/>
            </w:tcBorders>
            <w:vAlign w:val="center"/>
          </w:tcPr>
          <w:p w14:paraId="583A81A0">
            <w:pPr>
              <w:widowControl/>
              <w:jc w:val="center"/>
              <w:textAlignment w:val="center"/>
              <w:rPr>
                <w:rFonts w:hint="eastAsia" w:ascii="宋体" w:hAnsi="宋体" w:cs="宋体"/>
                <w:color w:val="000000"/>
                <w:kern w:val="0"/>
                <w:sz w:val="20"/>
                <w:szCs w:val="20"/>
                <w:lang w:bidi="ar"/>
              </w:rPr>
            </w:pPr>
          </w:p>
        </w:tc>
      </w:tr>
      <w:tr w14:paraId="57338C2E">
        <w:tblPrEx>
          <w:tblCellMar>
            <w:top w:w="0" w:type="dxa"/>
            <w:left w:w="108" w:type="dxa"/>
            <w:bottom w:w="0" w:type="dxa"/>
            <w:right w:w="108" w:type="dxa"/>
          </w:tblCellMar>
        </w:tblPrEx>
        <w:trPr>
          <w:trHeight w:val="20" w:hRule="atLeast"/>
          <w:jc w:val="center"/>
        </w:trPr>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CC15EA">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214</w:t>
            </w:r>
          </w:p>
        </w:tc>
        <w:tc>
          <w:tcPr>
            <w:tcW w:w="2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34F2CC">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二硫化碳中苄基氯溶液标准物质</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98F050">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2000ug/mL，2ml/支</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6B25E0">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支</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290BA2">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3</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A20A2F">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260</w:t>
            </w:r>
          </w:p>
        </w:tc>
        <w:tc>
          <w:tcPr>
            <w:tcW w:w="992" w:type="dxa"/>
            <w:tcBorders>
              <w:top w:val="single" w:color="000000" w:sz="4" w:space="0"/>
              <w:left w:val="single" w:color="000000" w:sz="4" w:space="0"/>
              <w:bottom w:val="single" w:color="000000" w:sz="4" w:space="0"/>
              <w:right w:val="single" w:color="000000" w:sz="4" w:space="0"/>
            </w:tcBorders>
            <w:vAlign w:val="center"/>
          </w:tcPr>
          <w:p w14:paraId="246EBAF7">
            <w:pPr>
              <w:widowControl/>
              <w:jc w:val="center"/>
              <w:textAlignment w:val="center"/>
              <w:rPr>
                <w:rFonts w:hint="eastAsia" w:ascii="宋体" w:hAnsi="宋体" w:cs="宋体"/>
                <w:color w:val="000000"/>
                <w:kern w:val="0"/>
                <w:sz w:val="20"/>
                <w:szCs w:val="20"/>
                <w:lang w:bidi="ar"/>
              </w:rPr>
            </w:pPr>
          </w:p>
        </w:tc>
        <w:tc>
          <w:tcPr>
            <w:tcW w:w="1239" w:type="dxa"/>
            <w:tcBorders>
              <w:top w:val="single" w:color="000000" w:sz="4" w:space="0"/>
              <w:left w:val="single" w:color="000000" w:sz="4" w:space="0"/>
              <w:bottom w:val="single" w:color="000000" w:sz="4" w:space="0"/>
              <w:right w:val="single" w:color="000000" w:sz="4" w:space="0"/>
            </w:tcBorders>
            <w:vAlign w:val="center"/>
          </w:tcPr>
          <w:p w14:paraId="20942727">
            <w:pPr>
              <w:widowControl/>
              <w:jc w:val="center"/>
              <w:textAlignment w:val="center"/>
              <w:rPr>
                <w:rFonts w:hint="eastAsia" w:ascii="宋体" w:hAnsi="宋体" w:cs="宋体"/>
                <w:color w:val="000000"/>
                <w:kern w:val="0"/>
                <w:sz w:val="20"/>
                <w:szCs w:val="20"/>
                <w:lang w:bidi="ar"/>
              </w:rPr>
            </w:pPr>
          </w:p>
        </w:tc>
        <w:tc>
          <w:tcPr>
            <w:tcW w:w="900" w:type="dxa"/>
            <w:tcBorders>
              <w:top w:val="single" w:color="000000" w:sz="4" w:space="0"/>
              <w:left w:val="single" w:color="000000" w:sz="4" w:space="0"/>
              <w:bottom w:val="single" w:color="000000" w:sz="4" w:space="0"/>
              <w:right w:val="single" w:color="000000" w:sz="4" w:space="0"/>
            </w:tcBorders>
            <w:vAlign w:val="center"/>
          </w:tcPr>
          <w:p w14:paraId="177D0AE0">
            <w:pPr>
              <w:widowControl/>
              <w:jc w:val="center"/>
              <w:textAlignment w:val="center"/>
              <w:rPr>
                <w:rFonts w:hint="eastAsia" w:ascii="宋体" w:hAnsi="宋体" w:cs="宋体"/>
                <w:color w:val="000000"/>
                <w:kern w:val="0"/>
                <w:sz w:val="20"/>
                <w:szCs w:val="20"/>
                <w:lang w:bidi="ar"/>
              </w:rPr>
            </w:pPr>
          </w:p>
        </w:tc>
        <w:tc>
          <w:tcPr>
            <w:tcW w:w="832" w:type="dxa"/>
            <w:tcBorders>
              <w:top w:val="single" w:color="000000" w:sz="4" w:space="0"/>
              <w:left w:val="single" w:color="000000" w:sz="4" w:space="0"/>
              <w:bottom w:val="single" w:color="000000" w:sz="4" w:space="0"/>
              <w:right w:val="single" w:color="000000" w:sz="4" w:space="0"/>
            </w:tcBorders>
            <w:vAlign w:val="center"/>
          </w:tcPr>
          <w:p w14:paraId="07E03D8C">
            <w:pPr>
              <w:widowControl/>
              <w:jc w:val="center"/>
              <w:textAlignment w:val="center"/>
              <w:rPr>
                <w:rFonts w:hint="eastAsia" w:ascii="宋体" w:hAnsi="宋体" w:cs="宋体"/>
                <w:color w:val="000000"/>
                <w:kern w:val="0"/>
                <w:sz w:val="20"/>
                <w:szCs w:val="20"/>
                <w:lang w:bidi="ar"/>
              </w:rPr>
            </w:pPr>
          </w:p>
        </w:tc>
        <w:tc>
          <w:tcPr>
            <w:tcW w:w="1143" w:type="dxa"/>
            <w:tcBorders>
              <w:top w:val="single" w:color="000000" w:sz="4" w:space="0"/>
              <w:left w:val="single" w:color="000000" w:sz="4" w:space="0"/>
              <w:bottom w:val="single" w:color="000000" w:sz="4" w:space="0"/>
              <w:right w:val="single" w:color="000000" w:sz="4" w:space="0"/>
            </w:tcBorders>
            <w:vAlign w:val="center"/>
          </w:tcPr>
          <w:p w14:paraId="0FA5305C">
            <w:pPr>
              <w:widowControl/>
              <w:jc w:val="center"/>
              <w:textAlignment w:val="center"/>
              <w:rPr>
                <w:rFonts w:hint="eastAsia" w:ascii="宋体" w:hAnsi="宋体" w:cs="宋体"/>
                <w:color w:val="000000"/>
                <w:kern w:val="0"/>
                <w:sz w:val="20"/>
                <w:szCs w:val="20"/>
                <w:lang w:bidi="ar"/>
              </w:rPr>
            </w:pPr>
          </w:p>
        </w:tc>
        <w:tc>
          <w:tcPr>
            <w:tcW w:w="763" w:type="dxa"/>
            <w:tcBorders>
              <w:top w:val="single" w:color="000000" w:sz="4" w:space="0"/>
              <w:left w:val="single" w:color="000000" w:sz="4" w:space="0"/>
              <w:bottom w:val="single" w:color="000000" w:sz="4" w:space="0"/>
              <w:right w:val="single" w:color="000000" w:sz="4" w:space="0"/>
            </w:tcBorders>
            <w:vAlign w:val="center"/>
          </w:tcPr>
          <w:p w14:paraId="613EF5BE">
            <w:pPr>
              <w:widowControl/>
              <w:jc w:val="center"/>
              <w:textAlignment w:val="center"/>
              <w:rPr>
                <w:rFonts w:hint="eastAsia" w:ascii="宋体" w:hAnsi="宋体" w:cs="宋体"/>
                <w:color w:val="000000"/>
                <w:kern w:val="0"/>
                <w:sz w:val="20"/>
                <w:szCs w:val="20"/>
                <w:lang w:bidi="ar"/>
              </w:rPr>
            </w:pPr>
          </w:p>
        </w:tc>
        <w:tc>
          <w:tcPr>
            <w:tcW w:w="741" w:type="dxa"/>
            <w:tcBorders>
              <w:top w:val="single" w:color="000000" w:sz="4" w:space="0"/>
              <w:left w:val="single" w:color="000000" w:sz="4" w:space="0"/>
              <w:bottom w:val="single" w:color="000000" w:sz="4" w:space="0"/>
              <w:right w:val="single" w:color="000000" w:sz="4" w:space="0"/>
            </w:tcBorders>
            <w:vAlign w:val="center"/>
          </w:tcPr>
          <w:p w14:paraId="0779A350">
            <w:pPr>
              <w:widowControl/>
              <w:jc w:val="center"/>
              <w:textAlignment w:val="center"/>
              <w:rPr>
                <w:rFonts w:hint="eastAsia" w:ascii="宋体" w:hAnsi="宋体" w:cs="宋体"/>
                <w:color w:val="000000"/>
                <w:kern w:val="0"/>
                <w:sz w:val="20"/>
                <w:szCs w:val="20"/>
                <w:lang w:bidi="ar"/>
              </w:rPr>
            </w:pPr>
          </w:p>
        </w:tc>
      </w:tr>
      <w:tr w14:paraId="2796DCCD">
        <w:tblPrEx>
          <w:tblCellMar>
            <w:top w:w="0" w:type="dxa"/>
            <w:left w:w="108" w:type="dxa"/>
            <w:bottom w:w="0" w:type="dxa"/>
            <w:right w:w="108" w:type="dxa"/>
          </w:tblCellMar>
        </w:tblPrEx>
        <w:trPr>
          <w:trHeight w:val="20" w:hRule="atLeast"/>
          <w:jc w:val="center"/>
        </w:trPr>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941975">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215</w:t>
            </w:r>
          </w:p>
        </w:tc>
        <w:tc>
          <w:tcPr>
            <w:tcW w:w="2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955062">
            <w:pPr>
              <w:widowControl/>
              <w:jc w:val="center"/>
              <w:textAlignment w:val="center"/>
              <w:rPr>
                <w:rFonts w:ascii="宋体" w:hAnsi="宋体" w:cs="宋体"/>
                <w:color w:val="000000"/>
                <w:sz w:val="20"/>
                <w:szCs w:val="20"/>
              </w:rPr>
            </w:pPr>
            <w:r>
              <w:rPr>
                <w:rFonts w:hint="eastAsia" w:ascii="MS Gothic" w:hAnsi="MS Gothic" w:eastAsia="MS Gothic" w:cs="MS Gothic"/>
                <w:color w:val="000000"/>
                <w:kern w:val="0"/>
                <w:sz w:val="20"/>
                <w:szCs w:val="20"/>
                <w:lang w:bidi="ar"/>
              </w:rPr>
              <w:t>‌</w:t>
            </w:r>
            <w:r>
              <w:rPr>
                <w:rFonts w:hint="eastAsia" w:ascii="宋体" w:hAnsi="宋体" w:cs="宋体"/>
                <w:color w:val="000000"/>
                <w:kern w:val="0"/>
                <w:sz w:val="20"/>
                <w:szCs w:val="20"/>
                <w:lang w:bidi="ar"/>
              </w:rPr>
              <w:t>异丙醇/二硫化碳中正丁醇</w:t>
            </w:r>
            <w:r>
              <w:rPr>
                <w:rFonts w:hint="eastAsia" w:ascii="MS Gothic" w:hAnsi="MS Gothic" w:eastAsia="MS Gothic" w:cs="MS Gothic"/>
                <w:color w:val="000000"/>
                <w:kern w:val="0"/>
                <w:sz w:val="20"/>
                <w:szCs w:val="20"/>
                <w:lang w:bidi="ar"/>
              </w:rPr>
              <w:t>‌</w:t>
            </w:r>
            <w:r>
              <w:rPr>
                <w:rFonts w:hint="eastAsia" w:ascii="宋体" w:hAnsi="宋体" w:cs="宋体"/>
                <w:color w:val="000000"/>
                <w:kern w:val="0"/>
                <w:sz w:val="20"/>
                <w:szCs w:val="20"/>
                <w:lang w:bidi="ar"/>
              </w:rPr>
              <w:t>溶液标准物质</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F41AA2">
            <w:pPr>
              <w:widowControl/>
              <w:jc w:val="center"/>
              <w:textAlignment w:val="center"/>
              <w:rPr>
                <w:rFonts w:ascii="宋体" w:hAnsi="宋体" w:cs="宋体"/>
                <w:color w:val="333333"/>
                <w:sz w:val="20"/>
                <w:szCs w:val="20"/>
              </w:rPr>
            </w:pPr>
            <w:r>
              <w:rPr>
                <w:rFonts w:hint="eastAsia" w:ascii="宋体" w:hAnsi="宋体" w:cs="宋体"/>
                <w:color w:val="333333"/>
                <w:kern w:val="0"/>
                <w:sz w:val="20"/>
                <w:szCs w:val="20"/>
                <w:lang w:bidi="ar"/>
              </w:rPr>
              <w:t>10000μg/mL，2ml/支</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810C5F">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支</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A616D9">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3</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A957C3">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120</w:t>
            </w:r>
          </w:p>
        </w:tc>
        <w:tc>
          <w:tcPr>
            <w:tcW w:w="992" w:type="dxa"/>
            <w:tcBorders>
              <w:top w:val="single" w:color="000000" w:sz="4" w:space="0"/>
              <w:left w:val="single" w:color="000000" w:sz="4" w:space="0"/>
              <w:bottom w:val="single" w:color="000000" w:sz="4" w:space="0"/>
              <w:right w:val="single" w:color="000000" w:sz="4" w:space="0"/>
            </w:tcBorders>
            <w:vAlign w:val="center"/>
          </w:tcPr>
          <w:p w14:paraId="30A5334C">
            <w:pPr>
              <w:widowControl/>
              <w:jc w:val="center"/>
              <w:textAlignment w:val="center"/>
              <w:rPr>
                <w:rFonts w:hint="eastAsia" w:ascii="宋体" w:hAnsi="宋体" w:cs="宋体"/>
                <w:color w:val="000000"/>
                <w:kern w:val="0"/>
                <w:sz w:val="20"/>
                <w:szCs w:val="20"/>
                <w:lang w:bidi="ar"/>
              </w:rPr>
            </w:pPr>
          </w:p>
        </w:tc>
        <w:tc>
          <w:tcPr>
            <w:tcW w:w="1239" w:type="dxa"/>
            <w:tcBorders>
              <w:top w:val="single" w:color="000000" w:sz="4" w:space="0"/>
              <w:left w:val="single" w:color="000000" w:sz="4" w:space="0"/>
              <w:bottom w:val="single" w:color="000000" w:sz="4" w:space="0"/>
              <w:right w:val="single" w:color="000000" w:sz="4" w:space="0"/>
            </w:tcBorders>
            <w:vAlign w:val="center"/>
          </w:tcPr>
          <w:p w14:paraId="5FF59C3F">
            <w:pPr>
              <w:widowControl/>
              <w:jc w:val="center"/>
              <w:textAlignment w:val="center"/>
              <w:rPr>
                <w:rFonts w:hint="eastAsia" w:ascii="宋体" w:hAnsi="宋体" w:cs="宋体"/>
                <w:color w:val="000000"/>
                <w:kern w:val="0"/>
                <w:sz w:val="20"/>
                <w:szCs w:val="20"/>
                <w:lang w:bidi="ar"/>
              </w:rPr>
            </w:pPr>
          </w:p>
        </w:tc>
        <w:tc>
          <w:tcPr>
            <w:tcW w:w="900" w:type="dxa"/>
            <w:tcBorders>
              <w:top w:val="single" w:color="000000" w:sz="4" w:space="0"/>
              <w:left w:val="single" w:color="000000" w:sz="4" w:space="0"/>
              <w:bottom w:val="single" w:color="000000" w:sz="4" w:space="0"/>
              <w:right w:val="single" w:color="000000" w:sz="4" w:space="0"/>
            </w:tcBorders>
            <w:vAlign w:val="center"/>
          </w:tcPr>
          <w:p w14:paraId="43BC0AAC">
            <w:pPr>
              <w:widowControl/>
              <w:jc w:val="center"/>
              <w:textAlignment w:val="center"/>
              <w:rPr>
                <w:rFonts w:hint="eastAsia" w:ascii="宋体" w:hAnsi="宋体" w:cs="宋体"/>
                <w:color w:val="000000"/>
                <w:kern w:val="0"/>
                <w:sz w:val="20"/>
                <w:szCs w:val="20"/>
                <w:lang w:bidi="ar"/>
              </w:rPr>
            </w:pPr>
          </w:p>
        </w:tc>
        <w:tc>
          <w:tcPr>
            <w:tcW w:w="832" w:type="dxa"/>
            <w:tcBorders>
              <w:top w:val="single" w:color="000000" w:sz="4" w:space="0"/>
              <w:left w:val="single" w:color="000000" w:sz="4" w:space="0"/>
              <w:bottom w:val="single" w:color="000000" w:sz="4" w:space="0"/>
              <w:right w:val="single" w:color="000000" w:sz="4" w:space="0"/>
            </w:tcBorders>
            <w:vAlign w:val="center"/>
          </w:tcPr>
          <w:p w14:paraId="2AFEAAB6">
            <w:pPr>
              <w:widowControl/>
              <w:jc w:val="center"/>
              <w:textAlignment w:val="center"/>
              <w:rPr>
                <w:rFonts w:hint="eastAsia" w:ascii="宋体" w:hAnsi="宋体" w:cs="宋体"/>
                <w:color w:val="000000"/>
                <w:kern w:val="0"/>
                <w:sz w:val="20"/>
                <w:szCs w:val="20"/>
                <w:lang w:bidi="ar"/>
              </w:rPr>
            </w:pPr>
          </w:p>
        </w:tc>
        <w:tc>
          <w:tcPr>
            <w:tcW w:w="1143" w:type="dxa"/>
            <w:tcBorders>
              <w:top w:val="single" w:color="000000" w:sz="4" w:space="0"/>
              <w:left w:val="single" w:color="000000" w:sz="4" w:space="0"/>
              <w:bottom w:val="single" w:color="000000" w:sz="4" w:space="0"/>
              <w:right w:val="single" w:color="000000" w:sz="4" w:space="0"/>
            </w:tcBorders>
            <w:vAlign w:val="center"/>
          </w:tcPr>
          <w:p w14:paraId="7E02B119">
            <w:pPr>
              <w:widowControl/>
              <w:jc w:val="center"/>
              <w:textAlignment w:val="center"/>
              <w:rPr>
                <w:rFonts w:hint="eastAsia" w:ascii="宋体" w:hAnsi="宋体" w:cs="宋体"/>
                <w:color w:val="000000"/>
                <w:kern w:val="0"/>
                <w:sz w:val="20"/>
                <w:szCs w:val="20"/>
                <w:lang w:bidi="ar"/>
              </w:rPr>
            </w:pPr>
          </w:p>
        </w:tc>
        <w:tc>
          <w:tcPr>
            <w:tcW w:w="763" w:type="dxa"/>
            <w:tcBorders>
              <w:top w:val="single" w:color="000000" w:sz="4" w:space="0"/>
              <w:left w:val="single" w:color="000000" w:sz="4" w:space="0"/>
              <w:bottom w:val="single" w:color="000000" w:sz="4" w:space="0"/>
              <w:right w:val="single" w:color="000000" w:sz="4" w:space="0"/>
            </w:tcBorders>
            <w:vAlign w:val="center"/>
          </w:tcPr>
          <w:p w14:paraId="667BF022">
            <w:pPr>
              <w:widowControl/>
              <w:jc w:val="center"/>
              <w:textAlignment w:val="center"/>
              <w:rPr>
                <w:rFonts w:hint="eastAsia" w:ascii="宋体" w:hAnsi="宋体" w:cs="宋体"/>
                <w:color w:val="000000"/>
                <w:kern w:val="0"/>
                <w:sz w:val="20"/>
                <w:szCs w:val="20"/>
                <w:lang w:bidi="ar"/>
              </w:rPr>
            </w:pPr>
          </w:p>
        </w:tc>
        <w:tc>
          <w:tcPr>
            <w:tcW w:w="741" w:type="dxa"/>
            <w:tcBorders>
              <w:top w:val="single" w:color="000000" w:sz="4" w:space="0"/>
              <w:left w:val="single" w:color="000000" w:sz="4" w:space="0"/>
              <w:bottom w:val="single" w:color="000000" w:sz="4" w:space="0"/>
              <w:right w:val="single" w:color="000000" w:sz="4" w:space="0"/>
            </w:tcBorders>
            <w:vAlign w:val="center"/>
          </w:tcPr>
          <w:p w14:paraId="334A46BB">
            <w:pPr>
              <w:widowControl/>
              <w:jc w:val="center"/>
              <w:textAlignment w:val="center"/>
              <w:rPr>
                <w:rFonts w:hint="eastAsia" w:ascii="宋体" w:hAnsi="宋体" w:cs="宋体"/>
                <w:color w:val="000000"/>
                <w:kern w:val="0"/>
                <w:sz w:val="20"/>
                <w:szCs w:val="20"/>
                <w:lang w:bidi="ar"/>
              </w:rPr>
            </w:pPr>
          </w:p>
        </w:tc>
      </w:tr>
      <w:tr w14:paraId="70980CB0">
        <w:tblPrEx>
          <w:tblCellMar>
            <w:top w:w="0" w:type="dxa"/>
            <w:left w:w="108" w:type="dxa"/>
            <w:bottom w:w="0" w:type="dxa"/>
            <w:right w:w="108" w:type="dxa"/>
          </w:tblCellMar>
        </w:tblPrEx>
        <w:trPr>
          <w:trHeight w:val="20" w:hRule="atLeast"/>
          <w:jc w:val="center"/>
        </w:trPr>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B9951E">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216</w:t>
            </w:r>
          </w:p>
        </w:tc>
        <w:tc>
          <w:tcPr>
            <w:tcW w:w="2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2D494C">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二硫化碳中丙烯醇溶液标准物质</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1B35DE">
            <w:pPr>
              <w:widowControl/>
              <w:jc w:val="center"/>
              <w:textAlignment w:val="center"/>
              <w:rPr>
                <w:rFonts w:ascii="宋体" w:hAnsi="宋体" w:cs="宋体"/>
                <w:color w:val="333333"/>
                <w:sz w:val="20"/>
                <w:szCs w:val="20"/>
              </w:rPr>
            </w:pPr>
            <w:r>
              <w:rPr>
                <w:rFonts w:hint="eastAsia" w:ascii="宋体" w:hAnsi="宋体" w:cs="宋体"/>
                <w:color w:val="333333"/>
                <w:kern w:val="0"/>
                <w:sz w:val="20"/>
                <w:szCs w:val="20"/>
                <w:lang w:bidi="ar"/>
              </w:rPr>
              <w:t>1000μg/mL，2ml/支</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F3D5D2">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支</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26BE81">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3</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0EA2B2">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100</w:t>
            </w:r>
          </w:p>
        </w:tc>
        <w:tc>
          <w:tcPr>
            <w:tcW w:w="992" w:type="dxa"/>
            <w:tcBorders>
              <w:top w:val="single" w:color="000000" w:sz="4" w:space="0"/>
              <w:left w:val="single" w:color="000000" w:sz="4" w:space="0"/>
              <w:bottom w:val="single" w:color="000000" w:sz="4" w:space="0"/>
              <w:right w:val="single" w:color="000000" w:sz="4" w:space="0"/>
            </w:tcBorders>
            <w:vAlign w:val="center"/>
          </w:tcPr>
          <w:p w14:paraId="5440EF13">
            <w:pPr>
              <w:widowControl/>
              <w:jc w:val="center"/>
              <w:textAlignment w:val="center"/>
              <w:rPr>
                <w:rFonts w:hint="eastAsia" w:ascii="宋体" w:hAnsi="宋体" w:cs="宋体"/>
                <w:color w:val="000000"/>
                <w:kern w:val="0"/>
                <w:sz w:val="20"/>
                <w:szCs w:val="20"/>
                <w:lang w:bidi="ar"/>
              </w:rPr>
            </w:pPr>
          </w:p>
        </w:tc>
        <w:tc>
          <w:tcPr>
            <w:tcW w:w="1239" w:type="dxa"/>
            <w:tcBorders>
              <w:top w:val="single" w:color="000000" w:sz="4" w:space="0"/>
              <w:left w:val="single" w:color="000000" w:sz="4" w:space="0"/>
              <w:bottom w:val="single" w:color="000000" w:sz="4" w:space="0"/>
              <w:right w:val="single" w:color="000000" w:sz="4" w:space="0"/>
            </w:tcBorders>
            <w:vAlign w:val="center"/>
          </w:tcPr>
          <w:p w14:paraId="3920D649">
            <w:pPr>
              <w:widowControl/>
              <w:jc w:val="center"/>
              <w:textAlignment w:val="center"/>
              <w:rPr>
                <w:rFonts w:hint="eastAsia" w:ascii="宋体" w:hAnsi="宋体" w:cs="宋体"/>
                <w:color w:val="000000"/>
                <w:kern w:val="0"/>
                <w:sz w:val="20"/>
                <w:szCs w:val="20"/>
                <w:lang w:bidi="ar"/>
              </w:rPr>
            </w:pPr>
          </w:p>
        </w:tc>
        <w:tc>
          <w:tcPr>
            <w:tcW w:w="900" w:type="dxa"/>
            <w:tcBorders>
              <w:top w:val="single" w:color="000000" w:sz="4" w:space="0"/>
              <w:left w:val="single" w:color="000000" w:sz="4" w:space="0"/>
              <w:bottom w:val="single" w:color="000000" w:sz="4" w:space="0"/>
              <w:right w:val="single" w:color="000000" w:sz="4" w:space="0"/>
            </w:tcBorders>
            <w:vAlign w:val="center"/>
          </w:tcPr>
          <w:p w14:paraId="78C4BE2E">
            <w:pPr>
              <w:widowControl/>
              <w:jc w:val="center"/>
              <w:textAlignment w:val="center"/>
              <w:rPr>
                <w:rFonts w:hint="eastAsia" w:ascii="宋体" w:hAnsi="宋体" w:cs="宋体"/>
                <w:color w:val="000000"/>
                <w:kern w:val="0"/>
                <w:sz w:val="20"/>
                <w:szCs w:val="20"/>
                <w:lang w:bidi="ar"/>
              </w:rPr>
            </w:pPr>
          </w:p>
        </w:tc>
        <w:tc>
          <w:tcPr>
            <w:tcW w:w="832" w:type="dxa"/>
            <w:tcBorders>
              <w:top w:val="single" w:color="000000" w:sz="4" w:space="0"/>
              <w:left w:val="single" w:color="000000" w:sz="4" w:space="0"/>
              <w:bottom w:val="single" w:color="000000" w:sz="4" w:space="0"/>
              <w:right w:val="single" w:color="000000" w:sz="4" w:space="0"/>
            </w:tcBorders>
            <w:vAlign w:val="center"/>
          </w:tcPr>
          <w:p w14:paraId="6FCD64BD">
            <w:pPr>
              <w:widowControl/>
              <w:jc w:val="center"/>
              <w:textAlignment w:val="center"/>
              <w:rPr>
                <w:rFonts w:hint="eastAsia" w:ascii="宋体" w:hAnsi="宋体" w:cs="宋体"/>
                <w:color w:val="000000"/>
                <w:kern w:val="0"/>
                <w:sz w:val="20"/>
                <w:szCs w:val="20"/>
                <w:lang w:bidi="ar"/>
              </w:rPr>
            </w:pPr>
          </w:p>
        </w:tc>
        <w:tc>
          <w:tcPr>
            <w:tcW w:w="1143" w:type="dxa"/>
            <w:tcBorders>
              <w:top w:val="single" w:color="000000" w:sz="4" w:space="0"/>
              <w:left w:val="single" w:color="000000" w:sz="4" w:space="0"/>
              <w:bottom w:val="single" w:color="000000" w:sz="4" w:space="0"/>
              <w:right w:val="single" w:color="000000" w:sz="4" w:space="0"/>
            </w:tcBorders>
            <w:vAlign w:val="center"/>
          </w:tcPr>
          <w:p w14:paraId="55B978CE">
            <w:pPr>
              <w:widowControl/>
              <w:jc w:val="center"/>
              <w:textAlignment w:val="center"/>
              <w:rPr>
                <w:rFonts w:hint="eastAsia" w:ascii="宋体" w:hAnsi="宋体" w:cs="宋体"/>
                <w:color w:val="000000"/>
                <w:kern w:val="0"/>
                <w:sz w:val="20"/>
                <w:szCs w:val="20"/>
                <w:lang w:bidi="ar"/>
              </w:rPr>
            </w:pPr>
          </w:p>
        </w:tc>
        <w:tc>
          <w:tcPr>
            <w:tcW w:w="763" w:type="dxa"/>
            <w:tcBorders>
              <w:top w:val="single" w:color="000000" w:sz="4" w:space="0"/>
              <w:left w:val="single" w:color="000000" w:sz="4" w:space="0"/>
              <w:bottom w:val="single" w:color="000000" w:sz="4" w:space="0"/>
              <w:right w:val="single" w:color="000000" w:sz="4" w:space="0"/>
            </w:tcBorders>
            <w:vAlign w:val="center"/>
          </w:tcPr>
          <w:p w14:paraId="009DD5BD">
            <w:pPr>
              <w:widowControl/>
              <w:jc w:val="center"/>
              <w:textAlignment w:val="center"/>
              <w:rPr>
                <w:rFonts w:hint="eastAsia" w:ascii="宋体" w:hAnsi="宋体" w:cs="宋体"/>
                <w:color w:val="000000"/>
                <w:kern w:val="0"/>
                <w:sz w:val="20"/>
                <w:szCs w:val="20"/>
                <w:lang w:bidi="ar"/>
              </w:rPr>
            </w:pPr>
          </w:p>
        </w:tc>
        <w:tc>
          <w:tcPr>
            <w:tcW w:w="741" w:type="dxa"/>
            <w:tcBorders>
              <w:top w:val="single" w:color="000000" w:sz="4" w:space="0"/>
              <w:left w:val="single" w:color="000000" w:sz="4" w:space="0"/>
              <w:bottom w:val="single" w:color="000000" w:sz="4" w:space="0"/>
              <w:right w:val="single" w:color="000000" w:sz="4" w:space="0"/>
            </w:tcBorders>
            <w:vAlign w:val="center"/>
          </w:tcPr>
          <w:p w14:paraId="3301A4EF">
            <w:pPr>
              <w:widowControl/>
              <w:jc w:val="center"/>
              <w:textAlignment w:val="center"/>
              <w:rPr>
                <w:rFonts w:hint="eastAsia" w:ascii="宋体" w:hAnsi="宋体" w:cs="宋体"/>
                <w:color w:val="000000"/>
                <w:kern w:val="0"/>
                <w:sz w:val="20"/>
                <w:szCs w:val="20"/>
                <w:lang w:bidi="ar"/>
              </w:rPr>
            </w:pPr>
          </w:p>
        </w:tc>
      </w:tr>
      <w:tr w14:paraId="17C13E02">
        <w:tblPrEx>
          <w:tblCellMar>
            <w:top w:w="0" w:type="dxa"/>
            <w:left w:w="108" w:type="dxa"/>
            <w:bottom w:w="0" w:type="dxa"/>
            <w:right w:w="108" w:type="dxa"/>
          </w:tblCellMar>
        </w:tblPrEx>
        <w:trPr>
          <w:trHeight w:val="20" w:hRule="atLeast"/>
          <w:jc w:val="center"/>
        </w:trPr>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01E378">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217</w:t>
            </w:r>
          </w:p>
        </w:tc>
        <w:tc>
          <w:tcPr>
            <w:tcW w:w="2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287C2C">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甲醇中乙二醇溶液标准物质</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1A12DB">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1000ug/mL，2ml/支</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F201E5">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支</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0AE1DF">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3</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909171">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380</w:t>
            </w:r>
          </w:p>
        </w:tc>
        <w:tc>
          <w:tcPr>
            <w:tcW w:w="992" w:type="dxa"/>
            <w:tcBorders>
              <w:top w:val="single" w:color="000000" w:sz="4" w:space="0"/>
              <w:left w:val="single" w:color="000000" w:sz="4" w:space="0"/>
              <w:bottom w:val="single" w:color="000000" w:sz="4" w:space="0"/>
              <w:right w:val="single" w:color="000000" w:sz="4" w:space="0"/>
            </w:tcBorders>
            <w:vAlign w:val="center"/>
          </w:tcPr>
          <w:p w14:paraId="250EC712">
            <w:pPr>
              <w:widowControl/>
              <w:jc w:val="center"/>
              <w:textAlignment w:val="center"/>
              <w:rPr>
                <w:rFonts w:hint="eastAsia" w:ascii="宋体" w:hAnsi="宋体" w:cs="宋体"/>
                <w:color w:val="000000"/>
                <w:kern w:val="0"/>
                <w:sz w:val="20"/>
                <w:szCs w:val="20"/>
                <w:lang w:bidi="ar"/>
              </w:rPr>
            </w:pPr>
          </w:p>
        </w:tc>
        <w:tc>
          <w:tcPr>
            <w:tcW w:w="1239" w:type="dxa"/>
            <w:tcBorders>
              <w:top w:val="single" w:color="000000" w:sz="4" w:space="0"/>
              <w:left w:val="single" w:color="000000" w:sz="4" w:space="0"/>
              <w:bottom w:val="single" w:color="000000" w:sz="4" w:space="0"/>
              <w:right w:val="single" w:color="000000" w:sz="4" w:space="0"/>
            </w:tcBorders>
            <w:vAlign w:val="center"/>
          </w:tcPr>
          <w:p w14:paraId="14D5A6CE">
            <w:pPr>
              <w:widowControl/>
              <w:jc w:val="center"/>
              <w:textAlignment w:val="center"/>
              <w:rPr>
                <w:rFonts w:hint="eastAsia" w:ascii="宋体" w:hAnsi="宋体" w:cs="宋体"/>
                <w:color w:val="000000"/>
                <w:kern w:val="0"/>
                <w:sz w:val="20"/>
                <w:szCs w:val="20"/>
                <w:lang w:bidi="ar"/>
              </w:rPr>
            </w:pPr>
          </w:p>
        </w:tc>
        <w:tc>
          <w:tcPr>
            <w:tcW w:w="900" w:type="dxa"/>
            <w:tcBorders>
              <w:top w:val="single" w:color="000000" w:sz="4" w:space="0"/>
              <w:left w:val="single" w:color="000000" w:sz="4" w:space="0"/>
              <w:bottom w:val="single" w:color="000000" w:sz="4" w:space="0"/>
              <w:right w:val="single" w:color="000000" w:sz="4" w:space="0"/>
            </w:tcBorders>
            <w:vAlign w:val="center"/>
          </w:tcPr>
          <w:p w14:paraId="23D226CC">
            <w:pPr>
              <w:widowControl/>
              <w:jc w:val="center"/>
              <w:textAlignment w:val="center"/>
              <w:rPr>
                <w:rFonts w:hint="eastAsia" w:ascii="宋体" w:hAnsi="宋体" w:cs="宋体"/>
                <w:color w:val="000000"/>
                <w:kern w:val="0"/>
                <w:sz w:val="20"/>
                <w:szCs w:val="20"/>
                <w:lang w:bidi="ar"/>
              </w:rPr>
            </w:pPr>
          </w:p>
        </w:tc>
        <w:tc>
          <w:tcPr>
            <w:tcW w:w="832" w:type="dxa"/>
            <w:tcBorders>
              <w:top w:val="single" w:color="000000" w:sz="4" w:space="0"/>
              <w:left w:val="single" w:color="000000" w:sz="4" w:space="0"/>
              <w:bottom w:val="single" w:color="000000" w:sz="4" w:space="0"/>
              <w:right w:val="single" w:color="000000" w:sz="4" w:space="0"/>
            </w:tcBorders>
            <w:vAlign w:val="center"/>
          </w:tcPr>
          <w:p w14:paraId="18AE2C41">
            <w:pPr>
              <w:widowControl/>
              <w:jc w:val="center"/>
              <w:textAlignment w:val="center"/>
              <w:rPr>
                <w:rFonts w:hint="eastAsia" w:ascii="宋体" w:hAnsi="宋体" w:cs="宋体"/>
                <w:color w:val="000000"/>
                <w:kern w:val="0"/>
                <w:sz w:val="20"/>
                <w:szCs w:val="20"/>
                <w:lang w:bidi="ar"/>
              </w:rPr>
            </w:pPr>
          </w:p>
        </w:tc>
        <w:tc>
          <w:tcPr>
            <w:tcW w:w="1143" w:type="dxa"/>
            <w:tcBorders>
              <w:top w:val="single" w:color="000000" w:sz="4" w:space="0"/>
              <w:left w:val="single" w:color="000000" w:sz="4" w:space="0"/>
              <w:bottom w:val="single" w:color="000000" w:sz="4" w:space="0"/>
              <w:right w:val="single" w:color="000000" w:sz="4" w:space="0"/>
            </w:tcBorders>
            <w:vAlign w:val="center"/>
          </w:tcPr>
          <w:p w14:paraId="792D8768">
            <w:pPr>
              <w:widowControl/>
              <w:jc w:val="center"/>
              <w:textAlignment w:val="center"/>
              <w:rPr>
                <w:rFonts w:hint="eastAsia" w:ascii="宋体" w:hAnsi="宋体" w:cs="宋体"/>
                <w:color w:val="000000"/>
                <w:kern w:val="0"/>
                <w:sz w:val="20"/>
                <w:szCs w:val="20"/>
                <w:lang w:bidi="ar"/>
              </w:rPr>
            </w:pPr>
          </w:p>
        </w:tc>
        <w:tc>
          <w:tcPr>
            <w:tcW w:w="763" w:type="dxa"/>
            <w:tcBorders>
              <w:top w:val="single" w:color="000000" w:sz="4" w:space="0"/>
              <w:left w:val="single" w:color="000000" w:sz="4" w:space="0"/>
              <w:bottom w:val="single" w:color="000000" w:sz="4" w:space="0"/>
              <w:right w:val="single" w:color="000000" w:sz="4" w:space="0"/>
            </w:tcBorders>
            <w:vAlign w:val="center"/>
          </w:tcPr>
          <w:p w14:paraId="78A26BF5">
            <w:pPr>
              <w:widowControl/>
              <w:jc w:val="center"/>
              <w:textAlignment w:val="center"/>
              <w:rPr>
                <w:rFonts w:hint="eastAsia" w:ascii="宋体" w:hAnsi="宋体" w:cs="宋体"/>
                <w:color w:val="000000"/>
                <w:kern w:val="0"/>
                <w:sz w:val="20"/>
                <w:szCs w:val="20"/>
                <w:lang w:bidi="ar"/>
              </w:rPr>
            </w:pPr>
          </w:p>
        </w:tc>
        <w:tc>
          <w:tcPr>
            <w:tcW w:w="741" w:type="dxa"/>
            <w:tcBorders>
              <w:top w:val="single" w:color="000000" w:sz="4" w:space="0"/>
              <w:left w:val="single" w:color="000000" w:sz="4" w:space="0"/>
              <w:bottom w:val="single" w:color="000000" w:sz="4" w:space="0"/>
              <w:right w:val="single" w:color="000000" w:sz="4" w:space="0"/>
            </w:tcBorders>
            <w:vAlign w:val="center"/>
          </w:tcPr>
          <w:p w14:paraId="2549AB49">
            <w:pPr>
              <w:widowControl/>
              <w:jc w:val="center"/>
              <w:textAlignment w:val="center"/>
              <w:rPr>
                <w:rFonts w:hint="eastAsia" w:ascii="宋体" w:hAnsi="宋体" w:cs="宋体"/>
                <w:color w:val="000000"/>
                <w:kern w:val="0"/>
                <w:sz w:val="20"/>
                <w:szCs w:val="20"/>
                <w:lang w:bidi="ar"/>
              </w:rPr>
            </w:pPr>
          </w:p>
        </w:tc>
      </w:tr>
      <w:tr w14:paraId="19D5F816">
        <w:tblPrEx>
          <w:tblCellMar>
            <w:top w:w="0" w:type="dxa"/>
            <w:left w:w="108" w:type="dxa"/>
            <w:bottom w:w="0" w:type="dxa"/>
            <w:right w:w="108" w:type="dxa"/>
          </w:tblCellMar>
        </w:tblPrEx>
        <w:trPr>
          <w:trHeight w:val="20" w:hRule="atLeast"/>
          <w:jc w:val="center"/>
        </w:trPr>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A6D15D">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218</w:t>
            </w:r>
          </w:p>
        </w:tc>
        <w:tc>
          <w:tcPr>
            <w:tcW w:w="2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F6195E">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异丙醇纯度标准物质</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D4DE14">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1ml/支</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3C5539">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支</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ED42AA">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3</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99821E">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170</w:t>
            </w:r>
          </w:p>
        </w:tc>
        <w:tc>
          <w:tcPr>
            <w:tcW w:w="992" w:type="dxa"/>
            <w:tcBorders>
              <w:top w:val="single" w:color="000000" w:sz="4" w:space="0"/>
              <w:left w:val="single" w:color="000000" w:sz="4" w:space="0"/>
              <w:bottom w:val="single" w:color="000000" w:sz="4" w:space="0"/>
              <w:right w:val="single" w:color="000000" w:sz="4" w:space="0"/>
            </w:tcBorders>
            <w:vAlign w:val="center"/>
          </w:tcPr>
          <w:p w14:paraId="7EF548C4">
            <w:pPr>
              <w:widowControl/>
              <w:jc w:val="center"/>
              <w:textAlignment w:val="center"/>
              <w:rPr>
                <w:rFonts w:hint="eastAsia" w:ascii="宋体" w:hAnsi="宋体" w:cs="宋体"/>
                <w:color w:val="000000"/>
                <w:kern w:val="0"/>
                <w:sz w:val="20"/>
                <w:szCs w:val="20"/>
                <w:lang w:bidi="ar"/>
              </w:rPr>
            </w:pPr>
          </w:p>
        </w:tc>
        <w:tc>
          <w:tcPr>
            <w:tcW w:w="1239" w:type="dxa"/>
            <w:tcBorders>
              <w:top w:val="single" w:color="000000" w:sz="4" w:space="0"/>
              <w:left w:val="single" w:color="000000" w:sz="4" w:space="0"/>
              <w:bottom w:val="single" w:color="000000" w:sz="4" w:space="0"/>
              <w:right w:val="single" w:color="000000" w:sz="4" w:space="0"/>
            </w:tcBorders>
            <w:vAlign w:val="center"/>
          </w:tcPr>
          <w:p w14:paraId="061EEC43">
            <w:pPr>
              <w:widowControl/>
              <w:jc w:val="center"/>
              <w:textAlignment w:val="center"/>
              <w:rPr>
                <w:rFonts w:hint="eastAsia" w:ascii="宋体" w:hAnsi="宋体" w:cs="宋体"/>
                <w:color w:val="000000"/>
                <w:kern w:val="0"/>
                <w:sz w:val="20"/>
                <w:szCs w:val="20"/>
                <w:lang w:bidi="ar"/>
              </w:rPr>
            </w:pPr>
          </w:p>
        </w:tc>
        <w:tc>
          <w:tcPr>
            <w:tcW w:w="900" w:type="dxa"/>
            <w:tcBorders>
              <w:top w:val="single" w:color="000000" w:sz="4" w:space="0"/>
              <w:left w:val="single" w:color="000000" w:sz="4" w:space="0"/>
              <w:bottom w:val="single" w:color="000000" w:sz="4" w:space="0"/>
              <w:right w:val="single" w:color="000000" w:sz="4" w:space="0"/>
            </w:tcBorders>
            <w:vAlign w:val="center"/>
          </w:tcPr>
          <w:p w14:paraId="20EBA24C">
            <w:pPr>
              <w:widowControl/>
              <w:jc w:val="center"/>
              <w:textAlignment w:val="center"/>
              <w:rPr>
                <w:rFonts w:hint="eastAsia" w:ascii="宋体" w:hAnsi="宋体" w:cs="宋体"/>
                <w:color w:val="000000"/>
                <w:kern w:val="0"/>
                <w:sz w:val="20"/>
                <w:szCs w:val="20"/>
                <w:lang w:bidi="ar"/>
              </w:rPr>
            </w:pPr>
          </w:p>
        </w:tc>
        <w:tc>
          <w:tcPr>
            <w:tcW w:w="832" w:type="dxa"/>
            <w:tcBorders>
              <w:top w:val="single" w:color="000000" w:sz="4" w:space="0"/>
              <w:left w:val="single" w:color="000000" w:sz="4" w:space="0"/>
              <w:bottom w:val="single" w:color="000000" w:sz="4" w:space="0"/>
              <w:right w:val="single" w:color="000000" w:sz="4" w:space="0"/>
            </w:tcBorders>
            <w:vAlign w:val="center"/>
          </w:tcPr>
          <w:p w14:paraId="70812D2F">
            <w:pPr>
              <w:widowControl/>
              <w:jc w:val="center"/>
              <w:textAlignment w:val="center"/>
              <w:rPr>
                <w:rFonts w:hint="eastAsia" w:ascii="宋体" w:hAnsi="宋体" w:cs="宋体"/>
                <w:color w:val="000000"/>
                <w:kern w:val="0"/>
                <w:sz w:val="20"/>
                <w:szCs w:val="20"/>
                <w:lang w:bidi="ar"/>
              </w:rPr>
            </w:pPr>
          </w:p>
        </w:tc>
        <w:tc>
          <w:tcPr>
            <w:tcW w:w="1143" w:type="dxa"/>
            <w:tcBorders>
              <w:top w:val="single" w:color="000000" w:sz="4" w:space="0"/>
              <w:left w:val="single" w:color="000000" w:sz="4" w:space="0"/>
              <w:bottom w:val="single" w:color="000000" w:sz="4" w:space="0"/>
              <w:right w:val="single" w:color="000000" w:sz="4" w:space="0"/>
            </w:tcBorders>
            <w:vAlign w:val="center"/>
          </w:tcPr>
          <w:p w14:paraId="69C2A923">
            <w:pPr>
              <w:widowControl/>
              <w:jc w:val="center"/>
              <w:textAlignment w:val="center"/>
              <w:rPr>
                <w:rFonts w:hint="eastAsia" w:ascii="宋体" w:hAnsi="宋体" w:cs="宋体"/>
                <w:color w:val="000000"/>
                <w:kern w:val="0"/>
                <w:sz w:val="20"/>
                <w:szCs w:val="20"/>
                <w:lang w:bidi="ar"/>
              </w:rPr>
            </w:pPr>
          </w:p>
        </w:tc>
        <w:tc>
          <w:tcPr>
            <w:tcW w:w="763" w:type="dxa"/>
            <w:tcBorders>
              <w:top w:val="single" w:color="000000" w:sz="4" w:space="0"/>
              <w:left w:val="single" w:color="000000" w:sz="4" w:space="0"/>
              <w:bottom w:val="single" w:color="000000" w:sz="4" w:space="0"/>
              <w:right w:val="single" w:color="000000" w:sz="4" w:space="0"/>
            </w:tcBorders>
            <w:vAlign w:val="center"/>
          </w:tcPr>
          <w:p w14:paraId="77FA609E">
            <w:pPr>
              <w:widowControl/>
              <w:jc w:val="center"/>
              <w:textAlignment w:val="center"/>
              <w:rPr>
                <w:rFonts w:hint="eastAsia" w:ascii="宋体" w:hAnsi="宋体" w:cs="宋体"/>
                <w:color w:val="000000"/>
                <w:kern w:val="0"/>
                <w:sz w:val="20"/>
                <w:szCs w:val="20"/>
                <w:lang w:bidi="ar"/>
              </w:rPr>
            </w:pPr>
          </w:p>
        </w:tc>
        <w:tc>
          <w:tcPr>
            <w:tcW w:w="741" w:type="dxa"/>
            <w:tcBorders>
              <w:top w:val="single" w:color="000000" w:sz="4" w:space="0"/>
              <w:left w:val="single" w:color="000000" w:sz="4" w:space="0"/>
              <w:bottom w:val="single" w:color="000000" w:sz="4" w:space="0"/>
              <w:right w:val="single" w:color="000000" w:sz="4" w:space="0"/>
            </w:tcBorders>
            <w:vAlign w:val="center"/>
          </w:tcPr>
          <w:p w14:paraId="29529B1D">
            <w:pPr>
              <w:widowControl/>
              <w:jc w:val="center"/>
              <w:textAlignment w:val="center"/>
              <w:rPr>
                <w:rFonts w:hint="eastAsia" w:ascii="宋体" w:hAnsi="宋体" w:cs="宋体"/>
                <w:color w:val="000000"/>
                <w:kern w:val="0"/>
                <w:sz w:val="20"/>
                <w:szCs w:val="20"/>
                <w:lang w:bidi="ar"/>
              </w:rPr>
            </w:pPr>
          </w:p>
        </w:tc>
      </w:tr>
      <w:tr w14:paraId="26EFADA2">
        <w:tblPrEx>
          <w:tblCellMar>
            <w:top w:w="0" w:type="dxa"/>
            <w:left w:w="108" w:type="dxa"/>
            <w:bottom w:w="0" w:type="dxa"/>
            <w:right w:w="108" w:type="dxa"/>
          </w:tblCellMar>
        </w:tblPrEx>
        <w:trPr>
          <w:trHeight w:val="20" w:hRule="atLeast"/>
          <w:jc w:val="center"/>
        </w:trPr>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025A0E">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219</w:t>
            </w:r>
          </w:p>
        </w:tc>
        <w:tc>
          <w:tcPr>
            <w:tcW w:w="2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AF8A99">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甲醇纯度标准物质</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A65C07">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1ml/支</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0C6297">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支</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13C5F0">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3</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FB256C">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200</w:t>
            </w:r>
          </w:p>
        </w:tc>
        <w:tc>
          <w:tcPr>
            <w:tcW w:w="992" w:type="dxa"/>
            <w:tcBorders>
              <w:top w:val="single" w:color="000000" w:sz="4" w:space="0"/>
              <w:left w:val="single" w:color="000000" w:sz="4" w:space="0"/>
              <w:bottom w:val="single" w:color="000000" w:sz="4" w:space="0"/>
              <w:right w:val="single" w:color="000000" w:sz="4" w:space="0"/>
            </w:tcBorders>
            <w:vAlign w:val="center"/>
          </w:tcPr>
          <w:p w14:paraId="553AAA63">
            <w:pPr>
              <w:widowControl/>
              <w:jc w:val="center"/>
              <w:textAlignment w:val="center"/>
              <w:rPr>
                <w:rFonts w:hint="eastAsia" w:ascii="宋体" w:hAnsi="宋体" w:cs="宋体"/>
                <w:color w:val="000000"/>
                <w:kern w:val="0"/>
                <w:sz w:val="20"/>
                <w:szCs w:val="20"/>
                <w:lang w:bidi="ar"/>
              </w:rPr>
            </w:pPr>
          </w:p>
        </w:tc>
        <w:tc>
          <w:tcPr>
            <w:tcW w:w="1239" w:type="dxa"/>
            <w:tcBorders>
              <w:top w:val="single" w:color="000000" w:sz="4" w:space="0"/>
              <w:left w:val="single" w:color="000000" w:sz="4" w:space="0"/>
              <w:bottom w:val="single" w:color="000000" w:sz="4" w:space="0"/>
              <w:right w:val="single" w:color="000000" w:sz="4" w:space="0"/>
            </w:tcBorders>
            <w:vAlign w:val="center"/>
          </w:tcPr>
          <w:p w14:paraId="7F2453FD">
            <w:pPr>
              <w:widowControl/>
              <w:jc w:val="center"/>
              <w:textAlignment w:val="center"/>
              <w:rPr>
                <w:rFonts w:hint="eastAsia" w:ascii="宋体" w:hAnsi="宋体" w:cs="宋体"/>
                <w:color w:val="000000"/>
                <w:kern w:val="0"/>
                <w:sz w:val="20"/>
                <w:szCs w:val="20"/>
                <w:lang w:bidi="ar"/>
              </w:rPr>
            </w:pPr>
          </w:p>
        </w:tc>
        <w:tc>
          <w:tcPr>
            <w:tcW w:w="900" w:type="dxa"/>
            <w:tcBorders>
              <w:top w:val="single" w:color="000000" w:sz="4" w:space="0"/>
              <w:left w:val="single" w:color="000000" w:sz="4" w:space="0"/>
              <w:bottom w:val="single" w:color="000000" w:sz="4" w:space="0"/>
              <w:right w:val="single" w:color="000000" w:sz="4" w:space="0"/>
            </w:tcBorders>
            <w:vAlign w:val="center"/>
          </w:tcPr>
          <w:p w14:paraId="6C126316">
            <w:pPr>
              <w:widowControl/>
              <w:jc w:val="center"/>
              <w:textAlignment w:val="center"/>
              <w:rPr>
                <w:rFonts w:hint="eastAsia" w:ascii="宋体" w:hAnsi="宋体" w:cs="宋体"/>
                <w:color w:val="000000"/>
                <w:kern w:val="0"/>
                <w:sz w:val="20"/>
                <w:szCs w:val="20"/>
                <w:lang w:bidi="ar"/>
              </w:rPr>
            </w:pPr>
          </w:p>
        </w:tc>
        <w:tc>
          <w:tcPr>
            <w:tcW w:w="832" w:type="dxa"/>
            <w:tcBorders>
              <w:top w:val="single" w:color="000000" w:sz="4" w:space="0"/>
              <w:left w:val="single" w:color="000000" w:sz="4" w:space="0"/>
              <w:bottom w:val="single" w:color="000000" w:sz="4" w:space="0"/>
              <w:right w:val="single" w:color="000000" w:sz="4" w:space="0"/>
            </w:tcBorders>
            <w:vAlign w:val="center"/>
          </w:tcPr>
          <w:p w14:paraId="2CA37189">
            <w:pPr>
              <w:widowControl/>
              <w:jc w:val="center"/>
              <w:textAlignment w:val="center"/>
              <w:rPr>
                <w:rFonts w:hint="eastAsia" w:ascii="宋体" w:hAnsi="宋体" w:cs="宋体"/>
                <w:color w:val="000000"/>
                <w:kern w:val="0"/>
                <w:sz w:val="20"/>
                <w:szCs w:val="20"/>
                <w:lang w:bidi="ar"/>
              </w:rPr>
            </w:pPr>
          </w:p>
        </w:tc>
        <w:tc>
          <w:tcPr>
            <w:tcW w:w="1143" w:type="dxa"/>
            <w:tcBorders>
              <w:top w:val="single" w:color="000000" w:sz="4" w:space="0"/>
              <w:left w:val="single" w:color="000000" w:sz="4" w:space="0"/>
              <w:bottom w:val="single" w:color="000000" w:sz="4" w:space="0"/>
              <w:right w:val="single" w:color="000000" w:sz="4" w:space="0"/>
            </w:tcBorders>
            <w:vAlign w:val="center"/>
          </w:tcPr>
          <w:p w14:paraId="476B51C7">
            <w:pPr>
              <w:widowControl/>
              <w:jc w:val="center"/>
              <w:textAlignment w:val="center"/>
              <w:rPr>
                <w:rFonts w:hint="eastAsia" w:ascii="宋体" w:hAnsi="宋体" w:cs="宋体"/>
                <w:color w:val="000000"/>
                <w:kern w:val="0"/>
                <w:sz w:val="20"/>
                <w:szCs w:val="20"/>
                <w:lang w:bidi="ar"/>
              </w:rPr>
            </w:pPr>
          </w:p>
        </w:tc>
        <w:tc>
          <w:tcPr>
            <w:tcW w:w="763" w:type="dxa"/>
            <w:tcBorders>
              <w:top w:val="single" w:color="000000" w:sz="4" w:space="0"/>
              <w:left w:val="single" w:color="000000" w:sz="4" w:space="0"/>
              <w:bottom w:val="single" w:color="000000" w:sz="4" w:space="0"/>
              <w:right w:val="single" w:color="000000" w:sz="4" w:space="0"/>
            </w:tcBorders>
            <w:vAlign w:val="center"/>
          </w:tcPr>
          <w:p w14:paraId="7131ADE1">
            <w:pPr>
              <w:widowControl/>
              <w:jc w:val="center"/>
              <w:textAlignment w:val="center"/>
              <w:rPr>
                <w:rFonts w:hint="eastAsia" w:ascii="宋体" w:hAnsi="宋体" w:cs="宋体"/>
                <w:color w:val="000000"/>
                <w:kern w:val="0"/>
                <w:sz w:val="20"/>
                <w:szCs w:val="20"/>
                <w:lang w:bidi="ar"/>
              </w:rPr>
            </w:pPr>
          </w:p>
        </w:tc>
        <w:tc>
          <w:tcPr>
            <w:tcW w:w="741" w:type="dxa"/>
            <w:tcBorders>
              <w:top w:val="single" w:color="000000" w:sz="4" w:space="0"/>
              <w:left w:val="single" w:color="000000" w:sz="4" w:space="0"/>
              <w:bottom w:val="single" w:color="000000" w:sz="4" w:space="0"/>
              <w:right w:val="single" w:color="000000" w:sz="4" w:space="0"/>
            </w:tcBorders>
            <w:vAlign w:val="center"/>
          </w:tcPr>
          <w:p w14:paraId="40352F26">
            <w:pPr>
              <w:widowControl/>
              <w:jc w:val="center"/>
              <w:textAlignment w:val="center"/>
              <w:rPr>
                <w:rFonts w:hint="eastAsia" w:ascii="宋体" w:hAnsi="宋体" w:cs="宋体"/>
                <w:color w:val="000000"/>
                <w:kern w:val="0"/>
                <w:sz w:val="20"/>
                <w:szCs w:val="20"/>
                <w:lang w:bidi="ar"/>
              </w:rPr>
            </w:pPr>
          </w:p>
        </w:tc>
      </w:tr>
      <w:tr w14:paraId="68B592DD">
        <w:tblPrEx>
          <w:tblCellMar>
            <w:top w:w="0" w:type="dxa"/>
            <w:left w:w="108" w:type="dxa"/>
            <w:bottom w:w="0" w:type="dxa"/>
            <w:right w:w="108" w:type="dxa"/>
          </w:tblCellMar>
        </w:tblPrEx>
        <w:trPr>
          <w:trHeight w:val="20" w:hRule="atLeast"/>
          <w:jc w:val="center"/>
        </w:trPr>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6175A5">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220</w:t>
            </w:r>
          </w:p>
        </w:tc>
        <w:tc>
          <w:tcPr>
            <w:tcW w:w="2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EF5133">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正丙醇纯度标准物质</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8B747E">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1ml/支</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241978">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支</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D2B91B">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3</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EE2181">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170</w:t>
            </w:r>
          </w:p>
        </w:tc>
        <w:tc>
          <w:tcPr>
            <w:tcW w:w="992" w:type="dxa"/>
            <w:tcBorders>
              <w:top w:val="single" w:color="000000" w:sz="4" w:space="0"/>
              <w:left w:val="single" w:color="000000" w:sz="4" w:space="0"/>
              <w:bottom w:val="single" w:color="000000" w:sz="4" w:space="0"/>
              <w:right w:val="single" w:color="000000" w:sz="4" w:space="0"/>
            </w:tcBorders>
            <w:vAlign w:val="center"/>
          </w:tcPr>
          <w:p w14:paraId="46C8091C">
            <w:pPr>
              <w:widowControl/>
              <w:jc w:val="center"/>
              <w:textAlignment w:val="center"/>
              <w:rPr>
                <w:rFonts w:hint="eastAsia" w:ascii="宋体" w:hAnsi="宋体" w:cs="宋体"/>
                <w:color w:val="000000"/>
                <w:kern w:val="0"/>
                <w:sz w:val="20"/>
                <w:szCs w:val="20"/>
                <w:lang w:bidi="ar"/>
              </w:rPr>
            </w:pPr>
          </w:p>
        </w:tc>
        <w:tc>
          <w:tcPr>
            <w:tcW w:w="1239" w:type="dxa"/>
            <w:tcBorders>
              <w:top w:val="single" w:color="000000" w:sz="4" w:space="0"/>
              <w:left w:val="single" w:color="000000" w:sz="4" w:space="0"/>
              <w:bottom w:val="single" w:color="000000" w:sz="4" w:space="0"/>
              <w:right w:val="single" w:color="000000" w:sz="4" w:space="0"/>
            </w:tcBorders>
            <w:vAlign w:val="center"/>
          </w:tcPr>
          <w:p w14:paraId="61C0E07F">
            <w:pPr>
              <w:widowControl/>
              <w:jc w:val="center"/>
              <w:textAlignment w:val="center"/>
              <w:rPr>
                <w:rFonts w:hint="eastAsia" w:ascii="宋体" w:hAnsi="宋体" w:cs="宋体"/>
                <w:color w:val="000000"/>
                <w:kern w:val="0"/>
                <w:sz w:val="20"/>
                <w:szCs w:val="20"/>
                <w:lang w:bidi="ar"/>
              </w:rPr>
            </w:pPr>
          </w:p>
        </w:tc>
        <w:tc>
          <w:tcPr>
            <w:tcW w:w="900" w:type="dxa"/>
            <w:tcBorders>
              <w:top w:val="single" w:color="000000" w:sz="4" w:space="0"/>
              <w:left w:val="single" w:color="000000" w:sz="4" w:space="0"/>
              <w:bottom w:val="single" w:color="000000" w:sz="4" w:space="0"/>
              <w:right w:val="single" w:color="000000" w:sz="4" w:space="0"/>
            </w:tcBorders>
            <w:vAlign w:val="center"/>
          </w:tcPr>
          <w:p w14:paraId="4E915007">
            <w:pPr>
              <w:widowControl/>
              <w:jc w:val="center"/>
              <w:textAlignment w:val="center"/>
              <w:rPr>
                <w:rFonts w:hint="eastAsia" w:ascii="宋体" w:hAnsi="宋体" w:cs="宋体"/>
                <w:color w:val="000000"/>
                <w:kern w:val="0"/>
                <w:sz w:val="20"/>
                <w:szCs w:val="20"/>
                <w:lang w:bidi="ar"/>
              </w:rPr>
            </w:pPr>
          </w:p>
        </w:tc>
        <w:tc>
          <w:tcPr>
            <w:tcW w:w="832" w:type="dxa"/>
            <w:tcBorders>
              <w:top w:val="single" w:color="000000" w:sz="4" w:space="0"/>
              <w:left w:val="single" w:color="000000" w:sz="4" w:space="0"/>
              <w:bottom w:val="single" w:color="000000" w:sz="4" w:space="0"/>
              <w:right w:val="single" w:color="000000" w:sz="4" w:space="0"/>
            </w:tcBorders>
            <w:vAlign w:val="center"/>
          </w:tcPr>
          <w:p w14:paraId="05EEAEA5">
            <w:pPr>
              <w:widowControl/>
              <w:jc w:val="center"/>
              <w:textAlignment w:val="center"/>
              <w:rPr>
                <w:rFonts w:hint="eastAsia" w:ascii="宋体" w:hAnsi="宋体" w:cs="宋体"/>
                <w:color w:val="000000"/>
                <w:kern w:val="0"/>
                <w:sz w:val="20"/>
                <w:szCs w:val="20"/>
                <w:lang w:bidi="ar"/>
              </w:rPr>
            </w:pPr>
          </w:p>
        </w:tc>
        <w:tc>
          <w:tcPr>
            <w:tcW w:w="1143" w:type="dxa"/>
            <w:tcBorders>
              <w:top w:val="single" w:color="000000" w:sz="4" w:space="0"/>
              <w:left w:val="single" w:color="000000" w:sz="4" w:space="0"/>
              <w:bottom w:val="single" w:color="000000" w:sz="4" w:space="0"/>
              <w:right w:val="single" w:color="000000" w:sz="4" w:space="0"/>
            </w:tcBorders>
            <w:vAlign w:val="center"/>
          </w:tcPr>
          <w:p w14:paraId="71BF802D">
            <w:pPr>
              <w:widowControl/>
              <w:jc w:val="center"/>
              <w:textAlignment w:val="center"/>
              <w:rPr>
                <w:rFonts w:hint="eastAsia" w:ascii="宋体" w:hAnsi="宋体" w:cs="宋体"/>
                <w:color w:val="000000"/>
                <w:kern w:val="0"/>
                <w:sz w:val="20"/>
                <w:szCs w:val="20"/>
                <w:lang w:bidi="ar"/>
              </w:rPr>
            </w:pPr>
          </w:p>
        </w:tc>
        <w:tc>
          <w:tcPr>
            <w:tcW w:w="763" w:type="dxa"/>
            <w:tcBorders>
              <w:top w:val="single" w:color="000000" w:sz="4" w:space="0"/>
              <w:left w:val="single" w:color="000000" w:sz="4" w:space="0"/>
              <w:bottom w:val="single" w:color="000000" w:sz="4" w:space="0"/>
              <w:right w:val="single" w:color="000000" w:sz="4" w:space="0"/>
            </w:tcBorders>
            <w:vAlign w:val="center"/>
          </w:tcPr>
          <w:p w14:paraId="31861AA6">
            <w:pPr>
              <w:widowControl/>
              <w:jc w:val="center"/>
              <w:textAlignment w:val="center"/>
              <w:rPr>
                <w:rFonts w:hint="eastAsia" w:ascii="宋体" w:hAnsi="宋体" w:cs="宋体"/>
                <w:color w:val="000000"/>
                <w:kern w:val="0"/>
                <w:sz w:val="20"/>
                <w:szCs w:val="20"/>
                <w:lang w:bidi="ar"/>
              </w:rPr>
            </w:pPr>
          </w:p>
        </w:tc>
        <w:tc>
          <w:tcPr>
            <w:tcW w:w="741" w:type="dxa"/>
            <w:tcBorders>
              <w:top w:val="single" w:color="000000" w:sz="4" w:space="0"/>
              <w:left w:val="single" w:color="000000" w:sz="4" w:space="0"/>
              <w:bottom w:val="single" w:color="000000" w:sz="4" w:space="0"/>
              <w:right w:val="single" w:color="000000" w:sz="4" w:space="0"/>
            </w:tcBorders>
            <w:vAlign w:val="center"/>
          </w:tcPr>
          <w:p w14:paraId="586A44BA">
            <w:pPr>
              <w:widowControl/>
              <w:jc w:val="center"/>
              <w:textAlignment w:val="center"/>
              <w:rPr>
                <w:rFonts w:hint="eastAsia" w:ascii="宋体" w:hAnsi="宋体" w:cs="宋体"/>
                <w:color w:val="000000"/>
                <w:kern w:val="0"/>
                <w:sz w:val="20"/>
                <w:szCs w:val="20"/>
                <w:lang w:bidi="ar"/>
              </w:rPr>
            </w:pPr>
          </w:p>
        </w:tc>
      </w:tr>
      <w:tr w14:paraId="2D6399E4">
        <w:tblPrEx>
          <w:tblCellMar>
            <w:top w:w="0" w:type="dxa"/>
            <w:left w:w="108" w:type="dxa"/>
            <w:bottom w:w="0" w:type="dxa"/>
            <w:right w:w="108" w:type="dxa"/>
          </w:tblCellMar>
        </w:tblPrEx>
        <w:trPr>
          <w:trHeight w:val="20" w:hRule="atLeast"/>
          <w:jc w:val="center"/>
        </w:trPr>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20E5B3">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221</w:t>
            </w:r>
          </w:p>
        </w:tc>
        <w:tc>
          <w:tcPr>
            <w:tcW w:w="2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04F38F">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进样杯</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BEA57B">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每包100个，每个7ml</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CF7284">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包</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BAF25F">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5</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BCDAE8">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200</w:t>
            </w:r>
          </w:p>
        </w:tc>
        <w:tc>
          <w:tcPr>
            <w:tcW w:w="992" w:type="dxa"/>
            <w:tcBorders>
              <w:top w:val="single" w:color="000000" w:sz="4" w:space="0"/>
              <w:left w:val="single" w:color="000000" w:sz="4" w:space="0"/>
              <w:bottom w:val="single" w:color="000000" w:sz="4" w:space="0"/>
              <w:right w:val="single" w:color="000000" w:sz="4" w:space="0"/>
            </w:tcBorders>
            <w:vAlign w:val="center"/>
          </w:tcPr>
          <w:p w14:paraId="7ACDF23F">
            <w:pPr>
              <w:widowControl/>
              <w:jc w:val="center"/>
              <w:textAlignment w:val="center"/>
              <w:rPr>
                <w:rFonts w:hint="eastAsia" w:ascii="宋体" w:hAnsi="宋体" w:cs="宋体"/>
                <w:color w:val="000000"/>
                <w:kern w:val="0"/>
                <w:sz w:val="20"/>
                <w:szCs w:val="20"/>
                <w:lang w:bidi="ar"/>
              </w:rPr>
            </w:pPr>
          </w:p>
        </w:tc>
        <w:tc>
          <w:tcPr>
            <w:tcW w:w="1239" w:type="dxa"/>
            <w:tcBorders>
              <w:top w:val="single" w:color="000000" w:sz="4" w:space="0"/>
              <w:left w:val="single" w:color="000000" w:sz="4" w:space="0"/>
              <w:bottom w:val="single" w:color="000000" w:sz="4" w:space="0"/>
              <w:right w:val="single" w:color="000000" w:sz="4" w:space="0"/>
            </w:tcBorders>
            <w:vAlign w:val="center"/>
          </w:tcPr>
          <w:p w14:paraId="31B86476">
            <w:pPr>
              <w:widowControl/>
              <w:jc w:val="center"/>
              <w:textAlignment w:val="center"/>
              <w:rPr>
                <w:rFonts w:hint="eastAsia" w:ascii="宋体" w:hAnsi="宋体" w:cs="宋体"/>
                <w:color w:val="000000"/>
                <w:kern w:val="0"/>
                <w:sz w:val="20"/>
                <w:szCs w:val="20"/>
                <w:lang w:bidi="ar"/>
              </w:rPr>
            </w:pPr>
          </w:p>
        </w:tc>
        <w:tc>
          <w:tcPr>
            <w:tcW w:w="900" w:type="dxa"/>
            <w:tcBorders>
              <w:top w:val="single" w:color="000000" w:sz="4" w:space="0"/>
              <w:left w:val="single" w:color="000000" w:sz="4" w:space="0"/>
              <w:bottom w:val="single" w:color="000000" w:sz="4" w:space="0"/>
              <w:right w:val="single" w:color="000000" w:sz="4" w:space="0"/>
            </w:tcBorders>
            <w:vAlign w:val="center"/>
          </w:tcPr>
          <w:p w14:paraId="274506B7">
            <w:pPr>
              <w:widowControl/>
              <w:jc w:val="center"/>
              <w:textAlignment w:val="center"/>
              <w:rPr>
                <w:rFonts w:hint="eastAsia" w:ascii="宋体" w:hAnsi="宋体" w:cs="宋体"/>
                <w:color w:val="000000"/>
                <w:kern w:val="0"/>
                <w:sz w:val="20"/>
                <w:szCs w:val="20"/>
                <w:lang w:bidi="ar"/>
              </w:rPr>
            </w:pPr>
          </w:p>
        </w:tc>
        <w:tc>
          <w:tcPr>
            <w:tcW w:w="832" w:type="dxa"/>
            <w:tcBorders>
              <w:top w:val="single" w:color="000000" w:sz="4" w:space="0"/>
              <w:left w:val="single" w:color="000000" w:sz="4" w:space="0"/>
              <w:bottom w:val="single" w:color="000000" w:sz="4" w:space="0"/>
              <w:right w:val="single" w:color="000000" w:sz="4" w:space="0"/>
            </w:tcBorders>
            <w:vAlign w:val="center"/>
          </w:tcPr>
          <w:p w14:paraId="76F5A7A1">
            <w:pPr>
              <w:widowControl/>
              <w:jc w:val="center"/>
              <w:textAlignment w:val="center"/>
              <w:rPr>
                <w:rFonts w:hint="eastAsia" w:ascii="宋体" w:hAnsi="宋体" w:cs="宋体"/>
                <w:color w:val="000000"/>
                <w:kern w:val="0"/>
                <w:sz w:val="20"/>
                <w:szCs w:val="20"/>
                <w:lang w:bidi="ar"/>
              </w:rPr>
            </w:pPr>
          </w:p>
        </w:tc>
        <w:tc>
          <w:tcPr>
            <w:tcW w:w="1143" w:type="dxa"/>
            <w:tcBorders>
              <w:top w:val="single" w:color="000000" w:sz="4" w:space="0"/>
              <w:left w:val="single" w:color="000000" w:sz="4" w:space="0"/>
              <w:bottom w:val="single" w:color="000000" w:sz="4" w:space="0"/>
              <w:right w:val="single" w:color="000000" w:sz="4" w:space="0"/>
            </w:tcBorders>
            <w:vAlign w:val="center"/>
          </w:tcPr>
          <w:p w14:paraId="15FC8C28">
            <w:pPr>
              <w:widowControl/>
              <w:jc w:val="center"/>
              <w:textAlignment w:val="center"/>
              <w:rPr>
                <w:rFonts w:hint="eastAsia" w:ascii="宋体" w:hAnsi="宋体" w:cs="宋体"/>
                <w:color w:val="000000"/>
                <w:kern w:val="0"/>
                <w:sz w:val="20"/>
                <w:szCs w:val="20"/>
                <w:lang w:bidi="ar"/>
              </w:rPr>
            </w:pPr>
          </w:p>
        </w:tc>
        <w:tc>
          <w:tcPr>
            <w:tcW w:w="763" w:type="dxa"/>
            <w:tcBorders>
              <w:top w:val="single" w:color="000000" w:sz="4" w:space="0"/>
              <w:left w:val="single" w:color="000000" w:sz="4" w:space="0"/>
              <w:bottom w:val="single" w:color="000000" w:sz="4" w:space="0"/>
              <w:right w:val="single" w:color="000000" w:sz="4" w:space="0"/>
            </w:tcBorders>
            <w:vAlign w:val="center"/>
          </w:tcPr>
          <w:p w14:paraId="4BB0E7FB">
            <w:pPr>
              <w:widowControl/>
              <w:jc w:val="center"/>
              <w:textAlignment w:val="center"/>
              <w:rPr>
                <w:rFonts w:hint="eastAsia" w:ascii="宋体" w:hAnsi="宋体" w:cs="宋体"/>
                <w:color w:val="000000"/>
                <w:kern w:val="0"/>
                <w:sz w:val="20"/>
                <w:szCs w:val="20"/>
                <w:lang w:bidi="ar"/>
              </w:rPr>
            </w:pPr>
          </w:p>
        </w:tc>
        <w:tc>
          <w:tcPr>
            <w:tcW w:w="741" w:type="dxa"/>
            <w:tcBorders>
              <w:top w:val="single" w:color="000000" w:sz="4" w:space="0"/>
              <w:left w:val="single" w:color="000000" w:sz="4" w:space="0"/>
              <w:bottom w:val="single" w:color="000000" w:sz="4" w:space="0"/>
              <w:right w:val="single" w:color="000000" w:sz="4" w:space="0"/>
            </w:tcBorders>
            <w:vAlign w:val="center"/>
          </w:tcPr>
          <w:p w14:paraId="64FC3991">
            <w:pPr>
              <w:widowControl/>
              <w:jc w:val="center"/>
              <w:textAlignment w:val="center"/>
              <w:rPr>
                <w:rFonts w:hint="eastAsia" w:ascii="宋体" w:hAnsi="宋体" w:cs="宋体"/>
                <w:color w:val="000000"/>
                <w:kern w:val="0"/>
                <w:sz w:val="20"/>
                <w:szCs w:val="20"/>
                <w:lang w:bidi="ar"/>
              </w:rPr>
            </w:pPr>
          </w:p>
        </w:tc>
      </w:tr>
      <w:tr w14:paraId="65857CC9">
        <w:tblPrEx>
          <w:tblCellMar>
            <w:top w:w="0" w:type="dxa"/>
            <w:left w:w="108" w:type="dxa"/>
            <w:bottom w:w="0" w:type="dxa"/>
            <w:right w:w="108" w:type="dxa"/>
          </w:tblCellMar>
        </w:tblPrEx>
        <w:trPr>
          <w:trHeight w:val="20" w:hRule="atLeast"/>
          <w:jc w:val="center"/>
        </w:trPr>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D6090B">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222</w:t>
            </w:r>
          </w:p>
        </w:tc>
        <w:tc>
          <w:tcPr>
            <w:tcW w:w="2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B77301">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泵油</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30F80E">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氟必林</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F8672A">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件</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E130D7">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980B4C">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13625</w:t>
            </w:r>
          </w:p>
        </w:tc>
        <w:tc>
          <w:tcPr>
            <w:tcW w:w="992" w:type="dxa"/>
            <w:tcBorders>
              <w:top w:val="single" w:color="000000" w:sz="4" w:space="0"/>
              <w:left w:val="single" w:color="000000" w:sz="4" w:space="0"/>
              <w:bottom w:val="single" w:color="000000" w:sz="4" w:space="0"/>
              <w:right w:val="single" w:color="000000" w:sz="4" w:space="0"/>
            </w:tcBorders>
            <w:vAlign w:val="center"/>
          </w:tcPr>
          <w:p w14:paraId="53AFC1C4">
            <w:pPr>
              <w:widowControl/>
              <w:jc w:val="center"/>
              <w:textAlignment w:val="center"/>
              <w:rPr>
                <w:rFonts w:hint="eastAsia" w:ascii="宋体" w:hAnsi="宋体" w:cs="宋体"/>
                <w:color w:val="000000"/>
                <w:kern w:val="0"/>
                <w:sz w:val="20"/>
                <w:szCs w:val="20"/>
                <w:lang w:bidi="ar"/>
              </w:rPr>
            </w:pPr>
          </w:p>
        </w:tc>
        <w:tc>
          <w:tcPr>
            <w:tcW w:w="1239" w:type="dxa"/>
            <w:tcBorders>
              <w:top w:val="single" w:color="000000" w:sz="4" w:space="0"/>
              <w:left w:val="single" w:color="000000" w:sz="4" w:space="0"/>
              <w:bottom w:val="single" w:color="000000" w:sz="4" w:space="0"/>
              <w:right w:val="single" w:color="000000" w:sz="4" w:space="0"/>
            </w:tcBorders>
            <w:vAlign w:val="center"/>
          </w:tcPr>
          <w:p w14:paraId="6756B9BB">
            <w:pPr>
              <w:widowControl/>
              <w:jc w:val="center"/>
              <w:textAlignment w:val="center"/>
              <w:rPr>
                <w:rFonts w:hint="eastAsia" w:ascii="宋体" w:hAnsi="宋体" w:cs="宋体"/>
                <w:color w:val="000000"/>
                <w:kern w:val="0"/>
                <w:sz w:val="20"/>
                <w:szCs w:val="20"/>
                <w:lang w:bidi="ar"/>
              </w:rPr>
            </w:pPr>
          </w:p>
        </w:tc>
        <w:tc>
          <w:tcPr>
            <w:tcW w:w="900" w:type="dxa"/>
            <w:tcBorders>
              <w:top w:val="single" w:color="000000" w:sz="4" w:space="0"/>
              <w:left w:val="single" w:color="000000" w:sz="4" w:space="0"/>
              <w:bottom w:val="single" w:color="000000" w:sz="4" w:space="0"/>
              <w:right w:val="single" w:color="000000" w:sz="4" w:space="0"/>
            </w:tcBorders>
            <w:vAlign w:val="center"/>
          </w:tcPr>
          <w:p w14:paraId="3CECEEB7">
            <w:pPr>
              <w:widowControl/>
              <w:jc w:val="center"/>
              <w:textAlignment w:val="center"/>
              <w:rPr>
                <w:rFonts w:hint="eastAsia" w:ascii="宋体" w:hAnsi="宋体" w:cs="宋体"/>
                <w:color w:val="000000"/>
                <w:kern w:val="0"/>
                <w:sz w:val="20"/>
                <w:szCs w:val="20"/>
                <w:lang w:bidi="ar"/>
              </w:rPr>
            </w:pPr>
          </w:p>
        </w:tc>
        <w:tc>
          <w:tcPr>
            <w:tcW w:w="832" w:type="dxa"/>
            <w:tcBorders>
              <w:top w:val="single" w:color="000000" w:sz="4" w:space="0"/>
              <w:left w:val="single" w:color="000000" w:sz="4" w:space="0"/>
              <w:bottom w:val="single" w:color="000000" w:sz="4" w:space="0"/>
              <w:right w:val="single" w:color="000000" w:sz="4" w:space="0"/>
            </w:tcBorders>
            <w:vAlign w:val="center"/>
          </w:tcPr>
          <w:p w14:paraId="53FA260C">
            <w:pPr>
              <w:widowControl/>
              <w:jc w:val="center"/>
              <w:textAlignment w:val="center"/>
              <w:rPr>
                <w:rFonts w:hint="eastAsia" w:ascii="宋体" w:hAnsi="宋体" w:cs="宋体"/>
                <w:color w:val="000000"/>
                <w:kern w:val="0"/>
                <w:sz w:val="20"/>
                <w:szCs w:val="20"/>
                <w:lang w:bidi="ar"/>
              </w:rPr>
            </w:pPr>
          </w:p>
        </w:tc>
        <w:tc>
          <w:tcPr>
            <w:tcW w:w="1143" w:type="dxa"/>
            <w:tcBorders>
              <w:top w:val="single" w:color="000000" w:sz="4" w:space="0"/>
              <w:left w:val="single" w:color="000000" w:sz="4" w:space="0"/>
              <w:bottom w:val="single" w:color="000000" w:sz="4" w:space="0"/>
              <w:right w:val="single" w:color="000000" w:sz="4" w:space="0"/>
            </w:tcBorders>
            <w:vAlign w:val="center"/>
          </w:tcPr>
          <w:p w14:paraId="430059AC">
            <w:pPr>
              <w:widowControl/>
              <w:jc w:val="center"/>
              <w:textAlignment w:val="center"/>
              <w:rPr>
                <w:rFonts w:hint="eastAsia" w:ascii="宋体" w:hAnsi="宋体" w:cs="宋体"/>
                <w:color w:val="000000"/>
                <w:kern w:val="0"/>
                <w:sz w:val="20"/>
                <w:szCs w:val="20"/>
                <w:lang w:bidi="ar"/>
              </w:rPr>
            </w:pPr>
          </w:p>
        </w:tc>
        <w:tc>
          <w:tcPr>
            <w:tcW w:w="763" w:type="dxa"/>
            <w:tcBorders>
              <w:top w:val="single" w:color="000000" w:sz="4" w:space="0"/>
              <w:left w:val="single" w:color="000000" w:sz="4" w:space="0"/>
              <w:bottom w:val="single" w:color="000000" w:sz="4" w:space="0"/>
              <w:right w:val="single" w:color="000000" w:sz="4" w:space="0"/>
            </w:tcBorders>
            <w:vAlign w:val="center"/>
          </w:tcPr>
          <w:p w14:paraId="6BECAE0D">
            <w:pPr>
              <w:widowControl/>
              <w:jc w:val="center"/>
              <w:textAlignment w:val="center"/>
              <w:rPr>
                <w:rFonts w:hint="eastAsia" w:ascii="宋体" w:hAnsi="宋体" w:cs="宋体"/>
                <w:color w:val="000000"/>
                <w:kern w:val="0"/>
                <w:sz w:val="20"/>
                <w:szCs w:val="20"/>
                <w:lang w:bidi="ar"/>
              </w:rPr>
            </w:pPr>
          </w:p>
        </w:tc>
        <w:tc>
          <w:tcPr>
            <w:tcW w:w="741" w:type="dxa"/>
            <w:tcBorders>
              <w:top w:val="single" w:color="000000" w:sz="4" w:space="0"/>
              <w:left w:val="single" w:color="000000" w:sz="4" w:space="0"/>
              <w:bottom w:val="single" w:color="000000" w:sz="4" w:space="0"/>
              <w:right w:val="single" w:color="000000" w:sz="4" w:space="0"/>
            </w:tcBorders>
            <w:vAlign w:val="center"/>
          </w:tcPr>
          <w:p w14:paraId="47FEA799">
            <w:pPr>
              <w:widowControl/>
              <w:jc w:val="center"/>
              <w:textAlignment w:val="center"/>
              <w:rPr>
                <w:rFonts w:hint="eastAsia" w:ascii="宋体" w:hAnsi="宋体" w:cs="宋体"/>
                <w:color w:val="000000"/>
                <w:kern w:val="0"/>
                <w:sz w:val="20"/>
                <w:szCs w:val="20"/>
                <w:lang w:bidi="ar"/>
              </w:rPr>
            </w:pPr>
          </w:p>
        </w:tc>
      </w:tr>
      <w:tr w14:paraId="2416E342">
        <w:tblPrEx>
          <w:tblCellMar>
            <w:top w:w="0" w:type="dxa"/>
            <w:left w:w="108" w:type="dxa"/>
            <w:bottom w:w="0" w:type="dxa"/>
            <w:right w:w="108" w:type="dxa"/>
          </w:tblCellMar>
        </w:tblPrEx>
        <w:trPr>
          <w:trHeight w:val="20" w:hRule="atLeast"/>
          <w:jc w:val="center"/>
        </w:trPr>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16F333">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223</w:t>
            </w:r>
          </w:p>
        </w:tc>
        <w:tc>
          <w:tcPr>
            <w:tcW w:w="2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5119D8">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进样泵管</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796DF8">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PVC 双卡扣</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077ACA">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包</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ED2C43">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29F979">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692</w:t>
            </w:r>
          </w:p>
        </w:tc>
        <w:tc>
          <w:tcPr>
            <w:tcW w:w="992" w:type="dxa"/>
            <w:tcBorders>
              <w:top w:val="single" w:color="000000" w:sz="4" w:space="0"/>
              <w:left w:val="single" w:color="000000" w:sz="4" w:space="0"/>
              <w:bottom w:val="single" w:color="000000" w:sz="4" w:space="0"/>
              <w:right w:val="single" w:color="000000" w:sz="4" w:space="0"/>
            </w:tcBorders>
            <w:vAlign w:val="center"/>
          </w:tcPr>
          <w:p w14:paraId="085EF9F6">
            <w:pPr>
              <w:widowControl/>
              <w:jc w:val="center"/>
              <w:textAlignment w:val="center"/>
              <w:rPr>
                <w:rFonts w:hint="eastAsia" w:ascii="宋体" w:hAnsi="宋体" w:cs="宋体"/>
                <w:color w:val="000000"/>
                <w:kern w:val="0"/>
                <w:sz w:val="20"/>
                <w:szCs w:val="20"/>
                <w:lang w:bidi="ar"/>
              </w:rPr>
            </w:pPr>
          </w:p>
        </w:tc>
        <w:tc>
          <w:tcPr>
            <w:tcW w:w="1239" w:type="dxa"/>
            <w:tcBorders>
              <w:top w:val="single" w:color="000000" w:sz="4" w:space="0"/>
              <w:left w:val="single" w:color="000000" w:sz="4" w:space="0"/>
              <w:bottom w:val="single" w:color="000000" w:sz="4" w:space="0"/>
              <w:right w:val="single" w:color="000000" w:sz="4" w:space="0"/>
            </w:tcBorders>
            <w:vAlign w:val="center"/>
          </w:tcPr>
          <w:p w14:paraId="0BF761AD">
            <w:pPr>
              <w:widowControl/>
              <w:jc w:val="center"/>
              <w:textAlignment w:val="center"/>
              <w:rPr>
                <w:rFonts w:hint="eastAsia" w:ascii="宋体" w:hAnsi="宋体" w:cs="宋体"/>
                <w:color w:val="000000"/>
                <w:kern w:val="0"/>
                <w:sz w:val="20"/>
                <w:szCs w:val="20"/>
                <w:lang w:bidi="ar"/>
              </w:rPr>
            </w:pPr>
          </w:p>
        </w:tc>
        <w:tc>
          <w:tcPr>
            <w:tcW w:w="900" w:type="dxa"/>
            <w:tcBorders>
              <w:top w:val="single" w:color="000000" w:sz="4" w:space="0"/>
              <w:left w:val="single" w:color="000000" w:sz="4" w:space="0"/>
              <w:bottom w:val="single" w:color="000000" w:sz="4" w:space="0"/>
              <w:right w:val="single" w:color="000000" w:sz="4" w:space="0"/>
            </w:tcBorders>
            <w:vAlign w:val="center"/>
          </w:tcPr>
          <w:p w14:paraId="0103B550">
            <w:pPr>
              <w:widowControl/>
              <w:jc w:val="center"/>
              <w:textAlignment w:val="center"/>
              <w:rPr>
                <w:rFonts w:hint="eastAsia" w:ascii="宋体" w:hAnsi="宋体" w:cs="宋体"/>
                <w:color w:val="000000"/>
                <w:kern w:val="0"/>
                <w:sz w:val="20"/>
                <w:szCs w:val="20"/>
                <w:lang w:bidi="ar"/>
              </w:rPr>
            </w:pPr>
          </w:p>
        </w:tc>
        <w:tc>
          <w:tcPr>
            <w:tcW w:w="832" w:type="dxa"/>
            <w:tcBorders>
              <w:top w:val="single" w:color="000000" w:sz="4" w:space="0"/>
              <w:left w:val="single" w:color="000000" w:sz="4" w:space="0"/>
              <w:bottom w:val="single" w:color="000000" w:sz="4" w:space="0"/>
              <w:right w:val="single" w:color="000000" w:sz="4" w:space="0"/>
            </w:tcBorders>
            <w:vAlign w:val="center"/>
          </w:tcPr>
          <w:p w14:paraId="64FC6687">
            <w:pPr>
              <w:widowControl/>
              <w:jc w:val="center"/>
              <w:textAlignment w:val="center"/>
              <w:rPr>
                <w:rFonts w:hint="eastAsia" w:ascii="宋体" w:hAnsi="宋体" w:cs="宋体"/>
                <w:color w:val="000000"/>
                <w:kern w:val="0"/>
                <w:sz w:val="20"/>
                <w:szCs w:val="20"/>
                <w:lang w:bidi="ar"/>
              </w:rPr>
            </w:pPr>
          </w:p>
        </w:tc>
        <w:tc>
          <w:tcPr>
            <w:tcW w:w="1143" w:type="dxa"/>
            <w:tcBorders>
              <w:top w:val="single" w:color="000000" w:sz="4" w:space="0"/>
              <w:left w:val="single" w:color="000000" w:sz="4" w:space="0"/>
              <w:bottom w:val="single" w:color="000000" w:sz="4" w:space="0"/>
              <w:right w:val="single" w:color="000000" w:sz="4" w:space="0"/>
            </w:tcBorders>
            <w:vAlign w:val="center"/>
          </w:tcPr>
          <w:p w14:paraId="1099522A">
            <w:pPr>
              <w:widowControl/>
              <w:jc w:val="center"/>
              <w:textAlignment w:val="center"/>
              <w:rPr>
                <w:rFonts w:hint="eastAsia" w:ascii="宋体" w:hAnsi="宋体" w:cs="宋体"/>
                <w:color w:val="000000"/>
                <w:kern w:val="0"/>
                <w:sz w:val="20"/>
                <w:szCs w:val="20"/>
                <w:lang w:bidi="ar"/>
              </w:rPr>
            </w:pPr>
          </w:p>
        </w:tc>
        <w:tc>
          <w:tcPr>
            <w:tcW w:w="763" w:type="dxa"/>
            <w:tcBorders>
              <w:top w:val="single" w:color="000000" w:sz="4" w:space="0"/>
              <w:left w:val="single" w:color="000000" w:sz="4" w:space="0"/>
              <w:bottom w:val="single" w:color="000000" w:sz="4" w:space="0"/>
              <w:right w:val="single" w:color="000000" w:sz="4" w:space="0"/>
            </w:tcBorders>
            <w:vAlign w:val="center"/>
          </w:tcPr>
          <w:p w14:paraId="713B1525">
            <w:pPr>
              <w:widowControl/>
              <w:jc w:val="center"/>
              <w:textAlignment w:val="center"/>
              <w:rPr>
                <w:rFonts w:hint="eastAsia" w:ascii="宋体" w:hAnsi="宋体" w:cs="宋体"/>
                <w:color w:val="000000"/>
                <w:kern w:val="0"/>
                <w:sz w:val="20"/>
                <w:szCs w:val="20"/>
                <w:lang w:bidi="ar"/>
              </w:rPr>
            </w:pPr>
          </w:p>
        </w:tc>
        <w:tc>
          <w:tcPr>
            <w:tcW w:w="741" w:type="dxa"/>
            <w:tcBorders>
              <w:top w:val="single" w:color="000000" w:sz="4" w:space="0"/>
              <w:left w:val="single" w:color="000000" w:sz="4" w:space="0"/>
              <w:bottom w:val="single" w:color="000000" w:sz="4" w:space="0"/>
              <w:right w:val="single" w:color="000000" w:sz="4" w:space="0"/>
            </w:tcBorders>
            <w:vAlign w:val="center"/>
          </w:tcPr>
          <w:p w14:paraId="76CA2BCF">
            <w:pPr>
              <w:widowControl/>
              <w:jc w:val="center"/>
              <w:textAlignment w:val="center"/>
              <w:rPr>
                <w:rFonts w:hint="eastAsia" w:ascii="宋体" w:hAnsi="宋体" w:cs="宋体"/>
                <w:color w:val="000000"/>
                <w:kern w:val="0"/>
                <w:sz w:val="20"/>
                <w:szCs w:val="20"/>
                <w:lang w:bidi="ar"/>
              </w:rPr>
            </w:pPr>
          </w:p>
        </w:tc>
      </w:tr>
      <w:tr w14:paraId="6FD8C390">
        <w:trPr>
          <w:trHeight w:val="20" w:hRule="atLeast"/>
          <w:jc w:val="center"/>
        </w:trPr>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8360CE">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224</w:t>
            </w:r>
          </w:p>
        </w:tc>
        <w:tc>
          <w:tcPr>
            <w:tcW w:w="2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7918DB">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排液泵管</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51A12C">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PVC,双卡扣</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2838A5">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包</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91674D">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24567C">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692</w:t>
            </w:r>
          </w:p>
        </w:tc>
        <w:tc>
          <w:tcPr>
            <w:tcW w:w="992" w:type="dxa"/>
            <w:tcBorders>
              <w:top w:val="single" w:color="000000" w:sz="4" w:space="0"/>
              <w:left w:val="single" w:color="000000" w:sz="4" w:space="0"/>
              <w:bottom w:val="single" w:color="000000" w:sz="4" w:space="0"/>
              <w:right w:val="single" w:color="000000" w:sz="4" w:space="0"/>
            </w:tcBorders>
            <w:vAlign w:val="center"/>
          </w:tcPr>
          <w:p w14:paraId="59C082DC">
            <w:pPr>
              <w:widowControl/>
              <w:jc w:val="center"/>
              <w:textAlignment w:val="center"/>
              <w:rPr>
                <w:rFonts w:hint="eastAsia" w:ascii="宋体" w:hAnsi="宋体" w:cs="宋体"/>
                <w:color w:val="000000"/>
                <w:kern w:val="0"/>
                <w:sz w:val="20"/>
                <w:szCs w:val="20"/>
                <w:lang w:bidi="ar"/>
              </w:rPr>
            </w:pPr>
          </w:p>
        </w:tc>
        <w:tc>
          <w:tcPr>
            <w:tcW w:w="1239" w:type="dxa"/>
            <w:tcBorders>
              <w:top w:val="single" w:color="000000" w:sz="4" w:space="0"/>
              <w:left w:val="single" w:color="000000" w:sz="4" w:space="0"/>
              <w:bottom w:val="single" w:color="000000" w:sz="4" w:space="0"/>
              <w:right w:val="single" w:color="000000" w:sz="4" w:space="0"/>
            </w:tcBorders>
            <w:vAlign w:val="center"/>
          </w:tcPr>
          <w:p w14:paraId="0B583B7B">
            <w:pPr>
              <w:widowControl/>
              <w:jc w:val="center"/>
              <w:textAlignment w:val="center"/>
              <w:rPr>
                <w:rFonts w:hint="eastAsia" w:ascii="宋体" w:hAnsi="宋体" w:cs="宋体"/>
                <w:color w:val="000000"/>
                <w:kern w:val="0"/>
                <w:sz w:val="20"/>
                <w:szCs w:val="20"/>
                <w:lang w:bidi="ar"/>
              </w:rPr>
            </w:pPr>
          </w:p>
        </w:tc>
        <w:tc>
          <w:tcPr>
            <w:tcW w:w="900" w:type="dxa"/>
            <w:tcBorders>
              <w:top w:val="single" w:color="000000" w:sz="4" w:space="0"/>
              <w:left w:val="single" w:color="000000" w:sz="4" w:space="0"/>
              <w:bottom w:val="single" w:color="000000" w:sz="4" w:space="0"/>
              <w:right w:val="single" w:color="000000" w:sz="4" w:space="0"/>
            </w:tcBorders>
            <w:vAlign w:val="center"/>
          </w:tcPr>
          <w:p w14:paraId="40B151DF">
            <w:pPr>
              <w:widowControl/>
              <w:jc w:val="center"/>
              <w:textAlignment w:val="center"/>
              <w:rPr>
                <w:rFonts w:hint="eastAsia" w:ascii="宋体" w:hAnsi="宋体" w:cs="宋体"/>
                <w:color w:val="000000"/>
                <w:kern w:val="0"/>
                <w:sz w:val="20"/>
                <w:szCs w:val="20"/>
                <w:lang w:bidi="ar"/>
              </w:rPr>
            </w:pPr>
          </w:p>
        </w:tc>
        <w:tc>
          <w:tcPr>
            <w:tcW w:w="832" w:type="dxa"/>
            <w:tcBorders>
              <w:top w:val="single" w:color="000000" w:sz="4" w:space="0"/>
              <w:left w:val="single" w:color="000000" w:sz="4" w:space="0"/>
              <w:bottom w:val="single" w:color="000000" w:sz="4" w:space="0"/>
              <w:right w:val="single" w:color="000000" w:sz="4" w:space="0"/>
            </w:tcBorders>
            <w:vAlign w:val="center"/>
          </w:tcPr>
          <w:p w14:paraId="3441D845">
            <w:pPr>
              <w:widowControl/>
              <w:jc w:val="center"/>
              <w:textAlignment w:val="center"/>
              <w:rPr>
                <w:rFonts w:hint="eastAsia" w:ascii="宋体" w:hAnsi="宋体" w:cs="宋体"/>
                <w:color w:val="000000"/>
                <w:kern w:val="0"/>
                <w:sz w:val="20"/>
                <w:szCs w:val="20"/>
                <w:lang w:bidi="ar"/>
              </w:rPr>
            </w:pPr>
          </w:p>
        </w:tc>
        <w:tc>
          <w:tcPr>
            <w:tcW w:w="1143" w:type="dxa"/>
            <w:tcBorders>
              <w:top w:val="single" w:color="000000" w:sz="4" w:space="0"/>
              <w:left w:val="single" w:color="000000" w:sz="4" w:space="0"/>
              <w:bottom w:val="single" w:color="000000" w:sz="4" w:space="0"/>
              <w:right w:val="single" w:color="000000" w:sz="4" w:space="0"/>
            </w:tcBorders>
            <w:vAlign w:val="center"/>
          </w:tcPr>
          <w:p w14:paraId="6EF2D418">
            <w:pPr>
              <w:widowControl/>
              <w:jc w:val="center"/>
              <w:textAlignment w:val="center"/>
              <w:rPr>
                <w:rFonts w:hint="eastAsia" w:ascii="宋体" w:hAnsi="宋体" w:cs="宋体"/>
                <w:color w:val="000000"/>
                <w:kern w:val="0"/>
                <w:sz w:val="20"/>
                <w:szCs w:val="20"/>
                <w:lang w:bidi="ar"/>
              </w:rPr>
            </w:pPr>
          </w:p>
        </w:tc>
        <w:tc>
          <w:tcPr>
            <w:tcW w:w="763" w:type="dxa"/>
            <w:tcBorders>
              <w:top w:val="single" w:color="000000" w:sz="4" w:space="0"/>
              <w:left w:val="single" w:color="000000" w:sz="4" w:space="0"/>
              <w:bottom w:val="single" w:color="000000" w:sz="4" w:space="0"/>
              <w:right w:val="single" w:color="000000" w:sz="4" w:space="0"/>
            </w:tcBorders>
            <w:vAlign w:val="center"/>
          </w:tcPr>
          <w:p w14:paraId="58A8F095">
            <w:pPr>
              <w:widowControl/>
              <w:jc w:val="center"/>
              <w:textAlignment w:val="center"/>
              <w:rPr>
                <w:rFonts w:hint="eastAsia" w:ascii="宋体" w:hAnsi="宋体" w:cs="宋体"/>
                <w:color w:val="000000"/>
                <w:kern w:val="0"/>
                <w:sz w:val="20"/>
                <w:szCs w:val="20"/>
                <w:lang w:bidi="ar"/>
              </w:rPr>
            </w:pPr>
          </w:p>
        </w:tc>
        <w:tc>
          <w:tcPr>
            <w:tcW w:w="741" w:type="dxa"/>
            <w:tcBorders>
              <w:top w:val="single" w:color="000000" w:sz="4" w:space="0"/>
              <w:left w:val="single" w:color="000000" w:sz="4" w:space="0"/>
              <w:bottom w:val="single" w:color="000000" w:sz="4" w:space="0"/>
              <w:right w:val="single" w:color="000000" w:sz="4" w:space="0"/>
            </w:tcBorders>
            <w:vAlign w:val="center"/>
          </w:tcPr>
          <w:p w14:paraId="253AF6D7">
            <w:pPr>
              <w:widowControl/>
              <w:jc w:val="center"/>
              <w:textAlignment w:val="center"/>
              <w:rPr>
                <w:rFonts w:hint="eastAsia" w:ascii="宋体" w:hAnsi="宋体" w:cs="宋体"/>
                <w:color w:val="000000"/>
                <w:kern w:val="0"/>
                <w:sz w:val="20"/>
                <w:szCs w:val="20"/>
                <w:lang w:bidi="ar"/>
              </w:rPr>
            </w:pPr>
          </w:p>
        </w:tc>
      </w:tr>
      <w:tr w14:paraId="3354B6E7">
        <w:tblPrEx>
          <w:tblCellMar>
            <w:top w:w="0" w:type="dxa"/>
            <w:left w:w="108" w:type="dxa"/>
            <w:bottom w:w="0" w:type="dxa"/>
            <w:right w:w="108" w:type="dxa"/>
          </w:tblCellMar>
        </w:tblPrEx>
        <w:trPr>
          <w:trHeight w:val="20" w:hRule="atLeast"/>
          <w:jc w:val="center"/>
        </w:trPr>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CE02A6">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225</w:t>
            </w:r>
          </w:p>
        </w:tc>
        <w:tc>
          <w:tcPr>
            <w:tcW w:w="2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FE357D">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一次性医用外科口罩</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CD1751">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10只/包</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A19794">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包</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5B6CDF">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200</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570DF3">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7.67</w:t>
            </w:r>
          </w:p>
        </w:tc>
        <w:tc>
          <w:tcPr>
            <w:tcW w:w="992" w:type="dxa"/>
            <w:tcBorders>
              <w:top w:val="single" w:color="000000" w:sz="4" w:space="0"/>
              <w:left w:val="single" w:color="000000" w:sz="4" w:space="0"/>
              <w:bottom w:val="single" w:color="000000" w:sz="4" w:space="0"/>
              <w:right w:val="single" w:color="000000" w:sz="4" w:space="0"/>
            </w:tcBorders>
            <w:vAlign w:val="center"/>
          </w:tcPr>
          <w:p w14:paraId="6F240469">
            <w:pPr>
              <w:widowControl/>
              <w:jc w:val="center"/>
              <w:textAlignment w:val="center"/>
              <w:rPr>
                <w:rFonts w:hint="eastAsia" w:ascii="宋体" w:hAnsi="宋体" w:cs="宋体"/>
                <w:color w:val="000000"/>
                <w:kern w:val="0"/>
                <w:sz w:val="20"/>
                <w:szCs w:val="20"/>
                <w:lang w:bidi="ar"/>
              </w:rPr>
            </w:pPr>
          </w:p>
        </w:tc>
        <w:tc>
          <w:tcPr>
            <w:tcW w:w="1239" w:type="dxa"/>
            <w:tcBorders>
              <w:top w:val="single" w:color="000000" w:sz="4" w:space="0"/>
              <w:left w:val="single" w:color="000000" w:sz="4" w:space="0"/>
              <w:bottom w:val="single" w:color="000000" w:sz="4" w:space="0"/>
              <w:right w:val="single" w:color="000000" w:sz="4" w:space="0"/>
            </w:tcBorders>
            <w:vAlign w:val="center"/>
          </w:tcPr>
          <w:p w14:paraId="30523436">
            <w:pPr>
              <w:widowControl/>
              <w:jc w:val="center"/>
              <w:textAlignment w:val="center"/>
              <w:rPr>
                <w:rFonts w:hint="eastAsia" w:ascii="宋体" w:hAnsi="宋体" w:cs="宋体"/>
                <w:color w:val="000000"/>
                <w:kern w:val="0"/>
                <w:sz w:val="20"/>
                <w:szCs w:val="20"/>
                <w:lang w:bidi="ar"/>
              </w:rPr>
            </w:pPr>
          </w:p>
        </w:tc>
        <w:tc>
          <w:tcPr>
            <w:tcW w:w="900" w:type="dxa"/>
            <w:tcBorders>
              <w:top w:val="single" w:color="000000" w:sz="4" w:space="0"/>
              <w:left w:val="single" w:color="000000" w:sz="4" w:space="0"/>
              <w:bottom w:val="single" w:color="000000" w:sz="4" w:space="0"/>
              <w:right w:val="single" w:color="000000" w:sz="4" w:space="0"/>
            </w:tcBorders>
            <w:vAlign w:val="center"/>
          </w:tcPr>
          <w:p w14:paraId="70B2CDA3">
            <w:pPr>
              <w:widowControl/>
              <w:jc w:val="center"/>
              <w:textAlignment w:val="center"/>
              <w:rPr>
                <w:rFonts w:hint="eastAsia" w:ascii="宋体" w:hAnsi="宋体" w:cs="宋体"/>
                <w:color w:val="000000"/>
                <w:kern w:val="0"/>
                <w:sz w:val="20"/>
                <w:szCs w:val="20"/>
                <w:lang w:bidi="ar"/>
              </w:rPr>
            </w:pPr>
          </w:p>
        </w:tc>
        <w:tc>
          <w:tcPr>
            <w:tcW w:w="832" w:type="dxa"/>
            <w:tcBorders>
              <w:top w:val="single" w:color="000000" w:sz="4" w:space="0"/>
              <w:left w:val="single" w:color="000000" w:sz="4" w:space="0"/>
              <w:bottom w:val="single" w:color="000000" w:sz="4" w:space="0"/>
              <w:right w:val="single" w:color="000000" w:sz="4" w:space="0"/>
            </w:tcBorders>
            <w:vAlign w:val="center"/>
          </w:tcPr>
          <w:p w14:paraId="4695D5B6">
            <w:pPr>
              <w:widowControl/>
              <w:jc w:val="center"/>
              <w:textAlignment w:val="center"/>
              <w:rPr>
                <w:rFonts w:hint="eastAsia" w:ascii="宋体" w:hAnsi="宋体" w:cs="宋体"/>
                <w:color w:val="000000"/>
                <w:kern w:val="0"/>
                <w:sz w:val="20"/>
                <w:szCs w:val="20"/>
                <w:lang w:bidi="ar"/>
              </w:rPr>
            </w:pPr>
          </w:p>
        </w:tc>
        <w:tc>
          <w:tcPr>
            <w:tcW w:w="1143" w:type="dxa"/>
            <w:tcBorders>
              <w:top w:val="single" w:color="000000" w:sz="4" w:space="0"/>
              <w:left w:val="single" w:color="000000" w:sz="4" w:space="0"/>
              <w:bottom w:val="single" w:color="000000" w:sz="4" w:space="0"/>
              <w:right w:val="single" w:color="000000" w:sz="4" w:space="0"/>
            </w:tcBorders>
            <w:vAlign w:val="center"/>
          </w:tcPr>
          <w:p w14:paraId="446F049E">
            <w:pPr>
              <w:widowControl/>
              <w:jc w:val="center"/>
              <w:textAlignment w:val="center"/>
              <w:rPr>
                <w:rFonts w:hint="eastAsia" w:ascii="宋体" w:hAnsi="宋体" w:cs="宋体"/>
                <w:color w:val="000000"/>
                <w:kern w:val="0"/>
                <w:sz w:val="20"/>
                <w:szCs w:val="20"/>
                <w:lang w:bidi="ar"/>
              </w:rPr>
            </w:pPr>
          </w:p>
        </w:tc>
        <w:tc>
          <w:tcPr>
            <w:tcW w:w="763" w:type="dxa"/>
            <w:tcBorders>
              <w:top w:val="single" w:color="000000" w:sz="4" w:space="0"/>
              <w:left w:val="single" w:color="000000" w:sz="4" w:space="0"/>
              <w:bottom w:val="single" w:color="000000" w:sz="4" w:space="0"/>
              <w:right w:val="single" w:color="000000" w:sz="4" w:space="0"/>
            </w:tcBorders>
            <w:vAlign w:val="center"/>
          </w:tcPr>
          <w:p w14:paraId="78B732D2">
            <w:pPr>
              <w:widowControl/>
              <w:jc w:val="center"/>
              <w:textAlignment w:val="center"/>
              <w:rPr>
                <w:rFonts w:hint="eastAsia" w:ascii="宋体" w:hAnsi="宋体" w:cs="宋体"/>
                <w:color w:val="000000"/>
                <w:kern w:val="0"/>
                <w:sz w:val="20"/>
                <w:szCs w:val="20"/>
                <w:lang w:bidi="ar"/>
              </w:rPr>
            </w:pPr>
          </w:p>
        </w:tc>
        <w:tc>
          <w:tcPr>
            <w:tcW w:w="741" w:type="dxa"/>
            <w:tcBorders>
              <w:top w:val="single" w:color="000000" w:sz="4" w:space="0"/>
              <w:left w:val="single" w:color="000000" w:sz="4" w:space="0"/>
              <w:bottom w:val="single" w:color="000000" w:sz="4" w:space="0"/>
              <w:right w:val="single" w:color="000000" w:sz="4" w:space="0"/>
            </w:tcBorders>
            <w:vAlign w:val="center"/>
          </w:tcPr>
          <w:p w14:paraId="76A85DEF">
            <w:pPr>
              <w:widowControl/>
              <w:jc w:val="center"/>
              <w:textAlignment w:val="center"/>
              <w:rPr>
                <w:rFonts w:hint="eastAsia" w:ascii="宋体" w:hAnsi="宋体" w:cs="宋体"/>
                <w:color w:val="000000"/>
                <w:kern w:val="0"/>
                <w:sz w:val="20"/>
                <w:szCs w:val="20"/>
                <w:lang w:bidi="ar"/>
              </w:rPr>
            </w:pPr>
          </w:p>
        </w:tc>
      </w:tr>
      <w:tr w14:paraId="7D3B5971">
        <w:tblPrEx>
          <w:tblCellMar>
            <w:top w:w="0" w:type="dxa"/>
            <w:left w:w="108" w:type="dxa"/>
            <w:bottom w:w="0" w:type="dxa"/>
            <w:right w:w="108" w:type="dxa"/>
          </w:tblCellMar>
        </w:tblPrEx>
        <w:trPr>
          <w:trHeight w:val="20" w:hRule="atLeast"/>
          <w:jc w:val="center"/>
        </w:trPr>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FF102F">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226</w:t>
            </w:r>
          </w:p>
        </w:tc>
        <w:tc>
          <w:tcPr>
            <w:tcW w:w="2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A371F1">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N95口罩（头戴式）</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6F73DA">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20个/盒</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8CBB47">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盒</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2B9A3B">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10</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9C0475">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223.6</w:t>
            </w:r>
          </w:p>
        </w:tc>
        <w:tc>
          <w:tcPr>
            <w:tcW w:w="992" w:type="dxa"/>
            <w:tcBorders>
              <w:top w:val="single" w:color="000000" w:sz="4" w:space="0"/>
              <w:left w:val="single" w:color="000000" w:sz="4" w:space="0"/>
              <w:bottom w:val="single" w:color="000000" w:sz="4" w:space="0"/>
              <w:right w:val="single" w:color="000000" w:sz="4" w:space="0"/>
            </w:tcBorders>
            <w:vAlign w:val="center"/>
          </w:tcPr>
          <w:p w14:paraId="5259A846">
            <w:pPr>
              <w:widowControl/>
              <w:jc w:val="center"/>
              <w:textAlignment w:val="center"/>
              <w:rPr>
                <w:rFonts w:hint="eastAsia" w:ascii="宋体" w:hAnsi="宋体" w:cs="宋体"/>
                <w:color w:val="000000"/>
                <w:kern w:val="0"/>
                <w:sz w:val="20"/>
                <w:szCs w:val="20"/>
                <w:lang w:bidi="ar"/>
              </w:rPr>
            </w:pPr>
          </w:p>
        </w:tc>
        <w:tc>
          <w:tcPr>
            <w:tcW w:w="1239" w:type="dxa"/>
            <w:tcBorders>
              <w:top w:val="single" w:color="000000" w:sz="4" w:space="0"/>
              <w:left w:val="single" w:color="000000" w:sz="4" w:space="0"/>
              <w:bottom w:val="single" w:color="000000" w:sz="4" w:space="0"/>
              <w:right w:val="single" w:color="000000" w:sz="4" w:space="0"/>
            </w:tcBorders>
            <w:vAlign w:val="center"/>
          </w:tcPr>
          <w:p w14:paraId="2662D082">
            <w:pPr>
              <w:widowControl/>
              <w:jc w:val="center"/>
              <w:textAlignment w:val="center"/>
              <w:rPr>
                <w:rFonts w:hint="eastAsia" w:ascii="宋体" w:hAnsi="宋体" w:cs="宋体"/>
                <w:color w:val="000000"/>
                <w:kern w:val="0"/>
                <w:sz w:val="20"/>
                <w:szCs w:val="20"/>
                <w:lang w:bidi="ar"/>
              </w:rPr>
            </w:pPr>
          </w:p>
        </w:tc>
        <w:tc>
          <w:tcPr>
            <w:tcW w:w="900" w:type="dxa"/>
            <w:tcBorders>
              <w:top w:val="single" w:color="000000" w:sz="4" w:space="0"/>
              <w:left w:val="single" w:color="000000" w:sz="4" w:space="0"/>
              <w:bottom w:val="single" w:color="000000" w:sz="4" w:space="0"/>
              <w:right w:val="single" w:color="000000" w:sz="4" w:space="0"/>
            </w:tcBorders>
            <w:vAlign w:val="center"/>
          </w:tcPr>
          <w:p w14:paraId="269252D4">
            <w:pPr>
              <w:widowControl/>
              <w:jc w:val="center"/>
              <w:textAlignment w:val="center"/>
              <w:rPr>
                <w:rFonts w:hint="eastAsia" w:ascii="宋体" w:hAnsi="宋体" w:cs="宋体"/>
                <w:color w:val="000000"/>
                <w:kern w:val="0"/>
                <w:sz w:val="20"/>
                <w:szCs w:val="20"/>
                <w:lang w:bidi="ar"/>
              </w:rPr>
            </w:pPr>
          </w:p>
        </w:tc>
        <w:tc>
          <w:tcPr>
            <w:tcW w:w="832" w:type="dxa"/>
            <w:tcBorders>
              <w:top w:val="single" w:color="000000" w:sz="4" w:space="0"/>
              <w:left w:val="single" w:color="000000" w:sz="4" w:space="0"/>
              <w:bottom w:val="single" w:color="000000" w:sz="4" w:space="0"/>
              <w:right w:val="single" w:color="000000" w:sz="4" w:space="0"/>
            </w:tcBorders>
            <w:vAlign w:val="center"/>
          </w:tcPr>
          <w:p w14:paraId="68F741F9">
            <w:pPr>
              <w:widowControl/>
              <w:jc w:val="center"/>
              <w:textAlignment w:val="center"/>
              <w:rPr>
                <w:rFonts w:hint="eastAsia" w:ascii="宋体" w:hAnsi="宋体" w:cs="宋体"/>
                <w:color w:val="000000"/>
                <w:kern w:val="0"/>
                <w:sz w:val="20"/>
                <w:szCs w:val="20"/>
                <w:lang w:bidi="ar"/>
              </w:rPr>
            </w:pPr>
          </w:p>
        </w:tc>
        <w:tc>
          <w:tcPr>
            <w:tcW w:w="1143" w:type="dxa"/>
            <w:tcBorders>
              <w:top w:val="single" w:color="000000" w:sz="4" w:space="0"/>
              <w:left w:val="single" w:color="000000" w:sz="4" w:space="0"/>
              <w:bottom w:val="single" w:color="000000" w:sz="4" w:space="0"/>
              <w:right w:val="single" w:color="000000" w:sz="4" w:space="0"/>
            </w:tcBorders>
            <w:vAlign w:val="center"/>
          </w:tcPr>
          <w:p w14:paraId="5617503D">
            <w:pPr>
              <w:widowControl/>
              <w:jc w:val="center"/>
              <w:textAlignment w:val="center"/>
              <w:rPr>
                <w:rFonts w:hint="eastAsia" w:ascii="宋体" w:hAnsi="宋体" w:cs="宋体"/>
                <w:color w:val="000000"/>
                <w:kern w:val="0"/>
                <w:sz w:val="20"/>
                <w:szCs w:val="20"/>
                <w:lang w:bidi="ar"/>
              </w:rPr>
            </w:pPr>
          </w:p>
        </w:tc>
        <w:tc>
          <w:tcPr>
            <w:tcW w:w="763" w:type="dxa"/>
            <w:tcBorders>
              <w:top w:val="single" w:color="000000" w:sz="4" w:space="0"/>
              <w:left w:val="single" w:color="000000" w:sz="4" w:space="0"/>
              <w:bottom w:val="single" w:color="000000" w:sz="4" w:space="0"/>
              <w:right w:val="single" w:color="000000" w:sz="4" w:space="0"/>
            </w:tcBorders>
            <w:vAlign w:val="center"/>
          </w:tcPr>
          <w:p w14:paraId="55C9B6A7">
            <w:pPr>
              <w:widowControl/>
              <w:jc w:val="center"/>
              <w:textAlignment w:val="center"/>
              <w:rPr>
                <w:rFonts w:hint="eastAsia" w:ascii="宋体" w:hAnsi="宋体" w:cs="宋体"/>
                <w:color w:val="000000"/>
                <w:kern w:val="0"/>
                <w:sz w:val="20"/>
                <w:szCs w:val="20"/>
                <w:lang w:bidi="ar"/>
              </w:rPr>
            </w:pPr>
          </w:p>
        </w:tc>
        <w:tc>
          <w:tcPr>
            <w:tcW w:w="741" w:type="dxa"/>
            <w:tcBorders>
              <w:top w:val="single" w:color="000000" w:sz="4" w:space="0"/>
              <w:left w:val="single" w:color="000000" w:sz="4" w:space="0"/>
              <w:bottom w:val="single" w:color="000000" w:sz="4" w:space="0"/>
              <w:right w:val="single" w:color="000000" w:sz="4" w:space="0"/>
            </w:tcBorders>
            <w:vAlign w:val="center"/>
          </w:tcPr>
          <w:p w14:paraId="154E19C3">
            <w:pPr>
              <w:widowControl/>
              <w:jc w:val="center"/>
              <w:textAlignment w:val="center"/>
              <w:rPr>
                <w:rFonts w:hint="eastAsia" w:ascii="宋体" w:hAnsi="宋体" w:cs="宋体"/>
                <w:color w:val="000000"/>
                <w:kern w:val="0"/>
                <w:sz w:val="20"/>
                <w:szCs w:val="20"/>
                <w:lang w:bidi="ar"/>
              </w:rPr>
            </w:pPr>
          </w:p>
        </w:tc>
      </w:tr>
      <w:tr w14:paraId="1285F57A">
        <w:tblPrEx>
          <w:tblCellMar>
            <w:top w:w="0" w:type="dxa"/>
            <w:left w:w="108" w:type="dxa"/>
            <w:bottom w:w="0" w:type="dxa"/>
            <w:right w:w="108" w:type="dxa"/>
          </w:tblCellMar>
        </w:tblPrEx>
        <w:trPr>
          <w:trHeight w:val="20" w:hRule="atLeast"/>
          <w:jc w:val="center"/>
        </w:trPr>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7FDF89">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227</w:t>
            </w:r>
          </w:p>
        </w:tc>
        <w:tc>
          <w:tcPr>
            <w:tcW w:w="2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29E5E0">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一次性外科手术衣（独立包装）</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F105E7">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25件/包</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F2E914">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包</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36B66E">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20</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21EE71">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468</w:t>
            </w:r>
          </w:p>
        </w:tc>
        <w:tc>
          <w:tcPr>
            <w:tcW w:w="992" w:type="dxa"/>
            <w:tcBorders>
              <w:top w:val="single" w:color="000000" w:sz="4" w:space="0"/>
              <w:left w:val="single" w:color="000000" w:sz="4" w:space="0"/>
              <w:bottom w:val="single" w:color="000000" w:sz="4" w:space="0"/>
              <w:right w:val="single" w:color="000000" w:sz="4" w:space="0"/>
            </w:tcBorders>
            <w:vAlign w:val="center"/>
          </w:tcPr>
          <w:p w14:paraId="3657B317">
            <w:pPr>
              <w:widowControl/>
              <w:jc w:val="center"/>
              <w:textAlignment w:val="center"/>
              <w:rPr>
                <w:rFonts w:hint="eastAsia" w:ascii="宋体" w:hAnsi="宋体" w:cs="宋体"/>
                <w:color w:val="000000"/>
                <w:kern w:val="0"/>
                <w:sz w:val="20"/>
                <w:szCs w:val="20"/>
                <w:lang w:bidi="ar"/>
              </w:rPr>
            </w:pPr>
          </w:p>
        </w:tc>
        <w:tc>
          <w:tcPr>
            <w:tcW w:w="1239" w:type="dxa"/>
            <w:tcBorders>
              <w:top w:val="single" w:color="000000" w:sz="4" w:space="0"/>
              <w:left w:val="single" w:color="000000" w:sz="4" w:space="0"/>
              <w:bottom w:val="single" w:color="000000" w:sz="4" w:space="0"/>
              <w:right w:val="single" w:color="000000" w:sz="4" w:space="0"/>
            </w:tcBorders>
            <w:vAlign w:val="center"/>
          </w:tcPr>
          <w:p w14:paraId="4FE090A6">
            <w:pPr>
              <w:widowControl/>
              <w:jc w:val="center"/>
              <w:textAlignment w:val="center"/>
              <w:rPr>
                <w:rFonts w:hint="eastAsia" w:ascii="宋体" w:hAnsi="宋体" w:cs="宋体"/>
                <w:color w:val="000000"/>
                <w:kern w:val="0"/>
                <w:sz w:val="20"/>
                <w:szCs w:val="20"/>
                <w:lang w:bidi="ar"/>
              </w:rPr>
            </w:pPr>
          </w:p>
        </w:tc>
        <w:tc>
          <w:tcPr>
            <w:tcW w:w="900" w:type="dxa"/>
            <w:tcBorders>
              <w:top w:val="single" w:color="000000" w:sz="4" w:space="0"/>
              <w:left w:val="single" w:color="000000" w:sz="4" w:space="0"/>
              <w:bottom w:val="single" w:color="000000" w:sz="4" w:space="0"/>
              <w:right w:val="single" w:color="000000" w:sz="4" w:space="0"/>
            </w:tcBorders>
            <w:vAlign w:val="center"/>
          </w:tcPr>
          <w:p w14:paraId="29CDEE56">
            <w:pPr>
              <w:widowControl/>
              <w:jc w:val="center"/>
              <w:textAlignment w:val="center"/>
              <w:rPr>
                <w:rFonts w:hint="eastAsia" w:ascii="宋体" w:hAnsi="宋体" w:cs="宋体"/>
                <w:color w:val="000000"/>
                <w:kern w:val="0"/>
                <w:sz w:val="20"/>
                <w:szCs w:val="20"/>
                <w:lang w:bidi="ar"/>
              </w:rPr>
            </w:pPr>
          </w:p>
        </w:tc>
        <w:tc>
          <w:tcPr>
            <w:tcW w:w="832" w:type="dxa"/>
            <w:tcBorders>
              <w:top w:val="single" w:color="000000" w:sz="4" w:space="0"/>
              <w:left w:val="single" w:color="000000" w:sz="4" w:space="0"/>
              <w:bottom w:val="single" w:color="000000" w:sz="4" w:space="0"/>
              <w:right w:val="single" w:color="000000" w:sz="4" w:space="0"/>
            </w:tcBorders>
            <w:vAlign w:val="center"/>
          </w:tcPr>
          <w:p w14:paraId="299E77C1">
            <w:pPr>
              <w:widowControl/>
              <w:jc w:val="center"/>
              <w:textAlignment w:val="center"/>
              <w:rPr>
                <w:rFonts w:hint="eastAsia" w:ascii="宋体" w:hAnsi="宋体" w:cs="宋体"/>
                <w:color w:val="000000"/>
                <w:kern w:val="0"/>
                <w:sz w:val="20"/>
                <w:szCs w:val="20"/>
                <w:lang w:bidi="ar"/>
              </w:rPr>
            </w:pPr>
          </w:p>
        </w:tc>
        <w:tc>
          <w:tcPr>
            <w:tcW w:w="1143" w:type="dxa"/>
            <w:tcBorders>
              <w:top w:val="single" w:color="000000" w:sz="4" w:space="0"/>
              <w:left w:val="single" w:color="000000" w:sz="4" w:space="0"/>
              <w:bottom w:val="single" w:color="000000" w:sz="4" w:space="0"/>
              <w:right w:val="single" w:color="000000" w:sz="4" w:space="0"/>
            </w:tcBorders>
            <w:vAlign w:val="center"/>
          </w:tcPr>
          <w:p w14:paraId="7939C947">
            <w:pPr>
              <w:widowControl/>
              <w:jc w:val="center"/>
              <w:textAlignment w:val="center"/>
              <w:rPr>
                <w:rFonts w:hint="eastAsia" w:ascii="宋体" w:hAnsi="宋体" w:cs="宋体"/>
                <w:color w:val="000000"/>
                <w:kern w:val="0"/>
                <w:sz w:val="20"/>
                <w:szCs w:val="20"/>
                <w:lang w:bidi="ar"/>
              </w:rPr>
            </w:pPr>
          </w:p>
        </w:tc>
        <w:tc>
          <w:tcPr>
            <w:tcW w:w="763" w:type="dxa"/>
            <w:tcBorders>
              <w:top w:val="single" w:color="000000" w:sz="4" w:space="0"/>
              <w:left w:val="single" w:color="000000" w:sz="4" w:space="0"/>
              <w:bottom w:val="single" w:color="000000" w:sz="4" w:space="0"/>
              <w:right w:val="single" w:color="000000" w:sz="4" w:space="0"/>
            </w:tcBorders>
            <w:vAlign w:val="center"/>
          </w:tcPr>
          <w:p w14:paraId="01D46DA1">
            <w:pPr>
              <w:widowControl/>
              <w:jc w:val="center"/>
              <w:textAlignment w:val="center"/>
              <w:rPr>
                <w:rFonts w:hint="eastAsia" w:ascii="宋体" w:hAnsi="宋体" w:cs="宋体"/>
                <w:color w:val="000000"/>
                <w:kern w:val="0"/>
                <w:sz w:val="20"/>
                <w:szCs w:val="20"/>
                <w:lang w:bidi="ar"/>
              </w:rPr>
            </w:pPr>
          </w:p>
        </w:tc>
        <w:tc>
          <w:tcPr>
            <w:tcW w:w="741" w:type="dxa"/>
            <w:tcBorders>
              <w:top w:val="single" w:color="000000" w:sz="4" w:space="0"/>
              <w:left w:val="single" w:color="000000" w:sz="4" w:space="0"/>
              <w:bottom w:val="single" w:color="000000" w:sz="4" w:space="0"/>
              <w:right w:val="single" w:color="000000" w:sz="4" w:space="0"/>
            </w:tcBorders>
            <w:vAlign w:val="center"/>
          </w:tcPr>
          <w:p w14:paraId="5E63A7F6">
            <w:pPr>
              <w:widowControl/>
              <w:jc w:val="center"/>
              <w:textAlignment w:val="center"/>
              <w:rPr>
                <w:rFonts w:hint="eastAsia" w:ascii="宋体" w:hAnsi="宋体" w:cs="宋体"/>
                <w:color w:val="000000"/>
                <w:kern w:val="0"/>
                <w:sz w:val="20"/>
                <w:szCs w:val="20"/>
                <w:lang w:bidi="ar"/>
              </w:rPr>
            </w:pPr>
          </w:p>
        </w:tc>
      </w:tr>
      <w:tr w14:paraId="7F530D66">
        <w:tblPrEx>
          <w:tblCellMar>
            <w:top w:w="0" w:type="dxa"/>
            <w:left w:w="108" w:type="dxa"/>
            <w:bottom w:w="0" w:type="dxa"/>
            <w:right w:w="108" w:type="dxa"/>
          </w:tblCellMar>
        </w:tblPrEx>
        <w:trPr>
          <w:trHeight w:val="20" w:hRule="atLeast"/>
          <w:jc w:val="center"/>
        </w:trPr>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CB4E1D">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228</w:t>
            </w:r>
          </w:p>
        </w:tc>
        <w:tc>
          <w:tcPr>
            <w:tcW w:w="2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4243B2">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高邦医用灭菌橡胶外科手术手套（麻面，有粉7.5号）</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6500F5">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50双/盒</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CDA945">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盒</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5B1C80">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10</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54540B">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129.74</w:t>
            </w:r>
          </w:p>
        </w:tc>
        <w:tc>
          <w:tcPr>
            <w:tcW w:w="992" w:type="dxa"/>
            <w:tcBorders>
              <w:top w:val="single" w:color="000000" w:sz="4" w:space="0"/>
              <w:left w:val="single" w:color="000000" w:sz="4" w:space="0"/>
              <w:bottom w:val="single" w:color="000000" w:sz="4" w:space="0"/>
              <w:right w:val="single" w:color="000000" w:sz="4" w:space="0"/>
            </w:tcBorders>
            <w:vAlign w:val="center"/>
          </w:tcPr>
          <w:p w14:paraId="41C6CA51">
            <w:pPr>
              <w:widowControl/>
              <w:jc w:val="center"/>
              <w:textAlignment w:val="center"/>
              <w:rPr>
                <w:rFonts w:hint="eastAsia" w:ascii="宋体" w:hAnsi="宋体" w:cs="宋体"/>
                <w:color w:val="000000"/>
                <w:kern w:val="0"/>
                <w:sz w:val="20"/>
                <w:szCs w:val="20"/>
                <w:lang w:bidi="ar"/>
              </w:rPr>
            </w:pPr>
          </w:p>
        </w:tc>
        <w:tc>
          <w:tcPr>
            <w:tcW w:w="1239" w:type="dxa"/>
            <w:tcBorders>
              <w:top w:val="single" w:color="000000" w:sz="4" w:space="0"/>
              <w:left w:val="single" w:color="000000" w:sz="4" w:space="0"/>
              <w:bottom w:val="single" w:color="000000" w:sz="4" w:space="0"/>
              <w:right w:val="single" w:color="000000" w:sz="4" w:space="0"/>
            </w:tcBorders>
            <w:vAlign w:val="center"/>
          </w:tcPr>
          <w:p w14:paraId="3D510C99">
            <w:pPr>
              <w:widowControl/>
              <w:jc w:val="center"/>
              <w:textAlignment w:val="center"/>
              <w:rPr>
                <w:rFonts w:hint="eastAsia" w:ascii="宋体" w:hAnsi="宋体" w:cs="宋体"/>
                <w:color w:val="000000"/>
                <w:kern w:val="0"/>
                <w:sz w:val="20"/>
                <w:szCs w:val="20"/>
                <w:lang w:bidi="ar"/>
              </w:rPr>
            </w:pPr>
          </w:p>
        </w:tc>
        <w:tc>
          <w:tcPr>
            <w:tcW w:w="900" w:type="dxa"/>
            <w:tcBorders>
              <w:top w:val="single" w:color="000000" w:sz="4" w:space="0"/>
              <w:left w:val="single" w:color="000000" w:sz="4" w:space="0"/>
              <w:bottom w:val="single" w:color="000000" w:sz="4" w:space="0"/>
              <w:right w:val="single" w:color="000000" w:sz="4" w:space="0"/>
            </w:tcBorders>
            <w:vAlign w:val="center"/>
          </w:tcPr>
          <w:p w14:paraId="0CB68D80">
            <w:pPr>
              <w:widowControl/>
              <w:jc w:val="center"/>
              <w:textAlignment w:val="center"/>
              <w:rPr>
                <w:rFonts w:hint="eastAsia" w:ascii="宋体" w:hAnsi="宋体" w:cs="宋体"/>
                <w:color w:val="000000"/>
                <w:kern w:val="0"/>
                <w:sz w:val="20"/>
                <w:szCs w:val="20"/>
                <w:lang w:bidi="ar"/>
              </w:rPr>
            </w:pPr>
          </w:p>
        </w:tc>
        <w:tc>
          <w:tcPr>
            <w:tcW w:w="832" w:type="dxa"/>
            <w:tcBorders>
              <w:top w:val="single" w:color="000000" w:sz="4" w:space="0"/>
              <w:left w:val="single" w:color="000000" w:sz="4" w:space="0"/>
              <w:bottom w:val="single" w:color="000000" w:sz="4" w:space="0"/>
              <w:right w:val="single" w:color="000000" w:sz="4" w:space="0"/>
            </w:tcBorders>
            <w:vAlign w:val="center"/>
          </w:tcPr>
          <w:p w14:paraId="57BC9802">
            <w:pPr>
              <w:widowControl/>
              <w:jc w:val="center"/>
              <w:textAlignment w:val="center"/>
              <w:rPr>
                <w:rFonts w:hint="eastAsia" w:ascii="宋体" w:hAnsi="宋体" w:cs="宋体"/>
                <w:color w:val="000000"/>
                <w:kern w:val="0"/>
                <w:sz w:val="20"/>
                <w:szCs w:val="20"/>
                <w:lang w:bidi="ar"/>
              </w:rPr>
            </w:pPr>
          </w:p>
        </w:tc>
        <w:tc>
          <w:tcPr>
            <w:tcW w:w="1143" w:type="dxa"/>
            <w:tcBorders>
              <w:top w:val="single" w:color="000000" w:sz="4" w:space="0"/>
              <w:left w:val="single" w:color="000000" w:sz="4" w:space="0"/>
              <w:bottom w:val="single" w:color="000000" w:sz="4" w:space="0"/>
              <w:right w:val="single" w:color="000000" w:sz="4" w:space="0"/>
            </w:tcBorders>
            <w:vAlign w:val="center"/>
          </w:tcPr>
          <w:p w14:paraId="566741BB">
            <w:pPr>
              <w:widowControl/>
              <w:jc w:val="center"/>
              <w:textAlignment w:val="center"/>
              <w:rPr>
                <w:rFonts w:hint="eastAsia" w:ascii="宋体" w:hAnsi="宋体" w:cs="宋体"/>
                <w:color w:val="000000"/>
                <w:kern w:val="0"/>
                <w:sz w:val="20"/>
                <w:szCs w:val="20"/>
                <w:lang w:bidi="ar"/>
              </w:rPr>
            </w:pPr>
          </w:p>
        </w:tc>
        <w:tc>
          <w:tcPr>
            <w:tcW w:w="763" w:type="dxa"/>
            <w:tcBorders>
              <w:top w:val="single" w:color="000000" w:sz="4" w:space="0"/>
              <w:left w:val="single" w:color="000000" w:sz="4" w:space="0"/>
              <w:bottom w:val="single" w:color="000000" w:sz="4" w:space="0"/>
              <w:right w:val="single" w:color="000000" w:sz="4" w:space="0"/>
            </w:tcBorders>
            <w:vAlign w:val="center"/>
          </w:tcPr>
          <w:p w14:paraId="2FC8E2F8">
            <w:pPr>
              <w:widowControl/>
              <w:jc w:val="center"/>
              <w:textAlignment w:val="center"/>
              <w:rPr>
                <w:rFonts w:hint="eastAsia" w:ascii="宋体" w:hAnsi="宋体" w:cs="宋体"/>
                <w:color w:val="000000"/>
                <w:kern w:val="0"/>
                <w:sz w:val="20"/>
                <w:szCs w:val="20"/>
                <w:lang w:bidi="ar"/>
              </w:rPr>
            </w:pPr>
          </w:p>
        </w:tc>
        <w:tc>
          <w:tcPr>
            <w:tcW w:w="741" w:type="dxa"/>
            <w:tcBorders>
              <w:top w:val="single" w:color="000000" w:sz="4" w:space="0"/>
              <w:left w:val="single" w:color="000000" w:sz="4" w:space="0"/>
              <w:bottom w:val="single" w:color="000000" w:sz="4" w:space="0"/>
              <w:right w:val="single" w:color="000000" w:sz="4" w:space="0"/>
            </w:tcBorders>
            <w:vAlign w:val="center"/>
          </w:tcPr>
          <w:p w14:paraId="5AC3A487">
            <w:pPr>
              <w:widowControl/>
              <w:jc w:val="center"/>
              <w:textAlignment w:val="center"/>
              <w:rPr>
                <w:rFonts w:hint="eastAsia" w:ascii="宋体" w:hAnsi="宋体" w:cs="宋体"/>
                <w:color w:val="000000"/>
                <w:kern w:val="0"/>
                <w:sz w:val="20"/>
                <w:szCs w:val="20"/>
                <w:lang w:bidi="ar"/>
              </w:rPr>
            </w:pPr>
          </w:p>
        </w:tc>
      </w:tr>
      <w:tr w14:paraId="23F86F47">
        <w:tblPrEx>
          <w:tblCellMar>
            <w:top w:w="0" w:type="dxa"/>
            <w:left w:w="108" w:type="dxa"/>
            <w:bottom w:w="0" w:type="dxa"/>
            <w:right w:w="108" w:type="dxa"/>
          </w:tblCellMar>
        </w:tblPrEx>
        <w:trPr>
          <w:trHeight w:val="20" w:hRule="atLeast"/>
          <w:jc w:val="center"/>
        </w:trPr>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A96AF9">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229</w:t>
            </w:r>
          </w:p>
        </w:tc>
        <w:tc>
          <w:tcPr>
            <w:tcW w:w="2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5F9B18">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高邦医用灭菌橡胶外科手术手套（麻面，有粉8号）</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1F9B2D">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50双/盒</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9300A4">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盒</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E7DD35">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10</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D77075">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129.74</w:t>
            </w:r>
          </w:p>
        </w:tc>
        <w:tc>
          <w:tcPr>
            <w:tcW w:w="992" w:type="dxa"/>
            <w:tcBorders>
              <w:top w:val="single" w:color="000000" w:sz="4" w:space="0"/>
              <w:left w:val="single" w:color="000000" w:sz="4" w:space="0"/>
              <w:bottom w:val="single" w:color="000000" w:sz="4" w:space="0"/>
              <w:right w:val="single" w:color="000000" w:sz="4" w:space="0"/>
            </w:tcBorders>
            <w:vAlign w:val="center"/>
          </w:tcPr>
          <w:p w14:paraId="15A2BB16">
            <w:pPr>
              <w:widowControl/>
              <w:jc w:val="center"/>
              <w:textAlignment w:val="center"/>
              <w:rPr>
                <w:rFonts w:hint="eastAsia" w:ascii="宋体" w:hAnsi="宋体" w:cs="宋体"/>
                <w:color w:val="000000"/>
                <w:kern w:val="0"/>
                <w:sz w:val="20"/>
                <w:szCs w:val="20"/>
                <w:lang w:bidi="ar"/>
              </w:rPr>
            </w:pPr>
          </w:p>
        </w:tc>
        <w:tc>
          <w:tcPr>
            <w:tcW w:w="1239" w:type="dxa"/>
            <w:tcBorders>
              <w:top w:val="single" w:color="000000" w:sz="4" w:space="0"/>
              <w:left w:val="single" w:color="000000" w:sz="4" w:space="0"/>
              <w:bottom w:val="single" w:color="000000" w:sz="4" w:space="0"/>
              <w:right w:val="single" w:color="000000" w:sz="4" w:space="0"/>
            </w:tcBorders>
            <w:vAlign w:val="center"/>
          </w:tcPr>
          <w:p w14:paraId="4C22E002">
            <w:pPr>
              <w:widowControl/>
              <w:jc w:val="center"/>
              <w:textAlignment w:val="center"/>
              <w:rPr>
                <w:rFonts w:hint="eastAsia" w:ascii="宋体" w:hAnsi="宋体" w:cs="宋体"/>
                <w:color w:val="000000"/>
                <w:kern w:val="0"/>
                <w:sz w:val="20"/>
                <w:szCs w:val="20"/>
                <w:lang w:bidi="ar"/>
              </w:rPr>
            </w:pPr>
          </w:p>
        </w:tc>
        <w:tc>
          <w:tcPr>
            <w:tcW w:w="900" w:type="dxa"/>
            <w:tcBorders>
              <w:top w:val="single" w:color="000000" w:sz="4" w:space="0"/>
              <w:left w:val="single" w:color="000000" w:sz="4" w:space="0"/>
              <w:bottom w:val="single" w:color="000000" w:sz="4" w:space="0"/>
              <w:right w:val="single" w:color="000000" w:sz="4" w:space="0"/>
            </w:tcBorders>
            <w:vAlign w:val="center"/>
          </w:tcPr>
          <w:p w14:paraId="35F3917E">
            <w:pPr>
              <w:widowControl/>
              <w:jc w:val="center"/>
              <w:textAlignment w:val="center"/>
              <w:rPr>
                <w:rFonts w:hint="eastAsia" w:ascii="宋体" w:hAnsi="宋体" w:cs="宋体"/>
                <w:color w:val="000000"/>
                <w:kern w:val="0"/>
                <w:sz w:val="20"/>
                <w:szCs w:val="20"/>
                <w:lang w:bidi="ar"/>
              </w:rPr>
            </w:pPr>
          </w:p>
        </w:tc>
        <w:tc>
          <w:tcPr>
            <w:tcW w:w="832" w:type="dxa"/>
            <w:tcBorders>
              <w:top w:val="single" w:color="000000" w:sz="4" w:space="0"/>
              <w:left w:val="single" w:color="000000" w:sz="4" w:space="0"/>
              <w:bottom w:val="single" w:color="000000" w:sz="4" w:space="0"/>
              <w:right w:val="single" w:color="000000" w:sz="4" w:space="0"/>
            </w:tcBorders>
            <w:vAlign w:val="center"/>
          </w:tcPr>
          <w:p w14:paraId="1CE30AE2">
            <w:pPr>
              <w:widowControl/>
              <w:jc w:val="center"/>
              <w:textAlignment w:val="center"/>
              <w:rPr>
                <w:rFonts w:hint="eastAsia" w:ascii="宋体" w:hAnsi="宋体" w:cs="宋体"/>
                <w:color w:val="000000"/>
                <w:kern w:val="0"/>
                <w:sz w:val="20"/>
                <w:szCs w:val="20"/>
                <w:lang w:bidi="ar"/>
              </w:rPr>
            </w:pPr>
          </w:p>
        </w:tc>
        <w:tc>
          <w:tcPr>
            <w:tcW w:w="1143" w:type="dxa"/>
            <w:tcBorders>
              <w:top w:val="single" w:color="000000" w:sz="4" w:space="0"/>
              <w:left w:val="single" w:color="000000" w:sz="4" w:space="0"/>
              <w:bottom w:val="single" w:color="000000" w:sz="4" w:space="0"/>
              <w:right w:val="single" w:color="000000" w:sz="4" w:space="0"/>
            </w:tcBorders>
            <w:vAlign w:val="center"/>
          </w:tcPr>
          <w:p w14:paraId="3B482FD3">
            <w:pPr>
              <w:widowControl/>
              <w:jc w:val="center"/>
              <w:textAlignment w:val="center"/>
              <w:rPr>
                <w:rFonts w:hint="eastAsia" w:ascii="宋体" w:hAnsi="宋体" w:cs="宋体"/>
                <w:color w:val="000000"/>
                <w:kern w:val="0"/>
                <w:sz w:val="20"/>
                <w:szCs w:val="20"/>
                <w:lang w:bidi="ar"/>
              </w:rPr>
            </w:pPr>
          </w:p>
        </w:tc>
        <w:tc>
          <w:tcPr>
            <w:tcW w:w="763" w:type="dxa"/>
            <w:tcBorders>
              <w:top w:val="single" w:color="000000" w:sz="4" w:space="0"/>
              <w:left w:val="single" w:color="000000" w:sz="4" w:space="0"/>
              <w:bottom w:val="single" w:color="000000" w:sz="4" w:space="0"/>
              <w:right w:val="single" w:color="000000" w:sz="4" w:space="0"/>
            </w:tcBorders>
            <w:vAlign w:val="center"/>
          </w:tcPr>
          <w:p w14:paraId="1DB0614E">
            <w:pPr>
              <w:widowControl/>
              <w:jc w:val="center"/>
              <w:textAlignment w:val="center"/>
              <w:rPr>
                <w:rFonts w:hint="eastAsia" w:ascii="宋体" w:hAnsi="宋体" w:cs="宋体"/>
                <w:color w:val="000000"/>
                <w:kern w:val="0"/>
                <w:sz w:val="20"/>
                <w:szCs w:val="20"/>
                <w:lang w:bidi="ar"/>
              </w:rPr>
            </w:pPr>
          </w:p>
        </w:tc>
        <w:tc>
          <w:tcPr>
            <w:tcW w:w="741" w:type="dxa"/>
            <w:tcBorders>
              <w:top w:val="single" w:color="000000" w:sz="4" w:space="0"/>
              <w:left w:val="single" w:color="000000" w:sz="4" w:space="0"/>
              <w:bottom w:val="single" w:color="000000" w:sz="4" w:space="0"/>
              <w:right w:val="single" w:color="000000" w:sz="4" w:space="0"/>
            </w:tcBorders>
            <w:vAlign w:val="center"/>
          </w:tcPr>
          <w:p w14:paraId="23EAFE3C">
            <w:pPr>
              <w:widowControl/>
              <w:jc w:val="center"/>
              <w:textAlignment w:val="center"/>
              <w:rPr>
                <w:rFonts w:hint="eastAsia" w:ascii="宋体" w:hAnsi="宋体" w:cs="宋体"/>
                <w:color w:val="000000"/>
                <w:kern w:val="0"/>
                <w:sz w:val="20"/>
                <w:szCs w:val="20"/>
                <w:lang w:bidi="ar"/>
              </w:rPr>
            </w:pPr>
          </w:p>
        </w:tc>
      </w:tr>
      <w:tr w14:paraId="6E187AC8">
        <w:tblPrEx>
          <w:tblCellMar>
            <w:top w:w="0" w:type="dxa"/>
            <w:left w:w="108" w:type="dxa"/>
            <w:bottom w:w="0" w:type="dxa"/>
            <w:right w:w="108" w:type="dxa"/>
          </w:tblCellMar>
        </w:tblPrEx>
        <w:trPr>
          <w:trHeight w:val="20" w:hRule="atLeast"/>
          <w:jc w:val="center"/>
        </w:trPr>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D94874">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230</w:t>
            </w:r>
          </w:p>
        </w:tc>
        <w:tc>
          <w:tcPr>
            <w:tcW w:w="2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D6E9A8">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高邦医用灭菌橡胶外科手术手套（麻面，无粉7.5号）</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3FF26A">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50双/盒</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F57AD6">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盒</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76ADBA">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10</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3C336B">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118.3</w:t>
            </w:r>
          </w:p>
        </w:tc>
        <w:tc>
          <w:tcPr>
            <w:tcW w:w="992" w:type="dxa"/>
            <w:tcBorders>
              <w:top w:val="single" w:color="000000" w:sz="4" w:space="0"/>
              <w:left w:val="single" w:color="000000" w:sz="4" w:space="0"/>
              <w:bottom w:val="single" w:color="000000" w:sz="4" w:space="0"/>
              <w:right w:val="single" w:color="000000" w:sz="4" w:space="0"/>
            </w:tcBorders>
            <w:vAlign w:val="center"/>
          </w:tcPr>
          <w:p w14:paraId="7C43B2A1">
            <w:pPr>
              <w:widowControl/>
              <w:jc w:val="center"/>
              <w:textAlignment w:val="center"/>
              <w:rPr>
                <w:rFonts w:hint="eastAsia" w:ascii="宋体" w:hAnsi="宋体" w:cs="宋体"/>
                <w:color w:val="000000"/>
                <w:kern w:val="0"/>
                <w:sz w:val="20"/>
                <w:szCs w:val="20"/>
                <w:lang w:bidi="ar"/>
              </w:rPr>
            </w:pPr>
          </w:p>
        </w:tc>
        <w:tc>
          <w:tcPr>
            <w:tcW w:w="1239" w:type="dxa"/>
            <w:tcBorders>
              <w:top w:val="single" w:color="000000" w:sz="4" w:space="0"/>
              <w:left w:val="single" w:color="000000" w:sz="4" w:space="0"/>
              <w:bottom w:val="single" w:color="000000" w:sz="4" w:space="0"/>
              <w:right w:val="single" w:color="000000" w:sz="4" w:space="0"/>
            </w:tcBorders>
            <w:vAlign w:val="center"/>
          </w:tcPr>
          <w:p w14:paraId="343B7C98">
            <w:pPr>
              <w:widowControl/>
              <w:jc w:val="center"/>
              <w:textAlignment w:val="center"/>
              <w:rPr>
                <w:rFonts w:hint="eastAsia" w:ascii="宋体" w:hAnsi="宋体" w:cs="宋体"/>
                <w:color w:val="000000"/>
                <w:kern w:val="0"/>
                <w:sz w:val="20"/>
                <w:szCs w:val="20"/>
                <w:lang w:bidi="ar"/>
              </w:rPr>
            </w:pPr>
          </w:p>
        </w:tc>
        <w:tc>
          <w:tcPr>
            <w:tcW w:w="900" w:type="dxa"/>
            <w:tcBorders>
              <w:top w:val="single" w:color="000000" w:sz="4" w:space="0"/>
              <w:left w:val="single" w:color="000000" w:sz="4" w:space="0"/>
              <w:bottom w:val="single" w:color="000000" w:sz="4" w:space="0"/>
              <w:right w:val="single" w:color="000000" w:sz="4" w:space="0"/>
            </w:tcBorders>
            <w:vAlign w:val="center"/>
          </w:tcPr>
          <w:p w14:paraId="73172DCF">
            <w:pPr>
              <w:widowControl/>
              <w:jc w:val="center"/>
              <w:textAlignment w:val="center"/>
              <w:rPr>
                <w:rFonts w:hint="eastAsia" w:ascii="宋体" w:hAnsi="宋体" w:cs="宋体"/>
                <w:color w:val="000000"/>
                <w:kern w:val="0"/>
                <w:sz w:val="20"/>
                <w:szCs w:val="20"/>
                <w:lang w:bidi="ar"/>
              </w:rPr>
            </w:pPr>
          </w:p>
        </w:tc>
        <w:tc>
          <w:tcPr>
            <w:tcW w:w="832" w:type="dxa"/>
            <w:tcBorders>
              <w:top w:val="single" w:color="000000" w:sz="4" w:space="0"/>
              <w:left w:val="single" w:color="000000" w:sz="4" w:space="0"/>
              <w:bottom w:val="single" w:color="000000" w:sz="4" w:space="0"/>
              <w:right w:val="single" w:color="000000" w:sz="4" w:space="0"/>
            </w:tcBorders>
            <w:vAlign w:val="center"/>
          </w:tcPr>
          <w:p w14:paraId="1BCE4ED6">
            <w:pPr>
              <w:widowControl/>
              <w:jc w:val="center"/>
              <w:textAlignment w:val="center"/>
              <w:rPr>
                <w:rFonts w:hint="eastAsia" w:ascii="宋体" w:hAnsi="宋体" w:cs="宋体"/>
                <w:color w:val="000000"/>
                <w:kern w:val="0"/>
                <w:sz w:val="20"/>
                <w:szCs w:val="20"/>
                <w:lang w:bidi="ar"/>
              </w:rPr>
            </w:pPr>
          </w:p>
        </w:tc>
        <w:tc>
          <w:tcPr>
            <w:tcW w:w="1143" w:type="dxa"/>
            <w:tcBorders>
              <w:top w:val="single" w:color="000000" w:sz="4" w:space="0"/>
              <w:left w:val="single" w:color="000000" w:sz="4" w:space="0"/>
              <w:bottom w:val="single" w:color="000000" w:sz="4" w:space="0"/>
              <w:right w:val="single" w:color="000000" w:sz="4" w:space="0"/>
            </w:tcBorders>
            <w:vAlign w:val="center"/>
          </w:tcPr>
          <w:p w14:paraId="657C2F61">
            <w:pPr>
              <w:widowControl/>
              <w:jc w:val="center"/>
              <w:textAlignment w:val="center"/>
              <w:rPr>
                <w:rFonts w:hint="eastAsia" w:ascii="宋体" w:hAnsi="宋体" w:cs="宋体"/>
                <w:color w:val="000000"/>
                <w:kern w:val="0"/>
                <w:sz w:val="20"/>
                <w:szCs w:val="20"/>
                <w:lang w:bidi="ar"/>
              </w:rPr>
            </w:pPr>
          </w:p>
        </w:tc>
        <w:tc>
          <w:tcPr>
            <w:tcW w:w="763" w:type="dxa"/>
            <w:tcBorders>
              <w:top w:val="single" w:color="000000" w:sz="4" w:space="0"/>
              <w:left w:val="single" w:color="000000" w:sz="4" w:space="0"/>
              <w:bottom w:val="single" w:color="000000" w:sz="4" w:space="0"/>
              <w:right w:val="single" w:color="000000" w:sz="4" w:space="0"/>
            </w:tcBorders>
            <w:vAlign w:val="center"/>
          </w:tcPr>
          <w:p w14:paraId="753822B1">
            <w:pPr>
              <w:widowControl/>
              <w:jc w:val="center"/>
              <w:textAlignment w:val="center"/>
              <w:rPr>
                <w:rFonts w:hint="eastAsia" w:ascii="宋体" w:hAnsi="宋体" w:cs="宋体"/>
                <w:color w:val="000000"/>
                <w:kern w:val="0"/>
                <w:sz w:val="20"/>
                <w:szCs w:val="20"/>
                <w:lang w:bidi="ar"/>
              </w:rPr>
            </w:pPr>
          </w:p>
        </w:tc>
        <w:tc>
          <w:tcPr>
            <w:tcW w:w="741" w:type="dxa"/>
            <w:tcBorders>
              <w:top w:val="single" w:color="000000" w:sz="4" w:space="0"/>
              <w:left w:val="single" w:color="000000" w:sz="4" w:space="0"/>
              <w:bottom w:val="single" w:color="000000" w:sz="4" w:space="0"/>
              <w:right w:val="single" w:color="000000" w:sz="4" w:space="0"/>
            </w:tcBorders>
            <w:vAlign w:val="center"/>
          </w:tcPr>
          <w:p w14:paraId="4F7A0C8E">
            <w:pPr>
              <w:widowControl/>
              <w:jc w:val="center"/>
              <w:textAlignment w:val="center"/>
              <w:rPr>
                <w:rFonts w:hint="eastAsia" w:ascii="宋体" w:hAnsi="宋体" w:cs="宋体"/>
                <w:color w:val="000000"/>
                <w:kern w:val="0"/>
                <w:sz w:val="20"/>
                <w:szCs w:val="20"/>
                <w:lang w:bidi="ar"/>
              </w:rPr>
            </w:pPr>
          </w:p>
        </w:tc>
      </w:tr>
      <w:tr w14:paraId="701DE2FA">
        <w:tblPrEx>
          <w:tblCellMar>
            <w:top w:w="0" w:type="dxa"/>
            <w:left w:w="108" w:type="dxa"/>
            <w:bottom w:w="0" w:type="dxa"/>
            <w:right w:w="108" w:type="dxa"/>
          </w:tblCellMar>
        </w:tblPrEx>
        <w:trPr>
          <w:trHeight w:val="20" w:hRule="atLeast"/>
          <w:jc w:val="center"/>
        </w:trPr>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9DB4C4">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231</w:t>
            </w:r>
          </w:p>
        </w:tc>
        <w:tc>
          <w:tcPr>
            <w:tcW w:w="2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D86C51">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高邦医用灭菌橡胶外科手术手套（麻面，无粉8号）</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C9B30D">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50双/盒</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D4B223">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盒</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005474">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10</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AD591F">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118.3</w:t>
            </w:r>
          </w:p>
        </w:tc>
        <w:tc>
          <w:tcPr>
            <w:tcW w:w="992" w:type="dxa"/>
            <w:tcBorders>
              <w:top w:val="single" w:color="000000" w:sz="4" w:space="0"/>
              <w:left w:val="single" w:color="000000" w:sz="4" w:space="0"/>
              <w:bottom w:val="single" w:color="000000" w:sz="4" w:space="0"/>
              <w:right w:val="single" w:color="000000" w:sz="4" w:space="0"/>
            </w:tcBorders>
            <w:vAlign w:val="center"/>
          </w:tcPr>
          <w:p w14:paraId="78EB3B76">
            <w:pPr>
              <w:widowControl/>
              <w:jc w:val="center"/>
              <w:textAlignment w:val="center"/>
              <w:rPr>
                <w:rFonts w:hint="eastAsia" w:ascii="宋体" w:hAnsi="宋体" w:cs="宋体"/>
                <w:color w:val="000000"/>
                <w:kern w:val="0"/>
                <w:sz w:val="20"/>
                <w:szCs w:val="20"/>
                <w:lang w:bidi="ar"/>
              </w:rPr>
            </w:pPr>
          </w:p>
        </w:tc>
        <w:tc>
          <w:tcPr>
            <w:tcW w:w="1239" w:type="dxa"/>
            <w:tcBorders>
              <w:top w:val="single" w:color="000000" w:sz="4" w:space="0"/>
              <w:left w:val="single" w:color="000000" w:sz="4" w:space="0"/>
              <w:bottom w:val="single" w:color="000000" w:sz="4" w:space="0"/>
              <w:right w:val="single" w:color="000000" w:sz="4" w:space="0"/>
            </w:tcBorders>
            <w:vAlign w:val="center"/>
          </w:tcPr>
          <w:p w14:paraId="38831AA5">
            <w:pPr>
              <w:widowControl/>
              <w:jc w:val="center"/>
              <w:textAlignment w:val="center"/>
              <w:rPr>
                <w:rFonts w:hint="eastAsia" w:ascii="宋体" w:hAnsi="宋体" w:cs="宋体"/>
                <w:color w:val="000000"/>
                <w:kern w:val="0"/>
                <w:sz w:val="20"/>
                <w:szCs w:val="20"/>
                <w:lang w:bidi="ar"/>
              </w:rPr>
            </w:pPr>
          </w:p>
        </w:tc>
        <w:tc>
          <w:tcPr>
            <w:tcW w:w="900" w:type="dxa"/>
            <w:tcBorders>
              <w:top w:val="single" w:color="000000" w:sz="4" w:space="0"/>
              <w:left w:val="single" w:color="000000" w:sz="4" w:space="0"/>
              <w:bottom w:val="single" w:color="000000" w:sz="4" w:space="0"/>
              <w:right w:val="single" w:color="000000" w:sz="4" w:space="0"/>
            </w:tcBorders>
            <w:vAlign w:val="center"/>
          </w:tcPr>
          <w:p w14:paraId="0D0DC4C4">
            <w:pPr>
              <w:widowControl/>
              <w:jc w:val="center"/>
              <w:textAlignment w:val="center"/>
              <w:rPr>
                <w:rFonts w:hint="eastAsia" w:ascii="宋体" w:hAnsi="宋体" w:cs="宋体"/>
                <w:color w:val="000000"/>
                <w:kern w:val="0"/>
                <w:sz w:val="20"/>
                <w:szCs w:val="20"/>
                <w:lang w:bidi="ar"/>
              </w:rPr>
            </w:pPr>
          </w:p>
        </w:tc>
        <w:tc>
          <w:tcPr>
            <w:tcW w:w="832" w:type="dxa"/>
            <w:tcBorders>
              <w:top w:val="single" w:color="000000" w:sz="4" w:space="0"/>
              <w:left w:val="single" w:color="000000" w:sz="4" w:space="0"/>
              <w:bottom w:val="single" w:color="000000" w:sz="4" w:space="0"/>
              <w:right w:val="single" w:color="000000" w:sz="4" w:space="0"/>
            </w:tcBorders>
            <w:vAlign w:val="center"/>
          </w:tcPr>
          <w:p w14:paraId="4C941A44">
            <w:pPr>
              <w:widowControl/>
              <w:jc w:val="center"/>
              <w:textAlignment w:val="center"/>
              <w:rPr>
                <w:rFonts w:hint="eastAsia" w:ascii="宋体" w:hAnsi="宋体" w:cs="宋体"/>
                <w:color w:val="000000"/>
                <w:kern w:val="0"/>
                <w:sz w:val="20"/>
                <w:szCs w:val="20"/>
                <w:lang w:bidi="ar"/>
              </w:rPr>
            </w:pPr>
          </w:p>
        </w:tc>
        <w:tc>
          <w:tcPr>
            <w:tcW w:w="1143" w:type="dxa"/>
            <w:tcBorders>
              <w:top w:val="single" w:color="000000" w:sz="4" w:space="0"/>
              <w:left w:val="single" w:color="000000" w:sz="4" w:space="0"/>
              <w:bottom w:val="single" w:color="000000" w:sz="4" w:space="0"/>
              <w:right w:val="single" w:color="000000" w:sz="4" w:space="0"/>
            </w:tcBorders>
            <w:vAlign w:val="center"/>
          </w:tcPr>
          <w:p w14:paraId="0B4BAD5B">
            <w:pPr>
              <w:widowControl/>
              <w:jc w:val="center"/>
              <w:textAlignment w:val="center"/>
              <w:rPr>
                <w:rFonts w:hint="eastAsia" w:ascii="宋体" w:hAnsi="宋体" w:cs="宋体"/>
                <w:color w:val="000000"/>
                <w:kern w:val="0"/>
                <w:sz w:val="20"/>
                <w:szCs w:val="20"/>
                <w:lang w:bidi="ar"/>
              </w:rPr>
            </w:pPr>
          </w:p>
        </w:tc>
        <w:tc>
          <w:tcPr>
            <w:tcW w:w="763" w:type="dxa"/>
            <w:tcBorders>
              <w:top w:val="single" w:color="000000" w:sz="4" w:space="0"/>
              <w:left w:val="single" w:color="000000" w:sz="4" w:space="0"/>
              <w:bottom w:val="single" w:color="000000" w:sz="4" w:space="0"/>
              <w:right w:val="single" w:color="000000" w:sz="4" w:space="0"/>
            </w:tcBorders>
            <w:vAlign w:val="center"/>
          </w:tcPr>
          <w:p w14:paraId="5F2412D4">
            <w:pPr>
              <w:widowControl/>
              <w:jc w:val="center"/>
              <w:textAlignment w:val="center"/>
              <w:rPr>
                <w:rFonts w:hint="eastAsia" w:ascii="宋体" w:hAnsi="宋体" w:cs="宋体"/>
                <w:color w:val="000000"/>
                <w:kern w:val="0"/>
                <w:sz w:val="20"/>
                <w:szCs w:val="20"/>
                <w:lang w:bidi="ar"/>
              </w:rPr>
            </w:pPr>
          </w:p>
        </w:tc>
        <w:tc>
          <w:tcPr>
            <w:tcW w:w="741" w:type="dxa"/>
            <w:tcBorders>
              <w:top w:val="single" w:color="000000" w:sz="4" w:space="0"/>
              <w:left w:val="single" w:color="000000" w:sz="4" w:space="0"/>
              <w:bottom w:val="single" w:color="000000" w:sz="4" w:space="0"/>
              <w:right w:val="single" w:color="000000" w:sz="4" w:space="0"/>
            </w:tcBorders>
            <w:vAlign w:val="center"/>
          </w:tcPr>
          <w:p w14:paraId="52D49F83">
            <w:pPr>
              <w:widowControl/>
              <w:jc w:val="center"/>
              <w:textAlignment w:val="center"/>
              <w:rPr>
                <w:rFonts w:hint="eastAsia" w:ascii="宋体" w:hAnsi="宋体" w:cs="宋体"/>
                <w:color w:val="000000"/>
                <w:kern w:val="0"/>
                <w:sz w:val="20"/>
                <w:szCs w:val="20"/>
                <w:lang w:bidi="ar"/>
              </w:rPr>
            </w:pPr>
          </w:p>
        </w:tc>
      </w:tr>
      <w:tr w14:paraId="6FA2D515">
        <w:tblPrEx>
          <w:tblCellMar>
            <w:top w:w="0" w:type="dxa"/>
            <w:left w:w="108" w:type="dxa"/>
            <w:bottom w:w="0" w:type="dxa"/>
            <w:right w:w="108" w:type="dxa"/>
          </w:tblCellMar>
        </w:tblPrEx>
        <w:trPr>
          <w:trHeight w:val="20" w:hRule="atLeast"/>
          <w:jc w:val="center"/>
        </w:trPr>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D8134C">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232</w:t>
            </w:r>
          </w:p>
        </w:tc>
        <w:tc>
          <w:tcPr>
            <w:tcW w:w="2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D326DD">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医用手术帽</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8429E6">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20个/包</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E3529F">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包</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10DC23">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50</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397655">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41.34</w:t>
            </w:r>
          </w:p>
        </w:tc>
        <w:tc>
          <w:tcPr>
            <w:tcW w:w="992" w:type="dxa"/>
            <w:tcBorders>
              <w:top w:val="single" w:color="000000" w:sz="4" w:space="0"/>
              <w:left w:val="single" w:color="000000" w:sz="4" w:space="0"/>
              <w:bottom w:val="single" w:color="000000" w:sz="4" w:space="0"/>
              <w:right w:val="single" w:color="000000" w:sz="4" w:space="0"/>
            </w:tcBorders>
            <w:vAlign w:val="center"/>
          </w:tcPr>
          <w:p w14:paraId="6D1105F2">
            <w:pPr>
              <w:widowControl/>
              <w:jc w:val="center"/>
              <w:textAlignment w:val="center"/>
              <w:rPr>
                <w:rFonts w:hint="eastAsia" w:ascii="宋体" w:hAnsi="宋体" w:cs="宋体"/>
                <w:color w:val="000000"/>
                <w:kern w:val="0"/>
                <w:sz w:val="20"/>
                <w:szCs w:val="20"/>
                <w:lang w:bidi="ar"/>
              </w:rPr>
            </w:pPr>
          </w:p>
        </w:tc>
        <w:tc>
          <w:tcPr>
            <w:tcW w:w="1239" w:type="dxa"/>
            <w:tcBorders>
              <w:top w:val="single" w:color="000000" w:sz="4" w:space="0"/>
              <w:left w:val="single" w:color="000000" w:sz="4" w:space="0"/>
              <w:bottom w:val="single" w:color="000000" w:sz="4" w:space="0"/>
              <w:right w:val="single" w:color="000000" w:sz="4" w:space="0"/>
            </w:tcBorders>
            <w:vAlign w:val="center"/>
          </w:tcPr>
          <w:p w14:paraId="71FC63B1">
            <w:pPr>
              <w:widowControl/>
              <w:jc w:val="center"/>
              <w:textAlignment w:val="center"/>
              <w:rPr>
                <w:rFonts w:hint="eastAsia" w:ascii="宋体" w:hAnsi="宋体" w:cs="宋体"/>
                <w:color w:val="000000"/>
                <w:kern w:val="0"/>
                <w:sz w:val="20"/>
                <w:szCs w:val="20"/>
                <w:lang w:bidi="ar"/>
              </w:rPr>
            </w:pPr>
          </w:p>
        </w:tc>
        <w:tc>
          <w:tcPr>
            <w:tcW w:w="900" w:type="dxa"/>
            <w:tcBorders>
              <w:top w:val="single" w:color="000000" w:sz="4" w:space="0"/>
              <w:left w:val="single" w:color="000000" w:sz="4" w:space="0"/>
              <w:bottom w:val="single" w:color="000000" w:sz="4" w:space="0"/>
              <w:right w:val="single" w:color="000000" w:sz="4" w:space="0"/>
            </w:tcBorders>
            <w:vAlign w:val="center"/>
          </w:tcPr>
          <w:p w14:paraId="26EF14F5">
            <w:pPr>
              <w:widowControl/>
              <w:jc w:val="center"/>
              <w:textAlignment w:val="center"/>
              <w:rPr>
                <w:rFonts w:hint="eastAsia" w:ascii="宋体" w:hAnsi="宋体" w:cs="宋体"/>
                <w:color w:val="000000"/>
                <w:kern w:val="0"/>
                <w:sz w:val="20"/>
                <w:szCs w:val="20"/>
                <w:lang w:bidi="ar"/>
              </w:rPr>
            </w:pPr>
          </w:p>
        </w:tc>
        <w:tc>
          <w:tcPr>
            <w:tcW w:w="832" w:type="dxa"/>
            <w:tcBorders>
              <w:top w:val="single" w:color="000000" w:sz="4" w:space="0"/>
              <w:left w:val="single" w:color="000000" w:sz="4" w:space="0"/>
              <w:bottom w:val="single" w:color="000000" w:sz="4" w:space="0"/>
              <w:right w:val="single" w:color="000000" w:sz="4" w:space="0"/>
            </w:tcBorders>
            <w:vAlign w:val="center"/>
          </w:tcPr>
          <w:p w14:paraId="6B6B2104">
            <w:pPr>
              <w:widowControl/>
              <w:jc w:val="center"/>
              <w:textAlignment w:val="center"/>
              <w:rPr>
                <w:rFonts w:hint="eastAsia" w:ascii="宋体" w:hAnsi="宋体" w:cs="宋体"/>
                <w:color w:val="000000"/>
                <w:kern w:val="0"/>
                <w:sz w:val="20"/>
                <w:szCs w:val="20"/>
                <w:lang w:bidi="ar"/>
              </w:rPr>
            </w:pPr>
          </w:p>
        </w:tc>
        <w:tc>
          <w:tcPr>
            <w:tcW w:w="1143" w:type="dxa"/>
            <w:tcBorders>
              <w:top w:val="single" w:color="000000" w:sz="4" w:space="0"/>
              <w:left w:val="single" w:color="000000" w:sz="4" w:space="0"/>
              <w:bottom w:val="single" w:color="000000" w:sz="4" w:space="0"/>
              <w:right w:val="single" w:color="000000" w:sz="4" w:space="0"/>
            </w:tcBorders>
            <w:vAlign w:val="center"/>
          </w:tcPr>
          <w:p w14:paraId="60880273">
            <w:pPr>
              <w:widowControl/>
              <w:jc w:val="center"/>
              <w:textAlignment w:val="center"/>
              <w:rPr>
                <w:rFonts w:hint="eastAsia" w:ascii="宋体" w:hAnsi="宋体" w:cs="宋体"/>
                <w:color w:val="000000"/>
                <w:kern w:val="0"/>
                <w:sz w:val="20"/>
                <w:szCs w:val="20"/>
                <w:lang w:bidi="ar"/>
              </w:rPr>
            </w:pPr>
          </w:p>
        </w:tc>
        <w:tc>
          <w:tcPr>
            <w:tcW w:w="763" w:type="dxa"/>
            <w:tcBorders>
              <w:top w:val="single" w:color="000000" w:sz="4" w:space="0"/>
              <w:left w:val="single" w:color="000000" w:sz="4" w:space="0"/>
              <w:bottom w:val="single" w:color="000000" w:sz="4" w:space="0"/>
              <w:right w:val="single" w:color="000000" w:sz="4" w:space="0"/>
            </w:tcBorders>
            <w:vAlign w:val="center"/>
          </w:tcPr>
          <w:p w14:paraId="1A709C8F">
            <w:pPr>
              <w:widowControl/>
              <w:jc w:val="center"/>
              <w:textAlignment w:val="center"/>
              <w:rPr>
                <w:rFonts w:hint="eastAsia" w:ascii="宋体" w:hAnsi="宋体" w:cs="宋体"/>
                <w:color w:val="000000"/>
                <w:kern w:val="0"/>
                <w:sz w:val="20"/>
                <w:szCs w:val="20"/>
                <w:lang w:bidi="ar"/>
              </w:rPr>
            </w:pPr>
          </w:p>
        </w:tc>
        <w:tc>
          <w:tcPr>
            <w:tcW w:w="741" w:type="dxa"/>
            <w:tcBorders>
              <w:top w:val="single" w:color="000000" w:sz="4" w:space="0"/>
              <w:left w:val="single" w:color="000000" w:sz="4" w:space="0"/>
              <w:bottom w:val="single" w:color="000000" w:sz="4" w:space="0"/>
              <w:right w:val="single" w:color="000000" w:sz="4" w:space="0"/>
            </w:tcBorders>
            <w:vAlign w:val="center"/>
          </w:tcPr>
          <w:p w14:paraId="510136E5">
            <w:pPr>
              <w:widowControl/>
              <w:jc w:val="center"/>
              <w:textAlignment w:val="center"/>
              <w:rPr>
                <w:rFonts w:hint="eastAsia" w:ascii="宋体" w:hAnsi="宋体" w:cs="宋体"/>
                <w:color w:val="000000"/>
                <w:kern w:val="0"/>
                <w:sz w:val="20"/>
                <w:szCs w:val="20"/>
                <w:lang w:bidi="ar"/>
              </w:rPr>
            </w:pPr>
          </w:p>
        </w:tc>
      </w:tr>
      <w:tr w14:paraId="4C047583">
        <w:tblPrEx>
          <w:tblCellMar>
            <w:top w:w="0" w:type="dxa"/>
            <w:left w:w="108" w:type="dxa"/>
            <w:bottom w:w="0" w:type="dxa"/>
            <w:right w:w="108" w:type="dxa"/>
          </w:tblCellMar>
        </w:tblPrEx>
        <w:trPr>
          <w:trHeight w:val="20" w:hRule="atLeast"/>
          <w:jc w:val="center"/>
        </w:trPr>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D73795">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233</w:t>
            </w:r>
          </w:p>
        </w:tc>
        <w:tc>
          <w:tcPr>
            <w:tcW w:w="2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70D446">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医用一次性鞋套</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A97B12">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40双/包</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2374CC">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包</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05C80F">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25</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27D9CA">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51.74</w:t>
            </w:r>
          </w:p>
        </w:tc>
        <w:tc>
          <w:tcPr>
            <w:tcW w:w="992" w:type="dxa"/>
            <w:tcBorders>
              <w:top w:val="single" w:color="000000" w:sz="4" w:space="0"/>
              <w:left w:val="single" w:color="000000" w:sz="4" w:space="0"/>
              <w:bottom w:val="single" w:color="000000" w:sz="4" w:space="0"/>
              <w:right w:val="single" w:color="000000" w:sz="4" w:space="0"/>
            </w:tcBorders>
            <w:vAlign w:val="center"/>
          </w:tcPr>
          <w:p w14:paraId="7A9DA50F">
            <w:pPr>
              <w:widowControl/>
              <w:jc w:val="center"/>
              <w:textAlignment w:val="center"/>
              <w:rPr>
                <w:rFonts w:hint="eastAsia" w:ascii="宋体" w:hAnsi="宋体" w:cs="宋体"/>
                <w:color w:val="000000"/>
                <w:kern w:val="0"/>
                <w:sz w:val="20"/>
                <w:szCs w:val="20"/>
                <w:lang w:bidi="ar"/>
              </w:rPr>
            </w:pPr>
          </w:p>
        </w:tc>
        <w:tc>
          <w:tcPr>
            <w:tcW w:w="1239" w:type="dxa"/>
            <w:tcBorders>
              <w:top w:val="single" w:color="000000" w:sz="4" w:space="0"/>
              <w:left w:val="single" w:color="000000" w:sz="4" w:space="0"/>
              <w:bottom w:val="single" w:color="000000" w:sz="4" w:space="0"/>
              <w:right w:val="single" w:color="000000" w:sz="4" w:space="0"/>
            </w:tcBorders>
            <w:vAlign w:val="center"/>
          </w:tcPr>
          <w:p w14:paraId="20C8F0C3">
            <w:pPr>
              <w:widowControl/>
              <w:jc w:val="center"/>
              <w:textAlignment w:val="center"/>
              <w:rPr>
                <w:rFonts w:hint="eastAsia" w:ascii="宋体" w:hAnsi="宋体" w:cs="宋体"/>
                <w:color w:val="000000"/>
                <w:kern w:val="0"/>
                <w:sz w:val="20"/>
                <w:szCs w:val="20"/>
                <w:lang w:bidi="ar"/>
              </w:rPr>
            </w:pPr>
          </w:p>
        </w:tc>
        <w:tc>
          <w:tcPr>
            <w:tcW w:w="900" w:type="dxa"/>
            <w:tcBorders>
              <w:top w:val="single" w:color="000000" w:sz="4" w:space="0"/>
              <w:left w:val="single" w:color="000000" w:sz="4" w:space="0"/>
              <w:bottom w:val="single" w:color="000000" w:sz="4" w:space="0"/>
              <w:right w:val="single" w:color="000000" w:sz="4" w:space="0"/>
            </w:tcBorders>
            <w:vAlign w:val="center"/>
          </w:tcPr>
          <w:p w14:paraId="04A20508">
            <w:pPr>
              <w:widowControl/>
              <w:jc w:val="center"/>
              <w:textAlignment w:val="center"/>
              <w:rPr>
                <w:rFonts w:hint="eastAsia" w:ascii="宋体" w:hAnsi="宋体" w:cs="宋体"/>
                <w:color w:val="000000"/>
                <w:kern w:val="0"/>
                <w:sz w:val="20"/>
                <w:szCs w:val="20"/>
                <w:lang w:bidi="ar"/>
              </w:rPr>
            </w:pPr>
          </w:p>
        </w:tc>
        <w:tc>
          <w:tcPr>
            <w:tcW w:w="832" w:type="dxa"/>
            <w:tcBorders>
              <w:top w:val="single" w:color="000000" w:sz="4" w:space="0"/>
              <w:left w:val="single" w:color="000000" w:sz="4" w:space="0"/>
              <w:bottom w:val="single" w:color="000000" w:sz="4" w:space="0"/>
              <w:right w:val="single" w:color="000000" w:sz="4" w:space="0"/>
            </w:tcBorders>
            <w:vAlign w:val="center"/>
          </w:tcPr>
          <w:p w14:paraId="5C795B27">
            <w:pPr>
              <w:widowControl/>
              <w:jc w:val="center"/>
              <w:textAlignment w:val="center"/>
              <w:rPr>
                <w:rFonts w:hint="eastAsia" w:ascii="宋体" w:hAnsi="宋体" w:cs="宋体"/>
                <w:color w:val="000000"/>
                <w:kern w:val="0"/>
                <w:sz w:val="20"/>
                <w:szCs w:val="20"/>
                <w:lang w:bidi="ar"/>
              </w:rPr>
            </w:pPr>
          </w:p>
        </w:tc>
        <w:tc>
          <w:tcPr>
            <w:tcW w:w="1143" w:type="dxa"/>
            <w:tcBorders>
              <w:top w:val="single" w:color="000000" w:sz="4" w:space="0"/>
              <w:left w:val="single" w:color="000000" w:sz="4" w:space="0"/>
              <w:bottom w:val="single" w:color="000000" w:sz="4" w:space="0"/>
              <w:right w:val="single" w:color="000000" w:sz="4" w:space="0"/>
            </w:tcBorders>
            <w:vAlign w:val="center"/>
          </w:tcPr>
          <w:p w14:paraId="74054A9D">
            <w:pPr>
              <w:widowControl/>
              <w:jc w:val="center"/>
              <w:textAlignment w:val="center"/>
              <w:rPr>
                <w:rFonts w:hint="eastAsia" w:ascii="宋体" w:hAnsi="宋体" w:cs="宋体"/>
                <w:color w:val="000000"/>
                <w:kern w:val="0"/>
                <w:sz w:val="20"/>
                <w:szCs w:val="20"/>
                <w:lang w:bidi="ar"/>
              </w:rPr>
            </w:pPr>
          </w:p>
        </w:tc>
        <w:tc>
          <w:tcPr>
            <w:tcW w:w="763" w:type="dxa"/>
            <w:tcBorders>
              <w:top w:val="single" w:color="000000" w:sz="4" w:space="0"/>
              <w:left w:val="single" w:color="000000" w:sz="4" w:space="0"/>
              <w:bottom w:val="single" w:color="000000" w:sz="4" w:space="0"/>
              <w:right w:val="single" w:color="000000" w:sz="4" w:space="0"/>
            </w:tcBorders>
            <w:vAlign w:val="center"/>
          </w:tcPr>
          <w:p w14:paraId="52662DD4">
            <w:pPr>
              <w:widowControl/>
              <w:jc w:val="center"/>
              <w:textAlignment w:val="center"/>
              <w:rPr>
                <w:rFonts w:hint="eastAsia" w:ascii="宋体" w:hAnsi="宋体" w:cs="宋体"/>
                <w:color w:val="000000"/>
                <w:kern w:val="0"/>
                <w:sz w:val="20"/>
                <w:szCs w:val="20"/>
                <w:lang w:bidi="ar"/>
              </w:rPr>
            </w:pPr>
          </w:p>
        </w:tc>
        <w:tc>
          <w:tcPr>
            <w:tcW w:w="741" w:type="dxa"/>
            <w:tcBorders>
              <w:top w:val="single" w:color="000000" w:sz="4" w:space="0"/>
              <w:left w:val="single" w:color="000000" w:sz="4" w:space="0"/>
              <w:bottom w:val="single" w:color="000000" w:sz="4" w:space="0"/>
              <w:right w:val="single" w:color="000000" w:sz="4" w:space="0"/>
            </w:tcBorders>
            <w:vAlign w:val="center"/>
          </w:tcPr>
          <w:p w14:paraId="3F23CA42">
            <w:pPr>
              <w:widowControl/>
              <w:jc w:val="center"/>
              <w:textAlignment w:val="center"/>
              <w:rPr>
                <w:rFonts w:hint="eastAsia" w:ascii="宋体" w:hAnsi="宋体" w:cs="宋体"/>
                <w:color w:val="000000"/>
                <w:kern w:val="0"/>
                <w:sz w:val="20"/>
                <w:szCs w:val="20"/>
                <w:lang w:bidi="ar"/>
              </w:rPr>
            </w:pPr>
          </w:p>
        </w:tc>
      </w:tr>
      <w:tr w14:paraId="3EFEA7A1">
        <w:tblPrEx>
          <w:tblCellMar>
            <w:top w:w="0" w:type="dxa"/>
            <w:left w:w="108" w:type="dxa"/>
            <w:bottom w:w="0" w:type="dxa"/>
            <w:right w:w="108" w:type="dxa"/>
          </w:tblCellMar>
        </w:tblPrEx>
        <w:trPr>
          <w:trHeight w:val="20" w:hRule="atLeast"/>
          <w:jc w:val="center"/>
        </w:trPr>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553BC6">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234</w:t>
            </w:r>
          </w:p>
        </w:tc>
        <w:tc>
          <w:tcPr>
            <w:tcW w:w="2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09179E">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医用无菌铺巾</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30C7AD">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80*180cm，1块/袋</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8D0532">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袋</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3E1332">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100</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E8DBE8">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24.44</w:t>
            </w:r>
          </w:p>
        </w:tc>
        <w:tc>
          <w:tcPr>
            <w:tcW w:w="992" w:type="dxa"/>
            <w:tcBorders>
              <w:top w:val="single" w:color="000000" w:sz="4" w:space="0"/>
              <w:left w:val="single" w:color="000000" w:sz="4" w:space="0"/>
              <w:bottom w:val="single" w:color="000000" w:sz="4" w:space="0"/>
              <w:right w:val="single" w:color="000000" w:sz="4" w:space="0"/>
            </w:tcBorders>
            <w:vAlign w:val="center"/>
          </w:tcPr>
          <w:p w14:paraId="57728B60">
            <w:pPr>
              <w:widowControl/>
              <w:jc w:val="center"/>
              <w:textAlignment w:val="center"/>
              <w:rPr>
                <w:rFonts w:hint="eastAsia" w:ascii="宋体" w:hAnsi="宋体" w:cs="宋体"/>
                <w:color w:val="000000"/>
                <w:kern w:val="0"/>
                <w:sz w:val="20"/>
                <w:szCs w:val="20"/>
                <w:lang w:bidi="ar"/>
              </w:rPr>
            </w:pPr>
          </w:p>
        </w:tc>
        <w:tc>
          <w:tcPr>
            <w:tcW w:w="1239" w:type="dxa"/>
            <w:tcBorders>
              <w:top w:val="single" w:color="000000" w:sz="4" w:space="0"/>
              <w:left w:val="single" w:color="000000" w:sz="4" w:space="0"/>
              <w:bottom w:val="single" w:color="000000" w:sz="4" w:space="0"/>
              <w:right w:val="single" w:color="000000" w:sz="4" w:space="0"/>
            </w:tcBorders>
            <w:vAlign w:val="center"/>
          </w:tcPr>
          <w:p w14:paraId="346A495D">
            <w:pPr>
              <w:widowControl/>
              <w:jc w:val="center"/>
              <w:textAlignment w:val="center"/>
              <w:rPr>
                <w:rFonts w:hint="eastAsia" w:ascii="宋体" w:hAnsi="宋体" w:cs="宋体"/>
                <w:color w:val="000000"/>
                <w:kern w:val="0"/>
                <w:sz w:val="20"/>
                <w:szCs w:val="20"/>
                <w:lang w:bidi="ar"/>
              </w:rPr>
            </w:pPr>
          </w:p>
        </w:tc>
        <w:tc>
          <w:tcPr>
            <w:tcW w:w="900" w:type="dxa"/>
            <w:tcBorders>
              <w:top w:val="single" w:color="000000" w:sz="4" w:space="0"/>
              <w:left w:val="single" w:color="000000" w:sz="4" w:space="0"/>
              <w:bottom w:val="single" w:color="000000" w:sz="4" w:space="0"/>
              <w:right w:val="single" w:color="000000" w:sz="4" w:space="0"/>
            </w:tcBorders>
            <w:vAlign w:val="center"/>
          </w:tcPr>
          <w:p w14:paraId="7EC5CEAC">
            <w:pPr>
              <w:widowControl/>
              <w:jc w:val="center"/>
              <w:textAlignment w:val="center"/>
              <w:rPr>
                <w:rFonts w:hint="eastAsia" w:ascii="宋体" w:hAnsi="宋体" w:cs="宋体"/>
                <w:color w:val="000000"/>
                <w:kern w:val="0"/>
                <w:sz w:val="20"/>
                <w:szCs w:val="20"/>
                <w:lang w:bidi="ar"/>
              </w:rPr>
            </w:pPr>
          </w:p>
        </w:tc>
        <w:tc>
          <w:tcPr>
            <w:tcW w:w="832" w:type="dxa"/>
            <w:tcBorders>
              <w:top w:val="single" w:color="000000" w:sz="4" w:space="0"/>
              <w:left w:val="single" w:color="000000" w:sz="4" w:space="0"/>
              <w:bottom w:val="single" w:color="000000" w:sz="4" w:space="0"/>
              <w:right w:val="single" w:color="000000" w:sz="4" w:space="0"/>
            </w:tcBorders>
            <w:vAlign w:val="center"/>
          </w:tcPr>
          <w:p w14:paraId="30759B47">
            <w:pPr>
              <w:widowControl/>
              <w:jc w:val="center"/>
              <w:textAlignment w:val="center"/>
              <w:rPr>
                <w:rFonts w:hint="eastAsia" w:ascii="宋体" w:hAnsi="宋体" w:cs="宋体"/>
                <w:color w:val="000000"/>
                <w:kern w:val="0"/>
                <w:sz w:val="20"/>
                <w:szCs w:val="20"/>
                <w:lang w:bidi="ar"/>
              </w:rPr>
            </w:pPr>
          </w:p>
        </w:tc>
        <w:tc>
          <w:tcPr>
            <w:tcW w:w="1143" w:type="dxa"/>
            <w:tcBorders>
              <w:top w:val="single" w:color="000000" w:sz="4" w:space="0"/>
              <w:left w:val="single" w:color="000000" w:sz="4" w:space="0"/>
              <w:bottom w:val="single" w:color="000000" w:sz="4" w:space="0"/>
              <w:right w:val="single" w:color="000000" w:sz="4" w:space="0"/>
            </w:tcBorders>
            <w:vAlign w:val="center"/>
          </w:tcPr>
          <w:p w14:paraId="3F8F09B5">
            <w:pPr>
              <w:widowControl/>
              <w:jc w:val="center"/>
              <w:textAlignment w:val="center"/>
              <w:rPr>
                <w:rFonts w:hint="eastAsia" w:ascii="宋体" w:hAnsi="宋体" w:cs="宋体"/>
                <w:color w:val="000000"/>
                <w:kern w:val="0"/>
                <w:sz w:val="20"/>
                <w:szCs w:val="20"/>
                <w:lang w:bidi="ar"/>
              </w:rPr>
            </w:pPr>
          </w:p>
        </w:tc>
        <w:tc>
          <w:tcPr>
            <w:tcW w:w="763" w:type="dxa"/>
            <w:tcBorders>
              <w:top w:val="single" w:color="000000" w:sz="4" w:space="0"/>
              <w:left w:val="single" w:color="000000" w:sz="4" w:space="0"/>
              <w:bottom w:val="single" w:color="000000" w:sz="4" w:space="0"/>
              <w:right w:val="single" w:color="000000" w:sz="4" w:space="0"/>
            </w:tcBorders>
            <w:vAlign w:val="center"/>
          </w:tcPr>
          <w:p w14:paraId="7C920AE4">
            <w:pPr>
              <w:widowControl/>
              <w:jc w:val="center"/>
              <w:textAlignment w:val="center"/>
              <w:rPr>
                <w:rFonts w:hint="eastAsia" w:ascii="宋体" w:hAnsi="宋体" w:cs="宋体"/>
                <w:color w:val="000000"/>
                <w:kern w:val="0"/>
                <w:sz w:val="20"/>
                <w:szCs w:val="20"/>
                <w:lang w:bidi="ar"/>
              </w:rPr>
            </w:pPr>
          </w:p>
        </w:tc>
        <w:tc>
          <w:tcPr>
            <w:tcW w:w="741" w:type="dxa"/>
            <w:tcBorders>
              <w:top w:val="single" w:color="000000" w:sz="4" w:space="0"/>
              <w:left w:val="single" w:color="000000" w:sz="4" w:space="0"/>
              <w:bottom w:val="single" w:color="000000" w:sz="4" w:space="0"/>
              <w:right w:val="single" w:color="000000" w:sz="4" w:space="0"/>
            </w:tcBorders>
            <w:vAlign w:val="center"/>
          </w:tcPr>
          <w:p w14:paraId="7A9EF67A">
            <w:pPr>
              <w:widowControl/>
              <w:jc w:val="center"/>
              <w:textAlignment w:val="center"/>
              <w:rPr>
                <w:rFonts w:hint="eastAsia" w:ascii="宋体" w:hAnsi="宋体" w:cs="宋体"/>
                <w:color w:val="000000"/>
                <w:kern w:val="0"/>
                <w:sz w:val="20"/>
                <w:szCs w:val="20"/>
                <w:lang w:bidi="ar"/>
              </w:rPr>
            </w:pPr>
          </w:p>
        </w:tc>
      </w:tr>
      <w:tr w14:paraId="037B7F86">
        <w:tblPrEx>
          <w:tblCellMar>
            <w:top w:w="0" w:type="dxa"/>
            <w:left w:w="108" w:type="dxa"/>
            <w:bottom w:w="0" w:type="dxa"/>
            <w:right w:w="108" w:type="dxa"/>
          </w:tblCellMar>
        </w:tblPrEx>
        <w:trPr>
          <w:trHeight w:val="20" w:hRule="atLeast"/>
          <w:jc w:val="center"/>
        </w:trPr>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1EA9C2">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235</w:t>
            </w:r>
          </w:p>
        </w:tc>
        <w:tc>
          <w:tcPr>
            <w:tcW w:w="2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B3CEE7">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 xml:space="preserve">医疗废物垃圾袋 </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91F7CC">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80*90cm 平口      独立包装</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F5BC7C">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只</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569322">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20</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08692B">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86.45</w:t>
            </w:r>
          </w:p>
        </w:tc>
        <w:tc>
          <w:tcPr>
            <w:tcW w:w="992" w:type="dxa"/>
            <w:tcBorders>
              <w:top w:val="single" w:color="000000" w:sz="4" w:space="0"/>
              <w:left w:val="single" w:color="000000" w:sz="4" w:space="0"/>
              <w:bottom w:val="single" w:color="000000" w:sz="4" w:space="0"/>
              <w:right w:val="single" w:color="000000" w:sz="4" w:space="0"/>
            </w:tcBorders>
            <w:vAlign w:val="center"/>
          </w:tcPr>
          <w:p w14:paraId="203C0F86">
            <w:pPr>
              <w:widowControl/>
              <w:jc w:val="center"/>
              <w:textAlignment w:val="center"/>
              <w:rPr>
                <w:rFonts w:hint="eastAsia" w:ascii="宋体" w:hAnsi="宋体" w:cs="宋体"/>
                <w:color w:val="000000"/>
                <w:kern w:val="0"/>
                <w:sz w:val="20"/>
                <w:szCs w:val="20"/>
                <w:lang w:bidi="ar"/>
              </w:rPr>
            </w:pPr>
          </w:p>
        </w:tc>
        <w:tc>
          <w:tcPr>
            <w:tcW w:w="1239" w:type="dxa"/>
            <w:tcBorders>
              <w:top w:val="single" w:color="000000" w:sz="4" w:space="0"/>
              <w:left w:val="single" w:color="000000" w:sz="4" w:space="0"/>
              <w:bottom w:val="single" w:color="000000" w:sz="4" w:space="0"/>
              <w:right w:val="single" w:color="000000" w:sz="4" w:space="0"/>
            </w:tcBorders>
            <w:vAlign w:val="center"/>
          </w:tcPr>
          <w:p w14:paraId="1D5DE201">
            <w:pPr>
              <w:widowControl/>
              <w:jc w:val="center"/>
              <w:textAlignment w:val="center"/>
              <w:rPr>
                <w:rFonts w:hint="eastAsia" w:ascii="宋体" w:hAnsi="宋体" w:cs="宋体"/>
                <w:color w:val="000000"/>
                <w:kern w:val="0"/>
                <w:sz w:val="20"/>
                <w:szCs w:val="20"/>
                <w:lang w:bidi="ar"/>
              </w:rPr>
            </w:pPr>
          </w:p>
        </w:tc>
        <w:tc>
          <w:tcPr>
            <w:tcW w:w="900" w:type="dxa"/>
            <w:tcBorders>
              <w:top w:val="single" w:color="000000" w:sz="4" w:space="0"/>
              <w:left w:val="single" w:color="000000" w:sz="4" w:space="0"/>
              <w:bottom w:val="single" w:color="000000" w:sz="4" w:space="0"/>
              <w:right w:val="single" w:color="000000" w:sz="4" w:space="0"/>
            </w:tcBorders>
            <w:vAlign w:val="center"/>
          </w:tcPr>
          <w:p w14:paraId="739BA053">
            <w:pPr>
              <w:widowControl/>
              <w:jc w:val="center"/>
              <w:textAlignment w:val="center"/>
              <w:rPr>
                <w:rFonts w:hint="eastAsia" w:ascii="宋体" w:hAnsi="宋体" w:cs="宋体"/>
                <w:color w:val="000000"/>
                <w:kern w:val="0"/>
                <w:sz w:val="20"/>
                <w:szCs w:val="20"/>
                <w:lang w:bidi="ar"/>
              </w:rPr>
            </w:pPr>
          </w:p>
        </w:tc>
        <w:tc>
          <w:tcPr>
            <w:tcW w:w="832" w:type="dxa"/>
            <w:tcBorders>
              <w:top w:val="single" w:color="000000" w:sz="4" w:space="0"/>
              <w:left w:val="single" w:color="000000" w:sz="4" w:space="0"/>
              <w:bottom w:val="single" w:color="000000" w:sz="4" w:space="0"/>
              <w:right w:val="single" w:color="000000" w:sz="4" w:space="0"/>
            </w:tcBorders>
            <w:vAlign w:val="center"/>
          </w:tcPr>
          <w:p w14:paraId="52ACD977">
            <w:pPr>
              <w:widowControl/>
              <w:jc w:val="center"/>
              <w:textAlignment w:val="center"/>
              <w:rPr>
                <w:rFonts w:hint="eastAsia" w:ascii="宋体" w:hAnsi="宋体" w:cs="宋体"/>
                <w:color w:val="000000"/>
                <w:kern w:val="0"/>
                <w:sz w:val="20"/>
                <w:szCs w:val="20"/>
                <w:lang w:bidi="ar"/>
              </w:rPr>
            </w:pPr>
          </w:p>
        </w:tc>
        <w:tc>
          <w:tcPr>
            <w:tcW w:w="1143" w:type="dxa"/>
            <w:tcBorders>
              <w:top w:val="single" w:color="000000" w:sz="4" w:space="0"/>
              <w:left w:val="single" w:color="000000" w:sz="4" w:space="0"/>
              <w:bottom w:val="single" w:color="000000" w:sz="4" w:space="0"/>
              <w:right w:val="single" w:color="000000" w:sz="4" w:space="0"/>
            </w:tcBorders>
            <w:vAlign w:val="center"/>
          </w:tcPr>
          <w:p w14:paraId="7DD067D6">
            <w:pPr>
              <w:widowControl/>
              <w:jc w:val="center"/>
              <w:textAlignment w:val="center"/>
              <w:rPr>
                <w:rFonts w:hint="eastAsia" w:ascii="宋体" w:hAnsi="宋体" w:cs="宋体"/>
                <w:color w:val="000000"/>
                <w:kern w:val="0"/>
                <w:sz w:val="20"/>
                <w:szCs w:val="20"/>
                <w:lang w:bidi="ar"/>
              </w:rPr>
            </w:pPr>
          </w:p>
        </w:tc>
        <w:tc>
          <w:tcPr>
            <w:tcW w:w="763" w:type="dxa"/>
            <w:tcBorders>
              <w:top w:val="single" w:color="000000" w:sz="4" w:space="0"/>
              <w:left w:val="single" w:color="000000" w:sz="4" w:space="0"/>
              <w:bottom w:val="single" w:color="000000" w:sz="4" w:space="0"/>
              <w:right w:val="single" w:color="000000" w:sz="4" w:space="0"/>
            </w:tcBorders>
            <w:vAlign w:val="center"/>
          </w:tcPr>
          <w:p w14:paraId="0A266A5F">
            <w:pPr>
              <w:widowControl/>
              <w:jc w:val="center"/>
              <w:textAlignment w:val="center"/>
              <w:rPr>
                <w:rFonts w:hint="eastAsia" w:ascii="宋体" w:hAnsi="宋体" w:cs="宋体"/>
                <w:color w:val="000000"/>
                <w:kern w:val="0"/>
                <w:sz w:val="20"/>
                <w:szCs w:val="20"/>
                <w:lang w:bidi="ar"/>
              </w:rPr>
            </w:pPr>
          </w:p>
        </w:tc>
        <w:tc>
          <w:tcPr>
            <w:tcW w:w="741" w:type="dxa"/>
            <w:tcBorders>
              <w:top w:val="single" w:color="000000" w:sz="4" w:space="0"/>
              <w:left w:val="single" w:color="000000" w:sz="4" w:space="0"/>
              <w:bottom w:val="single" w:color="000000" w:sz="4" w:space="0"/>
              <w:right w:val="single" w:color="000000" w:sz="4" w:space="0"/>
            </w:tcBorders>
            <w:vAlign w:val="center"/>
          </w:tcPr>
          <w:p w14:paraId="3C9612C3">
            <w:pPr>
              <w:widowControl/>
              <w:jc w:val="center"/>
              <w:textAlignment w:val="center"/>
              <w:rPr>
                <w:rFonts w:hint="eastAsia" w:ascii="宋体" w:hAnsi="宋体" w:cs="宋体"/>
                <w:color w:val="000000"/>
                <w:kern w:val="0"/>
                <w:sz w:val="20"/>
                <w:szCs w:val="20"/>
                <w:lang w:bidi="ar"/>
              </w:rPr>
            </w:pPr>
          </w:p>
        </w:tc>
      </w:tr>
      <w:tr w14:paraId="19D964D4">
        <w:tblPrEx>
          <w:tblCellMar>
            <w:top w:w="0" w:type="dxa"/>
            <w:left w:w="108" w:type="dxa"/>
            <w:bottom w:w="0" w:type="dxa"/>
            <w:right w:w="108" w:type="dxa"/>
          </w:tblCellMar>
        </w:tblPrEx>
        <w:trPr>
          <w:trHeight w:val="20" w:hRule="atLeast"/>
          <w:jc w:val="center"/>
        </w:trPr>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05C876">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236</w:t>
            </w:r>
          </w:p>
        </w:tc>
        <w:tc>
          <w:tcPr>
            <w:tcW w:w="2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6C3D05">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抑菌洗手液</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512CF0">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300克/瓶</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922472">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瓶</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E2B821">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10</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DF0BD3">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40.1</w:t>
            </w:r>
          </w:p>
        </w:tc>
        <w:tc>
          <w:tcPr>
            <w:tcW w:w="992" w:type="dxa"/>
            <w:tcBorders>
              <w:top w:val="single" w:color="000000" w:sz="4" w:space="0"/>
              <w:left w:val="single" w:color="000000" w:sz="4" w:space="0"/>
              <w:bottom w:val="single" w:color="000000" w:sz="4" w:space="0"/>
              <w:right w:val="single" w:color="000000" w:sz="4" w:space="0"/>
            </w:tcBorders>
            <w:vAlign w:val="center"/>
          </w:tcPr>
          <w:p w14:paraId="1D4C4668">
            <w:pPr>
              <w:widowControl/>
              <w:jc w:val="center"/>
              <w:textAlignment w:val="center"/>
              <w:rPr>
                <w:rFonts w:hint="eastAsia" w:ascii="宋体" w:hAnsi="宋体" w:cs="宋体"/>
                <w:color w:val="000000"/>
                <w:kern w:val="0"/>
                <w:sz w:val="20"/>
                <w:szCs w:val="20"/>
                <w:lang w:bidi="ar"/>
              </w:rPr>
            </w:pPr>
          </w:p>
        </w:tc>
        <w:tc>
          <w:tcPr>
            <w:tcW w:w="1239" w:type="dxa"/>
            <w:tcBorders>
              <w:top w:val="single" w:color="000000" w:sz="4" w:space="0"/>
              <w:left w:val="single" w:color="000000" w:sz="4" w:space="0"/>
              <w:bottom w:val="single" w:color="000000" w:sz="4" w:space="0"/>
              <w:right w:val="single" w:color="000000" w:sz="4" w:space="0"/>
            </w:tcBorders>
            <w:vAlign w:val="center"/>
          </w:tcPr>
          <w:p w14:paraId="0866F701">
            <w:pPr>
              <w:widowControl/>
              <w:jc w:val="center"/>
              <w:textAlignment w:val="center"/>
              <w:rPr>
                <w:rFonts w:hint="eastAsia" w:ascii="宋体" w:hAnsi="宋体" w:cs="宋体"/>
                <w:color w:val="000000"/>
                <w:kern w:val="0"/>
                <w:sz w:val="20"/>
                <w:szCs w:val="20"/>
                <w:lang w:bidi="ar"/>
              </w:rPr>
            </w:pPr>
          </w:p>
        </w:tc>
        <w:tc>
          <w:tcPr>
            <w:tcW w:w="900" w:type="dxa"/>
            <w:tcBorders>
              <w:top w:val="single" w:color="000000" w:sz="4" w:space="0"/>
              <w:left w:val="single" w:color="000000" w:sz="4" w:space="0"/>
              <w:bottom w:val="single" w:color="000000" w:sz="4" w:space="0"/>
              <w:right w:val="single" w:color="000000" w:sz="4" w:space="0"/>
            </w:tcBorders>
            <w:vAlign w:val="center"/>
          </w:tcPr>
          <w:p w14:paraId="04489336">
            <w:pPr>
              <w:widowControl/>
              <w:jc w:val="center"/>
              <w:textAlignment w:val="center"/>
              <w:rPr>
                <w:rFonts w:hint="eastAsia" w:ascii="宋体" w:hAnsi="宋体" w:cs="宋体"/>
                <w:color w:val="000000"/>
                <w:kern w:val="0"/>
                <w:sz w:val="20"/>
                <w:szCs w:val="20"/>
                <w:lang w:bidi="ar"/>
              </w:rPr>
            </w:pPr>
          </w:p>
        </w:tc>
        <w:tc>
          <w:tcPr>
            <w:tcW w:w="832" w:type="dxa"/>
            <w:tcBorders>
              <w:top w:val="single" w:color="000000" w:sz="4" w:space="0"/>
              <w:left w:val="single" w:color="000000" w:sz="4" w:space="0"/>
              <w:bottom w:val="single" w:color="000000" w:sz="4" w:space="0"/>
              <w:right w:val="single" w:color="000000" w:sz="4" w:space="0"/>
            </w:tcBorders>
            <w:vAlign w:val="center"/>
          </w:tcPr>
          <w:p w14:paraId="4495AF59">
            <w:pPr>
              <w:widowControl/>
              <w:jc w:val="center"/>
              <w:textAlignment w:val="center"/>
              <w:rPr>
                <w:rFonts w:hint="eastAsia" w:ascii="宋体" w:hAnsi="宋体" w:cs="宋体"/>
                <w:color w:val="000000"/>
                <w:kern w:val="0"/>
                <w:sz w:val="20"/>
                <w:szCs w:val="20"/>
                <w:lang w:bidi="ar"/>
              </w:rPr>
            </w:pPr>
          </w:p>
        </w:tc>
        <w:tc>
          <w:tcPr>
            <w:tcW w:w="1143" w:type="dxa"/>
            <w:tcBorders>
              <w:top w:val="single" w:color="000000" w:sz="4" w:space="0"/>
              <w:left w:val="single" w:color="000000" w:sz="4" w:space="0"/>
              <w:bottom w:val="single" w:color="000000" w:sz="4" w:space="0"/>
              <w:right w:val="single" w:color="000000" w:sz="4" w:space="0"/>
            </w:tcBorders>
            <w:vAlign w:val="center"/>
          </w:tcPr>
          <w:p w14:paraId="3F387D64">
            <w:pPr>
              <w:widowControl/>
              <w:jc w:val="center"/>
              <w:textAlignment w:val="center"/>
              <w:rPr>
                <w:rFonts w:hint="eastAsia" w:ascii="宋体" w:hAnsi="宋体" w:cs="宋体"/>
                <w:color w:val="000000"/>
                <w:kern w:val="0"/>
                <w:sz w:val="20"/>
                <w:szCs w:val="20"/>
                <w:lang w:bidi="ar"/>
              </w:rPr>
            </w:pPr>
          </w:p>
        </w:tc>
        <w:tc>
          <w:tcPr>
            <w:tcW w:w="763" w:type="dxa"/>
            <w:tcBorders>
              <w:top w:val="single" w:color="000000" w:sz="4" w:space="0"/>
              <w:left w:val="single" w:color="000000" w:sz="4" w:space="0"/>
              <w:bottom w:val="single" w:color="000000" w:sz="4" w:space="0"/>
              <w:right w:val="single" w:color="000000" w:sz="4" w:space="0"/>
            </w:tcBorders>
            <w:vAlign w:val="center"/>
          </w:tcPr>
          <w:p w14:paraId="2DF0F39D">
            <w:pPr>
              <w:widowControl/>
              <w:jc w:val="center"/>
              <w:textAlignment w:val="center"/>
              <w:rPr>
                <w:rFonts w:hint="eastAsia" w:ascii="宋体" w:hAnsi="宋体" w:cs="宋体"/>
                <w:color w:val="000000"/>
                <w:kern w:val="0"/>
                <w:sz w:val="20"/>
                <w:szCs w:val="20"/>
                <w:lang w:bidi="ar"/>
              </w:rPr>
            </w:pPr>
          </w:p>
        </w:tc>
        <w:tc>
          <w:tcPr>
            <w:tcW w:w="741" w:type="dxa"/>
            <w:tcBorders>
              <w:top w:val="single" w:color="000000" w:sz="4" w:space="0"/>
              <w:left w:val="single" w:color="000000" w:sz="4" w:space="0"/>
              <w:bottom w:val="single" w:color="000000" w:sz="4" w:space="0"/>
              <w:right w:val="single" w:color="000000" w:sz="4" w:space="0"/>
            </w:tcBorders>
            <w:vAlign w:val="center"/>
          </w:tcPr>
          <w:p w14:paraId="76D88A62">
            <w:pPr>
              <w:widowControl/>
              <w:jc w:val="center"/>
              <w:textAlignment w:val="center"/>
              <w:rPr>
                <w:rFonts w:hint="eastAsia" w:ascii="宋体" w:hAnsi="宋体" w:cs="宋体"/>
                <w:color w:val="000000"/>
                <w:kern w:val="0"/>
                <w:sz w:val="20"/>
                <w:szCs w:val="20"/>
                <w:lang w:bidi="ar"/>
              </w:rPr>
            </w:pPr>
          </w:p>
        </w:tc>
      </w:tr>
      <w:tr w14:paraId="3F97D7A9">
        <w:tblPrEx>
          <w:tblCellMar>
            <w:top w:w="0" w:type="dxa"/>
            <w:left w:w="108" w:type="dxa"/>
            <w:bottom w:w="0" w:type="dxa"/>
            <w:right w:w="108" w:type="dxa"/>
          </w:tblCellMar>
        </w:tblPrEx>
        <w:trPr>
          <w:trHeight w:val="20" w:hRule="atLeast"/>
          <w:jc w:val="center"/>
        </w:trPr>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FEA3AD">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237</w:t>
            </w:r>
          </w:p>
        </w:tc>
        <w:tc>
          <w:tcPr>
            <w:tcW w:w="2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151FA4">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洗手液</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FE3FD7">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300ml/瓶</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10CA30">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瓶</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213F59">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10</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4975BC">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37.7</w:t>
            </w:r>
          </w:p>
        </w:tc>
        <w:tc>
          <w:tcPr>
            <w:tcW w:w="992" w:type="dxa"/>
            <w:tcBorders>
              <w:top w:val="single" w:color="000000" w:sz="4" w:space="0"/>
              <w:left w:val="single" w:color="000000" w:sz="4" w:space="0"/>
              <w:bottom w:val="single" w:color="000000" w:sz="4" w:space="0"/>
              <w:right w:val="single" w:color="000000" w:sz="4" w:space="0"/>
            </w:tcBorders>
            <w:vAlign w:val="center"/>
          </w:tcPr>
          <w:p w14:paraId="79F602C8">
            <w:pPr>
              <w:widowControl/>
              <w:jc w:val="center"/>
              <w:textAlignment w:val="center"/>
              <w:rPr>
                <w:rFonts w:hint="eastAsia" w:ascii="宋体" w:hAnsi="宋体" w:cs="宋体"/>
                <w:color w:val="000000"/>
                <w:kern w:val="0"/>
                <w:sz w:val="20"/>
                <w:szCs w:val="20"/>
                <w:lang w:bidi="ar"/>
              </w:rPr>
            </w:pPr>
          </w:p>
        </w:tc>
        <w:tc>
          <w:tcPr>
            <w:tcW w:w="1239" w:type="dxa"/>
            <w:tcBorders>
              <w:top w:val="single" w:color="000000" w:sz="4" w:space="0"/>
              <w:left w:val="single" w:color="000000" w:sz="4" w:space="0"/>
              <w:bottom w:val="single" w:color="000000" w:sz="4" w:space="0"/>
              <w:right w:val="single" w:color="000000" w:sz="4" w:space="0"/>
            </w:tcBorders>
            <w:vAlign w:val="center"/>
          </w:tcPr>
          <w:p w14:paraId="3466EEDE">
            <w:pPr>
              <w:widowControl/>
              <w:jc w:val="center"/>
              <w:textAlignment w:val="center"/>
              <w:rPr>
                <w:rFonts w:hint="eastAsia" w:ascii="宋体" w:hAnsi="宋体" w:cs="宋体"/>
                <w:color w:val="000000"/>
                <w:kern w:val="0"/>
                <w:sz w:val="20"/>
                <w:szCs w:val="20"/>
                <w:lang w:bidi="ar"/>
              </w:rPr>
            </w:pPr>
          </w:p>
        </w:tc>
        <w:tc>
          <w:tcPr>
            <w:tcW w:w="900" w:type="dxa"/>
            <w:tcBorders>
              <w:top w:val="single" w:color="000000" w:sz="4" w:space="0"/>
              <w:left w:val="single" w:color="000000" w:sz="4" w:space="0"/>
              <w:bottom w:val="single" w:color="000000" w:sz="4" w:space="0"/>
              <w:right w:val="single" w:color="000000" w:sz="4" w:space="0"/>
            </w:tcBorders>
            <w:vAlign w:val="center"/>
          </w:tcPr>
          <w:p w14:paraId="7D7A6837">
            <w:pPr>
              <w:widowControl/>
              <w:jc w:val="center"/>
              <w:textAlignment w:val="center"/>
              <w:rPr>
                <w:rFonts w:hint="eastAsia" w:ascii="宋体" w:hAnsi="宋体" w:cs="宋体"/>
                <w:color w:val="000000"/>
                <w:kern w:val="0"/>
                <w:sz w:val="20"/>
                <w:szCs w:val="20"/>
                <w:lang w:bidi="ar"/>
              </w:rPr>
            </w:pPr>
          </w:p>
        </w:tc>
        <w:tc>
          <w:tcPr>
            <w:tcW w:w="832" w:type="dxa"/>
            <w:tcBorders>
              <w:top w:val="single" w:color="000000" w:sz="4" w:space="0"/>
              <w:left w:val="single" w:color="000000" w:sz="4" w:space="0"/>
              <w:bottom w:val="single" w:color="000000" w:sz="4" w:space="0"/>
              <w:right w:val="single" w:color="000000" w:sz="4" w:space="0"/>
            </w:tcBorders>
            <w:vAlign w:val="center"/>
          </w:tcPr>
          <w:p w14:paraId="494E82ED">
            <w:pPr>
              <w:widowControl/>
              <w:jc w:val="center"/>
              <w:textAlignment w:val="center"/>
              <w:rPr>
                <w:rFonts w:hint="eastAsia" w:ascii="宋体" w:hAnsi="宋体" w:cs="宋体"/>
                <w:color w:val="000000"/>
                <w:kern w:val="0"/>
                <w:sz w:val="20"/>
                <w:szCs w:val="20"/>
                <w:lang w:bidi="ar"/>
              </w:rPr>
            </w:pPr>
          </w:p>
        </w:tc>
        <w:tc>
          <w:tcPr>
            <w:tcW w:w="1143" w:type="dxa"/>
            <w:tcBorders>
              <w:top w:val="single" w:color="000000" w:sz="4" w:space="0"/>
              <w:left w:val="single" w:color="000000" w:sz="4" w:space="0"/>
              <w:bottom w:val="single" w:color="000000" w:sz="4" w:space="0"/>
              <w:right w:val="single" w:color="000000" w:sz="4" w:space="0"/>
            </w:tcBorders>
            <w:vAlign w:val="center"/>
          </w:tcPr>
          <w:p w14:paraId="50EDFA44">
            <w:pPr>
              <w:widowControl/>
              <w:jc w:val="center"/>
              <w:textAlignment w:val="center"/>
              <w:rPr>
                <w:rFonts w:hint="eastAsia" w:ascii="宋体" w:hAnsi="宋体" w:cs="宋体"/>
                <w:color w:val="000000"/>
                <w:kern w:val="0"/>
                <w:sz w:val="20"/>
                <w:szCs w:val="20"/>
                <w:lang w:bidi="ar"/>
              </w:rPr>
            </w:pPr>
          </w:p>
        </w:tc>
        <w:tc>
          <w:tcPr>
            <w:tcW w:w="763" w:type="dxa"/>
            <w:tcBorders>
              <w:top w:val="single" w:color="000000" w:sz="4" w:space="0"/>
              <w:left w:val="single" w:color="000000" w:sz="4" w:space="0"/>
              <w:bottom w:val="single" w:color="000000" w:sz="4" w:space="0"/>
              <w:right w:val="single" w:color="000000" w:sz="4" w:space="0"/>
            </w:tcBorders>
            <w:vAlign w:val="center"/>
          </w:tcPr>
          <w:p w14:paraId="5016C1FB">
            <w:pPr>
              <w:widowControl/>
              <w:jc w:val="center"/>
              <w:textAlignment w:val="center"/>
              <w:rPr>
                <w:rFonts w:hint="eastAsia" w:ascii="宋体" w:hAnsi="宋体" w:cs="宋体"/>
                <w:color w:val="000000"/>
                <w:kern w:val="0"/>
                <w:sz w:val="20"/>
                <w:szCs w:val="20"/>
                <w:lang w:bidi="ar"/>
              </w:rPr>
            </w:pPr>
          </w:p>
        </w:tc>
        <w:tc>
          <w:tcPr>
            <w:tcW w:w="741" w:type="dxa"/>
            <w:tcBorders>
              <w:top w:val="single" w:color="000000" w:sz="4" w:space="0"/>
              <w:left w:val="single" w:color="000000" w:sz="4" w:space="0"/>
              <w:bottom w:val="single" w:color="000000" w:sz="4" w:space="0"/>
              <w:right w:val="single" w:color="000000" w:sz="4" w:space="0"/>
            </w:tcBorders>
            <w:vAlign w:val="center"/>
          </w:tcPr>
          <w:p w14:paraId="72DACDF2">
            <w:pPr>
              <w:widowControl/>
              <w:jc w:val="center"/>
              <w:textAlignment w:val="center"/>
              <w:rPr>
                <w:rFonts w:hint="eastAsia" w:ascii="宋体" w:hAnsi="宋体" w:cs="宋体"/>
                <w:color w:val="000000"/>
                <w:kern w:val="0"/>
                <w:sz w:val="20"/>
                <w:szCs w:val="20"/>
                <w:lang w:bidi="ar"/>
              </w:rPr>
            </w:pPr>
          </w:p>
        </w:tc>
      </w:tr>
      <w:tr w14:paraId="2EC14759">
        <w:tblPrEx>
          <w:tblCellMar>
            <w:top w:w="0" w:type="dxa"/>
            <w:left w:w="108" w:type="dxa"/>
            <w:bottom w:w="0" w:type="dxa"/>
            <w:right w:w="108" w:type="dxa"/>
          </w:tblCellMar>
        </w:tblPrEx>
        <w:trPr>
          <w:trHeight w:val="20" w:hRule="atLeast"/>
          <w:jc w:val="center"/>
        </w:trPr>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60ED4D">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238</w:t>
            </w:r>
          </w:p>
        </w:tc>
        <w:tc>
          <w:tcPr>
            <w:tcW w:w="2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C12491">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医学检验生物样品密封袋（12号）</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58CC81">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35*45cm 20丝，100只/包</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8007DD">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包</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497905">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20</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9E449B">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76.57</w:t>
            </w:r>
          </w:p>
        </w:tc>
        <w:tc>
          <w:tcPr>
            <w:tcW w:w="992" w:type="dxa"/>
            <w:tcBorders>
              <w:top w:val="single" w:color="000000" w:sz="4" w:space="0"/>
              <w:left w:val="single" w:color="000000" w:sz="4" w:space="0"/>
              <w:bottom w:val="single" w:color="000000" w:sz="4" w:space="0"/>
              <w:right w:val="single" w:color="000000" w:sz="4" w:space="0"/>
            </w:tcBorders>
            <w:vAlign w:val="center"/>
          </w:tcPr>
          <w:p w14:paraId="2C6F4F8F">
            <w:pPr>
              <w:widowControl/>
              <w:jc w:val="center"/>
              <w:textAlignment w:val="center"/>
              <w:rPr>
                <w:rFonts w:hint="eastAsia" w:ascii="宋体" w:hAnsi="宋体" w:cs="宋体"/>
                <w:color w:val="000000"/>
                <w:kern w:val="0"/>
                <w:sz w:val="20"/>
                <w:szCs w:val="20"/>
                <w:lang w:bidi="ar"/>
              </w:rPr>
            </w:pPr>
          </w:p>
        </w:tc>
        <w:tc>
          <w:tcPr>
            <w:tcW w:w="1239" w:type="dxa"/>
            <w:tcBorders>
              <w:top w:val="single" w:color="000000" w:sz="4" w:space="0"/>
              <w:left w:val="single" w:color="000000" w:sz="4" w:space="0"/>
              <w:bottom w:val="single" w:color="000000" w:sz="4" w:space="0"/>
              <w:right w:val="single" w:color="000000" w:sz="4" w:space="0"/>
            </w:tcBorders>
            <w:vAlign w:val="center"/>
          </w:tcPr>
          <w:p w14:paraId="68A4ECD6">
            <w:pPr>
              <w:widowControl/>
              <w:jc w:val="center"/>
              <w:textAlignment w:val="center"/>
              <w:rPr>
                <w:rFonts w:hint="eastAsia" w:ascii="宋体" w:hAnsi="宋体" w:cs="宋体"/>
                <w:color w:val="000000"/>
                <w:kern w:val="0"/>
                <w:sz w:val="20"/>
                <w:szCs w:val="20"/>
                <w:lang w:bidi="ar"/>
              </w:rPr>
            </w:pPr>
          </w:p>
        </w:tc>
        <w:tc>
          <w:tcPr>
            <w:tcW w:w="900" w:type="dxa"/>
            <w:tcBorders>
              <w:top w:val="single" w:color="000000" w:sz="4" w:space="0"/>
              <w:left w:val="single" w:color="000000" w:sz="4" w:space="0"/>
              <w:bottom w:val="single" w:color="000000" w:sz="4" w:space="0"/>
              <w:right w:val="single" w:color="000000" w:sz="4" w:space="0"/>
            </w:tcBorders>
            <w:vAlign w:val="center"/>
          </w:tcPr>
          <w:p w14:paraId="19F4EC0D">
            <w:pPr>
              <w:widowControl/>
              <w:jc w:val="center"/>
              <w:textAlignment w:val="center"/>
              <w:rPr>
                <w:rFonts w:hint="eastAsia" w:ascii="宋体" w:hAnsi="宋体" w:cs="宋体"/>
                <w:color w:val="000000"/>
                <w:kern w:val="0"/>
                <w:sz w:val="20"/>
                <w:szCs w:val="20"/>
                <w:lang w:bidi="ar"/>
              </w:rPr>
            </w:pPr>
          </w:p>
        </w:tc>
        <w:tc>
          <w:tcPr>
            <w:tcW w:w="832" w:type="dxa"/>
            <w:tcBorders>
              <w:top w:val="single" w:color="000000" w:sz="4" w:space="0"/>
              <w:left w:val="single" w:color="000000" w:sz="4" w:space="0"/>
              <w:bottom w:val="single" w:color="000000" w:sz="4" w:space="0"/>
              <w:right w:val="single" w:color="000000" w:sz="4" w:space="0"/>
            </w:tcBorders>
            <w:vAlign w:val="center"/>
          </w:tcPr>
          <w:p w14:paraId="16CD387F">
            <w:pPr>
              <w:widowControl/>
              <w:jc w:val="center"/>
              <w:textAlignment w:val="center"/>
              <w:rPr>
                <w:rFonts w:hint="eastAsia" w:ascii="宋体" w:hAnsi="宋体" w:cs="宋体"/>
                <w:color w:val="000000"/>
                <w:kern w:val="0"/>
                <w:sz w:val="20"/>
                <w:szCs w:val="20"/>
                <w:lang w:bidi="ar"/>
              </w:rPr>
            </w:pPr>
          </w:p>
        </w:tc>
        <w:tc>
          <w:tcPr>
            <w:tcW w:w="1143" w:type="dxa"/>
            <w:tcBorders>
              <w:top w:val="single" w:color="000000" w:sz="4" w:space="0"/>
              <w:left w:val="single" w:color="000000" w:sz="4" w:space="0"/>
              <w:bottom w:val="single" w:color="000000" w:sz="4" w:space="0"/>
              <w:right w:val="single" w:color="000000" w:sz="4" w:space="0"/>
            </w:tcBorders>
            <w:vAlign w:val="center"/>
          </w:tcPr>
          <w:p w14:paraId="59513E59">
            <w:pPr>
              <w:widowControl/>
              <w:jc w:val="center"/>
              <w:textAlignment w:val="center"/>
              <w:rPr>
                <w:rFonts w:hint="eastAsia" w:ascii="宋体" w:hAnsi="宋体" w:cs="宋体"/>
                <w:color w:val="000000"/>
                <w:kern w:val="0"/>
                <w:sz w:val="20"/>
                <w:szCs w:val="20"/>
                <w:lang w:bidi="ar"/>
              </w:rPr>
            </w:pPr>
          </w:p>
        </w:tc>
        <w:tc>
          <w:tcPr>
            <w:tcW w:w="763" w:type="dxa"/>
            <w:tcBorders>
              <w:top w:val="single" w:color="000000" w:sz="4" w:space="0"/>
              <w:left w:val="single" w:color="000000" w:sz="4" w:space="0"/>
              <w:bottom w:val="single" w:color="000000" w:sz="4" w:space="0"/>
              <w:right w:val="single" w:color="000000" w:sz="4" w:space="0"/>
            </w:tcBorders>
            <w:vAlign w:val="center"/>
          </w:tcPr>
          <w:p w14:paraId="558EB3CD">
            <w:pPr>
              <w:widowControl/>
              <w:jc w:val="center"/>
              <w:textAlignment w:val="center"/>
              <w:rPr>
                <w:rFonts w:hint="eastAsia" w:ascii="宋体" w:hAnsi="宋体" w:cs="宋体"/>
                <w:color w:val="000000"/>
                <w:kern w:val="0"/>
                <w:sz w:val="20"/>
                <w:szCs w:val="20"/>
                <w:lang w:bidi="ar"/>
              </w:rPr>
            </w:pPr>
          </w:p>
        </w:tc>
        <w:tc>
          <w:tcPr>
            <w:tcW w:w="741" w:type="dxa"/>
            <w:tcBorders>
              <w:top w:val="single" w:color="000000" w:sz="4" w:space="0"/>
              <w:left w:val="single" w:color="000000" w:sz="4" w:space="0"/>
              <w:bottom w:val="single" w:color="000000" w:sz="4" w:space="0"/>
              <w:right w:val="single" w:color="000000" w:sz="4" w:space="0"/>
            </w:tcBorders>
            <w:vAlign w:val="center"/>
          </w:tcPr>
          <w:p w14:paraId="5EB44E05">
            <w:pPr>
              <w:widowControl/>
              <w:jc w:val="center"/>
              <w:textAlignment w:val="center"/>
              <w:rPr>
                <w:rFonts w:hint="eastAsia" w:ascii="宋体" w:hAnsi="宋体" w:cs="宋体"/>
                <w:color w:val="000000"/>
                <w:kern w:val="0"/>
                <w:sz w:val="20"/>
                <w:szCs w:val="20"/>
                <w:lang w:bidi="ar"/>
              </w:rPr>
            </w:pPr>
          </w:p>
        </w:tc>
      </w:tr>
      <w:tr w14:paraId="2DD4B5BA">
        <w:tblPrEx>
          <w:tblCellMar>
            <w:top w:w="0" w:type="dxa"/>
            <w:left w:w="108" w:type="dxa"/>
            <w:bottom w:w="0" w:type="dxa"/>
            <w:right w:w="108" w:type="dxa"/>
          </w:tblCellMar>
        </w:tblPrEx>
        <w:trPr>
          <w:trHeight w:val="20" w:hRule="atLeast"/>
          <w:jc w:val="center"/>
        </w:trPr>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F11E11">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239</w:t>
            </w:r>
          </w:p>
        </w:tc>
        <w:tc>
          <w:tcPr>
            <w:tcW w:w="2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B4892D">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医学检验生物样品密封袋（10号）</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329691">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25*35cm 16丝，100只/包</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C528CA">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包</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ABEE57">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20</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9DAF9A">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51.87</w:t>
            </w:r>
          </w:p>
        </w:tc>
        <w:tc>
          <w:tcPr>
            <w:tcW w:w="992" w:type="dxa"/>
            <w:tcBorders>
              <w:top w:val="single" w:color="000000" w:sz="4" w:space="0"/>
              <w:left w:val="single" w:color="000000" w:sz="4" w:space="0"/>
              <w:bottom w:val="single" w:color="000000" w:sz="4" w:space="0"/>
              <w:right w:val="single" w:color="000000" w:sz="4" w:space="0"/>
            </w:tcBorders>
            <w:vAlign w:val="center"/>
          </w:tcPr>
          <w:p w14:paraId="13679BDE">
            <w:pPr>
              <w:widowControl/>
              <w:jc w:val="center"/>
              <w:textAlignment w:val="center"/>
              <w:rPr>
                <w:rFonts w:hint="eastAsia" w:ascii="宋体" w:hAnsi="宋体" w:cs="宋体"/>
                <w:color w:val="000000"/>
                <w:kern w:val="0"/>
                <w:sz w:val="20"/>
                <w:szCs w:val="20"/>
                <w:lang w:bidi="ar"/>
              </w:rPr>
            </w:pPr>
          </w:p>
        </w:tc>
        <w:tc>
          <w:tcPr>
            <w:tcW w:w="1239" w:type="dxa"/>
            <w:tcBorders>
              <w:top w:val="single" w:color="000000" w:sz="4" w:space="0"/>
              <w:left w:val="single" w:color="000000" w:sz="4" w:space="0"/>
              <w:bottom w:val="single" w:color="000000" w:sz="4" w:space="0"/>
              <w:right w:val="single" w:color="000000" w:sz="4" w:space="0"/>
            </w:tcBorders>
            <w:vAlign w:val="center"/>
          </w:tcPr>
          <w:p w14:paraId="39A53A31">
            <w:pPr>
              <w:widowControl/>
              <w:jc w:val="center"/>
              <w:textAlignment w:val="center"/>
              <w:rPr>
                <w:rFonts w:hint="eastAsia" w:ascii="宋体" w:hAnsi="宋体" w:cs="宋体"/>
                <w:color w:val="000000"/>
                <w:kern w:val="0"/>
                <w:sz w:val="20"/>
                <w:szCs w:val="20"/>
                <w:lang w:bidi="ar"/>
              </w:rPr>
            </w:pPr>
          </w:p>
        </w:tc>
        <w:tc>
          <w:tcPr>
            <w:tcW w:w="900" w:type="dxa"/>
            <w:tcBorders>
              <w:top w:val="single" w:color="000000" w:sz="4" w:space="0"/>
              <w:left w:val="single" w:color="000000" w:sz="4" w:space="0"/>
              <w:bottom w:val="single" w:color="000000" w:sz="4" w:space="0"/>
              <w:right w:val="single" w:color="000000" w:sz="4" w:space="0"/>
            </w:tcBorders>
            <w:vAlign w:val="center"/>
          </w:tcPr>
          <w:p w14:paraId="6F1FBAC0">
            <w:pPr>
              <w:widowControl/>
              <w:jc w:val="center"/>
              <w:textAlignment w:val="center"/>
              <w:rPr>
                <w:rFonts w:hint="eastAsia" w:ascii="宋体" w:hAnsi="宋体" w:cs="宋体"/>
                <w:color w:val="000000"/>
                <w:kern w:val="0"/>
                <w:sz w:val="20"/>
                <w:szCs w:val="20"/>
                <w:lang w:bidi="ar"/>
              </w:rPr>
            </w:pPr>
          </w:p>
        </w:tc>
        <w:tc>
          <w:tcPr>
            <w:tcW w:w="832" w:type="dxa"/>
            <w:tcBorders>
              <w:top w:val="single" w:color="000000" w:sz="4" w:space="0"/>
              <w:left w:val="single" w:color="000000" w:sz="4" w:space="0"/>
              <w:bottom w:val="single" w:color="000000" w:sz="4" w:space="0"/>
              <w:right w:val="single" w:color="000000" w:sz="4" w:space="0"/>
            </w:tcBorders>
            <w:vAlign w:val="center"/>
          </w:tcPr>
          <w:p w14:paraId="3151A5F9">
            <w:pPr>
              <w:widowControl/>
              <w:jc w:val="center"/>
              <w:textAlignment w:val="center"/>
              <w:rPr>
                <w:rFonts w:hint="eastAsia" w:ascii="宋体" w:hAnsi="宋体" w:cs="宋体"/>
                <w:color w:val="000000"/>
                <w:kern w:val="0"/>
                <w:sz w:val="20"/>
                <w:szCs w:val="20"/>
                <w:lang w:bidi="ar"/>
              </w:rPr>
            </w:pPr>
          </w:p>
        </w:tc>
        <w:tc>
          <w:tcPr>
            <w:tcW w:w="1143" w:type="dxa"/>
            <w:tcBorders>
              <w:top w:val="single" w:color="000000" w:sz="4" w:space="0"/>
              <w:left w:val="single" w:color="000000" w:sz="4" w:space="0"/>
              <w:bottom w:val="single" w:color="000000" w:sz="4" w:space="0"/>
              <w:right w:val="single" w:color="000000" w:sz="4" w:space="0"/>
            </w:tcBorders>
            <w:vAlign w:val="center"/>
          </w:tcPr>
          <w:p w14:paraId="1D6C9DBB">
            <w:pPr>
              <w:widowControl/>
              <w:jc w:val="center"/>
              <w:textAlignment w:val="center"/>
              <w:rPr>
                <w:rFonts w:hint="eastAsia" w:ascii="宋体" w:hAnsi="宋体" w:cs="宋体"/>
                <w:color w:val="000000"/>
                <w:kern w:val="0"/>
                <w:sz w:val="20"/>
                <w:szCs w:val="20"/>
                <w:lang w:bidi="ar"/>
              </w:rPr>
            </w:pPr>
          </w:p>
        </w:tc>
        <w:tc>
          <w:tcPr>
            <w:tcW w:w="763" w:type="dxa"/>
            <w:tcBorders>
              <w:top w:val="single" w:color="000000" w:sz="4" w:space="0"/>
              <w:left w:val="single" w:color="000000" w:sz="4" w:space="0"/>
              <w:bottom w:val="single" w:color="000000" w:sz="4" w:space="0"/>
              <w:right w:val="single" w:color="000000" w:sz="4" w:space="0"/>
            </w:tcBorders>
            <w:vAlign w:val="center"/>
          </w:tcPr>
          <w:p w14:paraId="1D633161">
            <w:pPr>
              <w:widowControl/>
              <w:jc w:val="center"/>
              <w:textAlignment w:val="center"/>
              <w:rPr>
                <w:rFonts w:hint="eastAsia" w:ascii="宋体" w:hAnsi="宋体" w:cs="宋体"/>
                <w:color w:val="000000"/>
                <w:kern w:val="0"/>
                <w:sz w:val="20"/>
                <w:szCs w:val="20"/>
                <w:lang w:bidi="ar"/>
              </w:rPr>
            </w:pPr>
          </w:p>
        </w:tc>
        <w:tc>
          <w:tcPr>
            <w:tcW w:w="741" w:type="dxa"/>
            <w:tcBorders>
              <w:top w:val="single" w:color="000000" w:sz="4" w:space="0"/>
              <w:left w:val="single" w:color="000000" w:sz="4" w:space="0"/>
              <w:bottom w:val="single" w:color="000000" w:sz="4" w:space="0"/>
              <w:right w:val="single" w:color="000000" w:sz="4" w:space="0"/>
            </w:tcBorders>
            <w:vAlign w:val="center"/>
          </w:tcPr>
          <w:p w14:paraId="5C43F3E2">
            <w:pPr>
              <w:widowControl/>
              <w:jc w:val="center"/>
              <w:textAlignment w:val="center"/>
              <w:rPr>
                <w:rFonts w:hint="eastAsia" w:ascii="宋体" w:hAnsi="宋体" w:cs="宋体"/>
                <w:color w:val="000000"/>
                <w:kern w:val="0"/>
                <w:sz w:val="20"/>
                <w:szCs w:val="20"/>
                <w:lang w:bidi="ar"/>
              </w:rPr>
            </w:pPr>
          </w:p>
        </w:tc>
      </w:tr>
      <w:tr w14:paraId="2B64F88E">
        <w:tblPrEx>
          <w:tblCellMar>
            <w:top w:w="0" w:type="dxa"/>
            <w:left w:w="108" w:type="dxa"/>
            <w:bottom w:w="0" w:type="dxa"/>
            <w:right w:w="108" w:type="dxa"/>
          </w:tblCellMar>
        </w:tblPrEx>
        <w:trPr>
          <w:trHeight w:val="20" w:hRule="atLeast"/>
          <w:jc w:val="center"/>
        </w:trPr>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EB2B3D">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240</w:t>
            </w:r>
          </w:p>
        </w:tc>
        <w:tc>
          <w:tcPr>
            <w:tcW w:w="2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811F2F">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医学检验生物样品密封袋</w:t>
            </w:r>
            <w:r>
              <w:rPr>
                <w:rFonts w:hint="eastAsia" w:ascii="宋体" w:hAnsi="宋体" w:cs="宋体"/>
                <w:color w:val="000000"/>
                <w:kern w:val="0"/>
                <w:sz w:val="20"/>
                <w:szCs w:val="20"/>
                <w:lang w:bidi="ar"/>
              </w:rPr>
              <w:br w:type="textWrapping"/>
            </w:r>
            <w:r>
              <w:rPr>
                <w:rFonts w:hint="eastAsia" w:ascii="宋体" w:hAnsi="宋体" w:cs="宋体"/>
                <w:color w:val="000000"/>
                <w:kern w:val="0"/>
                <w:sz w:val="20"/>
                <w:szCs w:val="20"/>
                <w:lang w:bidi="ar"/>
              </w:rPr>
              <w:t>（8号）</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A2D405">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17*25cm 12丝，100只/包</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52DFE6">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包</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60F6F8">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20</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2A4709">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29.77</w:t>
            </w:r>
          </w:p>
        </w:tc>
        <w:tc>
          <w:tcPr>
            <w:tcW w:w="992" w:type="dxa"/>
            <w:tcBorders>
              <w:top w:val="single" w:color="000000" w:sz="4" w:space="0"/>
              <w:left w:val="single" w:color="000000" w:sz="4" w:space="0"/>
              <w:bottom w:val="single" w:color="000000" w:sz="4" w:space="0"/>
              <w:right w:val="single" w:color="000000" w:sz="4" w:space="0"/>
            </w:tcBorders>
            <w:vAlign w:val="center"/>
          </w:tcPr>
          <w:p w14:paraId="30F69C7F">
            <w:pPr>
              <w:widowControl/>
              <w:jc w:val="center"/>
              <w:textAlignment w:val="center"/>
              <w:rPr>
                <w:rFonts w:hint="eastAsia" w:ascii="宋体" w:hAnsi="宋体" w:cs="宋体"/>
                <w:color w:val="000000"/>
                <w:kern w:val="0"/>
                <w:sz w:val="20"/>
                <w:szCs w:val="20"/>
                <w:lang w:bidi="ar"/>
              </w:rPr>
            </w:pPr>
          </w:p>
        </w:tc>
        <w:tc>
          <w:tcPr>
            <w:tcW w:w="1239" w:type="dxa"/>
            <w:tcBorders>
              <w:top w:val="single" w:color="000000" w:sz="4" w:space="0"/>
              <w:left w:val="single" w:color="000000" w:sz="4" w:space="0"/>
              <w:bottom w:val="single" w:color="000000" w:sz="4" w:space="0"/>
              <w:right w:val="single" w:color="000000" w:sz="4" w:space="0"/>
            </w:tcBorders>
            <w:vAlign w:val="center"/>
          </w:tcPr>
          <w:p w14:paraId="4E3ED12F">
            <w:pPr>
              <w:widowControl/>
              <w:jc w:val="center"/>
              <w:textAlignment w:val="center"/>
              <w:rPr>
                <w:rFonts w:hint="eastAsia" w:ascii="宋体" w:hAnsi="宋体" w:cs="宋体"/>
                <w:color w:val="000000"/>
                <w:kern w:val="0"/>
                <w:sz w:val="20"/>
                <w:szCs w:val="20"/>
                <w:lang w:bidi="ar"/>
              </w:rPr>
            </w:pPr>
          </w:p>
        </w:tc>
        <w:tc>
          <w:tcPr>
            <w:tcW w:w="900" w:type="dxa"/>
            <w:tcBorders>
              <w:top w:val="single" w:color="000000" w:sz="4" w:space="0"/>
              <w:left w:val="single" w:color="000000" w:sz="4" w:space="0"/>
              <w:bottom w:val="single" w:color="000000" w:sz="4" w:space="0"/>
              <w:right w:val="single" w:color="000000" w:sz="4" w:space="0"/>
            </w:tcBorders>
            <w:vAlign w:val="center"/>
          </w:tcPr>
          <w:p w14:paraId="7243B087">
            <w:pPr>
              <w:widowControl/>
              <w:jc w:val="center"/>
              <w:textAlignment w:val="center"/>
              <w:rPr>
                <w:rFonts w:hint="eastAsia" w:ascii="宋体" w:hAnsi="宋体" w:cs="宋体"/>
                <w:color w:val="000000"/>
                <w:kern w:val="0"/>
                <w:sz w:val="20"/>
                <w:szCs w:val="20"/>
                <w:lang w:bidi="ar"/>
              </w:rPr>
            </w:pPr>
          </w:p>
        </w:tc>
        <w:tc>
          <w:tcPr>
            <w:tcW w:w="832" w:type="dxa"/>
            <w:tcBorders>
              <w:top w:val="single" w:color="000000" w:sz="4" w:space="0"/>
              <w:left w:val="single" w:color="000000" w:sz="4" w:space="0"/>
              <w:bottom w:val="single" w:color="000000" w:sz="4" w:space="0"/>
              <w:right w:val="single" w:color="000000" w:sz="4" w:space="0"/>
            </w:tcBorders>
            <w:vAlign w:val="center"/>
          </w:tcPr>
          <w:p w14:paraId="6AE1DCF4">
            <w:pPr>
              <w:widowControl/>
              <w:jc w:val="center"/>
              <w:textAlignment w:val="center"/>
              <w:rPr>
                <w:rFonts w:hint="eastAsia" w:ascii="宋体" w:hAnsi="宋体" w:cs="宋体"/>
                <w:color w:val="000000"/>
                <w:kern w:val="0"/>
                <w:sz w:val="20"/>
                <w:szCs w:val="20"/>
                <w:lang w:bidi="ar"/>
              </w:rPr>
            </w:pPr>
          </w:p>
        </w:tc>
        <w:tc>
          <w:tcPr>
            <w:tcW w:w="1143" w:type="dxa"/>
            <w:tcBorders>
              <w:top w:val="single" w:color="000000" w:sz="4" w:space="0"/>
              <w:left w:val="single" w:color="000000" w:sz="4" w:space="0"/>
              <w:bottom w:val="single" w:color="000000" w:sz="4" w:space="0"/>
              <w:right w:val="single" w:color="000000" w:sz="4" w:space="0"/>
            </w:tcBorders>
            <w:vAlign w:val="center"/>
          </w:tcPr>
          <w:p w14:paraId="7BFBCBA4">
            <w:pPr>
              <w:widowControl/>
              <w:jc w:val="center"/>
              <w:textAlignment w:val="center"/>
              <w:rPr>
                <w:rFonts w:hint="eastAsia" w:ascii="宋体" w:hAnsi="宋体" w:cs="宋体"/>
                <w:color w:val="000000"/>
                <w:kern w:val="0"/>
                <w:sz w:val="20"/>
                <w:szCs w:val="20"/>
                <w:lang w:bidi="ar"/>
              </w:rPr>
            </w:pPr>
          </w:p>
        </w:tc>
        <w:tc>
          <w:tcPr>
            <w:tcW w:w="763" w:type="dxa"/>
            <w:tcBorders>
              <w:top w:val="single" w:color="000000" w:sz="4" w:space="0"/>
              <w:left w:val="single" w:color="000000" w:sz="4" w:space="0"/>
              <w:bottom w:val="single" w:color="000000" w:sz="4" w:space="0"/>
              <w:right w:val="single" w:color="000000" w:sz="4" w:space="0"/>
            </w:tcBorders>
            <w:vAlign w:val="center"/>
          </w:tcPr>
          <w:p w14:paraId="1181B99C">
            <w:pPr>
              <w:widowControl/>
              <w:jc w:val="center"/>
              <w:textAlignment w:val="center"/>
              <w:rPr>
                <w:rFonts w:hint="eastAsia" w:ascii="宋体" w:hAnsi="宋体" w:cs="宋体"/>
                <w:color w:val="000000"/>
                <w:kern w:val="0"/>
                <w:sz w:val="20"/>
                <w:szCs w:val="20"/>
                <w:lang w:bidi="ar"/>
              </w:rPr>
            </w:pPr>
          </w:p>
        </w:tc>
        <w:tc>
          <w:tcPr>
            <w:tcW w:w="741" w:type="dxa"/>
            <w:tcBorders>
              <w:top w:val="single" w:color="000000" w:sz="4" w:space="0"/>
              <w:left w:val="single" w:color="000000" w:sz="4" w:space="0"/>
              <w:bottom w:val="single" w:color="000000" w:sz="4" w:space="0"/>
              <w:right w:val="single" w:color="000000" w:sz="4" w:space="0"/>
            </w:tcBorders>
            <w:vAlign w:val="center"/>
          </w:tcPr>
          <w:p w14:paraId="446DE44C">
            <w:pPr>
              <w:widowControl/>
              <w:jc w:val="center"/>
              <w:textAlignment w:val="center"/>
              <w:rPr>
                <w:rFonts w:hint="eastAsia" w:ascii="宋体" w:hAnsi="宋体" w:cs="宋体"/>
                <w:color w:val="000000"/>
                <w:kern w:val="0"/>
                <w:sz w:val="20"/>
                <w:szCs w:val="20"/>
                <w:lang w:bidi="ar"/>
              </w:rPr>
            </w:pPr>
          </w:p>
        </w:tc>
      </w:tr>
      <w:tr w14:paraId="03108E1C">
        <w:tblPrEx>
          <w:tblCellMar>
            <w:top w:w="0" w:type="dxa"/>
            <w:left w:w="108" w:type="dxa"/>
            <w:bottom w:w="0" w:type="dxa"/>
            <w:right w:w="108" w:type="dxa"/>
          </w:tblCellMar>
        </w:tblPrEx>
        <w:trPr>
          <w:trHeight w:val="20" w:hRule="atLeast"/>
          <w:jc w:val="center"/>
        </w:trPr>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13000E">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241</w:t>
            </w:r>
          </w:p>
        </w:tc>
        <w:tc>
          <w:tcPr>
            <w:tcW w:w="2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1EED41">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一次性医用灭菌棉签（独立小包装）</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DE1116">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500只/包</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F73D03">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包</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1D6DAA">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4</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B150E5">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167.7</w:t>
            </w:r>
          </w:p>
        </w:tc>
        <w:tc>
          <w:tcPr>
            <w:tcW w:w="992" w:type="dxa"/>
            <w:tcBorders>
              <w:top w:val="single" w:color="000000" w:sz="4" w:space="0"/>
              <w:left w:val="single" w:color="000000" w:sz="4" w:space="0"/>
              <w:bottom w:val="single" w:color="000000" w:sz="4" w:space="0"/>
              <w:right w:val="single" w:color="000000" w:sz="4" w:space="0"/>
            </w:tcBorders>
            <w:vAlign w:val="center"/>
          </w:tcPr>
          <w:p w14:paraId="20FD1A55">
            <w:pPr>
              <w:widowControl/>
              <w:jc w:val="center"/>
              <w:textAlignment w:val="center"/>
              <w:rPr>
                <w:rFonts w:hint="eastAsia" w:ascii="宋体" w:hAnsi="宋体" w:cs="宋体"/>
                <w:color w:val="000000"/>
                <w:kern w:val="0"/>
                <w:sz w:val="20"/>
                <w:szCs w:val="20"/>
                <w:lang w:bidi="ar"/>
              </w:rPr>
            </w:pPr>
          </w:p>
        </w:tc>
        <w:tc>
          <w:tcPr>
            <w:tcW w:w="1239" w:type="dxa"/>
            <w:tcBorders>
              <w:top w:val="single" w:color="000000" w:sz="4" w:space="0"/>
              <w:left w:val="single" w:color="000000" w:sz="4" w:space="0"/>
              <w:bottom w:val="single" w:color="000000" w:sz="4" w:space="0"/>
              <w:right w:val="single" w:color="000000" w:sz="4" w:space="0"/>
            </w:tcBorders>
            <w:vAlign w:val="center"/>
          </w:tcPr>
          <w:p w14:paraId="4CE61CFD">
            <w:pPr>
              <w:widowControl/>
              <w:jc w:val="center"/>
              <w:textAlignment w:val="center"/>
              <w:rPr>
                <w:rFonts w:hint="eastAsia" w:ascii="宋体" w:hAnsi="宋体" w:cs="宋体"/>
                <w:color w:val="000000"/>
                <w:kern w:val="0"/>
                <w:sz w:val="20"/>
                <w:szCs w:val="20"/>
                <w:lang w:bidi="ar"/>
              </w:rPr>
            </w:pPr>
          </w:p>
        </w:tc>
        <w:tc>
          <w:tcPr>
            <w:tcW w:w="900" w:type="dxa"/>
            <w:tcBorders>
              <w:top w:val="single" w:color="000000" w:sz="4" w:space="0"/>
              <w:left w:val="single" w:color="000000" w:sz="4" w:space="0"/>
              <w:bottom w:val="single" w:color="000000" w:sz="4" w:space="0"/>
              <w:right w:val="single" w:color="000000" w:sz="4" w:space="0"/>
            </w:tcBorders>
            <w:vAlign w:val="center"/>
          </w:tcPr>
          <w:p w14:paraId="1A83AECF">
            <w:pPr>
              <w:widowControl/>
              <w:jc w:val="center"/>
              <w:textAlignment w:val="center"/>
              <w:rPr>
                <w:rFonts w:hint="eastAsia" w:ascii="宋体" w:hAnsi="宋体" w:cs="宋体"/>
                <w:color w:val="000000"/>
                <w:kern w:val="0"/>
                <w:sz w:val="20"/>
                <w:szCs w:val="20"/>
                <w:lang w:bidi="ar"/>
              </w:rPr>
            </w:pPr>
          </w:p>
        </w:tc>
        <w:tc>
          <w:tcPr>
            <w:tcW w:w="832" w:type="dxa"/>
            <w:tcBorders>
              <w:top w:val="single" w:color="000000" w:sz="4" w:space="0"/>
              <w:left w:val="single" w:color="000000" w:sz="4" w:space="0"/>
              <w:bottom w:val="single" w:color="000000" w:sz="4" w:space="0"/>
              <w:right w:val="single" w:color="000000" w:sz="4" w:space="0"/>
            </w:tcBorders>
            <w:vAlign w:val="center"/>
          </w:tcPr>
          <w:p w14:paraId="349F7946">
            <w:pPr>
              <w:widowControl/>
              <w:jc w:val="center"/>
              <w:textAlignment w:val="center"/>
              <w:rPr>
                <w:rFonts w:hint="eastAsia" w:ascii="宋体" w:hAnsi="宋体" w:cs="宋体"/>
                <w:color w:val="000000"/>
                <w:kern w:val="0"/>
                <w:sz w:val="20"/>
                <w:szCs w:val="20"/>
                <w:lang w:bidi="ar"/>
              </w:rPr>
            </w:pPr>
          </w:p>
        </w:tc>
        <w:tc>
          <w:tcPr>
            <w:tcW w:w="1143" w:type="dxa"/>
            <w:tcBorders>
              <w:top w:val="single" w:color="000000" w:sz="4" w:space="0"/>
              <w:left w:val="single" w:color="000000" w:sz="4" w:space="0"/>
              <w:bottom w:val="single" w:color="000000" w:sz="4" w:space="0"/>
              <w:right w:val="single" w:color="000000" w:sz="4" w:space="0"/>
            </w:tcBorders>
            <w:vAlign w:val="center"/>
          </w:tcPr>
          <w:p w14:paraId="28A0C12C">
            <w:pPr>
              <w:widowControl/>
              <w:jc w:val="center"/>
              <w:textAlignment w:val="center"/>
              <w:rPr>
                <w:rFonts w:hint="eastAsia" w:ascii="宋体" w:hAnsi="宋体" w:cs="宋体"/>
                <w:color w:val="000000"/>
                <w:kern w:val="0"/>
                <w:sz w:val="20"/>
                <w:szCs w:val="20"/>
                <w:lang w:bidi="ar"/>
              </w:rPr>
            </w:pPr>
          </w:p>
        </w:tc>
        <w:tc>
          <w:tcPr>
            <w:tcW w:w="763" w:type="dxa"/>
            <w:tcBorders>
              <w:top w:val="single" w:color="000000" w:sz="4" w:space="0"/>
              <w:left w:val="single" w:color="000000" w:sz="4" w:space="0"/>
              <w:bottom w:val="single" w:color="000000" w:sz="4" w:space="0"/>
              <w:right w:val="single" w:color="000000" w:sz="4" w:space="0"/>
            </w:tcBorders>
            <w:vAlign w:val="center"/>
          </w:tcPr>
          <w:p w14:paraId="1641F9B9">
            <w:pPr>
              <w:widowControl/>
              <w:jc w:val="center"/>
              <w:textAlignment w:val="center"/>
              <w:rPr>
                <w:rFonts w:hint="eastAsia" w:ascii="宋体" w:hAnsi="宋体" w:cs="宋体"/>
                <w:color w:val="000000"/>
                <w:kern w:val="0"/>
                <w:sz w:val="20"/>
                <w:szCs w:val="20"/>
                <w:lang w:bidi="ar"/>
              </w:rPr>
            </w:pPr>
          </w:p>
        </w:tc>
        <w:tc>
          <w:tcPr>
            <w:tcW w:w="741" w:type="dxa"/>
            <w:tcBorders>
              <w:top w:val="single" w:color="000000" w:sz="4" w:space="0"/>
              <w:left w:val="single" w:color="000000" w:sz="4" w:space="0"/>
              <w:bottom w:val="single" w:color="000000" w:sz="4" w:space="0"/>
              <w:right w:val="single" w:color="000000" w:sz="4" w:space="0"/>
            </w:tcBorders>
            <w:vAlign w:val="center"/>
          </w:tcPr>
          <w:p w14:paraId="26202887">
            <w:pPr>
              <w:widowControl/>
              <w:jc w:val="center"/>
              <w:textAlignment w:val="center"/>
              <w:rPr>
                <w:rFonts w:hint="eastAsia" w:ascii="宋体" w:hAnsi="宋体" w:cs="宋体"/>
                <w:color w:val="000000"/>
                <w:kern w:val="0"/>
                <w:sz w:val="20"/>
                <w:szCs w:val="20"/>
                <w:lang w:bidi="ar"/>
              </w:rPr>
            </w:pPr>
          </w:p>
        </w:tc>
      </w:tr>
      <w:tr w14:paraId="7FEE6488">
        <w:tblPrEx>
          <w:tblCellMar>
            <w:top w:w="0" w:type="dxa"/>
            <w:left w:w="108" w:type="dxa"/>
            <w:bottom w:w="0" w:type="dxa"/>
            <w:right w:w="108" w:type="dxa"/>
          </w:tblCellMar>
        </w:tblPrEx>
        <w:trPr>
          <w:trHeight w:val="20" w:hRule="atLeast"/>
          <w:jc w:val="center"/>
        </w:trPr>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9DF9D2">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242</w:t>
            </w:r>
          </w:p>
        </w:tc>
        <w:tc>
          <w:tcPr>
            <w:tcW w:w="2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209F6E">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消毒纸卷</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4F8E22">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55mm*200m，1卷</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8BC229">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卷</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910AB4">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4</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28842F">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50.7</w:t>
            </w:r>
          </w:p>
        </w:tc>
        <w:tc>
          <w:tcPr>
            <w:tcW w:w="992" w:type="dxa"/>
            <w:tcBorders>
              <w:top w:val="single" w:color="000000" w:sz="4" w:space="0"/>
              <w:left w:val="single" w:color="000000" w:sz="4" w:space="0"/>
              <w:bottom w:val="single" w:color="000000" w:sz="4" w:space="0"/>
              <w:right w:val="single" w:color="000000" w:sz="4" w:space="0"/>
            </w:tcBorders>
            <w:vAlign w:val="center"/>
          </w:tcPr>
          <w:p w14:paraId="22B28A5A">
            <w:pPr>
              <w:widowControl/>
              <w:jc w:val="center"/>
              <w:textAlignment w:val="center"/>
              <w:rPr>
                <w:rFonts w:hint="eastAsia" w:ascii="宋体" w:hAnsi="宋体" w:cs="宋体"/>
                <w:color w:val="000000"/>
                <w:kern w:val="0"/>
                <w:sz w:val="20"/>
                <w:szCs w:val="20"/>
                <w:lang w:bidi="ar"/>
              </w:rPr>
            </w:pPr>
          </w:p>
        </w:tc>
        <w:tc>
          <w:tcPr>
            <w:tcW w:w="1239" w:type="dxa"/>
            <w:tcBorders>
              <w:top w:val="single" w:color="000000" w:sz="4" w:space="0"/>
              <w:left w:val="single" w:color="000000" w:sz="4" w:space="0"/>
              <w:bottom w:val="single" w:color="000000" w:sz="4" w:space="0"/>
              <w:right w:val="single" w:color="000000" w:sz="4" w:space="0"/>
            </w:tcBorders>
            <w:vAlign w:val="center"/>
          </w:tcPr>
          <w:p w14:paraId="019AC3AF">
            <w:pPr>
              <w:widowControl/>
              <w:jc w:val="center"/>
              <w:textAlignment w:val="center"/>
              <w:rPr>
                <w:rFonts w:hint="eastAsia" w:ascii="宋体" w:hAnsi="宋体" w:cs="宋体"/>
                <w:color w:val="000000"/>
                <w:kern w:val="0"/>
                <w:sz w:val="20"/>
                <w:szCs w:val="20"/>
                <w:lang w:bidi="ar"/>
              </w:rPr>
            </w:pPr>
          </w:p>
        </w:tc>
        <w:tc>
          <w:tcPr>
            <w:tcW w:w="900" w:type="dxa"/>
            <w:tcBorders>
              <w:top w:val="single" w:color="000000" w:sz="4" w:space="0"/>
              <w:left w:val="single" w:color="000000" w:sz="4" w:space="0"/>
              <w:bottom w:val="single" w:color="000000" w:sz="4" w:space="0"/>
              <w:right w:val="single" w:color="000000" w:sz="4" w:space="0"/>
            </w:tcBorders>
            <w:vAlign w:val="center"/>
          </w:tcPr>
          <w:p w14:paraId="73A9D7F4">
            <w:pPr>
              <w:widowControl/>
              <w:jc w:val="center"/>
              <w:textAlignment w:val="center"/>
              <w:rPr>
                <w:rFonts w:hint="eastAsia" w:ascii="宋体" w:hAnsi="宋体" w:cs="宋体"/>
                <w:color w:val="000000"/>
                <w:kern w:val="0"/>
                <w:sz w:val="20"/>
                <w:szCs w:val="20"/>
                <w:lang w:bidi="ar"/>
              </w:rPr>
            </w:pPr>
          </w:p>
        </w:tc>
        <w:tc>
          <w:tcPr>
            <w:tcW w:w="832" w:type="dxa"/>
            <w:tcBorders>
              <w:top w:val="single" w:color="000000" w:sz="4" w:space="0"/>
              <w:left w:val="single" w:color="000000" w:sz="4" w:space="0"/>
              <w:bottom w:val="single" w:color="000000" w:sz="4" w:space="0"/>
              <w:right w:val="single" w:color="000000" w:sz="4" w:space="0"/>
            </w:tcBorders>
            <w:vAlign w:val="center"/>
          </w:tcPr>
          <w:p w14:paraId="2E3ADDFC">
            <w:pPr>
              <w:widowControl/>
              <w:jc w:val="center"/>
              <w:textAlignment w:val="center"/>
              <w:rPr>
                <w:rFonts w:hint="eastAsia" w:ascii="宋体" w:hAnsi="宋体" w:cs="宋体"/>
                <w:color w:val="000000"/>
                <w:kern w:val="0"/>
                <w:sz w:val="20"/>
                <w:szCs w:val="20"/>
                <w:lang w:bidi="ar"/>
              </w:rPr>
            </w:pPr>
          </w:p>
        </w:tc>
        <w:tc>
          <w:tcPr>
            <w:tcW w:w="1143" w:type="dxa"/>
            <w:tcBorders>
              <w:top w:val="single" w:color="000000" w:sz="4" w:space="0"/>
              <w:left w:val="single" w:color="000000" w:sz="4" w:space="0"/>
              <w:bottom w:val="single" w:color="000000" w:sz="4" w:space="0"/>
              <w:right w:val="single" w:color="000000" w:sz="4" w:space="0"/>
            </w:tcBorders>
            <w:vAlign w:val="center"/>
          </w:tcPr>
          <w:p w14:paraId="0735CCF7">
            <w:pPr>
              <w:widowControl/>
              <w:jc w:val="center"/>
              <w:textAlignment w:val="center"/>
              <w:rPr>
                <w:rFonts w:hint="eastAsia" w:ascii="宋体" w:hAnsi="宋体" w:cs="宋体"/>
                <w:color w:val="000000"/>
                <w:kern w:val="0"/>
                <w:sz w:val="20"/>
                <w:szCs w:val="20"/>
                <w:lang w:bidi="ar"/>
              </w:rPr>
            </w:pPr>
          </w:p>
        </w:tc>
        <w:tc>
          <w:tcPr>
            <w:tcW w:w="763" w:type="dxa"/>
            <w:tcBorders>
              <w:top w:val="single" w:color="000000" w:sz="4" w:space="0"/>
              <w:left w:val="single" w:color="000000" w:sz="4" w:space="0"/>
              <w:bottom w:val="single" w:color="000000" w:sz="4" w:space="0"/>
              <w:right w:val="single" w:color="000000" w:sz="4" w:space="0"/>
            </w:tcBorders>
            <w:vAlign w:val="center"/>
          </w:tcPr>
          <w:p w14:paraId="6E6CF832">
            <w:pPr>
              <w:widowControl/>
              <w:jc w:val="center"/>
              <w:textAlignment w:val="center"/>
              <w:rPr>
                <w:rFonts w:hint="eastAsia" w:ascii="宋体" w:hAnsi="宋体" w:cs="宋体"/>
                <w:color w:val="000000"/>
                <w:kern w:val="0"/>
                <w:sz w:val="20"/>
                <w:szCs w:val="20"/>
                <w:lang w:bidi="ar"/>
              </w:rPr>
            </w:pPr>
          </w:p>
        </w:tc>
        <w:tc>
          <w:tcPr>
            <w:tcW w:w="741" w:type="dxa"/>
            <w:tcBorders>
              <w:top w:val="single" w:color="000000" w:sz="4" w:space="0"/>
              <w:left w:val="single" w:color="000000" w:sz="4" w:space="0"/>
              <w:bottom w:val="single" w:color="000000" w:sz="4" w:space="0"/>
              <w:right w:val="single" w:color="000000" w:sz="4" w:space="0"/>
            </w:tcBorders>
            <w:vAlign w:val="center"/>
          </w:tcPr>
          <w:p w14:paraId="172B8A55">
            <w:pPr>
              <w:widowControl/>
              <w:jc w:val="center"/>
              <w:textAlignment w:val="center"/>
              <w:rPr>
                <w:rFonts w:hint="eastAsia" w:ascii="宋体" w:hAnsi="宋体" w:cs="宋体"/>
                <w:color w:val="000000"/>
                <w:kern w:val="0"/>
                <w:sz w:val="20"/>
                <w:szCs w:val="20"/>
                <w:lang w:bidi="ar"/>
              </w:rPr>
            </w:pPr>
          </w:p>
        </w:tc>
      </w:tr>
      <w:tr w14:paraId="4DCB2317">
        <w:tblPrEx>
          <w:tblCellMar>
            <w:top w:w="0" w:type="dxa"/>
            <w:left w:w="108" w:type="dxa"/>
            <w:bottom w:w="0" w:type="dxa"/>
            <w:right w:w="108" w:type="dxa"/>
          </w:tblCellMar>
        </w:tblPrEx>
        <w:trPr>
          <w:trHeight w:val="20" w:hRule="atLeast"/>
          <w:jc w:val="center"/>
        </w:trPr>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3AD024">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243</w:t>
            </w:r>
          </w:p>
        </w:tc>
        <w:tc>
          <w:tcPr>
            <w:tcW w:w="2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017EC0">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卫生湿巾1</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CC9765">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100片/包</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A5C8D4">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包</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8C3F15">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50</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5F9AA4">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247.65</w:t>
            </w:r>
          </w:p>
        </w:tc>
        <w:tc>
          <w:tcPr>
            <w:tcW w:w="992" w:type="dxa"/>
            <w:tcBorders>
              <w:top w:val="single" w:color="000000" w:sz="4" w:space="0"/>
              <w:left w:val="single" w:color="000000" w:sz="4" w:space="0"/>
              <w:bottom w:val="single" w:color="000000" w:sz="4" w:space="0"/>
              <w:right w:val="single" w:color="000000" w:sz="4" w:space="0"/>
            </w:tcBorders>
            <w:vAlign w:val="center"/>
          </w:tcPr>
          <w:p w14:paraId="6D08427D">
            <w:pPr>
              <w:widowControl/>
              <w:jc w:val="center"/>
              <w:textAlignment w:val="center"/>
              <w:rPr>
                <w:rFonts w:hint="eastAsia" w:ascii="宋体" w:hAnsi="宋体" w:cs="宋体"/>
                <w:color w:val="000000"/>
                <w:kern w:val="0"/>
                <w:sz w:val="20"/>
                <w:szCs w:val="20"/>
                <w:lang w:bidi="ar"/>
              </w:rPr>
            </w:pPr>
          </w:p>
        </w:tc>
        <w:tc>
          <w:tcPr>
            <w:tcW w:w="1239" w:type="dxa"/>
            <w:tcBorders>
              <w:top w:val="single" w:color="000000" w:sz="4" w:space="0"/>
              <w:left w:val="single" w:color="000000" w:sz="4" w:space="0"/>
              <w:bottom w:val="single" w:color="000000" w:sz="4" w:space="0"/>
              <w:right w:val="single" w:color="000000" w:sz="4" w:space="0"/>
            </w:tcBorders>
            <w:vAlign w:val="center"/>
          </w:tcPr>
          <w:p w14:paraId="7BD8BDFC">
            <w:pPr>
              <w:widowControl/>
              <w:jc w:val="center"/>
              <w:textAlignment w:val="center"/>
              <w:rPr>
                <w:rFonts w:hint="eastAsia" w:ascii="宋体" w:hAnsi="宋体" w:cs="宋体"/>
                <w:color w:val="000000"/>
                <w:kern w:val="0"/>
                <w:sz w:val="20"/>
                <w:szCs w:val="20"/>
                <w:lang w:bidi="ar"/>
              </w:rPr>
            </w:pPr>
          </w:p>
        </w:tc>
        <w:tc>
          <w:tcPr>
            <w:tcW w:w="900" w:type="dxa"/>
            <w:tcBorders>
              <w:top w:val="single" w:color="000000" w:sz="4" w:space="0"/>
              <w:left w:val="single" w:color="000000" w:sz="4" w:space="0"/>
              <w:bottom w:val="single" w:color="000000" w:sz="4" w:space="0"/>
              <w:right w:val="single" w:color="000000" w:sz="4" w:space="0"/>
            </w:tcBorders>
            <w:vAlign w:val="center"/>
          </w:tcPr>
          <w:p w14:paraId="2CC7048E">
            <w:pPr>
              <w:widowControl/>
              <w:jc w:val="center"/>
              <w:textAlignment w:val="center"/>
              <w:rPr>
                <w:rFonts w:hint="eastAsia" w:ascii="宋体" w:hAnsi="宋体" w:cs="宋体"/>
                <w:color w:val="000000"/>
                <w:kern w:val="0"/>
                <w:sz w:val="20"/>
                <w:szCs w:val="20"/>
                <w:lang w:bidi="ar"/>
              </w:rPr>
            </w:pPr>
          </w:p>
        </w:tc>
        <w:tc>
          <w:tcPr>
            <w:tcW w:w="832" w:type="dxa"/>
            <w:tcBorders>
              <w:top w:val="single" w:color="000000" w:sz="4" w:space="0"/>
              <w:left w:val="single" w:color="000000" w:sz="4" w:space="0"/>
              <w:bottom w:val="single" w:color="000000" w:sz="4" w:space="0"/>
              <w:right w:val="single" w:color="000000" w:sz="4" w:space="0"/>
            </w:tcBorders>
            <w:vAlign w:val="center"/>
          </w:tcPr>
          <w:p w14:paraId="5322CA41">
            <w:pPr>
              <w:widowControl/>
              <w:jc w:val="center"/>
              <w:textAlignment w:val="center"/>
              <w:rPr>
                <w:rFonts w:hint="eastAsia" w:ascii="宋体" w:hAnsi="宋体" w:cs="宋体"/>
                <w:color w:val="000000"/>
                <w:kern w:val="0"/>
                <w:sz w:val="20"/>
                <w:szCs w:val="20"/>
                <w:lang w:bidi="ar"/>
              </w:rPr>
            </w:pPr>
          </w:p>
        </w:tc>
        <w:tc>
          <w:tcPr>
            <w:tcW w:w="1143" w:type="dxa"/>
            <w:tcBorders>
              <w:top w:val="single" w:color="000000" w:sz="4" w:space="0"/>
              <w:left w:val="single" w:color="000000" w:sz="4" w:space="0"/>
              <w:bottom w:val="single" w:color="000000" w:sz="4" w:space="0"/>
              <w:right w:val="single" w:color="000000" w:sz="4" w:space="0"/>
            </w:tcBorders>
            <w:vAlign w:val="center"/>
          </w:tcPr>
          <w:p w14:paraId="729212B0">
            <w:pPr>
              <w:widowControl/>
              <w:jc w:val="center"/>
              <w:textAlignment w:val="center"/>
              <w:rPr>
                <w:rFonts w:hint="eastAsia" w:ascii="宋体" w:hAnsi="宋体" w:cs="宋体"/>
                <w:color w:val="000000"/>
                <w:kern w:val="0"/>
                <w:sz w:val="20"/>
                <w:szCs w:val="20"/>
                <w:lang w:bidi="ar"/>
              </w:rPr>
            </w:pPr>
          </w:p>
        </w:tc>
        <w:tc>
          <w:tcPr>
            <w:tcW w:w="763" w:type="dxa"/>
            <w:tcBorders>
              <w:top w:val="single" w:color="000000" w:sz="4" w:space="0"/>
              <w:left w:val="single" w:color="000000" w:sz="4" w:space="0"/>
              <w:bottom w:val="single" w:color="000000" w:sz="4" w:space="0"/>
              <w:right w:val="single" w:color="000000" w:sz="4" w:space="0"/>
            </w:tcBorders>
            <w:vAlign w:val="center"/>
          </w:tcPr>
          <w:p w14:paraId="56015156">
            <w:pPr>
              <w:widowControl/>
              <w:jc w:val="center"/>
              <w:textAlignment w:val="center"/>
              <w:rPr>
                <w:rFonts w:hint="eastAsia" w:ascii="宋体" w:hAnsi="宋体" w:cs="宋体"/>
                <w:color w:val="000000"/>
                <w:kern w:val="0"/>
                <w:sz w:val="20"/>
                <w:szCs w:val="20"/>
                <w:lang w:bidi="ar"/>
              </w:rPr>
            </w:pPr>
          </w:p>
        </w:tc>
        <w:tc>
          <w:tcPr>
            <w:tcW w:w="741" w:type="dxa"/>
            <w:tcBorders>
              <w:top w:val="single" w:color="000000" w:sz="4" w:space="0"/>
              <w:left w:val="single" w:color="000000" w:sz="4" w:space="0"/>
              <w:bottom w:val="single" w:color="000000" w:sz="4" w:space="0"/>
              <w:right w:val="single" w:color="000000" w:sz="4" w:space="0"/>
            </w:tcBorders>
            <w:vAlign w:val="center"/>
          </w:tcPr>
          <w:p w14:paraId="4B3EC8CF">
            <w:pPr>
              <w:widowControl/>
              <w:jc w:val="center"/>
              <w:textAlignment w:val="center"/>
              <w:rPr>
                <w:rFonts w:hint="eastAsia" w:ascii="宋体" w:hAnsi="宋体" w:cs="宋体"/>
                <w:color w:val="000000"/>
                <w:kern w:val="0"/>
                <w:sz w:val="20"/>
                <w:szCs w:val="20"/>
                <w:lang w:bidi="ar"/>
              </w:rPr>
            </w:pPr>
          </w:p>
        </w:tc>
      </w:tr>
      <w:tr w14:paraId="6F6A6C0C">
        <w:tblPrEx>
          <w:tblCellMar>
            <w:top w:w="0" w:type="dxa"/>
            <w:left w:w="108" w:type="dxa"/>
            <w:bottom w:w="0" w:type="dxa"/>
            <w:right w:w="108" w:type="dxa"/>
          </w:tblCellMar>
        </w:tblPrEx>
        <w:trPr>
          <w:trHeight w:val="20" w:hRule="atLeast"/>
          <w:jc w:val="center"/>
        </w:trPr>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FA8937">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244</w:t>
            </w:r>
          </w:p>
        </w:tc>
        <w:tc>
          <w:tcPr>
            <w:tcW w:w="2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B39E9B">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卫生湿巾2</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B1CD83">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16*18cm，100片/盒</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A4E8E7">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盒</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DEB3E2">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50</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62B55F">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109.33</w:t>
            </w:r>
          </w:p>
        </w:tc>
        <w:tc>
          <w:tcPr>
            <w:tcW w:w="992" w:type="dxa"/>
            <w:tcBorders>
              <w:top w:val="single" w:color="000000" w:sz="4" w:space="0"/>
              <w:left w:val="single" w:color="000000" w:sz="4" w:space="0"/>
              <w:bottom w:val="single" w:color="000000" w:sz="4" w:space="0"/>
              <w:right w:val="single" w:color="000000" w:sz="4" w:space="0"/>
            </w:tcBorders>
            <w:vAlign w:val="center"/>
          </w:tcPr>
          <w:p w14:paraId="5FC2EFE6">
            <w:pPr>
              <w:widowControl/>
              <w:jc w:val="center"/>
              <w:textAlignment w:val="center"/>
              <w:rPr>
                <w:rFonts w:hint="eastAsia" w:ascii="宋体" w:hAnsi="宋体" w:cs="宋体"/>
                <w:color w:val="000000"/>
                <w:kern w:val="0"/>
                <w:sz w:val="20"/>
                <w:szCs w:val="20"/>
                <w:lang w:bidi="ar"/>
              </w:rPr>
            </w:pPr>
          </w:p>
        </w:tc>
        <w:tc>
          <w:tcPr>
            <w:tcW w:w="1239" w:type="dxa"/>
            <w:tcBorders>
              <w:top w:val="single" w:color="000000" w:sz="4" w:space="0"/>
              <w:left w:val="single" w:color="000000" w:sz="4" w:space="0"/>
              <w:bottom w:val="single" w:color="000000" w:sz="4" w:space="0"/>
              <w:right w:val="single" w:color="000000" w:sz="4" w:space="0"/>
            </w:tcBorders>
            <w:vAlign w:val="center"/>
          </w:tcPr>
          <w:p w14:paraId="0584D0A8">
            <w:pPr>
              <w:widowControl/>
              <w:jc w:val="center"/>
              <w:textAlignment w:val="center"/>
              <w:rPr>
                <w:rFonts w:hint="eastAsia" w:ascii="宋体" w:hAnsi="宋体" w:cs="宋体"/>
                <w:color w:val="000000"/>
                <w:kern w:val="0"/>
                <w:sz w:val="20"/>
                <w:szCs w:val="20"/>
                <w:lang w:bidi="ar"/>
              </w:rPr>
            </w:pPr>
          </w:p>
        </w:tc>
        <w:tc>
          <w:tcPr>
            <w:tcW w:w="900" w:type="dxa"/>
            <w:tcBorders>
              <w:top w:val="single" w:color="000000" w:sz="4" w:space="0"/>
              <w:left w:val="single" w:color="000000" w:sz="4" w:space="0"/>
              <w:bottom w:val="single" w:color="000000" w:sz="4" w:space="0"/>
              <w:right w:val="single" w:color="000000" w:sz="4" w:space="0"/>
            </w:tcBorders>
            <w:vAlign w:val="center"/>
          </w:tcPr>
          <w:p w14:paraId="421B2E17">
            <w:pPr>
              <w:widowControl/>
              <w:jc w:val="center"/>
              <w:textAlignment w:val="center"/>
              <w:rPr>
                <w:rFonts w:hint="eastAsia" w:ascii="宋体" w:hAnsi="宋体" w:cs="宋体"/>
                <w:color w:val="000000"/>
                <w:kern w:val="0"/>
                <w:sz w:val="20"/>
                <w:szCs w:val="20"/>
                <w:lang w:bidi="ar"/>
              </w:rPr>
            </w:pPr>
          </w:p>
        </w:tc>
        <w:tc>
          <w:tcPr>
            <w:tcW w:w="832" w:type="dxa"/>
            <w:tcBorders>
              <w:top w:val="single" w:color="000000" w:sz="4" w:space="0"/>
              <w:left w:val="single" w:color="000000" w:sz="4" w:space="0"/>
              <w:bottom w:val="single" w:color="000000" w:sz="4" w:space="0"/>
              <w:right w:val="single" w:color="000000" w:sz="4" w:space="0"/>
            </w:tcBorders>
            <w:vAlign w:val="center"/>
          </w:tcPr>
          <w:p w14:paraId="239B856B">
            <w:pPr>
              <w:widowControl/>
              <w:jc w:val="center"/>
              <w:textAlignment w:val="center"/>
              <w:rPr>
                <w:rFonts w:hint="eastAsia" w:ascii="宋体" w:hAnsi="宋体" w:cs="宋体"/>
                <w:color w:val="000000"/>
                <w:kern w:val="0"/>
                <w:sz w:val="20"/>
                <w:szCs w:val="20"/>
                <w:lang w:bidi="ar"/>
              </w:rPr>
            </w:pPr>
          </w:p>
        </w:tc>
        <w:tc>
          <w:tcPr>
            <w:tcW w:w="1143" w:type="dxa"/>
            <w:tcBorders>
              <w:top w:val="single" w:color="000000" w:sz="4" w:space="0"/>
              <w:left w:val="single" w:color="000000" w:sz="4" w:space="0"/>
              <w:bottom w:val="single" w:color="000000" w:sz="4" w:space="0"/>
              <w:right w:val="single" w:color="000000" w:sz="4" w:space="0"/>
            </w:tcBorders>
            <w:vAlign w:val="center"/>
          </w:tcPr>
          <w:p w14:paraId="16F0B47B">
            <w:pPr>
              <w:widowControl/>
              <w:jc w:val="center"/>
              <w:textAlignment w:val="center"/>
              <w:rPr>
                <w:rFonts w:hint="eastAsia" w:ascii="宋体" w:hAnsi="宋体" w:cs="宋体"/>
                <w:color w:val="000000"/>
                <w:kern w:val="0"/>
                <w:sz w:val="20"/>
                <w:szCs w:val="20"/>
                <w:lang w:bidi="ar"/>
              </w:rPr>
            </w:pPr>
          </w:p>
        </w:tc>
        <w:tc>
          <w:tcPr>
            <w:tcW w:w="763" w:type="dxa"/>
            <w:tcBorders>
              <w:top w:val="single" w:color="000000" w:sz="4" w:space="0"/>
              <w:left w:val="single" w:color="000000" w:sz="4" w:space="0"/>
              <w:bottom w:val="single" w:color="000000" w:sz="4" w:space="0"/>
              <w:right w:val="single" w:color="000000" w:sz="4" w:space="0"/>
            </w:tcBorders>
            <w:vAlign w:val="center"/>
          </w:tcPr>
          <w:p w14:paraId="357065C9">
            <w:pPr>
              <w:widowControl/>
              <w:jc w:val="center"/>
              <w:textAlignment w:val="center"/>
              <w:rPr>
                <w:rFonts w:hint="eastAsia" w:ascii="宋体" w:hAnsi="宋体" w:cs="宋体"/>
                <w:color w:val="000000"/>
                <w:kern w:val="0"/>
                <w:sz w:val="20"/>
                <w:szCs w:val="20"/>
                <w:lang w:bidi="ar"/>
              </w:rPr>
            </w:pPr>
          </w:p>
        </w:tc>
        <w:tc>
          <w:tcPr>
            <w:tcW w:w="741" w:type="dxa"/>
            <w:tcBorders>
              <w:top w:val="single" w:color="000000" w:sz="4" w:space="0"/>
              <w:left w:val="single" w:color="000000" w:sz="4" w:space="0"/>
              <w:bottom w:val="single" w:color="000000" w:sz="4" w:space="0"/>
              <w:right w:val="single" w:color="000000" w:sz="4" w:space="0"/>
            </w:tcBorders>
            <w:vAlign w:val="center"/>
          </w:tcPr>
          <w:p w14:paraId="04F18F0E">
            <w:pPr>
              <w:widowControl/>
              <w:jc w:val="center"/>
              <w:textAlignment w:val="center"/>
              <w:rPr>
                <w:rFonts w:hint="eastAsia" w:ascii="宋体" w:hAnsi="宋体" w:cs="宋体"/>
                <w:color w:val="000000"/>
                <w:kern w:val="0"/>
                <w:sz w:val="20"/>
                <w:szCs w:val="20"/>
                <w:lang w:bidi="ar"/>
              </w:rPr>
            </w:pPr>
          </w:p>
        </w:tc>
      </w:tr>
      <w:tr w14:paraId="31E6591F">
        <w:tblPrEx>
          <w:tblCellMar>
            <w:top w:w="0" w:type="dxa"/>
            <w:left w:w="108" w:type="dxa"/>
            <w:bottom w:w="0" w:type="dxa"/>
            <w:right w:w="108" w:type="dxa"/>
          </w:tblCellMar>
        </w:tblPrEx>
        <w:trPr>
          <w:trHeight w:val="20" w:hRule="atLeast"/>
          <w:jc w:val="center"/>
        </w:trPr>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3A713D">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245</w:t>
            </w:r>
          </w:p>
        </w:tc>
        <w:tc>
          <w:tcPr>
            <w:tcW w:w="2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56B9B6">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免洗洗手液</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CC823F">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独立包装</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B1B0D6">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瓶</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685F09">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300</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30FB69">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23.3</w:t>
            </w:r>
          </w:p>
        </w:tc>
        <w:tc>
          <w:tcPr>
            <w:tcW w:w="992" w:type="dxa"/>
            <w:tcBorders>
              <w:top w:val="single" w:color="000000" w:sz="4" w:space="0"/>
              <w:left w:val="single" w:color="000000" w:sz="4" w:space="0"/>
              <w:bottom w:val="single" w:color="000000" w:sz="4" w:space="0"/>
              <w:right w:val="single" w:color="000000" w:sz="4" w:space="0"/>
            </w:tcBorders>
            <w:vAlign w:val="center"/>
          </w:tcPr>
          <w:p w14:paraId="4E33B35C">
            <w:pPr>
              <w:widowControl/>
              <w:jc w:val="center"/>
              <w:textAlignment w:val="center"/>
              <w:rPr>
                <w:rFonts w:hint="eastAsia" w:ascii="宋体" w:hAnsi="宋体" w:cs="宋体"/>
                <w:color w:val="000000"/>
                <w:kern w:val="0"/>
                <w:sz w:val="20"/>
                <w:szCs w:val="20"/>
                <w:lang w:bidi="ar"/>
              </w:rPr>
            </w:pPr>
          </w:p>
        </w:tc>
        <w:tc>
          <w:tcPr>
            <w:tcW w:w="1239" w:type="dxa"/>
            <w:tcBorders>
              <w:top w:val="single" w:color="000000" w:sz="4" w:space="0"/>
              <w:left w:val="single" w:color="000000" w:sz="4" w:space="0"/>
              <w:bottom w:val="single" w:color="000000" w:sz="4" w:space="0"/>
              <w:right w:val="single" w:color="000000" w:sz="4" w:space="0"/>
            </w:tcBorders>
            <w:vAlign w:val="center"/>
          </w:tcPr>
          <w:p w14:paraId="7F62A50F">
            <w:pPr>
              <w:widowControl/>
              <w:jc w:val="center"/>
              <w:textAlignment w:val="center"/>
              <w:rPr>
                <w:rFonts w:hint="eastAsia" w:ascii="宋体" w:hAnsi="宋体" w:cs="宋体"/>
                <w:color w:val="000000"/>
                <w:kern w:val="0"/>
                <w:sz w:val="20"/>
                <w:szCs w:val="20"/>
                <w:lang w:bidi="ar"/>
              </w:rPr>
            </w:pPr>
          </w:p>
        </w:tc>
        <w:tc>
          <w:tcPr>
            <w:tcW w:w="900" w:type="dxa"/>
            <w:tcBorders>
              <w:top w:val="single" w:color="000000" w:sz="4" w:space="0"/>
              <w:left w:val="single" w:color="000000" w:sz="4" w:space="0"/>
              <w:bottom w:val="single" w:color="000000" w:sz="4" w:space="0"/>
              <w:right w:val="single" w:color="000000" w:sz="4" w:space="0"/>
            </w:tcBorders>
            <w:vAlign w:val="center"/>
          </w:tcPr>
          <w:p w14:paraId="7B70D918">
            <w:pPr>
              <w:widowControl/>
              <w:jc w:val="center"/>
              <w:textAlignment w:val="center"/>
              <w:rPr>
                <w:rFonts w:hint="eastAsia" w:ascii="宋体" w:hAnsi="宋体" w:cs="宋体"/>
                <w:color w:val="000000"/>
                <w:kern w:val="0"/>
                <w:sz w:val="20"/>
                <w:szCs w:val="20"/>
                <w:lang w:bidi="ar"/>
              </w:rPr>
            </w:pPr>
          </w:p>
        </w:tc>
        <w:tc>
          <w:tcPr>
            <w:tcW w:w="832" w:type="dxa"/>
            <w:tcBorders>
              <w:top w:val="single" w:color="000000" w:sz="4" w:space="0"/>
              <w:left w:val="single" w:color="000000" w:sz="4" w:space="0"/>
              <w:bottom w:val="single" w:color="000000" w:sz="4" w:space="0"/>
              <w:right w:val="single" w:color="000000" w:sz="4" w:space="0"/>
            </w:tcBorders>
            <w:vAlign w:val="center"/>
          </w:tcPr>
          <w:p w14:paraId="5CBF8022">
            <w:pPr>
              <w:widowControl/>
              <w:jc w:val="center"/>
              <w:textAlignment w:val="center"/>
              <w:rPr>
                <w:rFonts w:hint="eastAsia" w:ascii="宋体" w:hAnsi="宋体" w:cs="宋体"/>
                <w:color w:val="000000"/>
                <w:kern w:val="0"/>
                <w:sz w:val="20"/>
                <w:szCs w:val="20"/>
                <w:lang w:bidi="ar"/>
              </w:rPr>
            </w:pPr>
          </w:p>
        </w:tc>
        <w:tc>
          <w:tcPr>
            <w:tcW w:w="1143" w:type="dxa"/>
            <w:tcBorders>
              <w:top w:val="single" w:color="000000" w:sz="4" w:space="0"/>
              <w:left w:val="single" w:color="000000" w:sz="4" w:space="0"/>
              <w:bottom w:val="single" w:color="000000" w:sz="4" w:space="0"/>
              <w:right w:val="single" w:color="000000" w:sz="4" w:space="0"/>
            </w:tcBorders>
            <w:vAlign w:val="center"/>
          </w:tcPr>
          <w:p w14:paraId="4B9235C2">
            <w:pPr>
              <w:widowControl/>
              <w:jc w:val="center"/>
              <w:textAlignment w:val="center"/>
              <w:rPr>
                <w:rFonts w:hint="eastAsia" w:ascii="宋体" w:hAnsi="宋体" w:cs="宋体"/>
                <w:color w:val="000000"/>
                <w:kern w:val="0"/>
                <w:sz w:val="20"/>
                <w:szCs w:val="20"/>
                <w:lang w:bidi="ar"/>
              </w:rPr>
            </w:pPr>
          </w:p>
        </w:tc>
        <w:tc>
          <w:tcPr>
            <w:tcW w:w="763" w:type="dxa"/>
            <w:tcBorders>
              <w:top w:val="single" w:color="000000" w:sz="4" w:space="0"/>
              <w:left w:val="single" w:color="000000" w:sz="4" w:space="0"/>
              <w:bottom w:val="single" w:color="000000" w:sz="4" w:space="0"/>
              <w:right w:val="single" w:color="000000" w:sz="4" w:space="0"/>
            </w:tcBorders>
            <w:vAlign w:val="center"/>
          </w:tcPr>
          <w:p w14:paraId="6D9DF5E7">
            <w:pPr>
              <w:widowControl/>
              <w:jc w:val="center"/>
              <w:textAlignment w:val="center"/>
              <w:rPr>
                <w:rFonts w:hint="eastAsia" w:ascii="宋体" w:hAnsi="宋体" w:cs="宋体"/>
                <w:color w:val="000000"/>
                <w:kern w:val="0"/>
                <w:sz w:val="20"/>
                <w:szCs w:val="20"/>
                <w:lang w:bidi="ar"/>
              </w:rPr>
            </w:pPr>
          </w:p>
        </w:tc>
        <w:tc>
          <w:tcPr>
            <w:tcW w:w="741" w:type="dxa"/>
            <w:tcBorders>
              <w:top w:val="single" w:color="000000" w:sz="4" w:space="0"/>
              <w:left w:val="single" w:color="000000" w:sz="4" w:space="0"/>
              <w:bottom w:val="single" w:color="000000" w:sz="4" w:space="0"/>
              <w:right w:val="single" w:color="000000" w:sz="4" w:space="0"/>
            </w:tcBorders>
            <w:vAlign w:val="center"/>
          </w:tcPr>
          <w:p w14:paraId="36B3F623">
            <w:pPr>
              <w:widowControl/>
              <w:jc w:val="center"/>
              <w:textAlignment w:val="center"/>
              <w:rPr>
                <w:rFonts w:hint="eastAsia" w:ascii="宋体" w:hAnsi="宋体" w:cs="宋体"/>
                <w:color w:val="000000"/>
                <w:kern w:val="0"/>
                <w:sz w:val="20"/>
                <w:szCs w:val="20"/>
                <w:lang w:bidi="ar"/>
              </w:rPr>
            </w:pPr>
          </w:p>
        </w:tc>
      </w:tr>
      <w:tr w14:paraId="2DDA9B14">
        <w:tblPrEx>
          <w:tblCellMar>
            <w:top w:w="0" w:type="dxa"/>
            <w:left w:w="108" w:type="dxa"/>
            <w:bottom w:w="0" w:type="dxa"/>
            <w:right w:w="108" w:type="dxa"/>
          </w:tblCellMar>
        </w:tblPrEx>
        <w:trPr>
          <w:trHeight w:val="20" w:hRule="atLeast"/>
          <w:jc w:val="center"/>
        </w:trPr>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BEB804">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246</w:t>
            </w:r>
          </w:p>
        </w:tc>
        <w:tc>
          <w:tcPr>
            <w:tcW w:w="2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9AC725">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无菌规格板</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5D48FC">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5*5cm，100片/盒</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FD359A">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盒</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A46AEF">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20</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560A65">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415.3</w:t>
            </w:r>
          </w:p>
        </w:tc>
        <w:tc>
          <w:tcPr>
            <w:tcW w:w="992" w:type="dxa"/>
            <w:tcBorders>
              <w:top w:val="single" w:color="000000" w:sz="4" w:space="0"/>
              <w:left w:val="single" w:color="000000" w:sz="4" w:space="0"/>
              <w:bottom w:val="single" w:color="000000" w:sz="4" w:space="0"/>
              <w:right w:val="single" w:color="000000" w:sz="4" w:space="0"/>
            </w:tcBorders>
            <w:vAlign w:val="center"/>
          </w:tcPr>
          <w:p w14:paraId="2EB7D6E1">
            <w:pPr>
              <w:widowControl/>
              <w:jc w:val="center"/>
              <w:textAlignment w:val="center"/>
              <w:rPr>
                <w:rFonts w:hint="eastAsia" w:ascii="宋体" w:hAnsi="宋体" w:cs="宋体"/>
                <w:color w:val="000000"/>
                <w:kern w:val="0"/>
                <w:sz w:val="20"/>
                <w:szCs w:val="20"/>
                <w:lang w:bidi="ar"/>
              </w:rPr>
            </w:pPr>
          </w:p>
        </w:tc>
        <w:tc>
          <w:tcPr>
            <w:tcW w:w="1239" w:type="dxa"/>
            <w:tcBorders>
              <w:top w:val="single" w:color="000000" w:sz="4" w:space="0"/>
              <w:left w:val="single" w:color="000000" w:sz="4" w:space="0"/>
              <w:bottom w:val="single" w:color="000000" w:sz="4" w:space="0"/>
              <w:right w:val="single" w:color="000000" w:sz="4" w:space="0"/>
            </w:tcBorders>
            <w:vAlign w:val="center"/>
          </w:tcPr>
          <w:p w14:paraId="16D2E11F">
            <w:pPr>
              <w:widowControl/>
              <w:jc w:val="center"/>
              <w:textAlignment w:val="center"/>
              <w:rPr>
                <w:rFonts w:hint="eastAsia" w:ascii="宋体" w:hAnsi="宋体" w:cs="宋体"/>
                <w:color w:val="000000"/>
                <w:kern w:val="0"/>
                <w:sz w:val="20"/>
                <w:szCs w:val="20"/>
                <w:lang w:bidi="ar"/>
              </w:rPr>
            </w:pPr>
          </w:p>
        </w:tc>
        <w:tc>
          <w:tcPr>
            <w:tcW w:w="900" w:type="dxa"/>
            <w:tcBorders>
              <w:top w:val="single" w:color="000000" w:sz="4" w:space="0"/>
              <w:left w:val="single" w:color="000000" w:sz="4" w:space="0"/>
              <w:bottom w:val="single" w:color="000000" w:sz="4" w:space="0"/>
              <w:right w:val="single" w:color="000000" w:sz="4" w:space="0"/>
            </w:tcBorders>
            <w:vAlign w:val="center"/>
          </w:tcPr>
          <w:p w14:paraId="2688A33C">
            <w:pPr>
              <w:widowControl/>
              <w:jc w:val="center"/>
              <w:textAlignment w:val="center"/>
              <w:rPr>
                <w:rFonts w:hint="eastAsia" w:ascii="宋体" w:hAnsi="宋体" w:cs="宋体"/>
                <w:color w:val="000000"/>
                <w:kern w:val="0"/>
                <w:sz w:val="20"/>
                <w:szCs w:val="20"/>
                <w:lang w:bidi="ar"/>
              </w:rPr>
            </w:pPr>
          </w:p>
        </w:tc>
        <w:tc>
          <w:tcPr>
            <w:tcW w:w="832" w:type="dxa"/>
            <w:tcBorders>
              <w:top w:val="single" w:color="000000" w:sz="4" w:space="0"/>
              <w:left w:val="single" w:color="000000" w:sz="4" w:space="0"/>
              <w:bottom w:val="single" w:color="000000" w:sz="4" w:space="0"/>
              <w:right w:val="single" w:color="000000" w:sz="4" w:space="0"/>
            </w:tcBorders>
            <w:vAlign w:val="center"/>
          </w:tcPr>
          <w:p w14:paraId="7E6944E5">
            <w:pPr>
              <w:widowControl/>
              <w:jc w:val="center"/>
              <w:textAlignment w:val="center"/>
              <w:rPr>
                <w:rFonts w:hint="eastAsia" w:ascii="宋体" w:hAnsi="宋体" w:cs="宋体"/>
                <w:color w:val="000000"/>
                <w:kern w:val="0"/>
                <w:sz w:val="20"/>
                <w:szCs w:val="20"/>
                <w:lang w:bidi="ar"/>
              </w:rPr>
            </w:pPr>
          </w:p>
        </w:tc>
        <w:tc>
          <w:tcPr>
            <w:tcW w:w="1143" w:type="dxa"/>
            <w:tcBorders>
              <w:top w:val="single" w:color="000000" w:sz="4" w:space="0"/>
              <w:left w:val="single" w:color="000000" w:sz="4" w:space="0"/>
              <w:bottom w:val="single" w:color="000000" w:sz="4" w:space="0"/>
              <w:right w:val="single" w:color="000000" w:sz="4" w:space="0"/>
            </w:tcBorders>
            <w:vAlign w:val="center"/>
          </w:tcPr>
          <w:p w14:paraId="24584ABD">
            <w:pPr>
              <w:widowControl/>
              <w:jc w:val="center"/>
              <w:textAlignment w:val="center"/>
              <w:rPr>
                <w:rFonts w:hint="eastAsia" w:ascii="宋体" w:hAnsi="宋体" w:cs="宋体"/>
                <w:color w:val="000000"/>
                <w:kern w:val="0"/>
                <w:sz w:val="20"/>
                <w:szCs w:val="20"/>
                <w:lang w:bidi="ar"/>
              </w:rPr>
            </w:pPr>
          </w:p>
        </w:tc>
        <w:tc>
          <w:tcPr>
            <w:tcW w:w="763" w:type="dxa"/>
            <w:tcBorders>
              <w:top w:val="single" w:color="000000" w:sz="4" w:space="0"/>
              <w:left w:val="single" w:color="000000" w:sz="4" w:space="0"/>
              <w:bottom w:val="single" w:color="000000" w:sz="4" w:space="0"/>
              <w:right w:val="single" w:color="000000" w:sz="4" w:space="0"/>
            </w:tcBorders>
            <w:vAlign w:val="center"/>
          </w:tcPr>
          <w:p w14:paraId="4A356B09">
            <w:pPr>
              <w:widowControl/>
              <w:jc w:val="center"/>
              <w:textAlignment w:val="center"/>
              <w:rPr>
                <w:rFonts w:hint="eastAsia" w:ascii="宋体" w:hAnsi="宋体" w:cs="宋体"/>
                <w:color w:val="000000"/>
                <w:kern w:val="0"/>
                <w:sz w:val="20"/>
                <w:szCs w:val="20"/>
                <w:lang w:bidi="ar"/>
              </w:rPr>
            </w:pPr>
          </w:p>
        </w:tc>
        <w:tc>
          <w:tcPr>
            <w:tcW w:w="741" w:type="dxa"/>
            <w:tcBorders>
              <w:top w:val="single" w:color="000000" w:sz="4" w:space="0"/>
              <w:left w:val="single" w:color="000000" w:sz="4" w:space="0"/>
              <w:bottom w:val="single" w:color="000000" w:sz="4" w:space="0"/>
              <w:right w:val="single" w:color="000000" w:sz="4" w:space="0"/>
            </w:tcBorders>
            <w:vAlign w:val="center"/>
          </w:tcPr>
          <w:p w14:paraId="2F2740B7">
            <w:pPr>
              <w:widowControl/>
              <w:jc w:val="center"/>
              <w:textAlignment w:val="center"/>
              <w:rPr>
                <w:rFonts w:hint="eastAsia" w:ascii="宋体" w:hAnsi="宋体" w:cs="宋体"/>
                <w:color w:val="000000"/>
                <w:kern w:val="0"/>
                <w:sz w:val="20"/>
                <w:szCs w:val="20"/>
                <w:lang w:bidi="ar"/>
              </w:rPr>
            </w:pPr>
          </w:p>
        </w:tc>
      </w:tr>
      <w:tr w14:paraId="3BE65BA7">
        <w:tblPrEx>
          <w:tblCellMar>
            <w:top w:w="0" w:type="dxa"/>
            <w:left w:w="108" w:type="dxa"/>
            <w:bottom w:w="0" w:type="dxa"/>
            <w:right w:w="108" w:type="dxa"/>
          </w:tblCellMar>
        </w:tblPrEx>
        <w:trPr>
          <w:trHeight w:val="20" w:hRule="atLeast"/>
          <w:jc w:val="center"/>
        </w:trPr>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D1F826">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247</w:t>
            </w:r>
          </w:p>
        </w:tc>
        <w:tc>
          <w:tcPr>
            <w:tcW w:w="2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F886C3">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复合双链季铵盐消毒液</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2B80D0">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450ml/瓶</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C2DCD7">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瓶</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495E0F">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100</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BA920F">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35.1</w:t>
            </w:r>
          </w:p>
        </w:tc>
        <w:tc>
          <w:tcPr>
            <w:tcW w:w="992" w:type="dxa"/>
            <w:tcBorders>
              <w:top w:val="single" w:color="000000" w:sz="4" w:space="0"/>
              <w:left w:val="single" w:color="000000" w:sz="4" w:space="0"/>
              <w:bottom w:val="single" w:color="000000" w:sz="4" w:space="0"/>
              <w:right w:val="single" w:color="000000" w:sz="4" w:space="0"/>
            </w:tcBorders>
            <w:vAlign w:val="center"/>
          </w:tcPr>
          <w:p w14:paraId="41F4BBA7">
            <w:pPr>
              <w:widowControl/>
              <w:jc w:val="center"/>
              <w:textAlignment w:val="center"/>
              <w:rPr>
                <w:rFonts w:hint="eastAsia" w:ascii="宋体" w:hAnsi="宋体" w:cs="宋体"/>
                <w:color w:val="000000"/>
                <w:kern w:val="0"/>
                <w:sz w:val="20"/>
                <w:szCs w:val="20"/>
                <w:lang w:bidi="ar"/>
              </w:rPr>
            </w:pPr>
          </w:p>
        </w:tc>
        <w:tc>
          <w:tcPr>
            <w:tcW w:w="1239" w:type="dxa"/>
            <w:tcBorders>
              <w:top w:val="single" w:color="000000" w:sz="4" w:space="0"/>
              <w:left w:val="single" w:color="000000" w:sz="4" w:space="0"/>
              <w:bottom w:val="single" w:color="000000" w:sz="4" w:space="0"/>
              <w:right w:val="single" w:color="000000" w:sz="4" w:space="0"/>
            </w:tcBorders>
            <w:vAlign w:val="center"/>
          </w:tcPr>
          <w:p w14:paraId="0D0DB9C1">
            <w:pPr>
              <w:widowControl/>
              <w:jc w:val="center"/>
              <w:textAlignment w:val="center"/>
              <w:rPr>
                <w:rFonts w:hint="eastAsia" w:ascii="宋体" w:hAnsi="宋体" w:cs="宋体"/>
                <w:color w:val="000000"/>
                <w:kern w:val="0"/>
                <w:sz w:val="20"/>
                <w:szCs w:val="20"/>
                <w:lang w:bidi="ar"/>
              </w:rPr>
            </w:pPr>
          </w:p>
        </w:tc>
        <w:tc>
          <w:tcPr>
            <w:tcW w:w="900" w:type="dxa"/>
            <w:tcBorders>
              <w:top w:val="single" w:color="000000" w:sz="4" w:space="0"/>
              <w:left w:val="single" w:color="000000" w:sz="4" w:space="0"/>
              <w:bottom w:val="single" w:color="000000" w:sz="4" w:space="0"/>
              <w:right w:val="single" w:color="000000" w:sz="4" w:space="0"/>
            </w:tcBorders>
            <w:vAlign w:val="center"/>
          </w:tcPr>
          <w:p w14:paraId="2A862E2C">
            <w:pPr>
              <w:widowControl/>
              <w:jc w:val="center"/>
              <w:textAlignment w:val="center"/>
              <w:rPr>
                <w:rFonts w:hint="eastAsia" w:ascii="宋体" w:hAnsi="宋体" w:cs="宋体"/>
                <w:color w:val="000000"/>
                <w:kern w:val="0"/>
                <w:sz w:val="20"/>
                <w:szCs w:val="20"/>
                <w:lang w:bidi="ar"/>
              </w:rPr>
            </w:pPr>
          </w:p>
        </w:tc>
        <w:tc>
          <w:tcPr>
            <w:tcW w:w="832" w:type="dxa"/>
            <w:tcBorders>
              <w:top w:val="single" w:color="000000" w:sz="4" w:space="0"/>
              <w:left w:val="single" w:color="000000" w:sz="4" w:space="0"/>
              <w:bottom w:val="single" w:color="000000" w:sz="4" w:space="0"/>
              <w:right w:val="single" w:color="000000" w:sz="4" w:space="0"/>
            </w:tcBorders>
            <w:vAlign w:val="center"/>
          </w:tcPr>
          <w:p w14:paraId="2633F840">
            <w:pPr>
              <w:widowControl/>
              <w:jc w:val="center"/>
              <w:textAlignment w:val="center"/>
              <w:rPr>
                <w:rFonts w:hint="eastAsia" w:ascii="宋体" w:hAnsi="宋体" w:cs="宋体"/>
                <w:color w:val="000000"/>
                <w:kern w:val="0"/>
                <w:sz w:val="20"/>
                <w:szCs w:val="20"/>
                <w:lang w:bidi="ar"/>
              </w:rPr>
            </w:pPr>
          </w:p>
        </w:tc>
        <w:tc>
          <w:tcPr>
            <w:tcW w:w="1143" w:type="dxa"/>
            <w:tcBorders>
              <w:top w:val="single" w:color="000000" w:sz="4" w:space="0"/>
              <w:left w:val="single" w:color="000000" w:sz="4" w:space="0"/>
              <w:bottom w:val="single" w:color="000000" w:sz="4" w:space="0"/>
              <w:right w:val="single" w:color="000000" w:sz="4" w:space="0"/>
            </w:tcBorders>
            <w:vAlign w:val="center"/>
          </w:tcPr>
          <w:p w14:paraId="114FE075">
            <w:pPr>
              <w:widowControl/>
              <w:jc w:val="center"/>
              <w:textAlignment w:val="center"/>
              <w:rPr>
                <w:rFonts w:hint="eastAsia" w:ascii="宋体" w:hAnsi="宋体" w:cs="宋体"/>
                <w:color w:val="000000"/>
                <w:kern w:val="0"/>
                <w:sz w:val="20"/>
                <w:szCs w:val="20"/>
                <w:lang w:bidi="ar"/>
              </w:rPr>
            </w:pPr>
          </w:p>
        </w:tc>
        <w:tc>
          <w:tcPr>
            <w:tcW w:w="763" w:type="dxa"/>
            <w:tcBorders>
              <w:top w:val="single" w:color="000000" w:sz="4" w:space="0"/>
              <w:left w:val="single" w:color="000000" w:sz="4" w:space="0"/>
              <w:bottom w:val="single" w:color="000000" w:sz="4" w:space="0"/>
              <w:right w:val="single" w:color="000000" w:sz="4" w:space="0"/>
            </w:tcBorders>
            <w:vAlign w:val="center"/>
          </w:tcPr>
          <w:p w14:paraId="563BA542">
            <w:pPr>
              <w:widowControl/>
              <w:jc w:val="center"/>
              <w:textAlignment w:val="center"/>
              <w:rPr>
                <w:rFonts w:hint="eastAsia" w:ascii="宋体" w:hAnsi="宋体" w:cs="宋体"/>
                <w:color w:val="000000"/>
                <w:kern w:val="0"/>
                <w:sz w:val="20"/>
                <w:szCs w:val="20"/>
                <w:lang w:bidi="ar"/>
              </w:rPr>
            </w:pPr>
          </w:p>
        </w:tc>
        <w:tc>
          <w:tcPr>
            <w:tcW w:w="741" w:type="dxa"/>
            <w:tcBorders>
              <w:top w:val="single" w:color="000000" w:sz="4" w:space="0"/>
              <w:left w:val="single" w:color="000000" w:sz="4" w:space="0"/>
              <w:bottom w:val="single" w:color="000000" w:sz="4" w:space="0"/>
              <w:right w:val="single" w:color="000000" w:sz="4" w:space="0"/>
            </w:tcBorders>
            <w:vAlign w:val="center"/>
          </w:tcPr>
          <w:p w14:paraId="436FBABF">
            <w:pPr>
              <w:widowControl/>
              <w:jc w:val="center"/>
              <w:textAlignment w:val="center"/>
              <w:rPr>
                <w:rFonts w:hint="eastAsia" w:ascii="宋体" w:hAnsi="宋体" w:cs="宋体"/>
                <w:color w:val="000000"/>
                <w:kern w:val="0"/>
                <w:sz w:val="20"/>
                <w:szCs w:val="20"/>
                <w:lang w:bidi="ar"/>
              </w:rPr>
            </w:pPr>
          </w:p>
        </w:tc>
      </w:tr>
      <w:tr w14:paraId="7E44A380">
        <w:tblPrEx>
          <w:tblCellMar>
            <w:top w:w="0" w:type="dxa"/>
            <w:left w:w="108" w:type="dxa"/>
            <w:bottom w:w="0" w:type="dxa"/>
            <w:right w:w="108" w:type="dxa"/>
          </w:tblCellMar>
        </w:tblPrEx>
        <w:trPr>
          <w:trHeight w:val="20" w:hRule="atLeast"/>
          <w:jc w:val="center"/>
        </w:trPr>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1E11F8">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248</w:t>
            </w:r>
          </w:p>
        </w:tc>
        <w:tc>
          <w:tcPr>
            <w:tcW w:w="2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2CC7D2">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电子温湿度计效准证书原件探头款</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4F6B6A">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独立包装</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5067FC">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个</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3FC5EA">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10</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46711F">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85.8</w:t>
            </w:r>
          </w:p>
        </w:tc>
        <w:tc>
          <w:tcPr>
            <w:tcW w:w="992" w:type="dxa"/>
            <w:tcBorders>
              <w:top w:val="single" w:color="000000" w:sz="4" w:space="0"/>
              <w:left w:val="single" w:color="000000" w:sz="4" w:space="0"/>
              <w:bottom w:val="single" w:color="000000" w:sz="4" w:space="0"/>
              <w:right w:val="single" w:color="000000" w:sz="4" w:space="0"/>
            </w:tcBorders>
            <w:vAlign w:val="center"/>
          </w:tcPr>
          <w:p w14:paraId="68989149">
            <w:pPr>
              <w:widowControl/>
              <w:jc w:val="center"/>
              <w:textAlignment w:val="center"/>
              <w:rPr>
                <w:rFonts w:hint="eastAsia" w:ascii="宋体" w:hAnsi="宋体" w:cs="宋体"/>
                <w:color w:val="000000"/>
                <w:kern w:val="0"/>
                <w:sz w:val="20"/>
                <w:szCs w:val="20"/>
                <w:lang w:bidi="ar"/>
              </w:rPr>
            </w:pPr>
          </w:p>
        </w:tc>
        <w:tc>
          <w:tcPr>
            <w:tcW w:w="1239" w:type="dxa"/>
            <w:tcBorders>
              <w:top w:val="single" w:color="000000" w:sz="4" w:space="0"/>
              <w:left w:val="single" w:color="000000" w:sz="4" w:space="0"/>
              <w:bottom w:val="single" w:color="000000" w:sz="4" w:space="0"/>
              <w:right w:val="single" w:color="000000" w:sz="4" w:space="0"/>
            </w:tcBorders>
            <w:vAlign w:val="center"/>
          </w:tcPr>
          <w:p w14:paraId="0A2E5645">
            <w:pPr>
              <w:widowControl/>
              <w:jc w:val="center"/>
              <w:textAlignment w:val="center"/>
              <w:rPr>
                <w:rFonts w:hint="eastAsia" w:ascii="宋体" w:hAnsi="宋体" w:cs="宋体"/>
                <w:color w:val="000000"/>
                <w:kern w:val="0"/>
                <w:sz w:val="20"/>
                <w:szCs w:val="20"/>
                <w:lang w:bidi="ar"/>
              </w:rPr>
            </w:pPr>
          </w:p>
        </w:tc>
        <w:tc>
          <w:tcPr>
            <w:tcW w:w="900" w:type="dxa"/>
            <w:tcBorders>
              <w:top w:val="single" w:color="000000" w:sz="4" w:space="0"/>
              <w:left w:val="single" w:color="000000" w:sz="4" w:space="0"/>
              <w:bottom w:val="single" w:color="000000" w:sz="4" w:space="0"/>
              <w:right w:val="single" w:color="000000" w:sz="4" w:space="0"/>
            </w:tcBorders>
            <w:vAlign w:val="center"/>
          </w:tcPr>
          <w:p w14:paraId="3B7F7A19">
            <w:pPr>
              <w:widowControl/>
              <w:jc w:val="center"/>
              <w:textAlignment w:val="center"/>
              <w:rPr>
                <w:rFonts w:hint="eastAsia" w:ascii="宋体" w:hAnsi="宋体" w:cs="宋体"/>
                <w:color w:val="000000"/>
                <w:kern w:val="0"/>
                <w:sz w:val="20"/>
                <w:szCs w:val="20"/>
                <w:lang w:bidi="ar"/>
              </w:rPr>
            </w:pPr>
          </w:p>
        </w:tc>
        <w:tc>
          <w:tcPr>
            <w:tcW w:w="832" w:type="dxa"/>
            <w:tcBorders>
              <w:top w:val="single" w:color="000000" w:sz="4" w:space="0"/>
              <w:left w:val="single" w:color="000000" w:sz="4" w:space="0"/>
              <w:bottom w:val="single" w:color="000000" w:sz="4" w:space="0"/>
              <w:right w:val="single" w:color="000000" w:sz="4" w:space="0"/>
            </w:tcBorders>
            <w:vAlign w:val="center"/>
          </w:tcPr>
          <w:p w14:paraId="5D002420">
            <w:pPr>
              <w:widowControl/>
              <w:jc w:val="center"/>
              <w:textAlignment w:val="center"/>
              <w:rPr>
                <w:rFonts w:hint="eastAsia" w:ascii="宋体" w:hAnsi="宋体" w:cs="宋体"/>
                <w:color w:val="000000"/>
                <w:kern w:val="0"/>
                <w:sz w:val="20"/>
                <w:szCs w:val="20"/>
                <w:lang w:bidi="ar"/>
              </w:rPr>
            </w:pPr>
          </w:p>
        </w:tc>
        <w:tc>
          <w:tcPr>
            <w:tcW w:w="1143" w:type="dxa"/>
            <w:tcBorders>
              <w:top w:val="single" w:color="000000" w:sz="4" w:space="0"/>
              <w:left w:val="single" w:color="000000" w:sz="4" w:space="0"/>
              <w:bottom w:val="single" w:color="000000" w:sz="4" w:space="0"/>
              <w:right w:val="single" w:color="000000" w:sz="4" w:space="0"/>
            </w:tcBorders>
            <w:vAlign w:val="center"/>
          </w:tcPr>
          <w:p w14:paraId="2A9175D9">
            <w:pPr>
              <w:widowControl/>
              <w:jc w:val="center"/>
              <w:textAlignment w:val="center"/>
              <w:rPr>
                <w:rFonts w:hint="eastAsia" w:ascii="宋体" w:hAnsi="宋体" w:cs="宋体"/>
                <w:color w:val="000000"/>
                <w:kern w:val="0"/>
                <w:sz w:val="20"/>
                <w:szCs w:val="20"/>
                <w:lang w:bidi="ar"/>
              </w:rPr>
            </w:pPr>
          </w:p>
        </w:tc>
        <w:tc>
          <w:tcPr>
            <w:tcW w:w="763" w:type="dxa"/>
            <w:tcBorders>
              <w:top w:val="single" w:color="000000" w:sz="4" w:space="0"/>
              <w:left w:val="single" w:color="000000" w:sz="4" w:space="0"/>
              <w:bottom w:val="single" w:color="000000" w:sz="4" w:space="0"/>
              <w:right w:val="single" w:color="000000" w:sz="4" w:space="0"/>
            </w:tcBorders>
            <w:vAlign w:val="center"/>
          </w:tcPr>
          <w:p w14:paraId="2FB4EC69">
            <w:pPr>
              <w:widowControl/>
              <w:jc w:val="center"/>
              <w:textAlignment w:val="center"/>
              <w:rPr>
                <w:rFonts w:hint="eastAsia" w:ascii="宋体" w:hAnsi="宋体" w:cs="宋体"/>
                <w:color w:val="000000"/>
                <w:kern w:val="0"/>
                <w:sz w:val="20"/>
                <w:szCs w:val="20"/>
                <w:lang w:bidi="ar"/>
              </w:rPr>
            </w:pPr>
          </w:p>
        </w:tc>
        <w:tc>
          <w:tcPr>
            <w:tcW w:w="741" w:type="dxa"/>
            <w:tcBorders>
              <w:top w:val="single" w:color="000000" w:sz="4" w:space="0"/>
              <w:left w:val="single" w:color="000000" w:sz="4" w:space="0"/>
              <w:bottom w:val="single" w:color="000000" w:sz="4" w:space="0"/>
              <w:right w:val="single" w:color="000000" w:sz="4" w:space="0"/>
            </w:tcBorders>
            <w:vAlign w:val="center"/>
          </w:tcPr>
          <w:p w14:paraId="646C88BA">
            <w:pPr>
              <w:widowControl/>
              <w:jc w:val="center"/>
              <w:textAlignment w:val="center"/>
              <w:rPr>
                <w:rFonts w:hint="eastAsia" w:ascii="宋体" w:hAnsi="宋体" w:cs="宋体"/>
                <w:color w:val="000000"/>
                <w:kern w:val="0"/>
                <w:sz w:val="20"/>
                <w:szCs w:val="20"/>
                <w:lang w:bidi="ar"/>
              </w:rPr>
            </w:pPr>
          </w:p>
        </w:tc>
      </w:tr>
      <w:tr w14:paraId="70C25B2F">
        <w:tblPrEx>
          <w:tblCellMar>
            <w:top w:w="0" w:type="dxa"/>
            <w:left w:w="108" w:type="dxa"/>
            <w:bottom w:w="0" w:type="dxa"/>
            <w:right w:w="108" w:type="dxa"/>
          </w:tblCellMar>
        </w:tblPrEx>
        <w:trPr>
          <w:trHeight w:val="20" w:hRule="atLeast"/>
          <w:jc w:val="center"/>
        </w:trPr>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C7C084">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249</w:t>
            </w:r>
          </w:p>
        </w:tc>
        <w:tc>
          <w:tcPr>
            <w:tcW w:w="2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D36EE6">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中和剂一次性采样管</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74F0E0">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50支/盒</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92F936">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盒</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3319AD">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20</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913570">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487.5</w:t>
            </w:r>
          </w:p>
        </w:tc>
        <w:tc>
          <w:tcPr>
            <w:tcW w:w="992" w:type="dxa"/>
            <w:tcBorders>
              <w:top w:val="single" w:color="000000" w:sz="4" w:space="0"/>
              <w:left w:val="single" w:color="000000" w:sz="4" w:space="0"/>
              <w:bottom w:val="single" w:color="000000" w:sz="4" w:space="0"/>
              <w:right w:val="single" w:color="000000" w:sz="4" w:space="0"/>
            </w:tcBorders>
            <w:vAlign w:val="center"/>
          </w:tcPr>
          <w:p w14:paraId="0C4811C6">
            <w:pPr>
              <w:widowControl/>
              <w:jc w:val="center"/>
              <w:textAlignment w:val="center"/>
              <w:rPr>
                <w:rFonts w:hint="eastAsia" w:ascii="宋体" w:hAnsi="宋体" w:cs="宋体"/>
                <w:color w:val="000000"/>
                <w:kern w:val="0"/>
                <w:sz w:val="20"/>
                <w:szCs w:val="20"/>
                <w:lang w:bidi="ar"/>
              </w:rPr>
            </w:pPr>
          </w:p>
        </w:tc>
        <w:tc>
          <w:tcPr>
            <w:tcW w:w="1239" w:type="dxa"/>
            <w:tcBorders>
              <w:top w:val="single" w:color="000000" w:sz="4" w:space="0"/>
              <w:left w:val="single" w:color="000000" w:sz="4" w:space="0"/>
              <w:bottom w:val="single" w:color="000000" w:sz="4" w:space="0"/>
              <w:right w:val="single" w:color="000000" w:sz="4" w:space="0"/>
            </w:tcBorders>
            <w:vAlign w:val="center"/>
          </w:tcPr>
          <w:p w14:paraId="18F8A971">
            <w:pPr>
              <w:widowControl/>
              <w:jc w:val="center"/>
              <w:textAlignment w:val="center"/>
              <w:rPr>
                <w:rFonts w:hint="eastAsia" w:ascii="宋体" w:hAnsi="宋体" w:cs="宋体"/>
                <w:color w:val="000000"/>
                <w:kern w:val="0"/>
                <w:sz w:val="20"/>
                <w:szCs w:val="20"/>
                <w:lang w:bidi="ar"/>
              </w:rPr>
            </w:pPr>
          </w:p>
        </w:tc>
        <w:tc>
          <w:tcPr>
            <w:tcW w:w="900" w:type="dxa"/>
            <w:tcBorders>
              <w:top w:val="single" w:color="000000" w:sz="4" w:space="0"/>
              <w:left w:val="single" w:color="000000" w:sz="4" w:space="0"/>
              <w:bottom w:val="single" w:color="000000" w:sz="4" w:space="0"/>
              <w:right w:val="single" w:color="000000" w:sz="4" w:space="0"/>
            </w:tcBorders>
            <w:vAlign w:val="center"/>
          </w:tcPr>
          <w:p w14:paraId="434AF0A8">
            <w:pPr>
              <w:widowControl/>
              <w:jc w:val="center"/>
              <w:textAlignment w:val="center"/>
              <w:rPr>
                <w:rFonts w:hint="eastAsia" w:ascii="宋体" w:hAnsi="宋体" w:cs="宋体"/>
                <w:color w:val="000000"/>
                <w:kern w:val="0"/>
                <w:sz w:val="20"/>
                <w:szCs w:val="20"/>
                <w:lang w:bidi="ar"/>
              </w:rPr>
            </w:pPr>
          </w:p>
        </w:tc>
        <w:tc>
          <w:tcPr>
            <w:tcW w:w="832" w:type="dxa"/>
            <w:tcBorders>
              <w:top w:val="single" w:color="000000" w:sz="4" w:space="0"/>
              <w:left w:val="single" w:color="000000" w:sz="4" w:space="0"/>
              <w:bottom w:val="single" w:color="000000" w:sz="4" w:space="0"/>
              <w:right w:val="single" w:color="000000" w:sz="4" w:space="0"/>
            </w:tcBorders>
            <w:vAlign w:val="center"/>
          </w:tcPr>
          <w:p w14:paraId="61FB2D31">
            <w:pPr>
              <w:widowControl/>
              <w:jc w:val="center"/>
              <w:textAlignment w:val="center"/>
              <w:rPr>
                <w:rFonts w:hint="eastAsia" w:ascii="宋体" w:hAnsi="宋体" w:cs="宋体"/>
                <w:color w:val="000000"/>
                <w:kern w:val="0"/>
                <w:sz w:val="20"/>
                <w:szCs w:val="20"/>
                <w:lang w:bidi="ar"/>
              </w:rPr>
            </w:pPr>
          </w:p>
        </w:tc>
        <w:tc>
          <w:tcPr>
            <w:tcW w:w="1143" w:type="dxa"/>
            <w:tcBorders>
              <w:top w:val="single" w:color="000000" w:sz="4" w:space="0"/>
              <w:left w:val="single" w:color="000000" w:sz="4" w:space="0"/>
              <w:bottom w:val="single" w:color="000000" w:sz="4" w:space="0"/>
              <w:right w:val="single" w:color="000000" w:sz="4" w:space="0"/>
            </w:tcBorders>
            <w:vAlign w:val="center"/>
          </w:tcPr>
          <w:p w14:paraId="4955FCC0">
            <w:pPr>
              <w:widowControl/>
              <w:jc w:val="center"/>
              <w:textAlignment w:val="center"/>
              <w:rPr>
                <w:rFonts w:hint="eastAsia" w:ascii="宋体" w:hAnsi="宋体" w:cs="宋体"/>
                <w:color w:val="000000"/>
                <w:kern w:val="0"/>
                <w:sz w:val="20"/>
                <w:szCs w:val="20"/>
                <w:lang w:bidi="ar"/>
              </w:rPr>
            </w:pPr>
          </w:p>
        </w:tc>
        <w:tc>
          <w:tcPr>
            <w:tcW w:w="763" w:type="dxa"/>
            <w:tcBorders>
              <w:top w:val="single" w:color="000000" w:sz="4" w:space="0"/>
              <w:left w:val="single" w:color="000000" w:sz="4" w:space="0"/>
              <w:bottom w:val="single" w:color="000000" w:sz="4" w:space="0"/>
              <w:right w:val="single" w:color="000000" w:sz="4" w:space="0"/>
            </w:tcBorders>
            <w:vAlign w:val="center"/>
          </w:tcPr>
          <w:p w14:paraId="7081DDE7">
            <w:pPr>
              <w:widowControl/>
              <w:jc w:val="center"/>
              <w:textAlignment w:val="center"/>
              <w:rPr>
                <w:rFonts w:hint="eastAsia" w:ascii="宋体" w:hAnsi="宋体" w:cs="宋体"/>
                <w:color w:val="000000"/>
                <w:kern w:val="0"/>
                <w:sz w:val="20"/>
                <w:szCs w:val="20"/>
                <w:lang w:bidi="ar"/>
              </w:rPr>
            </w:pPr>
          </w:p>
        </w:tc>
        <w:tc>
          <w:tcPr>
            <w:tcW w:w="741" w:type="dxa"/>
            <w:tcBorders>
              <w:top w:val="single" w:color="000000" w:sz="4" w:space="0"/>
              <w:left w:val="single" w:color="000000" w:sz="4" w:space="0"/>
              <w:bottom w:val="single" w:color="000000" w:sz="4" w:space="0"/>
              <w:right w:val="single" w:color="000000" w:sz="4" w:space="0"/>
            </w:tcBorders>
            <w:vAlign w:val="center"/>
          </w:tcPr>
          <w:p w14:paraId="34F41F96">
            <w:pPr>
              <w:widowControl/>
              <w:jc w:val="center"/>
              <w:textAlignment w:val="center"/>
              <w:rPr>
                <w:rFonts w:hint="eastAsia" w:ascii="宋体" w:hAnsi="宋体" w:cs="宋体"/>
                <w:color w:val="000000"/>
                <w:kern w:val="0"/>
                <w:sz w:val="20"/>
                <w:szCs w:val="20"/>
                <w:lang w:bidi="ar"/>
              </w:rPr>
            </w:pPr>
          </w:p>
        </w:tc>
      </w:tr>
      <w:tr w14:paraId="4D415827">
        <w:tblPrEx>
          <w:tblCellMar>
            <w:top w:w="0" w:type="dxa"/>
            <w:left w:w="108" w:type="dxa"/>
            <w:bottom w:w="0" w:type="dxa"/>
            <w:right w:w="108" w:type="dxa"/>
          </w:tblCellMar>
        </w:tblPrEx>
        <w:trPr>
          <w:trHeight w:val="20" w:hRule="atLeast"/>
          <w:jc w:val="center"/>
        </w:trPr>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F9BD08">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250</w:t>
            </w:r>
          </w:p>
        </w:tc>
        <w:tc>
          <w:tcPr>
            <w:tcW w:w="2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4408C4">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嗜热脂肪杆菌芽孢菌片</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B873A3">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独立包装</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469D6C">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包</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1E7F8C">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20</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9A57C2">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135.2</w:t>
            </w:r>
          </w:p>
        </w:tc>
        <w:tc>
          <w:tcPr>
            <w:tcW w:w="992" w:type="dxa"/>
            <w:tcBorders>
              <w:top w:val="single" w:color="000000" w:sz="4" w:space="0"/>
              <w:left w:val="single" w:color="000000" w:sz="4" w:space="0"/>
              <w:bottom w:val="single" w:color="000000" w:sz="4" w:space="0"/>
              <w:right w:val="single" w:color="000000" w:sz="4" w:space="0"/>
            </w:tcBorders>
            <w:vAlign w:val="center"/>
          </w:tcPr>
          <w:p w14:paraId="5BC3015F">
            <w:pPr>
              <w:widowControl/>
              <w:jc w:val="center"/>
              <w:textAlignment w:val="center"/>
              <w:rPr>
                <w:rFonts w:hint="eastAsia" w:ascii="宋体" w:hAnsi="宋体" w:cs="宋体"/>
                <w:color w:val="000000"/>
                <w:kern w:val="0"/>
                <w:sz w:val="20"/>
                <w:szCs w:val="20"/>
                <w:lang w:bidi="ar"/>
              </w:rPr>
            </w:pPr>
          </w:p>
        </w:tc>
        <w:tc>
          <w:tcPr>
            <w:tcW w:w="1239" w:type="dxa"/>
            <w:tcBorders>
              <w:top w:val="single" w:color="000000" w:sz="4" w:space="0"/>
              <w:left w:val="single" w:color="000000" w:sz="4" w:space="0"/>
              <w:bottom w:val="single" w:color="000000" w:sz="4" w:space="0"/>
              <w:right w:val="single" w:color="000000" w:sz="4" w:space="0"/>
            </w:tcBorders>
            <w:vAlign w:val="center"/>
          </w:tcPr>
          <w:p w14:paraId="09DC9DAD">
            <w:pPr>
              <w:widowControl/>
              <w:jc w:val="center"/>
              <w:textAlignment w:val="center"/>
              <w:rPr>
                <w:rFonts w:hint="eastAsia" w:ascii="宋体" w:hAnsi="宋体" w:cs="宋体"/>
                <w:color w:val="000000"/>
                <w:kern w:val="0"/>
                <w:sz w:val="20"/>
                <w:szCs w:val="20"/>
                <w:lang w:bidi="ar"/>
              </w:rPr>
            </w:pPr>
          </w:p>
        </w:tc>
        <w:tc>
          <w:tcPr>
            <w:tcW w:w="900" w:type="dxa"/>
            <w:tcBorders>
              <w:top w:val="single" w:color="000000" w:sz="4" w:space="0"/>
              <w:left w:val="single" w:color="000000" w:sz="4" w:space="0"/>
              <w:bottom w:val="single" w:color="000000" w:sz="4" w:space="0"/>
              <w:right w:val="single" w:color="000000" w:sz="4" w:space="0"/>
            </w:tcBorders>
            <w:vAlign w:val="center"/>
          </w:tcPr>
          <w:p w14:paraId="75BCBF42">
            <w:pPr>
              <w:widowControl/>
              <w:jc w:val="center"/>
              <w:textAlignment w:val="center"/>
              <w:rPr>
                <w:rFonts w:hint="eastAsia" w:ascii="宋体" w:hAnsi="宋体" w:cs="宋体"/>
                <w:color w:val="000000"/>
                <w:kern w:val="0"/>
                <w:sz w:val="20"/>
                <w:szCs w:val="20"/>
                <w:lang w:bidi="ar"/>
              </w:rPr>
            </w:pPr>
          </w:p>
        </w:tc>
        <w:tc>
          <w:tcPr>
            <w:tcW w:w="832" w:type="dxa"/>
            <w:tcBorders>
              <w:top w:val="single" w:color="000000" w:sz="4" w:space="0"/>
              <w:left w:val="single" w:color="000000" w:sz="4" w:space="0"/>
              <w:bottom w:val="single" w:color="000000" w:sz="4" w:space="0"/>
              <w:right w:val="single" w:color="000000" w:sz="4" w:space="0"/>
            </w:tcBorders>
            <w:vAlign w:val="center"/>
          </w:tcPr>
          <w:p w14:paraId="161A95B6">
            <w:pPr>
              <w:widowControl/>
              <w:jc w:val="center"/>
              <w:textAlignment w:val="center"/>
              <w:rPr>
                <w:rFonts w:hint="eastAsia" w:ascii="宋体" w:hAnsi="宋体" w:cs="宋体"/>
                <w:color w:val="000000"/>
                <w:kern w:val="0"/>
                <w:sz w:val="20"/>
                <w:szCs w:val="20"/>
                <w:lang w:bidi="ar"/>
              </w:rPr>
            </w:pPr>
          </w:p>
        </w:tc>
        <w:tc>
          <w:tcPr>
            <w:tcW w:w="1143" w:type="dxa"/>
            <w:tcBorders>
              <w:top w:val="single" w:color="000000" w:sz="4" w:space="0"/>
              <w:left w:val="single" w:color="000000" w:sz="4" w:space="0"/>
              <w:bottom w:val="single" w:color="000000" w:sz="4" w:space="0"/>
              <w:right w:val="single" w:color="000000" w:sz="4" w:space="0"/>
            </w:tcBorders>
            <w:vAlign w:val="center"/>
          </w:tcPr>
          <w:p w14:paraId="51E44CEA">
            <w:pPr>
              <w:widowControl/>
              <w:jc w:val="center"/>
              <w:textAlignment w:val="center"/>
              <w:rPr>
                <w:rFonts w:hint="eastAsia" w:ascii="宋体" w:hAnsi="宋体" w:cs="宋体"/>
                <w:color w:val="000000"/>
                <w:kern w:val="0"/>
                <w:sz w:val="20"/>
                <w:szCs w:val="20"/>
                <w:lang w:bidi="ar"/>
              </w:rPr>
            </w:pPr>
          </w:p>
        </w:tc>
        <w:tc>
          <w:tcPr>
            <w:tcW w:w="763" w:type="dxa"/>
            <w:tcBorders>
              <w:top w:val="single" w:color="000000" w:sz="4" w:space="0"/>
              <w:left w:val="single" w:color="000000" w:sz="4" w:space="0"/>
              <w:bottom w:val="single" w:color="000000" w:sz="4" w:space="0"/>
              <w:right w:val="single" w:color="000000" w:sz="4" w:space="0"/>
            </w:tcBorders>
            <w:vAlign w:val="center"/>
          </w:tcPr>
          <w:p w14:paraId="60CF0DDA">
            <w:pPr>
              <w:widowControl/>
              <w:jc w:val="center"/>
              <w:textAlignment w:val="center"/>
              <w:rPr>
                <w:rFonts w:hint="eastAsia" w:ascii="宋体" w:hAnsi="宋体" w:cs="宋体"/>
                <w:color w:val="000000"/>
                <w:kern w:val="0"/>
                <w:sz w:val="20"/>
                <w:szCs w:val="20"/>
                <w:lang w:bidi="ar"/>
              </w:rPr>
            </w:pPr>
          </w:p>
        </w:tc>
        <w:tc>
          <w:tcPr>
            <w:tcW w:w="741" w:type="dxa"/>
            <w:tcBorders>
              <w:top w:val="single" w:color="000000" w:sz="4" w:space="0"/>
              <w:left w:val="single" w:color="000000" w:sz="4" w:space="0"/>
              <w:bottom w:val="single" w:color="000000" w:sz="4" w:space="0"/>
              <w:right w:val="single" w:color="000000" w:sz="4" w:space="0"/>
            </w:tcBorders>
            <w:vAlign w:val="center"/>
          </w:tcPr>
          <w:p w14:paraId="3E352AD5">
            <w:pPr>
              <w:widowControl/>
              <w:jc w:val="center"/>
              <w:textAlignment w:val="center"/>
              <w:rPr>
                <w:rFonts w:hint="eastAsia" w:ascii="宋体" w:hAnsi="宋体" w:cs="宋体"/>
                <w:color w:val="000000"/>
                <w:kern w:val="0"/>
                <w:sz w:val="20"/>
                <w:szCs w:val="20"/>
                <w:lang w:bidi="ar"/>
              </w:rPr>
            </w:pPr>
          </w:p>
        </w:tc>
      </w:tr>
      <w:tr w14:paraId="38A39B8B">
        <w:tblPrEx>
          <w:tblCellMar>
            <w:top w:w="0" w:type="dxa"/>
            <w:left w:w="108" w:type="dxa"/>
            <w:bottom w:w="0" w:type="dxa"/>
            <w:right w:w="108" w:type="dxa"/>
          </w:tblCellMar>
        </w:tblPrEx>
        <w:trPr>
          <w:trHeight w:val="20" w:hRule="atLeast"/>
          <w:jc w:val="center"/>
        </w:trPr>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7161F8">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251</w:t>
            </w:r>
          </w:p>
        </w:tc>
        <w:tc>
          <w:tcPr>
            <w:tcW w:w="2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A4BB2C">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枯草杆菌黑色变种芽孢菌片</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FEAB65">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独立包装</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E17891">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包</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9C9CC8">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10</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AF96DD">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135.2</w:t>
            </w:r>
          </w:p>
        </w:tc>
        <w:tc>
          <w:tcPr>
            <w:tcW w:w="992" w:type="dxa"/>
            <w:tcBorders>
              <w:top w:val="single" w:color="000000" w:sz="4" w:space="0"/>
              <w:left w:val="single" w:color="000000" w:sz="4" w:space="0"/>
              <w:bottom w:val="single" w:color="000000" w:sz="4" w:space="0"/>
              <w:right w:val="single" w:color="000000" w:sz="4" w:space="0"/>
            </w:tcBorders>
            <w:vAlign w:val="center"/>
          </w:tcPr>
          <w:p w14:paraId="6FAE9B7C">
            <w:pPr>
              <w:widowControl/>
              <w:jc w:val="center"/>
              <w:textAlignment w:val="center"/>
              <w:rPr>
                <w:rFonts w:hint="eastAsia" w:ascii="宋体" w:hAnsi="宋体" w:cs="宋体"/>
                <w:color w:val="000000"/>
                <w:kern w:val="0"/>
                <w:sz w:val="20"/>
                <w:szCs w:val="20"/>
                <w:lang w:bidi="ar"/>
              </w:rPr>
            </w:pPr>
          </w:p>
        </w:tc>
        <w:tc>
          <w:tcPr>
            <w:tcW w:w="1239" w:type="dxa"/>
            <w:tcBorders>
              <w:top w:val="single" w:color="000000" w:sz="4" w:space="0"/>
              <w:left w:val="single" w:color="000000" w:sz="4" w:space="0"/>
              <w:bottom w:val="single" w:color="000000" w:sz="4" w:space="0"/>
              <w:right w:val="single" w:color="000000" w:sz="4" w:space="0"/>
            </w:tcBorders>
            <w:vAlign w:val="center"/>
          </w:tcPr>
          <w:p w14:paraId="419A53E2">
            <w:pPr>
              <w:widowControl/>
              <w:jc w:val="center"/>
              <w:textAlignment w:val="center"/>
              <w:rPr>
                <w:rFonts w:hint="eastAsia" w:ascii="宋体" w:hAnsi="宋体" w:cs="宋体"/>
                <w:color w:val="000000"/>
                <w:kern w:val="0"/>
                <w:sz w:val="20"/>
                <w:szCs w:val="20"/>
                <w:lang w:bidi="ar"/>
              </w:rPr>
            </w:pPr>
          </w:p>
        </w:tc>
        <w:tc>
          <w:tcPr>
            <w:tcW w:w="900" w:type="dxa"/>
            <w:tcBorders>
              <w:top w:val="single" w:color="000000" w:sz="4" w:space="0"/>
              <w:left w:val="single" w:color="000000" w:sz="4" w:space="0"/>
              <w:bottom w:val="single" w:color="000000" w:sz="4" w:space="0"/>
              <w:right w:val="single" w:color="000000" w:sz="4" w:space="0"/>
            </w:tcBorders>
            <w:vAlign w:val="center"/>
          </w:tcPr>
          <w:p w14:paraId="285D1CA4">
            <w:pPr>
              <w:widowControl/>
              <w:jc w:val="center"/>
              <w:textAlignment w:val="center"/>
              <w:rPr>
                <w:rFonts w:hint="eastAsia" w:ascii="宋体" w:hAnsi="宋体" w:cs="宋体"/>
                <w:color w:val="000000"/>
                <w:kern w:val="0"/>
                <w:sz w:val="20"/>
                <w:szCs w:val="20"/>
                <w:lang w:bidi="ar"/>
              </w:rPr>
            </w:pPr>
          </w:p>
        </w:tc>
        <w:tc>
          <w:tcPr>
            <w:tcW w:w="832" w:type="dxa"/>
            <w:tcBorders>
              <w:top w:val="single" w:color="000000" w:sz="4" w:space="0"/>
              <w:left w:val="single" w:color="000000" w:sz="4" w:space="0"/>
              <w:bottom w:val="single" w:color="000000" w:sz="4" w:space="0"/>
              <w:right w:val="single" w:color="000000" w:sz="4" w:space="0"/>
            </w:tcBorders>
            <w:vAlign w:val="center"/>
          </w:tcPr>
          <w:p w14:paraId="3E173FE8">
            <w:pPr>
              <w:widowControl/>
              <w:jc w:val="center"/>
              <w:textAlignment w:val="center"/>
              <w:rPr>
                <w:rFonts w:hint="eastAsia" w:ascii="宋体" w:hAnsi="宋体" w:cs="宋体"/>
                <w:color w:val="000000"/>
                <w:kern w:val="0"/>
                <w:sz w:val="20"/>
                <w:szCs w:val="20"/>
                <w:lang w:bidi="ar"/>
              </w:rPr>
            </w:pPr>
          </w:p>
        </w:tc>
        <w:tc>
          <w:tcPr>
            <w:tcW w:w="1143" w:type="dxa"/>
            <w:tcBorders>
              <w:top w:val="single" w:color="000000" w:sz="4" w:space="0"/>
              <w:left w:val="single" w:color="000000" w:sz="4" w:space="0"/>
              <w:bottom w:val="single" w:color="000000" w:sz="4" w:space="0"/>
              <w:right w:val="single" w:color="000000" w:sz="4" w:space="0"/>
            </w:tcBorders>
            <w:vAlign w:val="center"/>
          </w:tcPr>
          <w:p w14:paraId="391BB745">
            <w:pPr>
              <w:widowControl/>
              <w:jc w:val="center"/>
              <w:textAlignment w:val="center"/>
              <w:rPr>
                <w:rFonts w:hint="eastAsia" w:ascii="宋体" w:hAnsi="宋体" w:cs="宋体"/>
                <w:color w:val="000000"/>
                <w:kern w:val="0"/>
                <w:sz w:val="20"/>
                <w:szCs w:val="20"/>
                <w:lang w:bidi="ar"/>
              </w:rPr>
            </w:pPr>
          </w:p>
        </w:tc>
        <w:tc>
          <w:tcPr>
            <w:tcW w:w="763" w:type="dxa"/>
            <w:tcBorders>
              <w:top w:val="single" w:color="000000" w:sz="4" w:space="0"/>
              <w:left w:val="single" w:color="000000" w:sz="4" w:space="0"/>
              <w:bottom w:val="single" w:color="000000" w:sz="4" w:space="0"/>
              <w:right w:val="single" w:color="000000" w:sz="4" w:space="0"/>
            </w:tcBorders>
            <w:vAlign w:val="center"/>
          </w:tcPr>
          <w:p w14:paraId="257F21C8">
            <w:pPr>
              <w:widowControl/>
              <w:jc w:val="center"/>
              <w:textAlignment w:val="center"/>
              <w:rPr>
                <w:rFonts w:hint="eastAsia" w:ascii="宋体" w:hAnsi="宋体" w:cs="宋体"/>
                <w:color w:val="000000"/>
                <w:kern w:val="0"/>
                <w:sz w:val="20"/>
                <w:szCs w:val="20"/>
                <w:lang w:bidi="ar"/>
              </w:rPr>
            </w:pPr>
          </w:p>
        </w:tc>
        <w:tc>
          <w:tcPr>
            <w:tcW w:w="741" w:type="dxa"/>
            <w:tcBorders>
              <w:top w:val="single" w:color="000000" w:sz="4" w:space="0"/>
              <w:left w:val="single" w:color="000000" w:sz="4" w:space="0"/>
              <w:bottom w:val="single" w:color="000000" w:sz="4" w:space="0"/>
              <w:right w:val="single" w:color="000000" w:sz="4" w:space="0"/>
            </w:tcBorders>
            <w:vAlign w:val="center"/>
          </w:tcPr>
          <w:p w14:paraId="35F9981D">
            <w:pPr>
              <w:widowControl/>
              <w:jc w:val="center"/>
              <w:textAlignment w:val="center"/>
              <w:rPr>
                <w:rFonts w:hint="eastAsia" w:ascii="宋体" w:hAnsi="宋体" w:cs="宋体"/>
                <w:color w:val="000000"/>
                <w:kern w:val="0"/>
                <w:sz w:val="20"/>
                <w:szCs w:val="20"/>
                <w:lang w:bidi="ar"/>
              </w:rPr>
            </w:pPr>
          </w:p>
        </w:tc>
      </w:tr>
      <w:tr w14:paraId="49236154">
        <w:tblPrEx>
          <w:tblCellMar>
            <w:top w:w="0" w:type="dxa"/>
            <w:left w:w="108" w:type="dxa"/>
            <w:bottom w:w="0" w:type="dxa"/>
            <w:right w:w="108" w:type="dxa"/>
          </w:tblCellMar>
        </w:tblPrEx>
        <w:trPr>
          <w:trHeight w:val="20" w:hRule="atLeast"/>
          <w:jc w:val="center"/>
        </w:trPr>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156D30">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252</w:t>
            </w:r>
          </w:p>
        </w:tc>
        <w:tc>
          <w:tcPr>
            <w:tcW w:w="2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43FF50">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一次性呕吐腹泻物应急处置包</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93D8DE">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独立包装</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182716">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包</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9BC1BE">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100</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BED28D">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81.25</w:t>
            </w:r>
          </w:p>
        </w:tc>
        <w:tc>
          <w:tcPr>
            <w:tcW w:w="992" w:type="dxa"/>
            <w:tcBorders>
              <w:top w:val="single" w:color="000000" w:sz="4" w:space="0"/>
              <w:left w:val="single" w:color="000000" w:sz="4" w:space="0"/>
              <w:bottom w:val="single" w:color="000000" w:sz="4" w:space="0"/>
              <w:right w:val="single" w:color="000000" w:sz="4" w:space="0"/>
            </w:tcBorders>
            <w:vAlign w:val="center"/>
          </w:tcPr>
          <w:p w14:paraId="14AC399E">
            <w:pPr>
              <w:widowControl/>
              <w:jc w:val="center"/>
              <w:textAlignment w:val="center"/>
              <w:rPr>
                <w:rFonts w:hint="eastAsia" w:ascii="宋体" w:hAnsi="宋体" w:cs="宋体"/>
                <w:color w:val="000000"/>
                <w:kern w:val="0"/>
                <w:sz w:val="20"/>
                <w:szCs w:val="20"/>
                <w:lang w:bidi="ar"/>
              </w:rPr>
            </w:pPr>
          </w:p>
        </w:tc>
        <w:tc>
          <w:tcPr>
            <w:tcW w:w="1239" w:type="dxa"/>
            <w:tcBorders>
              <w:top w:val="single" w:color="000000" w:sz="4" w:space="0"/>
              <w:left w:val="single" w:color="000000" w:sz="4" w:space="0"/>
              <w:bottom w:val="single" w:color="000000" w:sz="4" w:space="0"/>
              <w:right w:val="single" w:color="000000" w:sz="4" w:space="0"/>
            </w:tcBorders>
            <w:vAlign w:val="center"/>
          </w:tcPr>
          <w:p w14:paraId="534A6F27">
            <w:pPr>
              <w:widowControl/>
              <w:jc w:val="center"/>
              <w:textAlignment w:val="center"/>
              <w:rPr>
                <w:rFonts w:hint="eastAsia" w:ascii="宋体" w:hAnsi="宋体" w:cs="宋体"/>
                <w:color w:val="000000"/>
                <w:kern w:val="0"/>
                <w:sz w:val="20"/>
                <w:szCs w:val="20"/>
                <w:lang w:bidi="ar"/>
              </w:rPr>
            </w:pPr>
          </w:p>
        </w:tc>
        <w:tc>
          <w:tcPr>
            <w:tcW w:w="900" w:type="dxa"/>
            <w:tcBorders>
              <w:top w:val="single" w:color="000000" w:sz="4" w:space="0"/>
              <w:left w:val="single" w:color="000000" w:sz="4" w:space="0"/>
              <w:bottom w:val="single" w:color="000000" w:sz="4" w:space="0"/>
              <w:right w:val="single" w:color="000000" w:sz="4" w:space="0"/>
            </w:tcBorders>
            <w:vAlign w:val="center"/>
          </w:tcPr>
          <w:p w14:paraId="56D813E7">
            <w:pPr>
              <w:widowControl/>
              <w:jc w:val="center"/>
              <w:textAlignment w:val="center"/>
              <w:rPr>
                <w:rFonts w:hint="eastAsia" w:ascii="宋体" w:hAnsi="宋体" w:cs="宋体"/>
                <w:color w:val="000000"/>
                <w:kern w:val="0"/>
                <w:sz w:val="20"/>
                <w:szCs w:val="20"/>
                <w:lang w:bidi="ar"/>
              </w:rPr>
            </w:pPr>
          </w:p>
        </w:tc>
        <w:tc>
          <w:tcPr>
            <w:tcW w:w="832" w:type="dxa"/>
            <w:tcBorders>
              <w:top w:val="single" w:color="000000" w:sz="4" w:space="0"/>
              <w:left w:val="single" w:color="000000" w:sz="4" w:space="0"/>
              <w:bottom w:val="single" w:color="000000" w:sz="4" w:space="0"/>
              <w:right w:val="single" w:color="000000" w:sz="4" w:space="0"/>
            </w:tcBorders>
            <w:vAlign w:val="center"/>
          </w:tcPr>
          <w:p w14:paraId="398C39A7">
            <w:pPr>
              <w:widowControl/>
              <w:jc w:val="center"/>
              <w:textAlignment w:val="center"/>
              <w:rPr>
                <w:rFonts w:hint="eastAsia" w:ascii="宋体" w:hAnsi="宋体" w:cs="宋体"/>
                <w:color w:val="000000"/>
                <w:kern w:val="0"/>
                <w:sz w:val="20"/>
                <w:szCs w:val="20"/>
                <w:lang w:bidi="ar"/>
              </w:rPr>
            </w:pPr>
          </w:p>
        </w:tc>
        <w:tc>
          <w:tcPr>
            <w:tcW w:w="1143" w:type="dxa"/>
            <w:tcBorders>
              <w:top w:val="single" w:color="000000" w:sz="4" w:space="0"/>
              <w:left w:val="single" w:color="000000" w:sz="4" w:space="0"/>
              <w:bottom w:val="single" w:color="000000" w:sz="4" w:space="0"/>
              <w:right w:val="single" w:color="000000" w:sz="4" w:space="0"/>
            </w:tcBorders>
            <w:vAlign w:val="center"/>
          </w:tcPr>
          <w:p w14:paraId="2D96951F">
            <w:pPr>
              <w:widowControl/>
              <w:jc w:val="center"/>
              <w:textAlignment w:val="center"/>
              <w:rPr>
                <w:rFonts w:hint="eastAsia" w:ascii="宋体" w:hAnsi="宋体" w:cs="宋体"/>
                <w:color w:val="000000"/>
                <w:kern w:val="0"/>
                <w:sz w:val="20"/>
                <w:szCs w:val="20"/>
                <w:lang w:bidi="ar"/>
              </w:rPr>
            </w:pPr>
          </w:p>
        </w:tc>
        <w:tc>
          <w:tcPr>
            <w:tcW w:w="763" w:type="dxa"/>
            <w:tcBorders>
              <w:top w:val="single" w:color="000000" w:sz="4" w:space="0"/>
              <w:left w:val="single" w:color="000000" w:sz="4" w:space="0"/>
              <w:bottom w:val="single" w:color="000000" w:sz="4" w:space="0"/>
              <w:right w:val="single" w:color="000000" w:sz="4" w:space="0"/>
            </w:tcBorders>
            <w:vAlign w:val="center"/>
          </w:tcPr>
          <w:p w14:paraId="50597C36">
            <w:pPr>
              <w:widowControl/>
              <w:jc w:val="center"/>
              <w:textAlignment w:val="center"/>
              <w:rPr>
                <w:rFonts w:hint="eastAsia" w:ascii="宋体" w:hAnsi="宋体" w:cs="宋体"/>
                <w:color w:val="000000"/>
                <w:kern w:val="0"/>
                <w:sz w:val="20"/>
                <w:szCs w:val="20"/>
                <w:lang w:bidi="ar"/>
              </w:rPr>
            </w:pPr>
          </w:p>
        </w:tc>
        <w:tc>
          <w:tcPr>
            <w:tcW w:w="741" w:type="dxa"/>
            <w:tcBorders>
              <w:top w:val="single" w:color="000000" w:sz="4" w:space="0"/>
              <w:left w:val="single" w:color="000000" w:sz="4" w:space="0"/>
              <w:bottom w:val="single" w:color="000000" w:sz="4" w:space="0"/>
              <w:right w:val="single" w:color="000000" w:sz="4" w:space="0"/>
            </w:tcBorders>
            <w:vAlign w:val="center"/>
          </w:tcPr>
          <w:p w14:paraId="366C3B3C">
            <w:pPr>
              <w:widowControl/>
              <w:jc w:val="center"/>
              <w:textAlignment w:val="center"/>
              <w:rPr>
                <w:rFonts w:hint="eastAsia" w:ascii="宋体" w:hAnsi="宋体" w:cs="宋体"/>
                <w:color w:val="000000"/>
                <w:kern w:val="0"/>
                <w:sz w:val="20"/>
                <w:szCs w:val="20"/>
                <w:lang w:bidi="ar"/>
              </w:rPr>
            </w:pPr>
          </w:p>
        </w:tc>
      </w:tr>
      <w:tr w14:paraId="1975BC7D">
        <w:tblPrEx>
          <w:tblCellMar>
            <w:top w:w="0" w:type="dxa"/>
            <w:left w:w="108" w:type="dxa"/>
            <w:bottom w:w="0" w:type="dxa"/>
            <w:right w:w="108" w:type="dxa"/>
          </w:tblCellMar>
        </w:tblPrEx>
        <w:trPr>
          <w:trHeight w:val="20" w:hRule="atLeast"/>
          <w:jc w:val="center"/>
        </w:trPr>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7AD2AA">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253</w:t>
            </w:r>
          </w:p>
        </w:tc>
        <w:tc>
          <w:tcPr>
            <w:tcW w:w="2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D25F10">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消毒粉</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C3289B">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独立包装</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480735">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包</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36FCA7">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1000</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1083D4">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2.7</w:t>
            </w:r>
          </w:p>
        </w:tc>
        <w:tc>
          <w:tcPr>
            <w:tcW w:w="992" w:type="dxa"/>
            <w:tcBorders>
              <w:top w:val="single" w:color="000000" w:sz="4" w:space="0"/>
              <w:left w:val="single" w:color="000000" w:sz="4" w:space="0"/>
              <w:bottom w:val="single" w:color="000000" w:sz="4" w:space="0"/>
              <w:right w:val="single" w:color="000000" w:sz="4" w:space="0"/>
            </w:tcBorders>
            <w:vAlign w:val="center"/>
          </w:tcPr>
          <w:p w14:paraId="2229078B">
            <w:pPr>
              <w:widowControl/>
              <w:jc w:val="center"/>
              <w:textAlignment w:val="center"/>
              <w:rPr>
                <w:rFonts w:hint="eastAsia" w:ascii="宋体" w:hAnsi="宋体" w:cs="宋体"/>
                <w:color w:val="000000"/>
                <w:kern w:val="0"/>
                <w:sz w:val="20"/>
                <w:szCs w:val="20"/>
                <w:lang w:bidi="ar"/>
              </w:rPr>
            </w:pPr>
          </w:p>
        </w:tc>
        <w:tc>
          <w:tcPr>
            <w:tcW w:w="1239" w:type="dxa"/>
            <w:tcBorders>
              <w:top w:val="single" w:color="000000" w:sz="4" w:space="0"/>
              <w:left w:val="single" w:color="000000" w:sz="4" w:space="0"/>
              <w:bottom w:val="single" w:color="000000" w:sz="4" w:space="0"/>
              <w:right w:val="single" w:color="000000" w:sz="4" w:space="0"/>
            </w:tcBorders>
            <w:vAlign w:val="center"/>
          </w:tcPr>
          <w:p w14:paraId="2D20831B">
            <w:pPr>
              <w:widowControl/>
              <w:jc w:val="center"/>
              <w:textAlignment w:val="center"/>
              <w:rPr>
                <w:rFonts w:hint="eastAsia" w:ascii="宋体" w:hAnsi="宋体" w:cs="宋体"/>
                <w:color w:val="000000"/>
                <w:kern w:val="0"/>
                <w:sz w:val="20"/>
                <w:szCs w:val="20"/>
                <w:lang w:bidi="ar"/>
              </w:rPr>
            </w:pPr>
          </w:p>
        </w:tc>
        <w:tc>
          <w:tcPr>
            <w:tcW w:w="900" w:type="dxa"/>
            <w:tcBorders>
              <w:top w:val="single" w:color="000000" w:sz="4" w:space="0"/>
              <w:left w:val="single" w:color="000000" w:sz="4" w:space="0"/>
              <w:bottom w:val="single" w:color="000000" w:sz="4" w:space="0"/>
              <w:right w:val="single" w:color="000000" w:sz="4" w:space="0"/>
            </w:tcBorders>
            <w:vAlign w:val="center"/>
          </w:tcPr>
          <w:p w14:paraId="030DEB43">
            <w:pPr>
              <w:widowControl/>
              <w:jc w:val="center"/>
              <w:textAlignment w:val="center"/>
              <w:rPr>
                <w:rFonts w:hint="eastAsia" w:ascii="宋体" w:hAnsi="宋体" w:cs="宋体"/>
                <w:color w:val="000000"/>
                <w:kern w:val="0"/>
                <w:sz w:val="20"/>
                <w:szCs w:val="20"/>
                <w:lang w:bidi="ar"/>
              </w:rPr>
            </w:pPr>
          </w:p>
        </w:tc>
        <w:tc>
          <w:tcPr>
            <w:tcW w:w="832" w:type="dxa"/>
            <w:tcBorders>
              <w:top w:val="single" w:color="000000" w:sz="4" w:space="0"/>
              <w:left w:val="single" w:color="000000" w:sz="4" w:space="0"/>
              <w:bottom w:val="single" w:color="000000" w:sz="4" w:space="0"/>
              <w:right w:val="single" w:color="000000" w:sz="4" w:space="0"/>
            </w:tcBorders>
            <w:vAlign w:val="center"/>
          </w:tcPr>
          <w:p w14:paraId="02E73EFE">
            <w:pPr>
              <w:widowControl/>
              <w:jc w:val="center"/>
              <w:textAlignment w:val="center"/>
              <w:rPr>
                <w:rFonts w:hint="eastAsia" w:ascii="宋体" w:hAnsi="宋体" w:cs="宋体"/>
                <w:color w:val="000000"/>
                <w:kern w:val="0"/>
                <w:sz w:val="20"/>
                <w:szCs w:val="20"/>
                <w:lang w:bidi="ar"/>
              </w:rPr>
            </w:pPr>
          </w:p>
        </w:tc>
        <w:tc>
          <w:tcPr>
            <w:tcW w:w="1143" w:type="dxa"/>
            <w:tcBorders>
              <w:top w:val="single" w:color="000000" w:sz="4" w:space="0"/>
              <w:left w:val="single" w:color="000000" w:sz="4" w:space="0"/>
              <w:bottom w:val="single" w:color="000000" w:sz="4" w:space="0"/>
              <w:right w:val="single" w:color="000000" w:sz="4" w:space="0"/>
            </w:tcBorders>
            <w:vAlign w:val="center"/>
          </w:tcPr>
          <w:p w14:paraId="2AD7D211">
            <w:pPr>
              <w:widowControl/>
              <w:jc w:val="center"/>
              <w:textAlignment w:val="center"/>
              <w:rPr>
                <w:rFonts w:hint="eastAsia" w:ascii="宋体" w:hAnsi="宋体" w:cs="宋体"/>
                <w:color w:val="000000"/>
                <w:kern w:val="0"/>
                <w:sz w:val="20"/>
                <w:szCs w:val="20"/>
                <w:lang w:bidi="ar"/>
              </w:rPr>
            </w:pPr>
          </w:p>
        </w:tc>
        <w:tc>
          <w:tcPr>
            <w:tcW w:w="763" w:type="dxa"/>
            <w:tcBorders>
              <w:top w:val="single" w:color="000000" w:sz="4" w:space="0"/>
              <w:left w:val="single" w:color="000000" w:sz="4" w:space="0"/>
              <w:bottom w:val="single" w:color="000000" w:sz="4" w:space="0"/>
              <w:right w:val="single" w:color="000000" w:sz="4" w:space="0"/>
            </w:tcBorders>
            <w:vAlign w:val="center"/>
          </w:tcPr>
          <w:p w14:paraId="459940A6">
            <w:pPr>
              <w:widowControl/>
              <w:jc w:val="center"/>
              <w:textAlignment w:val="center"/>
              <w:rPr>
                <w:rFonts w:hint="eastAsia" w:ascii="宋体" w:hAnsi="宋体" w:cs="宋体"/>
                <w:color w:val="000000"/>
                <w:kern w:val="0"/>
                <w:sz w:val="20"/>
                <w:szCs w:val="20"/>
                <w:lang w:bidi="ar"/>
              </w:rPr>
            </w:pPr>
          </w:p>
        </w:tc>
        <w:tc>
          <w:tcPr>
            <w:tcW w:w="741" w:type="dxa"/>
            <w:tcBorders>
              <w:top w:val="single" w:color="000000" w:sz="4" w:space="0"/>
              <w:left w:val="single" w:color="000000" w:sz="4" w:space="0"/>
              <w:bottom w:val="single" w:color="000000" w:sz="4" w:space="0"/>
              <w:right w:val="single" w:color="000000" w:sz="4" w:space="0"/>
            </w:tcBorders>
            <w:vAlign w:val="center"/>
          </w:tcPr>
          <w:p w14:paraId="5D296D59">
            <w:pPr>
              <w:widowControl/>
              <w:jc w:val="center"/>
              <w:textAlignment w:val="center"/>
              <w:rPr>
                <w:rFonts w:hint="eastAsia" w:ascii="宋体" w:hAnsi="宋体" w:cs="宋体"/>
                <w:color w:val="000000"/>
                <w:kern w:val="0"/>
                <w:sz w:val="20"/>
                <w:szCs w:val="20"/>
                <w:lang w:bidi="ar"/>
              </w:rPr>
            </w:pPr>
          </w:p>
        </w:tc>
      </w:tr>
      <w:tr w14:paraId="65AE462D">
        <w:tblPrEx>
          <w:tblCellMar>
            <w:top w:w="0" w:type="dxa"/>
            <w:left w:w="108" w:type="dxa"/>
            <w:bottom w:w="0" w:type="dxa"/>
            <w:right w:w="108" w:type="dxa"/>
          </w:tblCellMar>
        </w:tblPrEx>
        <w:trPr>
          <w:trHeight w:val="20" w:hRule="atLeast"/>
          <w:jc w:val="center"/>
        </w:trPr>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72D492">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254</w:t>
            </w:r>
          </w:p>
        </w:tc>
        <w:tc>
          <w:tcPr>
            <w:tcW w:w="2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531957">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记号笔（黑色）</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45BF4C">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12支/盒</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AEB6E7">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盒</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B4454E">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5</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8EA71C">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21.97</w:t>
            </w:r>
          </w:p>
        </w:tc>
        <w:tc>
          <w:tcPr>
            <w:tcW w:w="992" w:type="dxa"/>
            <w:tcBorders>
              <w:top w:val="single" w:color="000000" w:sz="4" w:space="0"/>
              <w:left w:val="single" w:color="000000" w:sz="4" w:space="0"/>
              <w:bottom w:val="single" w:color="000000" w:sz="4" w:space="0"/>
              <w:right w:val="single" w:color="000000" w:sz="4" w:space="0"/>
            </w:tcBorders>
            <w:vAlign w:val="center"/>
          </w:tcPr>
          <w:p w14:paraId="746D113A">
            <w:pPr>
              <w:widowControl/>
              <w:jc w:val="center"/>
              <w:textAlignment w:val="center"/>
              <w:rPr>
                <w:rFonts w:hint="eastAsia" w:ascii="宋体" w:hAnsi="宋体" w:cs="宋体"/>
                <w:color w:val="000000"/>
                <w:kern w:val="0"/>
                <w:sz w:val="20"/>
                <w:szCs w:val="20"/>
                <w:lang w:bidi="ar"/>
              </w:rPr>
            </w:pPr>
          </w:p>
        </w:tc>
        <w:tc>
          <w:tcPr>
            <w:tcW w:w="1239" w:type="dxa"/>
            <w:tcBorders>
              <w:top w:val="single" w:color="000000" w:sz="4" w:space="0"/>
              <w:left w:val="single" w:color="000000" w:sz="4" w:space="0"/>
              <w:bottom w:val="single" w:color="000000" w:sz="4" w:space="0"/>
              <w:right w:val="single" w:color="000000" w:sz="4" w:space="0"/>
            </w:tcBorders>
            <w:vAlign w:val="center"/>
          </w:tcPr>
          <w:p w14:paraId="29D325EA">
            <w:pPr>
              <w:widowControl/>
              <w:jc w:val="center"/>
              <w:textAlignment w:val="center"/>
              <w:rPr>
                <w:rFonts w:hint="eastAsia" w:ascii="宋体" w:hAnsi="宋体" w:cs="宋体"/>
                <w:color w:val="000000"/>
                <w:kern w:val="0"/>
                <w:sz w:val="20"/>
                <w:szCs w:val="20"/>
                <w:lang w:bidi="ar"/>
              </w:rPr>
            </w:pPr>
          </w:p>
        </w:tc>
        <w:tc>
          <w:tcPr>
            <w:tcW w:w="900" w:type="dxa"/>
            <w:tcBorders>
              <w:top w:val="single" w:color="000000" w:sz="4" w:space="0"/>
              <w:left w:val="single" w:color="000000" w:sz="4" w:space="0"/>
              <w:bottom w:val="single" w:color="000000" w:sz="4" w:space="0"/>
              <w:right w:val="single" w:color="000000" w:sz="4" w:space="0"/>
            </w:tcBorders>
            <w:vAlign w:val="center"/>
          </w:tcPr>
          <w:p w14:paraId="3A6A10F8">
            <w:pPr>
              <w:widowControl/>
              <w:jc w:val="center"/>
              <w:textAlignment w:val="center"/>
              <w:rPr>
                <w:rFonts w:hint="eastAsia" w:ascii="宋体" w:hAnsi="宋体" w:cs="宋体"/>
                <w:color w:val="000000"/>
                <w:kern w:val="0"/>
                <w:sz w:val="20"/>
                <w:szCs w:val="20"/>
                <w:lang w:bidi="ar"/>
              </w:rPr>
            </w:pPr>
          </w:p>
        </w:tc>
        <w:tc>
          <w:tcPr>
            <w:tcW w:w="832" w:type="dxa"/>
            <w:tcBorders>
              <w:top w:val="single" w:color="000000" w:sz="4" w:space="0"/>
              <w:left w:val="single" w:color="000000" w:sz="4" w:space="0"/>
              <w:bottom w:val="single" w:color="000000" w:sz="4" w:space="0"/>
              <w:right w:val="single" w:color="000000" w:sz="4" w:space="0"/>
            </w:tcBorders>
            <w:vAlign w:val="center"/>
          </w:tcPr>
          <w:p w14:paraId="7F803E3D">
            <w:pPr>
              <w:widowControl/>
              <w:jc w:val="center"/>
              <w:textAlignment w:val="center"/>
              <w:rPr>
                <w:rFonts w:hint="eastAsia" w:ascii="宋体" w:hAnsi="宋体" w:cs="宋体"/>
                <w:color w:val="000000"/>
                <w:kern w:val="0"/>
                <w:sz w:val="20"/>
                <w:szCs w:val="20"/>
                <w:lang w:bidi="ar"/>
              </w:rPr>
            </w:pPr>
          </w:p>
        </w:tc>
        <w:tc>
          <w:tcPr>
            <w:tcW w:w="1143" w:type="dxa"/>
            <w:tcBorders>
              <w:top w:val="single" w:color="000000" w:sz="4" w:space="0"/>
              <w:left w:val="single" w:color="000000" w:sz="4" w:space="0"/>
              <w:bottom w:val="single" w:color="000000" w:sz="4" w:space="0"/>
              <w:right w:val="single" w:color="000000" w:sz="4" w:space="0"/>
            </w:tcBorders>
            <w:vAlign w:val="center"/>
          </w:tcPr>
          <w:p w14:paraId="3EAFA589">
            <w:pPr>
              <w:widowControl/>
              <w:jc w:val="center"/>
              <w:textAlignment w:val="center"/>
              <w:rPr>
                <w:rFonts w:hint="eastAsia" w:ascii="宋体" w:hAnsi="宋体" w:cs="宋体"/>
                <w:color w:val="000000"/>
                <w:kern w:val="0"/>
                <w:sz w:val="20"/>
                <w:szCs w:val="20"/>
                <w:lang w:bidi="ar"/>
              </w:rPr>
            </w:pPr>
          </w:p>
        </w:tc>
        <w:tc>
          <w:tcPr>
            <w:tcW w:w="763" w:type="dxa"/>
            <w:tcBorders>
              <w:top w:val="single" w:color="000000" w:sz="4" w:space="0"/>
              <w:left w:val="single" w:color="000000" w:sz="4" w:space="0"/>
              <w:bottom w:val="single" w:color="000000" w:sz="4" w:space="0"/>
              <w:right w:val="single" w:color="000000" w:sz="4" w:space="0"/>
            </w:tcBorders>
            <w:vAlign w:val="center"/>
          </w:tcPr>
          <w:p w14:paraId="5A287026">
            <w:pPr>
              <w:widowControl/>
              <w:jc w:val="center"/>
              <w:textAlignment w:val="center"/>
              <w:rPr>
                <w:rFonts w:hint="eastAsia" w:ascii="宋体" w:hAnsi="宋体" w:cs="宋体"/>
                <w:color w:val="000000"/>
                <w:kern w:val="0"/>
                <w:sz w:val="20"/>
                <w:szCs w:val="20"/>
                <w:lang w:bidi="ar"/>
              </w:rPr>
            </w:pPr>
          </w:p>
        </w:tc>
        <w:tc>
          <w:tcPr>
            <w:tcW w:w="741" w:type="dxa"/>
            <w:tcBorders>
              <w:top w:val="single" w:color="000000" w:sz="4" w:space="0"/>
              <w:left w:val="single" w:color="000000" w:sz="4" w:space="0"/>
              <w:bottom w:val="single" w:color="000000" w:sz="4" w:space="0"/>
              <w:right w:val="single" w:color="000000" w:sz="4" w:space="0"/>
            </w:tcBorders>
            <w:vAlign w:val="center"/>
          </w:tcPr>
          <w:p w14:paraId="5C90DEA9">
            <w:pPr>
              <w:widowControl/>
              <w:jc w:val="center"/>
              <w:textAlignment w:val="center"/>
              <w:rPr>
                <w:rFonts w:hint="eastAsia" w:ascii="宋体" w:hAnsi="宋体" w:cs="宋体"/>
                <w:color w:val="000000"/>
                <w:kern w:val="0"/>
                <w:sz w:val="20"/>
                <w:szCs w:val="20"/>
                <w:lang w:bidi="ar"/>
              </w:rPr>
            </w:pPr>
          </w:p>
        </w:tc>
      </w:tr>
      <w:tr w14:paraId="257BA8D1">
        <w:tblPrEx>
          <w:tblCellMar>
            <w:top w:w="0" w:type="dxa"/>
            <w:left w:w="108" w:type="dxa"/>
            <w:bottom w:w="0" w:type="dxa"/>
            <w:right w:w="108" w:type="dxa"/>
          </w:tblCellMar>
        </w:tblPrEx>
        <w:trPr>
          <w:trHeight w:val="20" w:hRule="atLeast"/>
          <w:jc w:val="center"/>
        </w:trPr>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5C51D5">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255</w:t>
            </w:r>
          </w:p>
        </w:tc>
        <w:tc>
          <w:tcPr>
            <w:tcW w:w="2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91CD22">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记号笔（红色）</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5E9881">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12支/盒</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8CFC8D">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盒</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1B134A">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5</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3F5E7B">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21.97</w:t>
            </w:r>
          </w:p>
        </w:tc>
        <w:tc>
          <w:tcPr>
            <w:tcW w:w="992" w:type="dxa"/>
            <w:tcBorders>
              <w:top w:val="single" w:color="000000" w:sz="4" w:space="0"/>
              <w:left w:val="single" w:color="000000" w:sz="4" w:space="0"/>
              <w:bottom w:val="single" w:color="000000" w:sz="4" w:space="0"/>
              <w:right w:val="single" w:color="000000" w:sz="4" w:space="0"/>
            </w:tcBorders>
            <w:vAlign w:val="center"/>
          </w:tcPr>
          <w:p w14:paraId="32912019">
            <w:pPr>
              <w:widowControl/>
              <w:jc w:val="center"/>
              <w:textAlignment w:val="center"/>
              <w:rPr>
                <w:rFonts w:hint="eastAsia" w:ascii="宋体" w:hAnsi="宋体" w:cs="宋体"/>
                <w:color w:val="000000"/>
                <w:kern w:val="0"/>
                <w:sz w:val="20"/>
                <w:szCs w:val="20"/>
                <w:lang w:bidi="ar"/>
              </w:rPr>
            </w:pPr>
          </w:p>
        </w:tc>
        <w:tc>
          <w:tcPr>
            <w:tcW w:w="1239" w:type="dxa"/>
            <w:tcBorders>
              <w:top w:val="single" w:color="000000" w:sz="4" w:space="0"/>
              <w:left w:val="single" w:color="000000" w:sz="4" w:space="0"/>
              <w:bottom w:val="single" w:color="000000" w:sz="4" w:space="0"/>
              <w:right w:val="single" w:color="000000" w:sz="4" w:space="0"/>
            </w:tcBorders>
            <w:vAlign w:val="center"/>
          </w:tcPr>
          <w:p w14:paraId="1D42ED13">
            <w:pPr>
              <w:widowControl/>
              <w:jc w:val="center"/>
              <w:textAlignment w:val="center"/>
              <w:rPr>
                <w:rFonts w:hint="eastAsia" w:ascii="宋体" w:hAnsi="宋体" w:cs="宋体"/>
                <w:color w:val="000000"/>
                <w:kern w:val="0"/>
                <w:sz w:val="20"/>
                <w:szCs w:val="20"/>
                <w:lang w:bidi="ar"/>
              </w:rPr>
            </w:pPr>
          </w:p>
        </w:tc>
        <w:tc>
          <w:tcPr>
            <w:tcW w:w="900" w:type="dxa"/>
            <w:tcBorders>
              <w:top w:val="single" w:color="000000" w:sz="4" w:space="0"/>
              <w:left w:val="single" w:color="000000" w:sz="4" w:space="0"/>
              <w:bottom w:val="single" w:color="000000" w:sz="4" w:space="0"/>
              <w:right w:val="single" w:color="000000" w:sz="4" w:space="0"/>
            </w:tcBorders>
            <w:vAlign w:val="center"/>
          </w:tcPr>
          <w:p w14:paraId="42B3B054">
            <w:pPr>
              <w:widowControl/>
              <w:jc w:val="center"/>
              <w:textAlignment w:val="center"/>
              <w:rPr>
                <w:rFonts w:hint="eastAsia" w:ascii="宋体" w:hAnsi="宋体" w:cs="宋体"/>
                <w:color w:val="000000"/>
                <w:kern w:val="0"/>
                <w:sz w:val="20"/>
                <w:szCs w:val="20"/>
                <w:lang w:bidi="ar"/>
              </w:rPr>
            </w:pPr>
          </w:p>
        </w:tc>
        <w:tc>
          <w:tcPr>
            <w:tcW w:w="832" w:type="dxa"/>
            <w:tcBorders>
              <w:top w:val="single" w:color="000000" w:sz="4" w:space="0"/>
              <w:left w:val="single" w:color="000000" w:sz="4" w:space="0"/>
              <w:bottom w:val="single" w:color="000000" w:sz="4" w:space="0"/>
              <w:right w:val="single" w:color="000000" w:sz="4" w:space="0"/>
            </w:tcBorders>
            <w:vAlign w:val="center"/>
          </w:tcPr>
          <w:p w14:paraId="0607E328">
            <w:pPr>
              <w:widowControl/>
              <w:jc w:val="center"/>
              <w:textAlignment w:val="center"/>
              <w:rPr>
                <w:rFonts w:hint="eastAsia" w:ascii="宋体" w:hAnsi="宋体" w:cs="宋体"/>
                <w:color w:val="000000"/>
                <w:kern w:val="0"/>
                <w:sz w:val="20"/>
                <w:szCs w:val="20"/>
                <w:lang w:bidi="ar"/>
              </w:rPr>
            </w:pPr>
          </w:p>
        </w:tc>
        <w:tc>
          <w:tcPr>
            <w:tcW w:w="1143" w:type="dxa"/>
            <w:tcBorders>
              <w:top w:val="single" w:color="000000" w:sz="4" w:space="0"/>
              <w:left w:val="single" w:color="000000" w:sz="4" w:space="0"/>
              <w:bottom w:val="single" w:color="000000" w:sz="4" w:space="0"/>
              <w:right w:val="single" w:color="000000" w:sz="4" w:space="0"/>
            </w:tcBorders>
            <w:vAlign w:val="center"/>
          </w:tcPr>
          <w:p w14:paraId="0692128A">
            <w:pPr>
              <w:widowControl/>
              <w:jc w:val="center"/>
              <w:textAlignment w:val="center"/>
              <w:rPr>
                <w:rFonts w:hint="eastAsia" w:ascii="宋体" w:hAnsi="宋体" w:cs="宋体"/>
                <w:color w:val="000000"/>
                <w:kern w:val="0"/>
                <w:sz w:val="20"/>
                <w:szCs w:val="20"/>
                <w:lang w:bidi="ar"/>
              </w:rPr>
            </w:pPr>
          </w:p>
        </w:tc>
        <w:tc>
          <w:tcPr>
            <w:tcW w:w="763" w:type="dxa"/>
            <w:tcBorders>
              <w:top w:val="single" w:color="000000" w:sz="4" w:space="0"/>
              <w:left w:val="single" w:color="000000" w:sz="4" w:space="0"/>
              <w:bottom w:val="single" w:color="000000" w:sz="4" w:space="0"/>
              <w:right w:val="single" w:color="000000" w:sz="4" w:space="0"/>
            </w:tcBorders>
            <w:vAlign w:val="center"/>
          </w:tcPr>
          <w:p w14:paraId="032FE425">
            <w:pPr>
              <w:widowControl/>
              <w:jc w:val="center"/>
              <w:textAlignment w:val="center"/>
              <w:rPr>
                <w:rFonts w:hint="eastAsia" w:ascii="宋体" w:hAnsi="宋体" w:cs="宋体"/>
                <w:color w:val="000000"/>
                <w:kern w:val="0"/>
                <w:sz w:val="20"/>
                <w:szCs w:val="20"/>
                <w:lang w:bidi="ar"/>
              </w:rPr>
            </w:pPr>
          </w:p>
        </w:tc>
        <w:tc>
          <w:tcPr>
            <w:tcW w:w="741" w:type="dxa"/>
            <w:tcBorders>
              <w:top w:val="single" w:color="000000" w:sz="4" w:space="0"/>
              <w:left w:val="single" w:color="000000" w:sz="4" w:space="0"/>
              <w:bottom w:val="single" w:color="000000" w:sz="4" w:space="0"/>
              <w:right w:val="single" w:color="000000" w:sz="4" w:space="0"/>
            </w:tcBorders>
            <w:vAlign w:val="center"/>
          </w:tcPr>
          <w:p w14:paraId="43A2BC24">
            <w:pPr>
              <w:widowControl/>
              <w:jc w:val="center"/>
              <w:textAlignment w:val="center"/>
              <w:rPr>
                <w:rFonts w:hint="eastAsia" w:ascii="宋体" w:hAnsi="宋体" w:cs="宋体"/>
                <w:color w:val="000000"/>
                <w:kern w:val="0"/>
                <w:sz w:val="20"/>
                <w:szCs w:val="20"/>
                <w:lang w:bidi="ar"/>
              </w:rPr>
            </w:pPr>
          </w:p>
        </w:tc>
      </w:tr>
      <w:tr w14:paraId="72E8B3CF">
        <w:tblPrEx>
          <w:tblCellMar>
            <w:top w:w="0" w:type="dxa"/>
            <w:left w:w="108" w:type="dxa"/>
            <w:bottom w:w="0" w:type="dxa"/>
            <w:right w:w="108" w:type="dxa"/>
          </w:tblCellMar>
        </w:tblPrEx>
        <w:trPr>
          <w:trHeight w:val="20" w:hRule="atLeast"/>
          <w:jc w:val="center"/>
        </w:trPr>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E9E989">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256</w:t>
            </w:r>
          </w:p>
        </w:tc>
        <w:tc>
          <w:tcPr>
            <w:tcW w:w="2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BA0AAF">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记号笔（蓝色）</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BBE144">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12支/盒</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01C69B">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盒</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93449D">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5</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950860">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21.97</w:t>
            </w:r>
          </w:p>
        </w:tc>
        <w:tc>
          <w:tcPr>
            <w:tcW w:w="992" w:type="dxa"/>
            <w:tcBorders>
              <w:top w:val="single" w:color="000000" w:sz="4" w:space="0"/>
              <w:left w:val="single" w:color="000000" w:sz="4" w:space="0"/>
              <w:bottom w:val="single" w:color="000000" w:sz="4" w:space="0"/>
              <w:right w:val="single" w:color="000000" w:sz="4" w:space="0"/>
            </w:tcBorders>
            <w:vAlign w:val="center"/>
          </w:tcPr>
          <w:p w14:paraId="1210690D">
            <w:pPr>
              <w:widowControl/>
              <w:jc w:val="center"/>
              <w:textAlignment w:val="center"/>
              <w:rPr>
                <w:rFonts w:hint="eastAsia" w:ascii="宋体" w:hAnsi="宋体" w:cs="宋体"/>
                <w:color w:val="000000"/>
                <w:kern w:val="0"/>
                <w:sz w:val="20"/>
                <w:szCs w:val="20"/>
                <w:lang w:bidi="ar"/>
              </w:rPr>
            </w:pPr>
          </w:p>
        </w:tc>
        <w:tc>
          <w:tcPr>
            <w:tcW w:w="1239" w:type="dxa"/>
            <w:tcBorders>
              <w:top w:val="single" w:color="000000" w:sz="4" w:space="0"/>
              <w:left w:val="single" w:color="000000" w:sz="4" w:space="0"/>
              <w:bottom w:val="single" w:color="000000" w:sz="4" w:space="0"/>
              <w:right w:val="single" w:color="000000" w:sz="4" w:space="0"/>
            </w:tcBorders>
            <w:vAlign w:val="center"/>
          </w:tcPr>
          <w:p w14:paraId="35795DD5">
            <w:pPr>
              <w:widowControl/>
              <w:jc w:val="center"/>
              <w:textAlignment w:val="center"/>
              <w:rPr>
                <w:rFonts w:hint="eastAsia" w:ascii="宋体" w:hAnsi="宋体" w:cs="宋体"/>
                <w:color w:val="000000"/>
                <w:kern w:val="0"/>
                <w:sz w:val="20"/>
                <w:szCs w:val="20"/>
                <w:lang w:bidi="ar"/>
              </w:rPr>
            </w:pPr>
          </w:p>
        </w:tc>
        <w:tc>
          <w:tcPr>
            <w:tcW w:w="900" w:type="dxa"/>
            <w:tcBorders>
              <w:top w:val="single" w:color="000000" w:sz="4" w:space="0"/>
              <w:left w:val="single" w:color="000000" w:sz="4" w:space="0"/>
              <w:bottom w:val="single" w:color="000000" w:sz="4" w:space="0"/>
              <w:right w:val="single" w:color="000000" w:sz="4" w:space="0"/>
            </w:tcBorders>
            <w:vAlign w:val="center"/>
          </w:tcPr>
          <w:p w14:paraId="3D98F593">
            <w:pPr>
              <w:widowControl/>
              <w:jc w:val="center"/>
              <w:textAlignment w:val="center"/>
              <w:rPr>
                <w:rFonts w:hint="eastAsia" w:ascii="宋体" w:hAnsi="宋体" w:cs="宋体"/>
                <w:color w:val="000000"/>
                <w:kern w:val="0"/>
                <w:sz w:val="20"/>
                <w:szCs w:val="20"/>
                <w:lang w:bidi="ar"/>
              </w:rPr>
            </w:pPr>
          </w:p>
        </w:tc>
        <w:tc>
          <w:tcPr>
            <w:tcW w:w="832" w:type="dxa"/>
            <w:tcBorders>
              <w:top w:val="single" w:color="000000" w:sz="4" w:space="0"/>
              <w:left w:val="single" w:color="000000" w:sz="4" w:space="0"/>
              <w:bottom w:val="single" w:color="000000" w:sz="4" w:space="0"/>
              <w:right w:val="single" w:color="000000" w:sz="4" w:space="0"/>
            </w:tcBorders>
            <w:vAlign w:val="center"/>
          </w:tcPr>
          <w:p w14:paraId="5439DACC">
            <w:pPr>
              <w:widowControl/>
              <w:jc w:val="center"/>
              <w:textAlignment w:val="center"/>
              <w:rPr>
                <w:rFonts w:hint="eastAsia" w:ascii="宋体" w:hAnsi="宋体" w:cs="宋体"/>
                <w:color w:val="000000"/>
                <w:kern w:val="0"/>
                <w:sz w:val="20"/>
                <w:szCs w:val="20"/>
                <w:lang w:bidi="ar"/>
              </w:rPr>
            </w:pPr>
          </w:p>
        </w:tc>
        <w:tc>
          <w:tcPr>
            <w:tcW w:w="1143" w:type="dxa"/>
            <w:tcBorders>
              <w:top w:val="single" w:color="000000" w:sz="4" w:space="0"/>
              <w:left w:val="single" w:color="000000" w:sz="4" w:space="0"/>
              <w:bottom w:val="single" w:color="000000" w:sz="4" w:space="0"/>
              <w:right w:val="single" w:color="000000" w:sz="4" w:space="0"/>
            </w:tcBorders>
            <w:vAlign w:val="center"/>
          </w:tcPr>
          <w:p w14:paraId="023E308C">
            <w:pPr>
              <w:widowControl/>
              <w:jc w:val="center"/>
              <w:textAlignment w:val="center"/>
              <w:rPr>
                <w:rFonts w:hint="eastAsia" w:ascii="宋体" w:hAnsi="宋体" w:cs="宋体"/>
                <w:color w:val="000000"/>
                <w:kern w:val="0"/>
                <w:sz w:val="20"/>
                <w:szCs w:val="20"/>
                <w:lang w:bidi="ar"/>
              </w:rPr>
            </w:pPr>
          </w:p>
        </w:tc>
        <w:tc>
          <w:tcPr>
            <w:tcW w:w="763" w:type="dxa"/>
            <w:tcBorders>
              <w:top w:val="single" w:color="000000" w:sz="4" w:space="0"/>
              <w:left w:val="single" w:color="000000" w:sz="4" w:space="0"/>
              <w:bottom w:val="single" w:color="000000" w:sz="4" w:space="0"/>
              <w:right w:val="single" w:color="000000" w:sz="4" w:space="0"/>
            </w:tcBorders>
            <w:vAlign w:val="center"/>
          </w:tcPr>
          <w:p w14:paraId="701358FD">
            <w:pPr>
              <w:widowControl/>
              <w:jc w:val="center"/>
              <w:textAlignment w:val="center"/>
              <w:rPr>
                <w:rFonts w:hint="eastAsia" w:ascii="宋体" w:hAnsi="宋体" w:cs="宋体"/>
                <w:color w:val="000000"/>
                <w:kern w:val="0"/>
                <w:sz w:val="20"/>
                <w:szCs w:val="20"/>
                <w:lang w:bidi="ar"/>
              </w:rPr>
            </w:pPr>
          </w:p>
        </w:tc>
        <w:tc>
          <w:tcPr>
            <w:tcW w:w="741" w:type="dxa"/>
            <w:tcBorders>
              <w:top w:val="single" w:color="000000" w:sz="4" w:space="0"/>
              <w:left w:val="single" w:color="000000" w:sz="4" w:space="0"/>
              <w:bottom w:val="single" w:color="000000" w:sz="4" w:space="0"/>
              <w:right w:val="single" w:color="000000" w:sz="4" w:space="0"/>
            </w:tcBorders>
            <w:vAlign w:val="center"/>
          </w:tcPr>
          <w:p w14:paraId="0B8C1328">
            <w:pPr>
              <w:widowControl/>
              <w:jc w:val="center"/>
              <w:textAlignment w:val="center"/>
              <w:rPr>
                <w:rFonts w:hint="eastAsia" w:ascii="宋体" w:hAnsi="宋体" w:cs="宋体"/>
                <w:color w:val="000000"/>
                <w:kern w:val="0"/>
                <w:sz w:val="20"/>
                <w:szCs w:val="20"/>
                <w:lang w:bidi="ar"/>
              </w:rPr>
            </w:pPr>
          </w:p>
        </w:tc>
      </w:tr>
      <w:tr w14:paraId="01E5CCA1">
        <w:tblPrEx>
          <w:tblCellMar>
            <w:top w:w="0" w:type="dxa"/>
            <w:left w:w="108" w:type="dxa"/>
            <w:bottom w:w="0" w:type="dxa"/>
            <w:right w:w="108" w:type="dxa"/>
          </w:tblCellMar>
        </w:tblPrEx>
        <w:trPr>
          <w:trHeight w:val="20" w:hRule="atLeast"/>
          <w:jc w:val="center"/>
        </w:trPr>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CF2156">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257</w:t>
            </w:r>
          </w:p>
        </w:tc>
        <w:tc>
          <w:tcPr>
            <w:tcW w:w="2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E94644">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ATP试剂</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1A658D">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独立包装</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2538DB">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只</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E778F3">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100</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D9B0EE">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50</w:t>
            </w:r>
          </w:p>
        </w:tc>
        <w:tc>
          <w:tcPr>
            <w:tcW w:w="992" w:type="dxa"/>
            <w:tcBorders>
              <w:top w:val="single" w:color="000000" w:sz="4" w:space="0"/>
              <w:left w:val="single" w:color="000000" w:sz="4" w:space="0"/>
              <w:bottom w:val="single" w:color="000000" w:sz="4" w:space="0"/>
              <w:right w:val="single" w:color="000000" w:sz="4" w:space="0"/>
            </w:tcBorders>
            <w:vAlign w:val="center"/>
          </w:tcPr>
          <w:p w14:paraId="6AC478E6">
            <w:pPr>
              <w:widowControl/>
              <w:jc w:val="center"/>
              <w:textAlignment w:val="center"/>
              <w:rPr>
                <w:rFonts w:hint="eastAsia" w:ascii="宋体" w:hAnsi="宋体" w:cs="宋体"/>
                <w:color w:val="000000"/>
                <w:kern w:val="0"/>
                <w:sz w:val="20"/>
                <w:szCs w:val="20"/>
                <w:lang w:bidi="ar"/>
              </w:rPr>
            </w:pPr>
          </w:p>
        </w:tc>
        <w:tc>
          <w:tcPr>
            <w:tcW w:w="1239" w:type="dxa"/>
            <w:tcBorders>
              <w:top w:val="single" w:color="000000" w:sz="4" w:space="0"/>
              <w:left w:val="single" w:color="000000" w:sz="4" w:space="0"/>
              <w:bottom w:val="single" w:color="000000" w:sz="4" w:space="0"/>
              <w:right w:val="single" w:color="000000" w:sz="4" w:space="0"/>
            </w:tcBorders>
            <w:vAlign w:val="center"/>
          </w:tcPr>
          <w:p w14:paraId="4458D548">
            <w:pPr>
              <w:widowControl/>
              <w:jc w:val="center"/>
              <w:textAlignment w:val="center"/>
              <w:rPr>
                <w:rFonts w:hint="eastAsia" w:ascii="宋体" w:hAnsi="宋体" w:cs="宋体"/>
                <w:color w:val="000000"/>
                <w:kern w:val="0"/>
                <w:sz w:val="20"/>
                <w:szCs w:val="20"/>
                <w:lang w:bidi="ar"/>
              </w:rPr>
            </w:pPr>
          </w:p>
        </w:tc>
        <w:tc>
          <w:tcPr>
            <w:tcW w:w="900" w:type="dxa"/>
            <w:tcBorders>
              <w:top w:val="single" w:color="000000" w:sz="4" w:space="0"/>
              <w:left w:val="single" w:color="000000" w:sz="4" w:space="0"/>
              <w:bottom w:val="single" w:color="000000" w:sz="4" w:space="0"/>
              <w:right w:val="single" w:color="000000" w:sz="4" w:space="0"/>
            </w:tcBorders>
            <w:vAlign w:val="center"/>
          </w:tcPr>
          <w:p w14:paraId="4FF5BC2C">
            <w:pPr>
              <w:widowControl/>
              <w:jc w:val="center"/>
              <w:textAlignment w:val="center"/>
              <w:rPr>
                <w:rFonts w:hint="eastAsia" w:ascii="宋体" w:hAnsi="宋体" w:cs="宋体"/>
                <w:color w:val="000000"/>
                <w:kern w:val="0"/>
                <w:sz w:val="20"/>
                <w:szCs w:val="20"/>
                <w:lang w:bidi="ar"/>
              </w:rPr>
            </w:pPr>
          </w:p>
        </w:tc>
        <w:tc>
          <w:tcPr>
            <w:tcW w:w="832" w:type="dxa"/>
            <w:tcBorders>
              <w:top w:val="single" w:color="000000" w:sz="4" w:space="0"/>
              <w:left w:val="single" w:color="000000" w:sz="4" w:space="0"/>
              <w:bottom w:val="single" w:color="000000" w:sz="4" w:space="0"/>
              <w:right w:val="single" w:color="000000" w:sz="4" w:space="0"/>
            </w:tcBorders>
            <w:vAlign w:val="center"/>
          </w:tcPr>
          <w:p w14:paraId="6E718735">
            <w:pPr>
              <w:widowControl/>
              <w:jc w:val="center"/>
              <w:textAlignment w:val="center"/>
              <w:rPr>
                <w:rFonts w:hint="eastAsia" w:ascii="宋体" w:hAnsi="宋体" w:cs="宋体"/>
                <w:color w:val="000000"/>
                <w:kern w:val="0"/>
                <w:sz w:val="20"/>
                <w:szCs w:val="20"/>
                <w:lang w:bidi="ar"/>
              </w:rPr>
            </w:pPr>
          </w:p>
        </w:tc>
        <w:tc>
          <w:tcPr>
            <w:tcW w:w="1143" w:type="dxa"/>
            <w:tcBorders>
              <w:top w:val="single" w:color="000000" w:sz="4" w:space="0"/>
              <w:left w:val="single" w:color="000000" w:sz="4" w:space="0"/>
              <w:bottom w:val="single" w:color="000000" w:sz="4" w:space="0"/>
              <w:right w:val="single" w:color="000000" w:sz="4" w:space="0"/>
            </w:tcBorders>
            <w:vAlign w:val="center"/>
          </w:tcPr>
          <w:p w14:paraId="30919DED">
            <w:pPr>
              <w:widowControl/>
              <w:jc w:val="center"/>
              <w:textAlignment w:val="center"/>
              <w:rPr>
                <w:rFonts w:hint="eastAsia" w:ascii="宋体" w:hAnsi="宋体" w:cs="宋体"/>
                <w:color w:val="000000"/>
                <w:kern w:val="0"/>
                <w:sz w:val="20"/>
                <w:szCs w:val="20"/>
                <w:lang w:bidi="ar"/>
              </w:rPr>
            </w:pPr>
          </w:p>
        </w:tc>
        <w:tc>
          <w:tcPr>
            <w:tcW w:w="763" w:type="dxa"/>
            <w:tcBorders>
              <w:top w:val="single" w:color="000000" w:sz="4" w:space="0"/>
              <w:left w:val="single" w:color="000000" w:sz="4" w:space="0"/>
              <w:bottom w:val="single" w:color="000000" w:sz="4" w:space="0"/>
              <w:right w:val="single" w:color="000000" w:sz="4" w:space="0"/>
            </w:tcBorders>
            <w:vAlign w:val="center"/>
          </w:tcPr>
          <w:p w14:paraId="21317BE8">
            <w:pPr>
              <w:widowControl/>
              <w:jc w:val="center"/>
              <w:textAlignment w:val="center"/>
              <w:rPr>
                <w:rFonts w:hint="eastAsia" w:ascii="宋体" w:hAnsi="宋体" w:cs="宋体"/>
                <w:color w:val="000000"/>
                <w:kern w:val="0"/>
                <w:sz w:val="20"/>
                <w:szCs w:val="20"/>
                <w:lang w:bidi="ar"/>
              </w:rPr>
            </w:pPr>
          </w:p>
        </w:tc>
        <w:tc>
          <w:tcPr>
            <w:tcW w:w="741" w:type="dxa"/>
            <w:tcBorders>
              <w:top w:val="single" w:color="000000" w:sz="4" w:space="0"/>
              <w:left w:val="single" w:color="000000" w:sz="4" w:space="0"/>
              <w:bottom w:val="single" w:color="000000" w:sz="4" w:space="0"/>
              <w:right w:val="single" w:color="000000" w:sz="4" w:space="0"/>
            </w:tcBorders>
            <w:vAlign w:val="center"/>
          </w:tcPr>
          <w:p w14:paraId="3E09B534">
            <w:pPr>
              <w:widowControl/>
              <w:jc w:val="center"/>
              <w:textAlignment w:val="center"/>
              <w:rPr>
                <w:rFonts w:hint="eastAsia" w:ascii="宋体" w:hAnsi="宋体" w:cs="宋体"/>
                <w:color w:val="000000"/>
                <w:kern w:val="0"/>
                <w:sz w:val="20"/>
                <w:szCs w:val="20"/>
                <w:lang w:bidi="ar"/>
              </w:rPr>
            </w:pPr>
          </w:p>
        </w:tc>
      </w:tr>
      <w:tr w14:paraId="4E0ACE54">
        <w:tblPrEx>
          <w:tblCellMar>
            <w:top w:w="0" w:type="dxa"/>
            <w:left w:w="108" w:type="dxa"/>
            <w:bottom w:w="0" w:type="dxa"/>
            <w:right w:w="108" w:type="dxa"/>
          </w:tblCellMar>
        </w:tblPrEx>
        <w:trPr>
          <w:trHeight w:val="20" w:hRule="atLeast"/>
          <w:jc w:val="center"/>
        </w:trPr>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627EDE">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258</w:t>
            </w:r>
          </w:p>
        </w:tc>
        <w:tc>
          <w:tcPr>
            <w:tcW w:w="2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9948D4">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蚊虫总RNA提取试剂</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AB77A8">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50T</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87B0F0">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盒</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0943F5">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3</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9FA9C5">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3952</w:t>
            </w:r>
          </w:p>
        </w:tc>
        <w:tc>
          <w:tcPr>
            <w:tcW w:w="992" w:type="dxa"/>
            <w:tcBorders>
              <w:top w:val="single" w:color="000000" w:sz="4" w:space="0"/>
              <w:left w:val="single" w:color="000000" w:sz="4" w:space="0"/>
              <w:bottom w:val="single" w:color="000000" w:sz="4" w:space="0"/>
              <w:right w:val="single" w:color="000000" w:sz="4" w:space="0"/>
            </w:tcBorders>
            <w:vAlign w:val="center"/>
          </w:tcPr>
          <w:p w14:paraId="10E26C36">
            <w:pPr>
              <w:widowControl/>
              <w:jc w:val="center"/>
              <w:textAlignment w:val="center"/>
              <w:rPr>
                <w:rFonts w:hint="eastAsia" w:ascii="宋体" w:hAnsi="宋体" w:cs="宋体"/>
                <w:color w:val="000000"/>
                <w:kern w:val="0"/>
                <w:sz w:val="20"/>
                <w:szCs w:val="20"/>
                <w:lang w:bidi="ar"/>
              </w:rPr>
            </w:pPr>
          </w:p>
        </w:tc>
        <w:tc>
          <w:tcPr>
            <w:tcW w:w="1239" w:type="dxa"/>
            <w:tcBorders>
              <w:top w:val="single" w:color="000000" w:sz="4" w:space="0"/>
              <w:left w:val="single" w:color="000000" w:sz="4" w:space="0"/>
              <w:bottom w:val="single" w:color="000000" w:sz="4" w:space="0"/>
              <w:right w:val="single" w:color="000000" w:sz="4" w:space="0"/>
            </w:tcBorders>
            <w:vAlign w:val="center"/>
          </w:tcPr>
          <w:p w14:paraId="58B76CBE">
            <w:pPr>
              <w:widowControl/>
              <w:jc w:val="center"/>
              <w:textAlignment w:val="center"/>
              <w:rPr>
                <w:rFonts w:hint="eastAsia" w:ascii="宋体" w:hAnsi="宋体" w:cs="宋体"/>
                <w:color w:val="000000"/>
                <w:kern w:val="0"/>
                <w:sz w:val="20"/>
                <w:szCs w:val="20"/>
                <w:lang w:bidi="ar"/>
              </w:rPr>
            </w:pPr>
          </w:p>
        </w:tc>
        <w:tc>
          <w:tcPr>
            <w:tcW w:w="900" w:type="dxa"/>
            <w:tcBorders>
              <w:top w:val="single" w:color="000000" w:sz="4" w:space="0"/>
              <w:left w:val="single" w:color="000000" w:sz="4" w:space="0"/>
              <w:bottom w:val="single" w:color="000000" w:sz="4" w:space="0"/>
              <w:right w:val="single" w:color="000000" w:sz="4" w:space="0"/>
            </w:tcBorders>
            <w:vAlign w:val="center"/>
          </w:tcPr>
          <w:p w14:paraId="5DE81998">
            <w:pPr>
              <w:widowControl/>
              <w:jc w:val="center"/>
              <w:textAlignment w:val="center"/>
              <w:rPr>
                <w:rFonts w:hint="eastAsia" w:ascii="宋体" w:hAnsi="宋体" w:cs="宋体"/>
                <w:color w:val="000000"/>
                <w:kern w:val="0"/>
                <w:sz w:val="20"/>
                <w:szCs w:val="20"/>
                <w:lang w:bidi="ar"/>
              </w:rPr>
            </w:pPr>
          </w:p>
        </w:tc>
        <w:tc>
          <w:tcPr>
            <w:tcW w:w="832" w:type="dxa"/>
            <w:tcBorders>
              <w:top w:val="single" w:color="000000" w:sz="4" w:space="0"/>
              <w:left w:val="single" w:color="000000" w:sz="4" w:space="0"/>
              <w:bottom w:val="single" w:color="000000" w:sz="4" w:space="0"/>
              <w:right w:val="single" w:color="000000" w:sz="4" w:space="0"/>
            </w:tcBorders>
            <w:vAlign w:val="center"/>
          </w:tcPr>
          <w:p w14:paraId="4E502326">
            <w:pPr>
              <w:widowControl/>
              <w:jc w:val="center"/>
              <w:textAlignment w:val="center"/>
              <w:rPr>
                <w:rFonts w:hint="eastAsia" w:ascii="宋体" w:hAnsi="宋体" w:cs="宋体"/>
                <w:color w:val="000000"/>
                <w:kern w:val="0"/>
                <w:sz w:val="20"/>
                <w:szCs w:val="20"/>
                <w:lang w:bidi="ar"/>
              </w:rPr>
            </w:pPr>
          </w:p>
        </w:tc>
        <w:tc>
          <w:tcPr>
            <w:tcW w:w="1143" w:type="dxa"/>
            <w:tcBorders>
              <w:top w:val="single" w:color="000000" w:sz="4" w:space="0"/>
              <w:left w:val="single" w:color="000000" w:sz="4" w:space="0"/>
              <w:bottom w:val="single" w:color="000000" w:sz="4" w:space="0"/>
              <w:right w:val="single" w:color="000000" w:sz="4" w:space="0"/>
            </w:tcBorders>
            <w:vAlign w:val="center"/>
          </w:tcPr>
          <w:p w14:paraId="0EFFAC35">
            <w:pPr>
              <w:widowControl/>
              <w:jc w:val="center"/>
              <w:textAlignment w:val="center"/>
              <w:rPr>
                <w:rFonts w:hint="eastAsia" w:ascii="宋体" w:hAnsi="宋体" w:cs="宋体"/>
                <w:color w:val="000000"/>
                <w:kern w:val="0"/>
                <w:sz w:val="20"/>
                <w:szCs w:val="20"/>
                <w:lang w:bidi="ar"/>
              </w:rPr>
            </w:pPr>
          </w:p>
        </w:tc>
        <w:tc>
          <w:tcPr>
            <w:tcW w:w="763" w:type="dxa"/>
            <w:tcBorders>
              <w:top w:val="single" w:color="000000" w:sz="4" w:space="0"/>
              <w:left w:val="single" w:color="000000" w:sz="4" w:space="0"/>
              <w:bottom w:val="single" w:color="000000" w:sz="4" w:space="0"/>
              <w:right w:val="single" w:color="000000" w:sz="4" w:space="0"/>
            </w:tcBorders>
            <w:vAlign w:val="center"/>
          </w:tcPr>
          <w:p w14:paraId="641FAD9F">
            <w:pPr>
              <w:widowControl/>
              <w:jc w:val="center"/>
              <w:textAlignment w:val="center"/>
              <w:rPr>
                <w:rFonts w:hint="eastAsia" w:ascii="宋体" w:hAnsi="宋体" w:cs="宋体"/>
                <w:color w:val="000000"/>
                <w:kern w:val="0"/>
                <w:sz w:val="20"/>
                <w:szCs w:val="20"/>
                <w:lang w:bidi="ar"/>
              </w:rPr>
            </w:pPr>
          </w:p>
        </w:tc>
        <w:tc>
          <w:tcPr>
            <w:tcW w:w="741" w:type="dxa"/>
            <w:tcBorders>
              <w:top w:val="single" w:color="000000" w:sz="4" w:space="0"/>
              <w:left w:val="single" w:color="000000" w:sz="4" w:space="0"/>
              <w:bottom w:val="single" w:color="000000" w:sz="4" w:space="0"/>
              <w:right w:val="single" w:color="000000" w:sz="4" w:space="0"/>
            </w:tcBorders>
            <w:vAlign w:val="center"/>
          </w:tcPr>
          <w:p w14:paraId="5DE62339">
            <w:pPr>
              <w:widowControl/>
              <w:jc w:val="center"/>
              <w:textAlignment w:val="center"/>
              <w:rPr>
                <w:rFonts w:hint="eastAsia" w:ascii="宋体" w:hAnsi="宋体" w:cs="宋体"/>
                <w:color w:val="000000"/>
                <w:kern w:val="0"/>
                <w:sz w:val="20"/>
                <w:szCs w:val="20"/>
                <w:lang w:bidi="ar"/>
              </w:rPr>
            </w:pPr>
          </w:p>
        </w:tc>
      </w:tr>
      <w:tr w14:paraId="4CB60F95">
        <w:tblPrEx>
          <w:tblCellMar>
            <w:top w:w="0" w:type="dxa"/>
            <w:left w:w="108" w:type="dxa"/>
            <w:bottom w:w="0" w:type="dxa"/>
            <w:right w:w="108" w:type="dxa"/>
          </w:tblCellMar>
        </w:tblPrEx>
        <w:trPr>
          <w:trHeight w:val="20" w:hRule="atLeast"/>
          <w:jc w:val="center"/>
        </w:trPr>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FD6F5A">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259</w:t>
            </w:r>
          </w:p>
        </w:tc>
        <w:tc>
          <w:tcPr>
            <w:tcW w:w="2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17D0A5">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RNA7种虫媒类病原体多重核酸检测液体全分装试剂盒</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442C09">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24T</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4EC461">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盒</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0A2EE0">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4</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2707F7">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3500</w:t>
            </w:r>
          </w:p>
        </w:tc>
        <w:tc>
          <w:tcPr>
            <w:tcW w:w="992" w:type="dxa"/>
            <w:tcBorders>
              <w:top w:val="single" w:color="000000" w:sz="4" w:space="0"/>
              <w:left w:val="single" w:color="000000" w:sz="4" w:space="0"/>
              <w:bottom w:val="single" w:color="000000" w:sz="4" w:space="0"/>
              <w:right w:val="single" w:color="000000" w:sz="4" w:space="0"/>
            </w:tcBorders>
            <w:vAlign w:val="center"/>
          </w:tcPr>
          <w:p w14:paraId="69D4341B">
            <w:pPr>
              <w:widowControl/>
              <w:jc w:val="center"/>
              <w:textAlignment w:val="center"/>
              <w:rPr>
                <w:rFonts w:hint="eastAsia" w:ascii="宋体" w:hAnsi="宋体" w:cs="宋体"/>
                <w:color w:val="000000"/>
                <w:kern w:val="0"/>
                <w:sz w:val="20"/>
                <w:szCs w:val="20"/>
                <w:lang w:bidi="ar"/>
              </w:rPr>
            </w:pPr>
          </w:p>
        </w:tc>
        <w:tc>
          <w:tcPr>
            <w:tcW w:w="1239" w:type="dxa"/>
            <w:tcBorders>
              <w:top w:val="single" w:color="000000" w:sz="4" w:space="0"/>
              <w:left w:val="single" w:color="000000" w:sz="4" w:space="0"/>
              <w:bottom w:val="single" w:color="000000" w:sz="4" w:space="0"/>
              <w:right w:val="single" w:color="000000" w:sz="4" w:space="0"/>
            </w:tcBorders>
            <w:vAlign w:val="center"/>
          </w:tcPr>
          <w:p w14:paraId="34FD4D8A">
            <w:pPr>
              <w:widowControl/>
              <w:jc w:val="center"/>
              <w:textAlignment w:val="center"/>
              <w:rPr>
                <w:rFonts w:hint="eastAsia" w:ascii="宋体" w:hAnsi="宋体" w:cs="宋体"/>
                <w:color w:val="000000"/>
                <w:kern w:val="0"/>
                <w:sz w:val="20"/>
                <w:szCs w:val="20"/>
                <w:lang w:bidi="ar"/>
              </w:rPr>
            </w:pPr>
          </w:p>
        </w:tc>
        <w:tc>
          <w:tcPr>
            <w:tcW w:w="900" w:type="dxa"/>
            <w:tcBorders>
              <w:top w:val="single" w:color="000000" w:sz="4" w:space="0"/>
              <w:left w:val="single" w:color="000000" w:sz="4" w:space="0"/>
              <w:bottom w:val="single" w:color="000000" w:sz="4" w:space="0"/>
              <w:right w:val="single" w:color="000000" w:sz="4" w:space="0"/>
            </w:tcBorders>
            <w:vAlign w:val="center"/>
          </w:tcPr>
          <w:p w14:paraId="23504BA8">
            <w:pPr>
              <w:widowControl/>
              <w:jc w:val="center"/>
              <w:textAlignment w:val="center"/>
              <w:rPr>
                <w:rFonts w:hint="eastAsia" w:ascii="宋体" w:hAnsi="宋体" w:cs="宋体"/>
                <w:color w:val="000000"/>
                <w:kern w:val="0"/>
                <w:sz w:val="20"/>
                <w:szCs w:val="20"/>
                <w:lang w:bidi="ar"/>
              </w:rPr>
            </w:pPr>
          </w:p>
        </w:tc>
        <w:tc>
          <w:tcPr>
            <w:tcW w:w="832" w:type="dxa"/>
            <w:tcBorders>
              <w:top w:val="single" w:color="000000" w:sz="4" w:space="0"/>
              <w:left w:val="single" w:color="000000" w:sz="4" w:space="0"/>
              <w:bottom w:val="single" w:color="000000" w:sz="4" w:space="0"/>
              <w:right w:val="single" w:color="000000" w:sz="4" w:space="0"/>
            </w:tcBorders>
            <w:vAlign w:val="center"/>
          </w:tcPr>
          <w:p w14:paraId="1F4ED9FA">
            <w:pPr>
              <w:widowControl/>
              <w:jc w:val="center"/>
              <w:textAlignment w:val="center"/>
              <w:rPr>
                <w:rFonts w:hint="eastAsia" w:ascii="宋体" w:hAnsi="宋体" w:cs="宋体"/>
                <w:color w:val="000000"/>
                <w:kern w:val="0"/>
                <w:sz w:val="20"/>
                <w:szCs w:val="20"/>
                <w:lang w:bidi="ar"/>
              </w:rPr>
            </w:pPr>
          </w:p>
        </w:tc>
        <w:tc>
          <w:tcPr>
            <w:tcW w:w="1143" w:type="dxa"/>
            <w:tcBorders>
              <w:top w:val="single" w:color="000000" w:sz="4" w:space="0"/>
              <w:left w:val="single" w:color="000000" w:sz="4" w:space="0"/>
              <w:bottom w:val="single" w:color="000000" w:sz="4" w:space="0"/>
              <w:right w:val="single" w:color="000000" w:sz="4" w:space="0"/>
            </w:tcBorders>
            <w:vAlign w:val="center"/>
          </w:tcPr>
          <w:p w14:paraId="28A4CB58">
            <w:pPr>
              <w:widowControl/>
              <w:jc w:val="center"/>
              <w:textAlignment w:val="center"/>
              <w:rPr>
                <w:rFonts w:hint="eastAsia" w:ascii="宋体" w:hAnsi="宋体" w:cs="宋体"/>
                <w:color w:val="000000"/>
                <w:kern w:val="0"/>
                <w:sz w:val="20"/>
                <w:szCs w:val="20"/>
                <w:lang w:bidi="ar"/>
              </w:rPr>
            </w:pPr>
          </w:p>
        </w:tc>
        <w:tc>
          <w:tcPr>
            <w:tcW w:w="763" w:type="dxa"/>
            <w:tcBorders>
              <w:top w:val="single" w:color="000000" w:sz="4" w:space="0"/>
              <w:left w:val="single" w:color="000000" w:sz="4" w:space="0"/>
              <w:bottom w:val="single" w:color="000000" w:sz="4" w:space="0"/>
              <w:right w:val="single" w:color="000000" w:sz="4" w:space="0"/>
            </w:tcBorders>
            <w:vAlign w:val="center"/>
          </w:tcPr>
          <w:p w14:paraId="1A6EB1C8">
            <w:pPr>
              <w:widowControl/>
              <w:jc w:val="center"/>
              <w:textAlignment w:val="center"/>
              <w:rPr>
                <w:rFonts w:hint="eastAsia" w:ascii="宋体" w:hAnsi="宋体" w:cs="宋体"/>
                <w:color w:val="000000"/>
                <w:kern w:val="0"/>
                <w:sz w:val="20"/>
                <w:szCs w:val="20"/>
                <w:lang w:bidi="ar"/>
              </w:rPr>
            </w:pPr>
          </w:p>
        </w:tc>
        <w:tc>
          <w:tcPr>
            <w:tcW w:w="741" w:type="dxa"/>
            <w:tcBorders>
              <w:top w:val="single" w:color="000000" w:sz="4" w:space="0"/>
              <w:left w:val="single" w:color="000000" w:sz="4" w:space="0"/>
              <w:bottom w:val="single" w:color="000000" w:sz="4" w:space="0"/>
              <w:right w:val="single" w:color="000000" w:sz="4" w:space="0"/>
            </w:tcBorders>
            <w:vAlign w:val="center"/>
          </w:tcPr>
          <w:p w14:paraId="609E3F66">
            <w:pPr>
              <w:widowControl/>
              <w:jc w:val="center"/>
              <w:textAlignment w:val="center"/>
              <w:rPr>
                <w:rFonts w:hint="eastAsia" w:ascii="宋体" w:hAnsi="宋体" w:cs="宋体"/>
                <w:color w:val="000000"/>
                <w:kern w:val="0"/>
                <w:sz w:val="20"/>
                <w:szCs w:val="20"/>
                <w:lang w:bidi="ar"/>
              </w:rPr>
            </w:pPr>
          </w:p>
        </w:tc>
      </w:tr>
      <w:tr w14:paraId="4CE8BE38">
        <w:tblPrEx>
          <w:tblCellMar>
            <w:top w:w="0" w:type="dxa"/>
            <w:left w:w="108" w:type="dxa"/>
            <w:bottom w:w="0" w:type="dxa"/>
            <w:right w:w="108" w:type="dxa"/>
          </w:tblCellMar>
        </w:tblPrEx>
        <w:trPr>
          <w:trHeight w:val="20" w:hRule="atLeast"/>
          <w:jc w:val="center"/>
        </w:trPr>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655736">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260</w:t>
            </w:r>
          </w:p>
        </w:tc>
        <w:tc>
          <w:tcPr>
            <w:tcW w:w="2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8545A9">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200μL带滤芯盒装吸头</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F21462">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96支/盒 50盒/箱</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463E56">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箱</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E68BAC">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54F352">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2100</w:t>
            </w:r>
          </w:p>
        </w:tc>
        <w:tc>
          <w:tcPr>
            <w:tcW w:w="992" w:type="dxa"/>
            <w:tcBorders>
              <w:top w:val="single" w:color="000000" w:sz="4" w:space="0"/>
              <w:left w:val="single" w:color="000000" w:sz="4" w:space="0"/>
              <w:bottom w:val="single" w:color="000000" w:sz="4" w:space="0"/>
              <w:right w:val="single" w:color="000000" w:sz="4" w:space="0"/>
            </w:tcBorders>
            <w:vAlign w:val="center"/>
          </w:tcPr>
          <w:p w14:paraId="4AEB0FDA">
            <w:pPr>
              <w:widowControl/>
              <w:jc w:val="center"/>
              <w:textAlignment w:val="center"/>
              <w:rPr>
                <w:rFonts w:hint="eastAsia" w:ascii="宋体" w:hAnsi="宋体" w:cs="宋体"/>
                <w:color w:val="000000"/>
                <w:kern w:val="0"/>
                <w:sz w:val="20"/>
                <w:szCs w:val="20"/>
                <w:lang w:bidi="ar"/>
              </w:rPr>
            </w:pPr>
          </w:p>
        </w:tc>
        <w:tc>
          <w:tcPr>
            <w:tcW w:w="1239" w:type="dxa"/>
            <w:tcBorders>
              <w:top w:val="single" w:color="000000" w:sz="4" w:space="0"/>
              <w:left w:val="single" w:color="000000" w:sz="4" w:space="0"/>
              <w:bottom w:val="single" w:color="000000" w:sz="4" w:space="0"/>
              <w:right w:val="single" w:color="000000" w:sz="4" w:space="0"/>
            </w:tcBorders>
            <w:vAlign w:val="center"/>
          </w:tcPr>
          <w:p w14:paraId="0C9EB6A3">
            <w:pPr>
              <w:widowControl/>
              <w:jc w:val="center"/>
              <w:textAlignment w:val="center"/>
              <w:rPr>
                <w:rFonts w:hint="eastAsia" w:ascii="宋体" w:hAnsi="宋体" w:cs="宋体"/>
                <w:color w:val="000000"/>
                <w:kern w:val="0"/>
                <w:sz w:val="20"/>
                <w:szCs w:val="20"/>
                <w:lang w:bidi="ar"/>
              </w:rPr>
            </w:pPr>
          </w:p>
        </w:tc>
        <w:tc>
          <w:tcPr>
            <w:tcW w:w="900" w:type="dxa"/>
            <w:tcBorders>
              <w:top w:val="single" w:color="000000" w:sz="4" w:space="0"/>
              <w:left w:val="single" w:color="000000" w:sz="4" w:space="0"/>
              <w:bottom w:val="single" w:color="000000" w:sz="4" w:space="0"/>
              <w:right w:val="single" w:color="000000" w:sz="4" w:space="0"/>
            </w:tcBorders>
            <w:vAlign w:val="center"/>
          </w:tcPr>
          <w:p w14:paraId="2967F4D7">
            <w:pPr>
              <w:widowControl/>
              <w:jc w:val="center"/>
              <w:textAlignment w:val="center"/>
              <w:rPr>
                <w:rFonts w:hint="eastAsia" w:ascii="宋体" w:hAnsi="宋体" w:cs="宋体"/>
                <w:color w:val="000000"/>
                <w:kern w:val="0"/>
                <w:sz w:val="20"/>
                <w:szCs w:val="20"/>
                <w:lang w:bidi="ar"/>
              </w:rPr>
            </w:pPr>
          </w:p>
        </w:tc>
        <w:tc>
          <w:tcPr>
            <w:tcW w:w="832" w:type="dxa"/>
            <w:tcBorders>
              <w:top w:val="single" w:color="000000" w:sz="4" w:space="0"/>
              <w:left w:val="single" w:color="000000" w:sz="4" w:space="0"/>
              <w:bottom w:val="single" w:color="000000" w:sz="4" w:space="0"/>
              <w:right w:val="single" w:color="000000" w:sz="4" w:space="0"/>
            </w:tcBorders>
            <w:vAlign w:val="center"/>
          </w:tcPr>
          <w:p w14:paraId="0800834F">
            <w:pPr>
              <w:widowControl/>
              <w:jc w:val="center"/>
              <w:textAlignment w:val="center"/>
              <w:rPr>
                <w:rFonts w:hint="eastAsia" w:ascii="宋体" w:hAnsi="宋体" w:cs="宋体"/>
                <w:color w:val="000000"/>
                <w:kern w:val="0"/>
                <w:sz w:val="20"/>
                <w:szCs w:val="20"/>
                <w:lang w:bidi="ar"/>
              </w:rPr>
            </w:pPr>
          </w:p>
        </w:tc>
        <w:tc>
          <w:tcPr>
            <w:tcW w:w="1143" w:type="dxa"/>
            <w:tcBorders>
              <w:top w:val="single" w:color="000000" w:sz="4" w:space="0"/>
              <w:left w:val="single" w:color="000000" w:sz="4" w:space="0"/>
              <w:bottom w:val="single" w:color="000000" w:sz="4" w:space="0"/>
              <w:right w:val="single" w:color="000000" w:sz="4" w:space="0"/>
            </w:tcBorders>
            <w:vAlign w:val="center"/>
          </w:tcPr>
          <w:p w14:paraId="773656A5">
            <w:pPr>
              <w:widowControl/>
              <w:jc w:val="center"/>
              <w:textAlignment w:val="center"/>
              <w:rPr>
                <w:rFonts w:hint="eastAsia" w:ascii="宋体" w:hAnsi="宋体" w:cs="宋体"/>
                <w:color w:val="000000"/>
                <w:kern w:val="0"/>
                <w:sz w:val="20"/>
                <w:szCs w:val="20"/>
                <w:lang w:bidi="ar"/>
              </w:rPr>
            </w:pPr>
          </w:p>
        </w:tc>
        <w:tc>
          <w:tcPr>
            <w:tcW w:w="763" w:type="dxa"/>
            <w:tcBorders>
              <w:top w:val="single" w:color="000000" w:sz="4" w:space="0"/>
              <w:left w:val="single" w:color="000000" w:sz="4" w:space="0"/>
              <w:bottom w:val="single" w:color="000000" w:sz="4" w:space="0"/>
              <w:right w:val="single" w:color="000000" w:sz="4" w:space="0"/>
            </w:tcBorders>
            <w:vAlign w:val="center"/>
          </w:tcPr>
          <w:p w14:paraId="603BDA3E">
            <w:pPr>
              <w:widowControl/>
              <w:jc w:val="center"/>
              <w:textAlignment w:val="center"/>
              <w:rPr>
                <w:rFonts w:hint="eastAsia" w:ascii="宋体" w:hAnsi="宋体" w:cs="宋体"/>
                <w:color w:val="000000"/>
                <w:kern w:val="0"/>
                <w:sz w:val="20"/>
                <w:szCs w:val="20"/>
                <w:lang w:bidi="ar"/>
              </w:rPr>
            </w:pPr>
          </w:p>
        </w:tc>
        <w:tc>
          <w:tcPr>
            <w:tcW w:w="741" w:type="dxa"/>
            <w:tcBorders>
              <w:top w:val="single" w:color="000000" w:sz="4" w:space="0"/>
              <w:left w:val="single" w:color="000000" w:sz="4" w:space="0"/>
              <w:bottom w:val="single" w:color="000000" w:sz="4" w:space="0"/>
              <w:right w:val="single" w:color="000000" w:sz="4" w:space="0"/>
            </w:tcBorders>
            <w:vAlign w:val="center"/>
          </w:tcPr>
          <w:p w14:paraId="02C2EC2C">
            <w:pPr>
              <w:widowControl/>
              <w:jc w:val="center"/>
              <w:textAlignment w:val="center"/>
              <w:rPr>
                <w:rFonts w:hint="eastAsia" w:ascii="宋体" w:hAnsi="宋体" w:cs="宋体"/>
                <w:color w:val="000000"/>
                <w:kern w:val="0"/>
                <w:sz w:val="20"/>
                <w:szCs w:val="20"/>
                <w:lang w:bidi="ar"/>
              </w:rPr>
            </w:pPr>
          </w:p>
        </w:tc>
      </w:tr>
      <w:tr w14:paraId="425F2D82">
        <w:tblPrEx>
          <w:tblCellMar>
            <w:top w:w="0" w:type="dxa"/>
            <w:left w:w="108" w:type="dxa"/>
            <w:bottom w:w="0" w:type="dxa"/>
            <w:right w:w="108" w:type="dxa"/>
          </w:tblCellMar>
        </w:tblPrEx>
        <w:trPr>
          <w:trHeight w:val="20" w:hRule="atLeast"/>
          <w:jc w:val="center"/>
        </w:trPr>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ED58C4">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261</w:t>
            </w:r>
          </w:p>
        </w:tc>
        <w:tc>
          <w:tcPr>
            <w:tcW w:w="2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0F4164">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20μL带滤芯盒装吸头</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A7E92C">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96支/盒 50盒/箱</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5B4B31">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箱</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7D681B">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2ACD57">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2000</w:t>
            </w:r>
          </w:p>
        </w:tc>
        <w:tc>
          <w:tcPr>
            <w:tcW w:w="992" w:type="dxa"/>
            <w:tcBorders>
              <w:top w:val="single" w:color="000000" w:sz="4" w:space="0"/>
              <w:left w:val="single" w:color="000000" w:sz="4" w:space="0"/>
              <w:bottom w:val="single" w:color="000000" w:sz="4" w:space="0"/>
              <w:right w:val="single" w:color="000000" w:sz="4" w:space="0"/>
            </w:tcBorders>
            <w:vAlign w:val="center"/>
          </w:tcPr>
          <w:p w14:paraId="58DA8FD2">
            <w:pPr>
              <w:widowControl/>
              <w:jc w:val="center"/>
              <w:textAlignment w:val="center"/>
              <w:rPr>
                <w:rFonts w:hint="eastAsia" w:ascii="宋体" w:hAnsi="宋体" w:cs="宋体"/>
                <w:color w:val="000000"/>
                <w:kern w:val="0"/>
                <w:sz w:val="20"/>
                <w:szCs w:val="20"/>
                <w:lang w:bidi="ar"/>
              </w:rPr>
            </w:pPr>
          </w:p>
        </w:tc>
        <w:tc>
          <w:tcPr>
            <w:tcW w:w="1239" w:type="dxa"/>
            <w:tcBorders>
              <w:top w:val="single" w:color="000000" w:sz="4" w:space="0"/>
              <w:left w:val="single" w:color="000000" w:sz="4" w:space="0"/>
              <w:bottom w:val="single" w:color="000000" w:sz="4" w:space="0"/>
              <w:right w:val="single" w:color="000000" w:sz="4" w:space="0"/>
            </w:tcBorders>
            <w:vAlign w:val="center"/>
          </w:tcPr>
          <w:p w14:paraId="48CBDFCD">
            <w:pPr>
              <w:widowControl/>
              <w:jc w:val="center"/>
              <w:textAlignment w:val="center"/>
              <w:rPr>
                <w:rFonts w:hint="eastAsia" w:ascii="宋体" w:hAnsi="宋体" w:cs="宋体"/>
                <w:color w:val="000000"/>
                <w:kern w:val="0"/>
                <w:sz w:val="20"/>
                <w:szCs w:val="20"/>
                <w:lang w:bidi="ar"/>
              </w:rPr>
            </w:pPr>
          </w:p>
        </w:tc>
        <w:tc>
          <w:tcPr>
            <w:tcW w:w="900" w:type="dxa"/>
            <w:tcBorders>
              <w:top w:val="single" w:color="000000" w:sz="4" w:space="0"/>
              <w:left w:val="single" w:color="000000" w:sz="4" w:space="0"/>
              <w:bottom w:val="single" w:color="000000" w:sz="4" w:space="0"/>
              <w:right w:val="single" w:color="000000" w:sz="4" w:space="0"/>
            </w:tcBorders>
            <w:vAlign w:val="center"/>
          </w:tcPr>
          <w:p w14:paraId="18D3EFFE">
            <w:pPr>
              <w:widowControl/>
              <w:jc w:val="center"/>
              <w:textAlignment w:val="center"/>
              <w:rPr>
                <w:rFonts w:hint="eastAsia" w:ascii="宋体" w:hAnsi="宋体" w:cs="宋体"/>
                <w:color w:val="000000"/>
                <w:kern w:val="0"/>
                <w:sz w:val="20"/>
                <w:szCs w:val="20"/>
                <w:lang w:bidi="ar"/>
              </w:rPr>
            </w:pPr>
          </w:p>
        </w:tc>
        <w:tc>
          <w:tcPr>
            <w:tcW w:w="832" w:type="dxa"/>
            <w:tcBorders>
              <w:top w:val="single" w:color="000000" w:sz="4" w:space="0"/>
              <w:left w:val="single" w:color="000000" w:sz="4" w:space="0"/>
              <w:bottom w:val="single" w:color="000000" w:sz="4" w:space="0"/>
              <w:right w:val="single" w:color="000000" w:sz="4" w:space="0"/>
            </w:tcBorders>
            <w:vAlign w:val="center"/>
          </w:tcPr>
          <w:p w14:paraId="445B493F">
            <w:pPr>
              <w:widowControl/>
              <w:jc w:val="center"/>
              <w:textAlignment w:val="center"/>
              <w:rPr>
                <w:rFonts w:hint="eastAsia" w:ascii="宋体" w:hAnsi="宋体" w:cs="宋体"/>
                <w:color w:val="000000"/>
                <w:kern w:val="0"/>
                <w:sz w:val="20"/>
                <w:szCs w:val="20"/>
                <w:lang w:bidi="ar"/>
              </w:rPr>
            </w:pPr>
          </w:p>
        </w:tc>
        <w:tc>
          <w:tcPr>
            <w:tcW w:w="1143" w:type="dxa"/>
            <w:tcBorders>
              <w:top w:val="single" w:color="000000" w:sz="4" w:space="0"/>
              <w:left w:val="single" w:color="000000" w:sz="4" w:space="0"/>
              <w:bottom w:val="single" w:color="000000" w:sz="4" w:space="0"/>
              <w:right w:val="single" w:color="000000" w:sz="4" w:space="0"/>
            </w:tcBorders>
            <w:vAlign w:val="center"/>
          </w:tcPr>
          <w:p w14:paraId="68EE4B5A">
            <w:pPr>
              <w:widowControl/>
              <w:jc w:val="center"/>
              <w:textAlignment w:val="center"/>
              <w:rPr>
                <w:rFonts w:hint="eastAsia" w:ascii="宋体" w:hAnsi="宋体" w:cs="宋体"/>
                <w:color w:val="000000"/>
                <w:kern w:val="0"/>
                <w:sz w:val="20"/>
                <w:szCs w:val="20"/>
                <w:lang w:bidi="ar"/>
              </w:rPr>
            </w:pPr>
          </w:p>
        </w:tc>
        <w:tc>
          <w:tcPr>
            <w:tcW w:w="763" w:type="dxa"/>
            <w:tcBorders>
              <w:top w:val="single" w:color="000000" w:sz="4" w:space="0"/>
              <w:left w:val="single" w:color="000000" w:sz="4" w:space="0"/>
              <w:bottom w:val="single" w:color="000000" w:sz="4" w:space="0"/>
              <w:right w:val="single" w:color="000000" w:sz="4" w:space="0"/>
            </w:tcBorders>
            <w:vAlign w:val="center"/>
          </w:tcPr>
          <w:p w14:paraId="6E74A611">
            <w:pPr>
              <w:widowControl/>
              <w:jc w:val="center"/>
              <w:textAlignment w:val="center"/>
              <w:rPr>
                <w:rFonts w:hint="eastAsia" w:ascii="宋体" w:hAnsi="宋体" w:cs="宋体"/>
                <w:color w:val="000000"/>
                <w:kern w:val="0"/>
                <w:sz w:val="20"/>
                <w:szCs w:val="20"/>
                <w:lang w:bidi="ar"/>
              </w:rPr>
            </w:pPr>
          </w:p>
        </w:tc>
        <w:tc>
          <w:tcPr>
            <w:tcW w:w="741" w:type="dxa"/>
            <w:tcBorders>
              <w:top w:val="single" w:color="000000" w:sz="4" w:space="0"/>
              <w:left w:val="single" w:color="000000" w:sz="4" w:space="0"/>
              <w:bottom w:val="single" w:color="000000" w:sz="4" w:space="0"/>
              <w:right w:val="single" w:color="000000" w:sz="4" w:space="0"/>
            </w:tcBorders>
            <w:vAlign w:val="center"/>
          </w:tcPr>
          <w:p w14:paraId="25F763AF">
            <w:pPr>
              <w:widowControl/>
              <w:jc w:val="center"/>
              <w:textAlignment w:val="center"/>
              <w:rPr>
                <w:rFonts w:hint="eastAsia" w:ascii="宋体" w:hAnsi="宋体" w:cs="宋体"/>
                <w:color w:val="000000"/>
                <w:kern w:val="0"/>
                <w:sz w:val="20"/>
                <w:szCs w:val="20"/>
                <w:lang w:bidi="ar"/>
              </w:rPr>
            </w:pPr>
          </w:p>
        </w:tc>
      </w:tr>
      <w:tr w14:paraId="4A506440">
        <w:tblPrEx>
          <w:tblCellMar>
            <w:top w:w="0" w:type="dxa"/>
            <w:left w:w="108" w:type="dxa"/>
            <w:bottom w:w="0" w:type="dxa"/>
            <w:right w:w="108" w:type="dxa"/>
          </w:tblCellMar>
        </w:tblPrEx>
        <w:trPr>
          <w:trHeight w:val="20" w:hRule="atLeast"/>
          <w:jc w:val="center"/>
        </w:trPr>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458002">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262</w:t>
            </w:r>
          </w:p>
        </w:tc>
        <w:tc>
          <w:tcPr>
            <w:tcW w:w="2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C1EA2C">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超高筒防水鞋套</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00188A">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75cm</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829F67">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双</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9468F2">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50</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05B740">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49</w:t>
            </w:r>
          </w:p>
        </w:tc>
        <w:tc>
          <w:tcPr>
            <w:tcW w:w="992" w:type="dxa"/>
            <w:tcBorders>
              <w:top w:val="single" w:color="000000" w:sz="4" w:space="0"/>
              <w:left w:val="single" w:color="000000" w:sz="4" w:space="0"/>
              <w:bottom w:val="single" w:color="000000" w:sz="4" w:space="0"/>
              <w:right w:val="single" w:color="000000" w:sz="4" w:space="0"/>
            </w:tcBorders>
            <w:vAlign w:val="center"/>
          </w:tcPr>
          <w:p w14:paraId="4195CC18">
            <w:pPr>
              <w:widowControl/>
              <w:jc w:val="center"/>
              <w:textAlignment w:val="center"/>
              <w:rPr>
                <w:rFonts w:hint="eastAsia" w:ascii="宋体" w:hAnsi="宋体" w:cs="宋体"/>
                <w:color w:val="000000"/>
                <w:kern w:val="0"/>
                <w:sz w:val="20"/>
                <w:szCs w:val="20"/>
                <w:lang w:bidi="ar"/>
              </w:rPr>
            </w:pPr>
          </w:p>
        </w:tc>
        <w:tc>
          <w:tcPr>
            <w:tcW w:w="1239" w:type="dxa"/>
            <w:tcBorders>
              <w:top w:val="single" w:color="000000" w:sz="4" w:space="0"/>
              <w:left w:val="single" w:color="000000" w:sz="4" w:space="0"/>
              <w:bottom w:val="single" w:color="000000" w:sz="4" w:space="0"/>
              <w:right w:val="single" w:color="000000" w:sz="4" w:space="0"/>
            </w:tcBorders>
            <w:vAlign w:val="center"/>
          </w:tcPr>
          <w:p w14:paraId="61DC7C87">
            <w:pPr>
              <w:widowControl/>
              <w:jc w:val="center"/>
              <w:textAlignment w:val="center"/>
              <w:rPr>
                <w:rFonts w:hint="eastAsia" w:ascii="宋体" w:hAnsi="宋体" w:cs="宋体"/>
                <w:color w:val="000000"/>
                <w:kern w:val="0"/>
                <w:sz w:val="20"/>
                <w:szCs w:val="20"/>
                <w:lang w:bidi="ar"/>
              </w:rPr>
            </w:pPr>
          </w:p>
        </w:tc>
        <w:tc>
          <w:tcPr>
            <w:tcW w:w="900" w:type="dxa"/>
            <w:tcBorders>
              <w:top w:val="single" w:color="000000" w:sz="4" w:space="0"/>
              <w:left w:val="single" w:color="000000" w:sz="4" w:space="0"/>
              <w:bottom w:val="single" w:color="000000" w:sz="4" w:space="0"/>
              <w:right w:val="single" w:color="000000" w:sz="4" w:space="0"/>
            </w:tcBorders>
            <w:vAlign w:val="center"/>
          </w:tcPr>
          <w:p w14:paraId="1D6592B0">
            <w:pPr>
              <w:widowControl/>
              <w:jc w:val="center"/>
              <w:textAlignment w:val="center"/>
              <w:rPr>
                <w:rFonts w:hint="eastAsia" w:ascii="宋体" w:hAnsi="宋体" w:cs="宋体"/>
                <w:color w:val="000000"/>
                <w:kern w:val="0"/>
                <w:sz w:val="20"/>
                <w:szCs w:val="20"/>
                <w:lang w:bidi="ar"/>
              </w:rPr>
            </w:pPr>
          </w:p>
        </w:tc>
        <w:tc>
          <w:tcPr>
            <w:tcW w:w="832" w:type="dxa"/>
            <w:tcBorders>
              <w:top w:val="single" w:color="000000" w:sz="4" w:space="0"/>
              <w:left w:val="single" w:color="000000" w:sz="4" w:space="0"/>
              <w:bottom w:val="single" w:color="000000" w:sz="4" w:space="0"/>
              <w:right w:val="single" w:color="000000" w:sz="4" w:space="0"/>
            </w:tcBorders>
            <w:vAlign w:val="center"/>
          </w:tcPr>
          <w:p w14:paraId="656E9841">
            <w:pPr>
              <w:widowControl/>
              <w:jc w:val="center"/>
              <w:textAlignment w:val="center"/>
              <w:rPr>
                <w:rFonts w:hint="eastAsia" w:ascii="宋体" w:hAnsi="宋体" w:cs="宋体"/>
                <w:color w:val="000000"/>
                <w:kern w:val="0"/>
                <w:sz w:val="20"/>
                <w:szCs w:val="20"/>
                <w:lang w:bidi="ar"/>
              </w:rPr>
            </w:pPr>
          </w:p>
        </w:tc>
        <w:tc>
          <w:tcPr>
            <w:tcW w:w="1143" w:type="dxa"/>
            <w:tcBorders>
              <w:top w:val="single" w:color="000000" w:sz="4" w:space="0"/>
              <w:left w:val="single" w:color="000000" w:sz="4" w:space="0"/>
              <w:bottom w:val="single" w:color="000000" w:sz="4" w:space="0"/>
              <w:right w:val="single" w:color="000000" w:sz="4" w:space="0"/>
            </w:tcBorders>
            <w:vAlign w:val="center"/>
          </w:tcPr>
          <w:p w14:paraId="30637A3C">
            <w:pPr>
              <w:widowControl/>
              <w:jc w:val="center"/>
              <w:textAlignment w:val="center"/>
              <w:rPr>
                <w:rFonts w:hint="eastAsia" w:ascii="宋体" w:hAnsi="宋体" w:cs="宋体"/>
                <w:color w:val="000000"/>
                <w:kern w:val="0"/>
                <w:sz w:val="20"/>
                <w:szCs w:val="20"/>
                <w:lang w:bidi="ar"/>
              </w:rPr>
            </w:pPr>
          </w:p>
        </w:tc>
        <w:tc>
          <w:tcPr>
            <w:tcW w:w="763" w:type="dxa"/>
            <w:tcBorders>
              <w:top w:val="single" w:color="000000" w:sz="4" w:space="0"/>
              <w:left w:val="single" w:color="000000" w:sz="4" w:space="0"/>
              <w:bottom w:val="single" w:color="000000" w:sz="4" w:space="0"/>
              <w:right w:val="single" w:color="000000" w:sz="4" w:space="0"/>
            </w:tcBorders>
            <w:vAlign w:val="center"/>
          </w:tcPr>
          <w:p w14:paraId="749E80DB">
            <w:pPr>
              <w:widowControl/>
              <w:jc w:val="center"/>
              <w:textAlignment w:val="center"/>
              <w:rPr>
                <w:rFonts w:hint="eastAsia" w:ascii="宋体" w:hAnsi="宋体" w:cs="宋体"/>
                <w:color w:val="000000"/>
                <w:kern w:val="0"/>
                <w:sz w:val="20"/>
                <w:szCs w:val="20"/>
                <w:lang w:bidi="ar"/>
              </w:rPr>
            </w:pPr>
          </w:p>
        </w:tc>
        <w:tc>
          <w:tcPr>
            <w:tcW w:w="741" w:type="dxa"/>
            <w:tcBorders>
              <w:top w:val="single" w:color="000000" w:sz="4" w:space="0"/>
              <w:left w:val="single" w:color="000000" w:sz="4" w:space="0"/>
              <w:bottom w:val="single" w:color="000000" w:sz="4" w:space="0"/>
              <w:right w:val="single" w:color="000000" w:sz="4" w:space="0"/>
            </w:tcBorders>
            <w:vAlign w:val="center"/>
          </w:tcPr>
          <w:p w14:paraId="4D047BB5">
            <w:pPr>
              <w:widowControl/>
              <w:jc w:val="center"/>
              <w:textAlignment w:val="center"/>
              <w:rPr>
                <w:rFonts w:hint="eastAsia" w:ascii="宋体" w:hAnsi="宋体" w:cs="宋体"/>
                <w:color w:val="000000"/>
                <w:kern w:val="0"/>
                <w:sz w:val="20"/>
                <w:szCs w:val="20"/>
                <w:lang w:bidi="ar"/>
              </w:rPr>
            </w:pPr>
          </w:p>
        </w:tc>
      </w:tr>
      <w:tr w14:paraId="568CFED7">
        <w:tblPrEx>
          <w:tblCellMar>
            <w:top w:w="0" w:type="dxa"/>
            <w:left w:w="108" w:type="dxa"/>
            <w:bottom w:w="0" w:type="dxa"/>
            <w:right w:w="108" w:type="dxa"/>
          </w:tblCellMar>
        </w:tblPrEx>
        <w:trPr>
          <w:trHeight w:val="20" w:hRule="atLeast"/>
          <w:jc w:val="center"/>
        </w:trPr>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15F524">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263</w:t>
            </w:r>
          </w:p>
        </w:tc>
        <w:tc>
          <w:tcPr>
            <w:tcW w:w="2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6493FC">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蜱虫夹铁盒装</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83BDE0">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独立包装</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F121FB">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个</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588CB4">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45</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D1AFBB">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21</w:t>
            </w:r>
          </w:p>
        </w:tc>
        <w:tc>
          <w:tcPr>
            <w:tcW w:w="992" w:type="dxa"/>
            <w:tcBorders>
              <w:top w:val="single" w:color="000000" w:sz="4" w:space="0"/>
              <w:left w:val="single" w:color="000000" w:sz="4" w:space="0"/>
              <w:bottom w:val="single" w:color="000000" w:sz="4" w:space="0"/>
              <w:right w:val="single" w:color="000000" w:sz="4" w:space="0"/>
            </w:tcBorders>
            <w:vAlign w:val="center"/>
          </w:tcPr>
          <w:p w14:paraId="5C07BA33">
            <w:pPr>
              <w:widowControl/>
              <w:jc w:val="center"/>
              <w:textAlignment w:val="center"/>
              <w:rPr>
                <w:rFonts w:hint="eastAsia" w:ascii="宋体" w:hAnsi="宋体" w:cs="宋体"/>
                <w:color w:val="000000"/>
                <w:kern w:val="0"/>
                <w:sz w:val="20"/>
                <w:szCs w:val="20"/>
                <w:lang w:bidi="ar"/>
              </w:rPr>
            </w:pPr>
          </w:p>
        </w:tc>
        <w:tc>
          <w:tcPr>
            <w:tcW w:w="1239" w:type="dxa"/>
            <w:tcBorders>
              <w:top w:val="single" w:color="000000" w:sz="4" w:space="0"/>
              <w:left w:val="single" w:color="000000" w:sz="4" w:space="0"/>
              <w:bottom w:val="single" w:color="000000" w:sz="4" w:space="0"/>
              <w:right w:val="single" w:color="000000" w:sz="4" w:space="0"/>
            </w:tcBorders>
            <w:vAlign w:val="center"/>
          </w:tcPr>
          <w:p w14:paraId="2FC84B9F">
            <w:pPr>
              <w:widowControl/>
              <w:jc w:val="center"/>
              <w:textAlignment w:val="center"/>
              <w:rPr>
                <w:rFonts w:hint="eastAsia" w:ascii="宋体" w:hAnsi="宋体" w:cs="宋体"/>
                <w:color w:val="000000"/>
                <w:kern w:val="0"/>
                <w:sz w:val="20"/>
                <w:szCs w:val="20"/>
                <w:lang w:bidi="ar"/>
              </w:rPr>
            </w:pPr>
          </w:p>
        </w:tc>
        <w:tc>
          <w:tcPr>
            <w:tcW w:w="900" w:type="dxa"/>
            <w:tcBorders>
              <w:top w:val="single" w:color="000000" w:sz="4" w:space="0"/>
              <w:left w:val="single" w:color="000000" w:sz="4" w:space="0"/>
              <w:bottom w:val="single" w:color="000000" w:sz="4" w:space="0"/>
              <w:right w:val="single" w:color="000000" w:sz="4" w:space="0"/>
            </w:tcBorders>
            <w:vAlign w:val="center"/>
          </w:tcPr>
          <w:p w14:paraId="1CBDCC8D">
            <w:pPr>
              <w:widowControl/>
              <w:jc w:val="center"/>
              <w:textAlignment w:val="center"/>
              <w:rPr>
                <w:rFonts w:hint="eastAsia" w:ascii="宋体" w:hAnsi="宋体" w:cs="宋体"/>
                <w:color w:val="000000"/>
                <w:kern w:val="0"/>
                <w:sz w:val="20"/>
                <w:szCs w:val="20"/>
                <w:lang w:bidi="ar"/>
              </w:rPr>
            </w:pPr>
          </w:p>
        </w:tc>
        <w:tc>
          <w:tcPr>
            <w:tcW w:w="832" w:type="dxa"/>
            <w:tcBorders>
              <w:top w:val="single" w:color="000000" w:sz="4" w:space="0"/>
              <w:left w:val="single" w:color="000000" w:sz="4" w:space="0"/>
              <w:bottom w:val="single" w:color="000000" w:sz="4" w:space="0"/>
              <w:right w:val="single" w:color="000000" w:sz="4" w:space="0"/>
            </w:tcBorders>
            <w:vAlign w:val="center"/>
          </w:tcPr>
          <w:p w14:paraId="3DBD0EF0">
            <w:pPr>
              <w:widowControl/>
              <w:jc w:val="center"/>
              <w:textAlignment w:val="center"/>
              <w:rPr>
                <w:rFonts w:hint="eastAsia" w:ascii="宋体" w:hAnsi="宋体" w:cs="宋体"/>
                <w:color w:val="000000"/>
                <w:kern w:val="0"/>
                <w:sz w:val="20"/>
                <w:szCs w:val="20"/>
                <w:lang w:bidi="ar"/>
              </w:rPr>
            </w:pPr>
          </w:p>
        </w:tc>
        <w:tc>
          <w:tcPr>
            <w:tcW w:w="1143" w:type="dxa"/>
            <w:tcBorders>
              <w:top w:val="single" w:color="000000" w:sz="4" w:space="0"/>
              <w:left w:val="single" w:color="000000" w:sz="4" w:space="0"/>
              <w:bottom w:val="single" w:color="000000" w:sz="4" w:space="0"/>
              <w:right w:val="single" w:color="000000" w:sz="4" w:space="0"/>
            </w:tcBorders>
            <w:vAlign w:val="center"/>
          </w:tcPr>
          <w:p w14:paraId="1CD75304">
            <w:pPr>
              <w:widowControl/>
              <w:jc w:val="center"/>
              <w:textAlignment w:val="center"/>
              <w:rPr>
                <w:rFonts w:hint="eastAsia" w:ascii="宋体" w:hAnsi="宋体" w:cs="宋体"/>
                <w:color w:val="000000"/>
                <w:kern w:val="0"/>
                <w:sz w:val="20"/>
                <w:szCs w:val="20"/>
                <w:lang w:bidi="ar"/>
              </w:rPr>
            </w:pPr>
          </w:p>
        </w:tc>
        <w:tc>
          <w:tcPr>
            <w:tcW w:w="763" w:type="dxa"/>
            <w:tcBorders>
              <w:top w:val="single" w:color="000000" w:sz="4" w:space="0"/>
              <w:left w:val="single" w:color="000000" w:sz="4" w:space="0"/>
              <w:bottom w:val="single" w:color="000000" w:sz="4" w:space="0"/>
              <w:right w:val="single" w:color="000000" w:sz="4" w:space="0"/>
            </w:tcBorders>
            <w:vAlign w:val="center"/>
          </w:tcPr>
          <w:p w14:paraId="067E8998">
            <w:pPr>
              <w:widowControl/>
              <w:jc w:val="center"/>
              <w:textAlignment w:val="center"/>
              <w:rPr>
                <w:rFonts w:hint="eastAsia" w:ascii="宋体" w:hAnsi="宋体" w:cs="宋体"/>
                <w:color w:val="000000"/>
                <w:kern w:val="0"/>
                <w:sz w:val="20"/>
                <w:szCs w:val="20"/>
                <w:lang w:bidi="ar"/>
              </w:rPr>
            </w:pPr>
          </w:p>
        </w:tc>
        <w:tc>
          <w:tcPr>
            <w:tcW w:w="741" w:type="dxa"/>
            <w:tcBorders>
              <w:top w:val="single" w:color="000000" w:sz="4" w:space="0"/>
              <w:left w:val="single" w:color="000000" w:sz="4" w:space="0"/>
              <w:bottom w:val="single" w:color="000000" w:sz="4" w:space="0"/>
              <w:right w:val="single" w:color="000000" w:sz="4" w:space="0"/>
            </w:tcBorders>
            <w:vAlign w:val="center"/>
          </w:tcPr>
          <w:p w14:paraId="5B24046E">
            <w:pPr>
              <w:widowControl/>
              <w:jc w:val="center"/>
              <w:textAlignment w:val="center"/>
              <w:rPr>
                <w:rFonts w:hint="eastAsia" w:ascii="宋体" w:hAnsi="宋体" w:cs="宋体"/>
                <w:color w:val="000000"/>
                <w:kern w:val="0"/>
                <w:sz w:val="20"/>
                <w:szCs w:val="20"/>
                <w:lang w:bidi="ar"/>
              </w:rPr>
            </w:pPr>
          </w:p>
        </w:tc>
      </w:tr>
      <w:tr w14:paraId="7CD1CA19">
        <w:tblPrEx>
          <w:tblCellMar>
            <w:top w:w="0" w:type="dxa"/>
            <w:left w:w="108" w:type="dxa"/>
            <w:bottom w:w="0" w:type="dxa"/>
            <w:right w:w="108" w:type="dxa"/>
          </w:tblCellMar>
        </w:tblPrEx>
        <w:trPr>
          <w:trHeight w:val="20" w:hRule="atLeast"/>
          <w:jc w:val="center"/>
        </w:trPr>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DD3873">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264</w:t>
            </w:r>
          </w:p>
        </w:tc>
        <w:tc>
          <w:tcPr>
            <w:tcW w:w="2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47B442">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50ml灭菌管</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9B6E34">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500支/箱</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2B0DF3">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箱</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2E18B2">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F0681B">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455</w:t>
            </w:r>
          </w:p>
        </w:tc>
        <w:tc>
          <w:tcPr>
            <w:tcW w:w="992" w:type="dxa"/>
            <w:tcBorders>
              <w:top w:val="single" w:color="000000" w:sz="4" w:space="0"/>
              <w:left w:val="single" w:color="000000" w:sz="4" w:space="0"/>
              <w:bottom w:val="single" w:color="000000" w:sz="4" w:space="0"/>
              <w:right w:val="single" w:color="000000" w:sz="4" w:space="0"/>
            </w:tcBorders>
            <w:vAlign w:val="center"/>
          </w:tcPr>
          <w:p w14:paraId="6C536770">
            <w:pPr>
              <w:widowControl/>
              <w:jc w:val="center"/>
              <w:textAlignment w:val="center"/>
              <w:rPr>
                <w:rFonts w:hint="eastAsia" w:ascii="宋体" w:hAnsi="宋体" w:cs="宋体"/>
                <w:color w:val="000000"/>
                <w:kern w:val="0"/>
                <w:sz w:val="20"/>
                <w:szCs w:val="20"/>
                <w:lang w:bidi="ar"/>
              </w:rPr>
            </w:pPr>
          </w:p>
        </w:tc>
        <w:tc>
          <w:tcPr>
            <w:tcW w:w="1239" w:type="dxa"/>
            <w:tcBorders>
              <w:top w:val="single" w:color="000000" w:sz="4" w:space="0"/>
              <w:left w:val="single" w:color="000000" w:sz="4" w:space="0"/>
              <w:bottom w:val="single" w:color="000000" w:sz="4" w:space="0"/>
              <w:right w:val="single" w:color="000000" w:sz="4" w:space="0"/>
            </w:tcBorders>
            <w:vAlign w:val="center"/>
          </w:tcPr>
          <w:p w14:paraId="48D0A942">
            <w:pPr>
              <w:widowControl/>
              <w:jc w:val="center"/>
              <w:textAlignment w:val="center"/>
              <w:rPr>
                <w:rFonts w:hint="eastAsia" w:ascii="宋体" w:hAnsi="宋体" w:cs="宋体"/>
                <w:color w:val="000000"/>
                <w:kern w:val="0"/>
                <w:sz w:val="20"/>
                <w:szCs w:val="20"/>
                <w:lang w:bidi="ar"/>
              </w:rPr>
            </w:pPr>
          </w:p>
        </w:tc>
        <w:tc>
          <w:tcPr>
            <w:tcW w:w="900" w:type="dxa"/>
            <w:tcBorders>
              <w:top w:val="single" w:color="000000" w:sz="4" w:space="0"/>
              <w:left w:val="single" w:color="000000" w:sz="4" w:space="0"/>
              <w:bottom w:val="single" w:color="000000" w:sz="4" w:space="0"/>
              <w:right w:val="single" w:color="000000" w:sz="4" w:space="0"/>
            </w:tcBorders>
            <w:vAlign w:val="center"/>
          </w:tcPr>
          <w:p w14:paraId="271BF6CE">
            <w:pPr>
              <w:widowControl/>
              <w:jc w:val="center"/>
              <w:textAlignment w:val="center"/>
              <w:rPr>
                <w:rFonts w:hint="eastAsia" w:ascii="宋体" w:hAnsi="宋体" w:cs="宋体"/>
                <w:color w:val="000000"/>
                <w:kern w:val="0"/>
                <w:sz w:val="20"/>
                <w:szCs w:val="20"/>
                <w:lang w:bidi="ar"/>
              </w:rPr>
            </w:pPr>
          </w:p>
        </w:tc>
        <w:tc>
          <w:tcPr>
            <w:tcW w:w="832" w:type="dxa"/>
            <w:tcBorders>
              <w:top w:val="single" w:color="000000" w:sz="4" w:space="0"/>
              <w:left w:val="single" w:color="000000" w:sz="4" w:space="0"/>
              <w:bottom w:val="single" w:color="000000" w:sz="4" w:space="0"/>
              <w:right w:val="single" w:color="000000" w:sz="4" w:space="0"/>
            </w:tcBorders>
            <w:vAlign w:val="center"/>
          </w:tcPr>
          <w:p w14:paraId="222CFB2B">
            <w:pPr>
              <w:widowControl/>
              <w:jc w:val="center"/>
              <w:textAlignment w:val="center"/>
              <w:rPr>
                <w:rFonts w:hint="eastAsia" w:ascii="宋体" w:hAnsi="宋体" w:cs="宋体"/>
                <w:color w:val="000000"/>
                <w:kern w:val="0"/>
                <w:sz w:val="20"/>
                <w:szCs w:val="20"/>
                <w:lang w:bidi="ar"/>
              </w:rPr>
            </w:pPr>
          </w:p>
        </w:tc>
        <w:tc>
          <w:tcPr>
            <w:tcW w:w="1143" w:type="dxa"/>
            <w:tcBorders>
              <w:top w:val="single" w:color="000000" w:sz="4" w:space="0"/>
              <w:left w:val="single" w:color="000000" w:sz="4" w:space="0"/>
              <w:bottom w:val="single" w:color="000000" w:sz="4" w:space="0"/>
              <w:right w:val="single" w:color="000000" w:sz="4" w:space="0"/>
            </w:tcBorders>
            <w:vAlign w:val="center"/>
          </w:tcPr>
          <w:p w14:paraId="7B4FC2D6">
            <w:pPr>
              <w:widowControl/>
              <w:jc w:val="center"/>
              <w:textAlignment w:val="center"/>
              <w:rPr>
                <w:rFonts w:hint="eastAsia" w:ascii="宋体" w:hAnsi="宋体" w:cs="宋体"/>
                <w:color w:val="000000"/>
                <w:kern w:val="0"/>
                <w:sz w:val="20"/>
                <w:szCs w:val="20"/>
                <w:lang w:bidi="ar"/>
              </w:rPr>
            </w:pPr>
          </w:p>
        </w:tc>
        <w:tc>
          <w:tcPr>
            <w:tcW w:w="763" w:type="dxa"/>
            <w:tcBorders>
              <w:top w:val="single" w:color="000000" w:sz="4" w:space="0"/>
              <w:left w:val="single" w:color="000000" w:sz="4" w:space="0"/>
              <w:bottom w:val="single" w:color="000000" w:sz="4" w:space="0"/>
              <w:right w:val="single" w:color="000000" w:sz="4" w:space="0"/>
            </w:tcBorders>
            <w:vAlign w:val="center"/>
          </w:tcPr>
          <w:p w14:paraId="0182AFB5">
            <w:pPr>
              <w:widowControl/>
              <w:jc w:val="center"/>
              <w:textAlignment w:val="center"/>
              <w:rPr>
                <w:rFonts w:hint="eastAsia" w:ascii="宋体" w:hAnsi="宋体" w:cs="宋体"/>
                <w:color w:val="000000"/>
                <w:kern w:val="0"/>
                <w:sz w:val="20"/>
                <w:szCs w:val="20"/>
                <w:lang w:bidi="ar"/>
              </w:rPr>
            </w:pPr>
          </w:p>
        </w:tc>
        <w:tc>
          <w:tcPr>
            <w:tcW w:w="741" w:type="dxa"/>
            <w:tcBorders>
              <w:top w:val="single" w:color="000000" w:sz="4" w:space="0"/>
              <w:left w:val="single" w:color="000000" w:sz="4" w:space="0"/>
              <w:bottom w:val="single" w:color="000000" w:sz="4" w:space="0"/>
              <w:right w:val="single" w:color="000000" w:sz="4" w:space="0"/>
            </w:tcBorders>
            <w:vAlign w:val="center"/>
          </w:tcPr>
          <w:p w14:paraId="3D518249">
            <w:pPr>
              <w:widowControl/>
              <w:jc w:val="center"/>
              <w:textAlignment w:val="center"/>
              <w:rPr>
                <w:rFonts w:hint="eastAsia" w:ascii="宋体" w:hAnsi="宋体" w:cs="宋体"/>
                <w:color w:val="000000"/>
                <w:kern w:val="0"/>
                <w:sz w:val="20"/>
                <w:szCs w:val="20"/>
                <w:lang w:bidi="ar"/>
              </w:rPr>
            </w:pPr>
          </w:p>
        </w:tc>
      </w:tr>
      <w:tr w14:paraId="505C82F0">
        <w:tblPrEx>
          <w:tblCellMar>
            <w:top w:w="0" w:type="dxa"/>
            <w:left w:w="108" w:type="dxa"/>
            <w:bottom w:w="0" w:type="dxa"/>
            <w:right w:w="108" w:type="dxa"/>
          </w:tblCellMar>
        </w:tblPrEx>
        <w:trPr>
          <w:trHeight w:val="20" w:hRule="atLeast"/>
          <w:jc w:val="center"/>
        </w:trPr>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787246">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265</w:t>
            </w:r>
          </w:p>
        </w:tc>
        <w:tc>
          <w:tcPr>
            <w:tcW w:w="2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DDA97F">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15ml灭菌管</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4D10A5">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500支/箱</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F027C3">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箱</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8A44BA">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C0C52D">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300</w:t>
            </w:r>
          </w:p>
        </w:tc>
        <w:tc>
          <w:tcPr>
            <w:tcW w:w="992" w:type="dxa"/>
            <w:tcBorders>
              <w:top w:val="single" w:color="000000" w:sz="4" w:space="0"/>
              <w:left w:val="single" w:color="000000" w:sz="4" w:space="0"/>
              <w:bottom w:val="single" w:color="000000" w:sz="4" w:space="0"/>
              <w:right w:val="single" w:color="000000" w:sz="4" w:space="0"/>
            </w:tcBorders>
            <w:vAlign w:val="center"/>
          </w:tcPr>
          <w:p w14:paraId="0AE72643">
            <w:pPr>
              <w:widowControl/>
              <w:jc w:val="center"/>
              <w:textAlignment w:val="center"/>
              <w:rPr>
                <w:rFonts w:hint="eastAsia" w:ascii="宋体" w:hAnsi="宋体" w:cs="宋体"/>
                <w:color w:val="000000"/>
                <w:kern w:val="0"/>
                <w:sz w:val="20"/>
                <w:szCs w:val="20"/>
                <w:lang w:bidi="ar"/>
              </w:rPr>
            </w:pPr>
          </w:p>
        </w:tc>
        <w:tc>
          <w:tcPr>
            <w:tcW w:w="1239" w:type="dxa"/>
            <w:tcBorders>
              <w:top w:val="single" w:color="000000" w:sz="4" w:space="0"/>
              <w:left w:val="single" w:color="000000" w:sz="4" w:space="0"/>
              <w:bottom w:val="single" w:color="000000" w:sz="4" w:space="0"/>
              <w:right w:val="single" w:color="000000" w:sz="4" w:space="0"/>
            </w:tcBorders>
            <w:vAlign w:val="center"/>
          </w:tcPr>
          <w:p w14:paraId="2628A296">
            <w:pPr>
              <w:widowControl/>
              <w:jc w:val="center"/>
              <w:textAlignment w:val="center"/>
              <w:rPr>
                <w:rFonts w:hint="eastAsia" w:ascii="宋体" w:hAnsi="宋体" w:cs="宋体"/>
                <w:color w:val="000000"/>
                <w:kern w:val="0"/>
                <w:sz w:val="20"/>
                <w:szCs w:val="20"/>
                <w:lang w:bidi="ar"/>
              </w:rPr>
            </w:pPr>
          </w:p>
        </w:tc>
        <w:tc>
          <w:tcPr>
            <w:tcW w:w="900" w:type="dxa"/>
            <w:tcBorders>
              <w:top w:val="single" w:color="000000" w:sz="4" w:space="0"/>
              <w:left w:val="single" w:color="000000" w:sz="4" w:space="0"/>
              <w:bottom w:val="single" w:color="000000" w:sz="4" w:space="0"/>
              <w:right w:val="single" w:color="000000" w:sz="4" w:space="0"/>
            </w:tcBorders>
            <w:vAlign w:val="center"/>
          </w:tcPr>
          <w:p w14:paraId="08F8531D">
            <w:pPr>
              <w:widowControl/>
              <w:jc w:val="center"/>
              <w:textAlignment w:val="center"/>
              <w:rPr>
                <w:rFonts w:hint="eastAsia" w:ascii="宋体" w:hAnsi="宋体" w:cs="宋体"/>
                <w:color w:val="000000"/>
                <w:kern w:val="0"/>
                <w:sz w:val="20"/>
                <w:szCs w:val="20"/>
                <w:lang w:bidi="ar"/>
              </w:rPr>
            </w:pPr>
          </w:p>
        </w:tc>
        <w:tc>
          <w:tcPr>
            <w:tcW w:w="832" w:type="dxa"/>
            <w:tcBorders>
              <w:top w:val="single" w:color="000000" w:sz="4" w:space="0"/>
              <w:left w:val="single" w:color="000000" w:sz="4" w:space="0"/>
              <w:bottom w:val="single" w:color="000000" w:sz="4" w:space="0"/>
              <w:right w:val="single" w:color="000000" w:sz="4" w:space="0"/>
            </w:tcBorders>
            <w:vAlign w:val="center"/>
          </w:tcPr>
          <w:p w14:paraId="25FA2B76">
            <w:pPr>
              <w:widowControl/>
              <w:jc w:val="center"/>
              <w:textAlignment w:val="center"/>
              <w:rPr>
                <w:rFonts w:hint="eastAsia" w:ascii="宋体" w:hAnsi="宋体" w:cs="宋体"/>
                <w:color w:val="000000"/>
                <w:kern w:val="0"/>
                <w:sz w:val="20"/>
                <w:szCs w:val="20"/>
                <w:lang w:bidi="ar"/>
              </w:rPr>
            </w:pPr>
          </w:p>
        </w:tc>
        <w:tc>
          <w:tcPr>
            <w:tcW w:w="1143" w:type="dxa"/>
            <w:tcBorders>
              <w:top w:val="single" w:color="000000" w:sz="4" w:space="0"/>
              <w:left w:val="single" w:color="000000" w:sz="4" w:space="0"/>
              <w:bottom w:val="single" w:color="000000" w:sz="4" w:space="0"/>
              <w:right w:val="single" w:color="000000" w:sz="4" w:space="0"/>
            </w:tcBorders>
            <w:vAlign w:val="center"/>
          </w:tcPr>
          <w:p w14:paraId="5B30105A">
            <w:pPr>
              <w:widowControl/>
              <w:jc w:val="center"/>
              <w:textAlignment w:val="center"/>
              <w:rPr>
                <w:rFonts w:hint="eastAsia" w:ascii="宋体" w:hAnsi="宋体" w:cs="宋体"/>
                <w:color w:val="000000"/>
                <w:kern w:val="0"/>
                <w:sz w:val="20"/>
                <w:szCs w:val="20"/>
                <w:lang w:bidi="ar"/>
              </w:rPr>
            </w:pPr>
          </w:p>
        </w:tc>
        <w:tc>
          <w:tcPr>
            <w:tcW w:w="763" w:type="dxa"/>
            <w:tcBorders>
              <w:top w:val="single" w:color="000000" w:sz="4" w:space="0"/>
              <w:left w:val="single" w:color="000000" w:sz="4" w:space="0"/>
              <w:bottom w:val="single" w:color="000000" w:sz="4" w:space="0"/>
              <w:right w:val="single" w:color="000000" w:sz="4" w:space="0"/>
            </w:tcBorders>
            <w:vAlign w:val="center"/>
          </w:tcPr>
          <w:p w14:paraId="3DC6DB0E">
            <w:pPr>
              <w:widowControl/>
              <w:jc w:val="center"/>
              <w:textAlignment w:val="center"/>
              <w:rPr>
                <w:rFonts w:hint="eastAsia" w:ascii="宋体" w:hAnsi="宋体" w:cs="宋体"/>
                <w:color w:val="000000"/>
                <w:kern w:val="0"/>
                <w:sz w:val="20"/>
                <w:szCs w:val="20"/>
                <w:lang w:bidi="ar"/>
              </w:rPr>
            </w:pPr>
          </w:p>
        </w:tc>
        <w:tc>
          <w:tcPr>
            <w:tcW w:w="741" w:type="dxa"/>
            <w:tcBorders>
              <w:top w:val="single" w:color="000000" w:sz="4" w:space="0"/>
              <w:left w:val="single" w:color="000000" w:sz="4" w:space="0"/>
              <w:bottom w:val="single" w:color="000000" w:sz="4" w:space="0"/>
              <w:right w:val="single" w:color="000000" w:sz="4" w:space="0"/>
            </w:tcBorders>
            <w:vAlign w:val="center"/>
          </w:tcPr>
          <w:p w14:paraId="79D5E3A6">
            <w:pPr>
              <w:widowControl/>
              <w:jc w:val="center"/>
              <w:textAlignment w:val="center"/>
              <w:rPr>
                <w:rFonts w:hint="eastAsia" w:ascii="宋体" w:hAnsi="宋体" w:cs="宋体"/>
                <w:color w:val="000000"/>
                <w:kern w:val="0"/>
                <w:sz w:val="20"/>
                <w:szCs w:val="20"/>
                <w:lang w:bidi="ar"/>
              </w:rPr>
            </w:pPr>
          </w:p>
        </w:tc>
      </w:tr>
      <w:tr w14:paraId="02D6B629">
        <w:tblPrEx>
          <w:tblCellMar>
            <w:top w:w="0" w:type="dxa"/>
            <w:left w:w="108" w:type="dxa"/>
            <w:bottom w:w="0" w:type="dxa"/>
            <w:right w:w="108" w:type="dxa"/>
          </w:tblCellMar>
        </w:tblPrEx>
        <w:trPr>
          <w:trHeight w:val="20" w:hRule="atLeast"/>
          <w:jc w:val="center"/>
        </w:trPr>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901626">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266</w:t>
            </w:r>
          </w:p>
        </w:tc>
        <w:tc>
          <w:tcPr>
            <w:tcW w:w="2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A8DC13">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蜱虫监测旗</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86EDED">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(双面绒)(布旗+杆+绳)</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5696E4">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个</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B3ADE6">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54</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35865F">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40</w:t>
            </w:r>
          </w:p>
        </w:tc>
        <w:tc>
          <w:tcPr>
            <w:tcW w:w="992" w:type="dxa"/>
            <w:tcBorders>
              <w:top w:val="single" w:color="000000" w:sz="4" w:space="0"/>
              <w:left w:val="single" w:color="000000" w:sz="4" w:space="0"/>
              <w:bottom w:val="single" w:color="000000" w:sz="4" w:space="0"/>
              <w:right w:val="single" w:color="000000" w:sz="4" w:space="0"/>
            </w:tcBorders>
            <w:vAlign w:val="center"/>
          </w:tcPr>
          <w:p w14:paraId="3C5BE610">
            <w:pPr>
              <w:widowControl/>
              <w:jc w:val="center"/>
              <w:textAlignment w:val="center"/>
              <w:rPr>
                <w:rFonts w:hint="eastAsia" w:ascii="宋体" w:hAnsi="宋体" w:cs="宋体"/>
                <w:color w:val="000000"/>
                <w:kern w:val="0"/>
                <w:sz w:val="20"/>
                <w:szCs w:val="20"/>
                <w:lang w:bidi="ar"/>
              </w:rPr>
            </w:pPr>
          </w:p>
        </w:tc>
        <w:tc>
          <w:tcPr>
            <w:tcW w:w="1239" w:type="dxa"/>
            <w:tcBorders>
              <w:top w:val="single" w:color="000000" w:sz="4" w:space="0"/>
              <w:left w:val="single" w:color="000000" w:sz="4" w:space="0"/>
              <w:bottom w:val="single" w:color="000000" w:sz="4" w:space="0"/>
              <w:right w:val="single" w:color="000000" w:sz="4" w:space="0"/>
            </w:tcBorders>
            <w:vAlign w:val="center"/>
          </w:tcPr>
          <w:p w14:paraId="1439DD00">
            <w:pPr>
              <w:widowControl/>
              <w:jc w:val="center"/>
              <w:textAlignment w:val="center"/>
              <w:rPr>
                <w:rFonts w:hint="eastAsia" w:ascii="宋体" w:hAnsi="宋体" w:cs="宋体"/>
                <w:color w:val="000000"/>
                <w:kern w:val="0"/>
                <w:sz w:val="20"/>
                <w:szCs w:val="20"/>
                <w:lang w:bidi="ar"/>
              </w:rPr>
            </w:pPr>
          </w:p>
        </w:tc>
        <w:tc>
          <w:tcPr>
            <w:tcW w:w="900" w:type="dxa"/>
            <w:tcBorders>
              <w:top w:val="single" w:color="000000" w:sz="4" w:space="0"/>
              <w:left w:val="single" w:color="000000" w:sz="4" w:space="0"/>
              <w:bottom w:val="single" w:color="000000" w:sz="4" w:space="0"/>
              <w:right w:val="single" w:color="000000" w:sz="4" w:space="0"/>
            </w:tcBorders>
            <w:vAlign w:val="center"/>
          </w:tcPr>
          <w:p w14:paraId="7B60AC21">
            <w:pPr>
              <w:widowControl/>
              <w:jc w:val="center"/>
              <w:textAlignment w:val="center"/>
              <w:rPr>
                <w:rFonts w:hint="eastAsia" w:ascii="宋体" w:hAnsi="宋体" w:cs="宋体"/>
                <w:color w:val="000000"/>
                <w:kern w:val="0"/>
                <w:sz w:val="20"/>
                <w:szCs w:val="20"/>
                <w:lang w:bidi="ar"/>
              </w:rPr>
            </w:pPr>
          </w:p>
        </w:tc>
        <w:tc>
          <w:tcPr>
            <w:tcW w:w="832" w:type="dxa"/>
            <w:tcBorders>
              <w:top w:val="single" w:color="000000" w:sz="4" w:space="0"/>
              <w:left w:val="single" w:color="000000" w:sz="4" w:space="0"/>
              <w:bottom w:val="single" w:color="000000" w:sz="4" w:space="0"/>
              <w:right w:val="single" w:color="000000" w:sz="4" w:space="0"/>
            </w:tcBorders>
            <w:vAlign w:val="center"/>
          </w:tcPr>
          <w:p w14:paraId="72EDBC0A">
            <w:pPr>
              <w:widowControl/>
              <w:jc w:val="center"/>
              <w:textAlignment w:val="center"/>
              <w:rPr>
                <w:rFonts w:hint="eastAsia" w:ascii="宋体" w:hAnsi="宋体" w:cs="宋体"/>
                <w:color w:val="000000"/>
                <w:kern w:val="0"/>
                <w:sz w:val="20"/>
                <w:szCs w:val="20"/>
                <w:lang w:bidi="ar"/>
              </w:rPr>
            </w:pPr>
          </w:p>
        </w:tc>
        <w:tc>
          <w:tcPr>
            <w:tcW w:w="1143" w:type="dxa"/>
            <w:tcBorders>
              <w:top w:val="single" w:color="000000" w:sz="4" w:space="0"/>
              <w:left w:val="single" w:color="000000" w:sz="4" w:space="0"/>
              <w:bottom w:val="single" w:color="000000" w:sz="4" w:space="0"/>
              <w:right w:val="single" w:color="000000" w:sz="4" w:space="0"/>
            </w:tcBorders>
            <w:vAlign w:val="center"/>
          </w:tcPr>
          <w:p w14:paraId="1B4B2714">
            <w:pPr>
              <w:widowControl/>
              <w:jc w:val="center"/>
              <w:textAlignment w:val="center"/>
              <w:rPr>
                <w:rFonts w:hint="eastAsia" w:ascii="宋体" w:hAnsi="宋体" w:cs="宋体"/>
                <w:color w:val="000000"/>
                <w:kern w:val="0"/>
                <w:sz w:val="20"/>
                <w:szCs w:val="20"/>
                <w:lang w:bidi="ar"/>
              </w:rPr>
            </w:pPr>
          </w:p>
        </w:tc>
        <w:tc>
          <w:tcPr>
            <w:tcW w:w="763" w:type="dxa"/>
            <w:tcBorders>
              <w:top w:val="single" w:color="000000" w:sz="4" w:space="0"/>
              <w:left w:val="single" w:color="000000" w:sz="4" w:space="0"/>
              <w:bottom w:val="single" w:color="000000" w:sz="4" w:space="0"/>
              <w:right w:val="single" w:color="000000" w:sz="4" w:space="0"/>
            </w:tcBorders>
            <w:vAlign w:val="center"/>
          </w:tcPr>
          <w:p w14:paraId="3626F2A5">
            <w:pPr>
              <w:widowControl/>
              <w:jc w:val="center"/>
              <w:textAlignment w:val="center"/>
              <w:rPr>
                <w:rFonts w:hint="eastAsia" w:ascii="宋体" w:hAnsi="宋体" w:cs="宋体"/>
                <w:color w:val="000000"/>
                <w:kern w:val="0"/>
                <w:sz w:val="20"/>
                <w:szCs w:val="20"/>
                <w:lang w:bidi="ar"/>
              </w:rPr>
            </w:pPr>
          </w:p>
        </w:tc>
        <w:tc>
          <w:tcPr>
            <w:tcW w:w="741" w:type="dxa"/>
            <w:tcBorders>
              <w:top w:val="single" w:color="000000" w:sz="4" w:space="0"/>
              <w:left w:val="single" w:color="000000" w:sz="4" w:space="0"/>
              <w:bottom w:val="single" w:color="000000" w:sz="4" w:space="0"/>
              <w:right w:val="single" w:color="000000" w:sz="4" w:space="0"/>
            </w:tcBorders>
            <w:vAlign w:val="center"/>
          </w:tcPr>
          <w:p w14:paraId="71F62922">
            <w:pPr>
              <w:widowControl/>
              <w:jc w:val="center"/>
              <w:textAlignment w:val="center"/>
              <w:rPr>
                <w:rFonts w:hint="eastAsia" w:ascii="宋体" w:hAnsi="宋体" w:cs="宋体"/>
                <w:color w:val="000000"/>
                <w:kern w:val="0"/>
                <w:sz w:val="20"/>
                <w:szCs w:val="20"/>
                <w:lang w:bidi="ar"/>
              </w:rPr>
            </w:pPr>
          </w:p>
        </w:tc>
      </w:tr>
      <w:tr w14:paraId="64EE3506">
        <w:tblPrEx>
          <w:tblCellMar>
            <w:top w:w="0" w:type="dxa"/>
            <w:left w:w="108" w:type="dxa"/>
            <w:bottom w:w="0" w:type="dxa"/>
            <w:right w:w="108" w:type="dxa"/>
          </w:tblCellMar>
        </w:tblPrEx>
        <w:trPr>
          <w:trHeight w:val="20" w:hRule="atLeast"/>
          <w:jc w:val="center"/>
        </w:trPr>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F0AA08">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267</w:t>
            </w:r>
          </w:p>
        </w:tc>
        <w:tc>
          <w:tcPr>
            <w:tcW w:w="2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64168D">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防风雨伞</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E8C03F">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黑色[24骨)140cm伞面</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54F857">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把</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D900EA">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8</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18DEF4">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104</w:t>
            </w:r>
          </w:p>
        </w:tc>
        <w:tc>
          <w:tcPr>
            <w:tcW w:w="992" w:type="dxa"/>
            <w:tcBorders>
              <w:top w:val="single" w:color="000000" w:sz="4" w:space="0"/>
              <w:left w:val="single" w:color="000000" w:sz="4" w:space="0"/>
              <w:bottom w:val="single" w:color="000000" w:sz="4" w:space="0"/>
              <w:right w:val="single" w:color="000000" w:sz="4" w:space="0"/>
            </w:tcBorders>
            <w:vAlign w:val="center"/>
          </w:tcPr>
          <w:p w14:paraId="7A3893FD">
            <w:pPr>
              <w:widowControl/>
              <w:jc w:val="center"/>
              <w:textAlignment w:val="center"/>
              <w:rPr>
                <w:rFonts w:hint="eastAsia" w:ascii="宋体" w:hAnsi="宋体" w:cs="宋体"/>
                <w:color w:val="000000"/>
                <w:kern w:val="0"/>
                <w:sz w:val="20"/>
                <w:szCs w:val="20"/>
                <w:lang w:bidi="ar"/>
              </w:rPr>
            </w:pPr>
          </w:p>
        </w:tc>
        <w:tc>
          <w:tcPr>
            <w:tcW w:w="1239" w:type="dxa"/>
            <w:tcBorders>
              <w:top w:val="single" w:color="000000" w:sz="4" w:space="0"/>
              <w:left w:val="single" w:color="000000" w:sz="4" w:space="0"/>
              <w:bottom w:val="single" w:color="000000" w:sz="4" w:space="0"/>
              <w:right w:val="single" w:color="000000" w:sz="4" w:space="0"/>
            </w:tcBorders>
            <w:vAlign w:val="center"/>
          </w:tcPr>
          <w:p w14:paraId="3FDC150F">
            <w:pPr>
              <w:widowControl/>
              <w:jc w:val="center"/>
              <w:textAlignment w:val="center"/>
              <w:rPr>
                <w:rFonts w:hint="eastAsia" w:ascii="宋体" w:hAnsi="宋体" w:cs="宋体"/>
                <w:color w:val="000000"/>
                <w:kern w:val="0"/>
                <w:sz w:val="20"/>
                <w:szCs w:val="20"/>
                <w:lang w:bidi="ar"/>
              </w:rPr>
            </w:pPr>
          </w:p>
        </w:tc>
        <w:tc>
          <w:tcPr>
            <w:tcW w:w="900" w:type="dxa"/>
            <w:tcBorders>
              <w:top w:val="single" w:color="000000" w:sz="4" w:space="0"/>
              <w:left w:val="single" w:color="000000" w:sz="4" w:space="0"/>
              <w:bottom w:val="single" w:color="000000" w:sz="4" w:space="0"/>
              <w:right w:val="single" w:color="000000" w:sz="4" w:space="0"/>
            </w:tcBorders>
            <w:vAlign w:val="center"/>
          </w:tcPr>
          <w:p w14:paraId="5D96BCA4">
            <w:pPr>
              <w:widowControl/>
              <w:jc w:val="center"/>
              <w:textAlignment w:val="center"/>
              <w:rPr>
                <w:rFonts w:hint="eastAsia" w:ascii="宋体" w:hAnsi="宋体" w:cs="宋体"/>
                <w:color w:val="000000"/>
                <w:kern w:val="0"/>
                <w:sz w:val="20"/>
                <w:szCs w:val="20"/>
                <w:lang w:bidi="ar"/>
              </w:rPr>
            </w:pPr>
          </w:p>
        </w:tc>
        <w:tc>
          <w:tcPr>
            <w:tcW w:w="832" w:type="dxa"/>
            <w:tcBorders>
              <w:top w:val="single" w:color="000000" w:sz="4" w:space="0"/>
              <w:left w:val="single" w:color="000000" w:sz="4" w:space="0"/>
              <w:bottom w:val="single" w:color="000000" w:sz="4" w:space="0"/>
              <w:right w:val="single" w:color="000000" w:sz="4" w:space="0"/>
            </w:tcBorders>
            <w:vAlign w:val="center"/>
          </w:tcPr>
          <w:p w14:paraId="013EDA16">
            <w:pPr>
              <w:widowControl/>
              <w:jc w:val="center"/>
              <w:textAlignment w:val="center"/>
              <w:rPr>
                <w:rFonts w:hint="eastAsia" w:ascii="宋体" w:hAnsi="宋体" w:cs="宋体"/>
                <w:color w:val="000000"/>
                <w:kern w:val="0"/>
                <w:sz w:val="20"/>
                <w:szCs w:val="20"/>
                <w:lang w:bidi="ar"/>
              </w:rPr>
            </w:pPr>
          </w:p>
        </w:tc>
        <w:tc>
          <w:tcPr>
            <w:tcW w:w="1143" w:type="dxa"/>
            <w:tcBorders>
              <w:top w:val="single" w:color="000000" w:sz="4" w:space="0"/>
              <w:left w:val="single" w:color="000000" w:sz="4" w:space="0"/>
              <w:bottom w:val="single" w:color="000000" w:sz="4" w:space="0"/>
              <w:right w:val="single" w:color="000000" w:sz="4" w:space="0"/>
            </w:tcBorders>
            <w:vAlign w:val="center"/>
          </w:tcPr>
          <w:p w14:paraId="1A58E2A4">
            <w:pPr>
              <w:widowControl/>
              <w:jc w:val="center"/>
              <w:textAlignment w:val="center"/>
              <w:rPr>
                <w:rFonts w:hint="eastAsia" w:ascii="宋体" w:hAnsi="宋体" w:cs="宋体"/>
                <w:color w:val="000000"/>
                <w:kern w:val="0"/>
                <w:sz w:val="20"/>
                <w:szCs w:val="20"/>
                <w:lang w:bidi="ar"/>
              </w:rPr>
            </w:pPr>
          </w:p>
        </w:tc>
        <w:tc>
          <w:tcPr>
            <w:tcW w:w="763" w:type="dxa"/>
            <w:tcBorders>
              <w:top w:val="single" w:color="000000" w:sz="4" w:space="0"/>
              <w:left w:val="single" w:color="000000" w:sz="4" w:space="0"/>
              <w:bottom w:val="single" w:color="000000" w:sz="4" w:space="0"/>
              <w:right w:val="single" w:color="000000" w:sz="4" w:space="0"/>
            </w:tcBorders>
            <w:vAlign w:val="center"/>
          </w:tcPr>
          <w:p w14:paraId="23E0761D">
            <w:pPr>
              <w:widowControl/>
              <w:jc w:val="center"/>
              <w:textAlignment w:val="center"/>
              <w:rPr>
                <w:rFonts w:hint="eastAsia" w:ascii="宋体" w:hAnsi="宋体" w:cs="宋体"/>
                <w:color w:val="000000"/>
                <w:kern w:val="0"/>
                <w:sz w:val="20"/>
                <w:szCs w:val="20"/>
                <w:lang w:bidi="ar"/>
              </w:rPr>
            </w:pPr>
          </w:p>
        </w:tc>
        <w:tc>
          <w:tcPr>
            <w:tcW w:w="741" w:type="dxa"/>
            <w:tcBorders>
              <w:top w:val="single" w:color="000000" w:sz="4" w:space="0"/>
              <w:left w:val="single" w:color="000000" w:sz="4" w:space="0"/>
              <w:bottom w:val="single" w:color="000000" w:sz="4" w:space="0"/>
              <w:right w:val="single" w:color="000000" w:sz="4" w:space="0"/>
            </w:tcBorders>
            <w:vAlign w:val="center"/>
          </w:tcPr>
          <w:p w14:paraId="12A2F2CF">
            <w:pPr>
              <w:widowControl/>
              <w:jc w:val="center"/>
              <w:textAlignment w:val="center"/>
              <w:rPr>
                <w:rFonts w:hint="eastAsia" w:ascii="宋体" w:hAnsi="宋体" w:cs="宋体"/>
                <w:color w:val="000000"/>
                <w:kern w:val="0"/>
                <w:sz w:val="20"/>
                <w:szCs w:val="20"/>
                <w:lang w:bidi="ar"/>
              </w:rPr>
            </w:pPr>
          </w:p>
        </w:tc>
      </w:tr>
      <w:tr w14:paraId="4B6A0699">
        <w:tblPrEx>
          <w:tblCellMar>
            <w:top w:w="0" w:type="dxa"/>
            <w:left w:w="108" w:type="dxa"/>
            <w:bottom w:w="0" w:type="dxa"/>
            <w:right w:w="108" w:type="dxa"/>
          </w:tblCellMar>
        </w:tblPrEx>
        <w:trPr>
          <w:trHeight w:val="20" w:hRule="atLeast"/>
          <w:jc w:val="center"/>
        </w:trPr>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7B18BC">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268</w:t>
            </w:r>
          </w:p>
        </w:tc>
        <w:tc>
          <w:tcPr>
            <w:tcW w:w="2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402712">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防刺手套</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DF505E">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黄短款35cm</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869E42">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双</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77988D">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10</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855345">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28</w:t>
            </w:r>
          </w:p>
        </w:tc>
        <w:tc>
          <w:tcPr>
            <w:tcW w:w="992" w:type="dxa"/>
            <w:tcBorders>
              <w:top w:val="single" w:color="000000" w:sz="4" w:space="0"/>
              <w:left w:val="single" w:color="000000" w:sz="4" w:space="0"/>
              <w:bottom w:val="single" w:color="000000" w:sz="4" w:space="0"/>
              <w:right w:val="single" w:color="000000" w:sz="4" w:space="0"/>
            </w:tcBorders>
            <w:vAlign w:val="center"/>
          </w:tcPr>
          <w:p w14:paraId="4C43CE72">
            <w:pPr>
              <w:widowControl/>
              <w:jc w:val="center"/>
              <w:textAlignment w:val="center"/>
              <w:rPr>
                <w:rFonts w:hint="eastAsia" w:ascii="宋体" w:hAnsi="宋体" w:cs="宋体"/>
                <w:color w:val="000000"/>
                <w:kern w:val="0"/>
                <w:sz w:val="20"/>
                <w:szCs w:val="20"/>
                <w:lang w:bidi="ar"/>
              </w:rPr>
            </w:pPr>
          </w:p>
        </w:tc>
        <w:tc>
          <w:tcPr>
            <w:tcW w:w="1239" w:type="dxa"/>
            <w:tcBorders>
              <w:top w:val="single" w:color="000000" w:sz="4" w:space="0"/>
              <w:left w:val="single" w:color="000000" w:sz="4" w:space="0"/>
              <w:bottom w:val="single" w:color="000000" w:sz="4" w:space="0"/>
              <w:right w:val="single" w:color="000000" w:sz="4" w:space="0"/>
            </w:tcBorders>
            <w:vAlign w:val="center"/>
          </w:tcPr>
          <w:p w14:paraId="4E9D5C4A">
            <w:pPr>
              <w:widowControl/>
              <w:jc w:val="center"/>
              <w:textAlignment w:val="center"/>
              <w:rPr>
                <w:rFonts w:hint="eastAsia" w:ascii="宋体" w:hAnsi="宋体" w:cs="宋体"/>
                <w:color w:val="000000"/>
                <w:kern w:val="0"/>
                <w:sz w:val="20"/>
                <w:szCs w:val="20"/>
                <w:lang w:bidi="ar"/>
              </w:rPr>
            </w:pPr>
          </w:p>
        </w:tc>
        <w:tc>
          <w:tcPr>
            <w:tcW w:w="900" w:type="dxa"/>
            <w:tcBorders>
              <w:top w:val="single" w:color="000000" w:sz="4" w:space="0"/>
              <w:left w:val="single" w:color="000000" w:sz="4" w:space="0"/>
              <w:bottom w:val="single" w:color="000000" w:sz="4" w:space="0"/>
              <w:right w:val="single" w:color="000000" w:sz="4" w:space="0"/>
            </w:tcBorders>
            <w:vAlign w:val="center"/>
          </w:tcPr>
          <w:p w14:paraId="6202AD3A">
            <w:pPr>
              <w:widowControl/>
              <w:jc w:val="center"/>
              <w:textAlignment w:val="center"/>
              <w:rPr>
                <w:rFonts w:hint="eastAsia" w:ascii="宋体" w:hAnsi="宋体" w:cs="宋体"/>
                <w:color w:val="000000"/>
                <w:kern w:val="0"/>
                <w:sz w:val="20"/>
                <w:szCs w:val="20"/>
                <w:lang w:bidi="ar"/>
              </w:rPr>
            </w:pPr>
          </w:p>
        </w:tc>
        <w:tc>
          <w:tcPr>
            <w:tcW w:w="832" w:type="dxa"/>
            <w:tcBorders>
              <w:top w:val="single" w:color="000000" w:sz="4" w:space="0"/>
              <w:left w:val="single" w:color="000000" w:sz="4" w:space="0"/>
              <w:bottom w:val="single" w:color="000000" w:sz="4" w:space="0"/>
              <w:right w:val="single" w:color="000000" w:sz="4" w:space="0"/>
            </w:tcBorders>
            <w:vAlign w:val="center"/>
          </w:tcPr>
          <w:p w14:paraId="2C7FFA37">
            <w:pPr>
              <w:widowControl/>
              <w:jc w:val="center"/>
              <w:textAlignment w:val="center"/>
              <w:rPr>
                <w:rFonts w:hint="eastAsia" w:ascii="宋体" w:hAnsi="宋体" w:cs="宋体"/>
                <w:color w:val="000000"/>
                <w:kern w:val="0"/>
                <w:sz w:val="20"/>
                <w:szCs w:val="20"/>
                <w:lang w:bidi="ar"/>
              </w:rPr>
            </w:pPr>
          </w:p>
        </w:tc>
        <w:tc>
          <w:tcPr>
            <w:tcW w:w="1143" w:type="dxa"/>
            <w:tcBorders>
              <w:top w:val="single" w:color="000000" w:sz="4" w:space="0"/>
              <w:left w:val="single" w:color="000000" w:sz="4" w:space="0"/>
              <w:bottom w:val="single" w:color="000000" w:sz="4" w:space="0"/>
              <w:right w:val="single" w:color="000000" w:sz="4" w:space="0"/>
            </w:tcBorders>
            <w:vAlign w:val="center"/>
          </w:tcPr>
          <w:p w14:paraId="528FFEE1">
            <w:pPr>
              <w:widowControl/>
              <w:jc w:val="center"/>
              <w:textAlignment w:val="center"/>
              <w:rPr>
                <w:rFonts w:hint="eastAsia" w:ascii="宋体" w:hAnsi="宋体" w:cs="宋体"/>
                <w:color w:val="000000"/>
                <w:kern w:val="0"/>
                <w:sz w:val="20"/>
                <w:szCs w:val="20"/>
                <w:lang w:bidi="ar"/>
              </w:rPr>
            </w:pPr>
          </w:p>
        </w:tc>
        <w:tc>
          <w:tcPr>
            <w:tcW w:w="763" w:type="dxa"/>
            <w:tcBorders>
              <w:top w:val="single" w:color="000000" w:sz="4" w:space="0"/>
              <w:left w:val="single" w:color="000000" w:sz="4" w:space="0"/>
              <w:bottom w:val="single" w:color="000000" w:sz="4" w:space="0"/>
              <w:right w:val="single" w:color="000000" w:sz="4" w:space="0"/>
            </w:tcBorders>
            <w:vAlign w:val="center"/>
          </w:tcPr>
          <w:p w14:paraId="64B5A275">
            <w:pPr>
              <w:widowControl/>
              <w:jc w:val="center"/>
              <w:textAlignment w:val="center"/>
              <w:rPr>
                <w:rFonts w:hint="eastAsia" w:ascii="宋体" w:hAnsi="宋体" w:cs="宋体"/>
                <w:color w:val="000000"/>
                <w:kern w:val="0"/>
                <w:sz w:val="20"/>
                <w:szCs w:val="20"/>
                <w:lang w:bidi="ar"/>
              </w:rPr>
            </w:pPr>
          </w:p>
        </w:tc>
        <w:tc>
          <w:tcPr>
            <w:tcW w:w="741" w:type="dxa"/>
            <w:tcBorders>
              <w:top w:val="single" w:color="000000" w:sz="4" w:space="0"/>
              <w:left w:val="single" w:color="000000" w:sz="4" w:space="0"/>
              <w:bottom w:val="single" w:color="000000" w:sz="4" w:space="0"/>
              <w:right w:val="single" w:color="000000" w:sz="4" w:space="0"/>
            </w:tcBorders>
            <w:vAlign w:val="center"/>
          </w:tcPr>
          <w:p w14:paraId="08197951">
            <w:pPr>
              <w:widowControl/>
              <w:jc w:val="center"/>
              <w:textAlignment w:val="center"/>
              <w:rPr>
                <w:rFonts w:hint="eastAsia" w:ascii="宋体" w:hAnsi="宋体" w:cs="宋体"/>
                <w:color w:val="000000"/>
                <w:kern w:val="0"/>
                <w:sz w:val="20"/>
                <w:szCs w:val="20"/>
                <w:lang w:bidi="ar"/>
              </w:rPr>
            </w:pPr>
          </w:p>
        </w:tc>
      </w:tr>
      <w:tr w14:paraId="77236100">
        <w:tblPrEx>
          <w:tblCellMar>
            <w:top w:w="0" w:type="dxa"/>
            <w:left w:w="108" w:type="dxa"/>
            <w:bottom w:w="0" w:type="dxa"/>
            <w:right w:w="108" w:type="dxa"/>
          </w:tblCellMar>
        </w:tblPrEx>
        <w:trPr>
          <w:trHeight w:val="20" w:hRule="atLeast"/>
          <w:jc w:val="center"/>
        </w:trPr>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C9C60D">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269</w:t>
            </w:r>
          </w:p>
        </w:tc>
        <w:tc>
          <w:tcPr>
            <w:tcW w:w="2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725D34">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多功能强光手电筒</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B6494F">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3200mAh</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0068F0">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个</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660D52">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5</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04A523">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186</w:t>
            </w:r>
          </w:p>
        </w:tc>
        <w:tc>
          <w:tcPr>
            <w:tcW w:w="992" w:type="dxa"/>
            <w:tcBorders>
              <w:top w:val="single" w:color="000000" w:sz="4" w:space="0"/>
              <w:left w:val="single" w:color="000000" w:sz="4" w:space="0"/>
              <w:bottom w:val="single" w:color="000000" w:sz="4" w:space="0"/>
              <w:right w:val="single" w:color="000000" w:sz="4" w:space="0"/>
            </w:tcBorders>
            <w:vAlign w:val="center"/>
          </w:tcPr>
          <w:p w14:paraId="65FA1610">
            <w:pPr>
              <w:widowControl/>
              <w:jc w:val="center"/>
              <w:textAlignment w:val="center"/>
              <w:rPr>
                <w:rFonts w:hint="eastAsia" w:ascii="宋体" w:hAnsi="宋体" w:cs="宋体"/>
                <w:color w:val="000000"/>
                <w:kern w:val="0"/>
                <w:sz w:val="20"/>
                <w:szCs w:val="20"/>
                <w:lang w:bidi="ar"/>
              </w:rPr>
            </w:pPr>
          </w:p>
        </w:tc>
        <w:tc>
          <w:tcPr>
            <w:tcW w:w="1239" w:type="dxa"/>
            <w:tcBorders>
              <w:top w:val="single" w:color="000000" w:sz="4" w:space="0"/>
              <w:left w:val="single" w:color="000000" w:sz="4" w:space="0"/>
              <w:bottom w:val="single" w:color="000000" w:sz="4" w:space="0"/>
              <w:right w:val="single" w:color="000000" w:sz="4" w:space="0"/>
            </w:tcBorders>
            <w:vAlign w:val="center"/>
          </w:tcPr>
          <w:p w14:paraId="1AFAD89A">
            <w:pPr>
              <w:widowControl/>
              <w:jc w:val="center"/>
              <w:textAlignment w:val="center"/>
              <w:rPr>
                <w:rFonts w:hint="eastAsia" w:ascii="宋体" w:hAnsi="宋体" w:cs="宋体"/>
                <w:color w:val="000000"/>
                <w:kern w:val="0"/>
                <w:sz w:val="20"/>
                <w:szCs w:val="20"/>
                <w:lang w:bidi="ar"/>
              </w:rPr>
            </w:pPr>
          </w:p>
        </w:tc>
        <w:tc>
          <w:tcPr>
            <w:tcW w:w="900" w:type="dxa"/>
            <w:tcBorders>
              <w:top w:val="single" w:color="000000" w:sz="4" w:space="0"/>
              <w:left w:val="single" w:color="000000" w:sz="4" w:space="0"/>
              <w:bottom w:val="single" w:color="000000" w:sz="4" w:space="0"/>
              <w:right w:val="single" w:color="000000" w:sz="4" w:space="0"/>
            </w:tcBorders>
            <w:vAlign w:val="center"/>
          </w:tcPr>
          <w:p w14:paraId="0F62200B">
            <w:pPr>
              <w:widowControl/>
              <w:jc w:val="center"/>
              <w:textAlignment w:val="center"/>
              <w:rPr>
                <w:rFonts w:hint="eastAsia" w:ascii="宋体" w:hAnsi="宋体" w:cs="宋体"/>
                <w:color w:val="000000"/>
                <w:kern w:val="0"/>
                <w:sz w:val="20"/>
                <w:szCs w:val="20"/>
                <w:lang w:bidi="ar"/>
              </w:rPr>
            </w:pPr>
          </w:p>
        </w:tc>
        <w:tc>
          <w:tcPr>
            <w:tcW w:w="832" w:type="dxa"/>
            <w:tcBorders>
              <w:top w:val="single" w:color="000000" w:sz="4" w:space="0"/>
              <w:left w:val="single" w:color="000000" w:sz="4" w:space="0"/>
              <w:bottom w:val="single" w:color="000000" w:sz="4" w:space="0"/>
              <w:right w:val="single" w:color="000000" w:sz="4" w:space="0"/>
            </w:tcBorders>
            <w:vAlign w:val="center"/>
          </w:tcPr>
          <w:p w14:paraId="503FC7AC">
            <w:pPr>
              <w:widowControl/>
              <w:jc w:val="center"/>
              <w:textAlignment w:val="center"/>
              <w:rPr>
                <w:rFonts w:hint="eastAsia" w:ascii="宋体" w:hAnsi="宋体" w:cs="宋体"/>
                <w:color w:val="000000"/>
                <w:kern w:val="0"/>
                <w:sz w:val="20"/>
                <w:szCs w:val="20"/>
                <w:lang w:bidi="ar"/>
              </w:rPr>
            </w:pPr>
          </w:p>
        </w:tc>
        <w:tc>
          <w:tcPr>
            <w:tcW w:w="1143" w:type="dxa"/>
            <w:tcBorders>
              <w:top w:val="single" w:color="000000" w:sz="4" w:space="0"/>
              <w:left w:val="single" w:color="000000" w:sz="4" w:space="0"/>
              <w:bottom w:val="single" w:color="000000" w:sz="4" w:space="0"/>
              <w:right w:val="single" w:color="000000" w:sz="4" w:space="0"/>
            </w:tcBorders>
            <w:vAlign w:val="center"/>
          </w:tcPr>
          <w:p w14:paraId="08C14B64">
            <w:pPr>
              <w:widowControl/>
              <w:jc w:val="center"/>
              <w:textAlignment w:val="center"/>
              <w:rPr>
                <w:rFonts w:hint="eastAsia" w:ascii="宋体" w:hAnsi="宋体" w:cs="宋体"/>
                <w:color w:val="000000"/>
                <w:kern w:val="0"/>
                <w:sz w:val="20"/>
                <w:szCs w:val="20"/>
                <w:lang w:bidi="ar"/>
              </w:rPr>
            </w:pPr>
          </w:p>
        </w:tc>
        <w:tc>
          <w:tcPr>
            <w:tcW w:w="763" w:type="dxa"/>
            <w:tcBorders>
              <w:top w:val="single" w:color="000000" w:sz="4" w:space="0"/>
              <w:left w:val="single" w:color="000000" w:sz="4" w:space="0"/>
              <w:bottom w:val="single" w:color="000000" w:sz="4" w:space="0"/>
              <w:right w:val="single" w:color="000000" w:sz="4" w:space="0"/>
            </w:tcBorders>
            <w:vAlign w:val="center"/>
          </w:tcPr>
          <w:p w14:paraId="20B44D35">
            <w:pPr>
              <w:widowControl/>
              <w:jc w:val="center"/>
              <w:textAlignment w:val="center"/>
              <w:rPr>
                <w:rFonts w:hint="eastAsia" w:ascii="宋体" w:hAnsi="宋体" w:cs="宋体"/>
                <w:color w:val="000000"/>
                <w:kern w:val="0"/>
                <w:sz w:val="20"/>
                <w:szCs w:val="20"/>
                <w:lang w:bidi="ar"/>
              </w:rPr>
            </w:pPr>
          </w:p>
        </w:tc>
        <w:tc>
          <w:tcPr>
            <w:tcW w:w="741" w:type="dxa"/>
            <w:tcBorders>
              <w:top w:val="single" w:color="000000" w:sz="4" w:space="0"/>
              <w:left w:val="single" w:color="000000" w:sz="4" w:space="0"/>
              <w:bottom w:val="single" w:color="000000" w:sz="4" w:space="0"/>
              <w:right w:val="single" w:color="000000" w:sz="4" w:space="0"/>
            </w:tcBorders>
            <w:vAlign w:val="center"/>
          </w:tcPr>
          <w:p w14:paraId="3D45F894">
            <w:pPr>
              <w:widowControl/>
              <w:jc w:val="center"/>
              <w:textAlignment w:val="center"/>
              <w:rPr>
                <w:rFonts w:hint="eastAsia" w:ascii="宋体" w:hAnsi="宋体" w:cs="宋体"/>
                <w:color w:val="000000"/>
                <w:kern w:val="0"/>
                <w:sz w:val="20"/>
                <w:szCs w:val="20"/>
                <w:lang w:bidi="ar"/>
              </w:rPr>
            </w:pPr>
          </w:p>
        </w:tc>
      </w:tr>
      <w:tr w14:paraId="49A22BC0">
        <w:tblPrEx>
          <w:tblCellMar>
            <w:top w:w="0" w:type="dxa"/>
            <w:left w:w="108" w:type="dxa"/>
            <w:bottom w:w="0" w:type="dxa"/>
            <w:right w:w="108" w:type="dxa"/>
          </w:tblCellMar>
        </w:tblPrEx>
        <w:trPr>
          <w:trHeight w:val="20" w:hRule="atLeast"/>
          <w:jc w:val="center"/>
        </w:trPr>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59E828">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270</w:t>
            </w:r>
          </w:p>
        </w:tc>
        <w:tc>
          <w:tcPr>
            <w:tcW w:w="2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4A8E0A">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60倍放大镜（充电带LED灯）</w:t>
            </w:r>
          </w:p>
        </w:tc>
        <w:tc>
          <w:tcPr>
            <w:tcW w:w="15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BD4A10">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独立包装</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EC2765">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个</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67E691">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15</w:t>
            </w:r>
          </w:p>
        </w:tc>
        <w:tc>
          <w:tcPr>
            <w:tcW w:w="12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47F03D">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55</w:t>
            </w:r>
          </w:p>
        </w:tc>
        <w:tc>
          <w:tcPr>
            <w:tcW w:w="992" w:type="dxa"/>
            <w:tcBorders>
              <w:top w:val="single" w:color="000000" w:sz="4" w:space="0"/>
              <w:left w:val="single" w:color="000000" w:sz="4" w:space="0"/>
              <w:bottom w:val="single" w:color="000000" w:sz="4" w:space="0"/>
              <w:right w:val="single" w:color="000000" w:sz="4" w:space="0"/>
            </w:tcBorders>
            <w:vAlign w:val="center"/>
          </w:tcPr>
          <w:p w14:paraId="33EA564A">
            <w:pPr>
              <w:widowControl/>
              <w:jc w:val="center"/>
              <w:textAlignment w:val="center"/>
              <w:rPr>
                <w:rFonts w:hint="eastAsia" w:ascii="宋体" w:hAnsi="宋体" w:cs="宋体"/>
                <w:color w:val="000000"/>
                <w:kern w:val="0"/>
                <w:sz w:val="20"/>
                <w:szCs w:val="20"/>
                <w:lang w:bidi="ar"/>
              </w:rPr>
            </w:pPr>
          </w:p>
        </w:tc>
        <w:tc>
          <w:tcPr>
            <w:tcW w:w="1239" w:type="dxa"/>
            <w:tcBorders>
              <w:top w:val="single" w:color="000000" w:sz="4" w:space="0"/>
              <w:left w:val="single" w:color="000000" w:sz="4" w:space="0"/>
              <w:bottom w:val="single" w:color="000000" w:sz="4" w:space="0"/>
              <w:right w:val="single" w:color="000000" w:sz="4" w:space="0"/>
            </w:tcBorders>
            <w:vAlign w:val="center"/>
          </w:tcPr>
          <w:p w14:paraId="2C76A09E">
            <w:pPr>
              <w:widowControl/>
              <w:jc w:val="center"/>
              <w:textAlignment w:val="center"/>
              <w:rPr>
                <w:rFonts w:hint="eastAsia" w:ascii="宋体" w:hAnsi="宋体" w:cs="宋体"/>
                <w:color w:val="000000"/>
                <w:kern w:val="0"/>
                <w:sz w:val="20"/>
                <w:szCs w:val="20"/>
                <w:lang w:bidi="ar"/>
              </w:rPr>
            </w:pPr>
          </w:p>
        </w:tc>
        <w:tc>
          <w:tcPr>
            <w:tcW w:w="900" w:type="dxa"/>
            <w:tcBorders>
              <w:top w:val="single" w:color="000000" w:sz="4" w:space="0"/>
              <w:left w:val="single" w:color="000000" w:sz="4" w:space="0"/>
              <w:bottom w:val="single" w:color="000000" w:sz="4" w:space="0"/>
              <w:right w:val="single" w:color="000000" w:sz="4" w:space="0"/>
            </w:tcBorders>
            <w:vAlign w:val="center"/>
          </w:tcPr>
          <w:p w14:paraId="1B50682B">
            <w:pPr>
              <w:widowControl/>
              <w:jc w:val="center"/>
              <w:textAlignment w:val="center"/>
              <w:rPr>
                <w:rFonts w:hint="eastAsia" w:ascii="宋体" w:hAnsi="宋体" w:cs="宋体"/>
                <w:color w:val="000000"/>
                <w:kern w:val="0"/>
                <w:sz w:val="20"/>
                <w:szCs w:val="20"/>
                <w:lang w:bidi="ar"/>
              </w:rPr>
            </w:pPr>
          </w:p>
        </w:tc>
        <w:tc>
          <w:tcPr>
            <w:tcW w:w="832" w:type="dxa"/>
            <w:tcBorders>
              <w:top w:val="single" w:color="000000" w:sz="4" w:space="0"/>
              <w:left w:val="single" w:color="000000" w:sz="4" w:space="0"/>
              <w:bottom w:val="single" w:color="000000" w:sz="4" w:space="0"/>
              <w:right w:val="single" w:color="000000" w:sz="4" w:space="0"/>
            </w:tcBorders>
            <w:vAlign w:val="center"/>
          </w:tcPr>
          <w:p w14:paraId="119D169C">
            <w:pPr>
              <w:widowControl/>
              <w:jc w:val="center"/>
              <w:textAlignment w:val="center"/>
              <w:rPr>
                <w:rFonts w:hint="eastAsia" w:ascii="宋体" w:hAnsi="宋体" w:cs="宋体"/>
                <w:color w:val="000000"/>
                <w:kern w:val="0"/>
                <w:sz w:val="20"/>
                <w:szCs w:val="20"/>
                <w:lang w:bidi="ar"/>
              </w:rPr>
            </w:pPr>
          </w:p>
        </w:tc>
        <w:tc>
          <w:tcPr>
            <w:tcW w:w="1143" w:type="dxa"/>
            <w:tcBorders>
              <w:top w:val="single" w:color="000000" w:sz="4" w:space="0"/>
              <w:left w:val="single" w:color="000000" w:sz="4" w:space="0"/>
              <w:bottom w:val="single" w:color="000000" w:sz="4" w:space="0"/>
              <w:right w:val="single" w:color="000000" w:sz="4" w:space="0"/>
            </w:tcBorders>
            <w:vAlign w:val="center"/>
          </w:tcPr>
          <w:p w14:paraId="016201E3">
            <w:pPr>
              <w:widowControl/>
              <w:jc w:val="center"/>
              <w:textAlignment w:val="center"/>
              <w:rPr>
                <w:rFonts w:hint="eastAsia" w:ascii="宋体" w:hAnsi="宋体" w:cs="宋体"/>
                <w:color w:val="000000"/>
                <w:kern w:val="0"/>
                <w:sz w:val="20"/>
                <w:szCs w:val="20"/>
                <w:lang w:bidi="ar"/>
              </w:rPr>
            </w:pPr>
          </w:p>
        </w:tc>
        <w:tc>
          <w:tcPr>
            <w:tcW w:w="763" w:type="dxa"/>
            <w:tcBorders>
              <w:top w:val="single" w:color="000000" w:sz="4" w:space="0"/>
              <w:left w:val="single" w:color="000000" w:sz="4" w:space="0"/>
              <w:bottom w:val="single" w:color="000000" w:sz="4" w:space="0"/>
              <w:right w:val="single" w:color="000000" w:sz="4" w:space="0"/>
            </w:tcBorders>
            <w:vAlign w:val="center"/>
          </w:tcPr>
          <w:p w14:paraId="50EF106A">
            <w:pPr>
              <w:widowControl/>
              <w:jc w:val="center"/>
              <w:textAlignment w:val="center"/>
              <w:rPr>
                <w:rFonts w:hint="eastAsia" w:ascii="宋体" w:hAnsi="宋体" w:cs="宋体"/>
                <w:color w:val="000000"/>
                <w:kern w:val="0"/>
                <w:sz w:val="20"/>
                <w:szCs w:val="20"/>
                <w:lang w:bidi="ar"/>
              </w:rPr>
            </w:pPr>
          </w:p>
        </w:tc>
        <w:tc>
          <w:tcPr>
            <w:tcW w:w="741" w:type="dxa"/>
            <w:tcBorders>
              <w:top w:val="single" w:color="000000" w:sz="4" w:space="0"/>
              <w:left w:val="single" w:color="000000" w:sz="4" w:space="0"/>
              <w:bottom w:val="single" w:color="000000" w:sz="4" w:space="0"/>
              <w:right w:val="single" w:color="000000" w:sz="4" w:space="0"/>
            </w:tcBorders>
            <w:vAlign w:val="center"/>
          </w:tcPr>
          <w:p w14:paraId="7E825F0A">
            <w:pPr>
              <w:widowControl/>
              <w:jc w:val="center"/>
              <w:textAlignment w:val="center"/>
              <w:rPr>
                <w:rFonts w:hint="eastAsia" w:ascii="宋体" w:hAnsi="宋体" w:cs="宋体"/>
                <w:color w:val="000000"/>
                <w:kern w:val="0"/>
                <w:sz w:val="20"/>
                <w:szCs w:val="20"/>
                <w:lang w:bidi="ar"/>
              </w:rPr>
            </w:pPr>
          </w:p>
        </w:tc>
      </w:tr>
      <w:tr w14:paraId="01072B81">
        <w:tblPrEx>
          <w:tblCellMar>
            <w:top w:w="0" w:type="dxa"/>
            <w:left w:w="108" w:type="dxa"/>
            <w:bottom w:w="0" w:type="dxa"/>
            <w:right w:w="108" w:type="dxa"/>
          </w:tblCellMar>
        </w:tblPrEx>
        <w:trPr>
          <w:trHeight w:val="20" w:hRule="atLeast"/>
          <w:jc w:val="center"/>
        </w:trPr>
        <w:tc>
          <w:tcPr>
            <w:tcW w:w="13632" w:type="dxa"/>
            <w:gridSpan w:val="12"/>
            <w:tcBorders>
              <w:top w:val="single" w:color="000000" w:sz="4" w:space="0"/>
              <w:left w:val="single" w:color="000000" w:sz="4" w:space="0"/>
              <w:bottom w:val="single" w:color="000000" w:sz="4" w:space="0"/>
              <w:right w:val="single" w:color="000000" w:sz="4" w:space="0"/>
            </w:tcBorders>
            <w:shd w:val="clear" w:color="auto" w:fill="auto"/>
            <w:vAlign w:val="center"/>
          </w:tcPr>
          <w:p w14:paraId="383B89F1">
            <w:pPr>
              <w:widowControl/>
              <w:jc w:val="center"/>
              <w:textAlignment w:val="center"/>
              <w:rPr>
                <w:rFonts w:hint="eastAsia" w:ascii="宋体" w:hAnsi="宋体" w:cs="宋体"/>
                <w:color w:val="000000"/>
                <w:kern w:val="0"/>
                <w:sz w:val="20"/>
                <w:szCs w:val="20"/>
                <w:lang w:bidi="ar"/>
              </w:rPr>
            </w:pPr>
            <w:r>
              <w:rPr>
                <w:rFonts w:hint="eastAsia" w:ascii="宋体" w:hAnsi="宋体" w:cs="宋体"/>
                <w:color w:val="000000"/>
                <w:kern w:val="0"/>
                <w:szCs w:val="21"/>
              </w:rPr>
              <w:t>总价（元）</w:t>
            </w:r>
          </w:p>
        </w:tc>
        <w:tc>
          <w:tcPr>
            <w:tcW w:w="741" w:type="dxa"/>
            <w:tcBorders>
              <w:top w:val="single" w:color="000000" w:sz="4" w:space="0"/>
              <w:left w:val="single" w:color="000000" w:sz="4" w:space="0"/>
              <w:bottom w:val="single" w:color="000000" w:sz="4" w:space="0"/>
              <w:right w:val="single" w:color="000000" w:sz="4" w:space="0"/>
            </w:tcBorders>
            <w:vAlign w:val="center"/>
          </w:tcPr>
          <w:p w14:paraId="03B19252">
            <w:pPr>
              <w:widowControl/>
              <w:jc w:val="center"/>
              <w:textAlignment w:val="center"/>
              <w:rPr>
                <w:rFonts w:hint="eastAsia" w:ascii="宋体" w:hAnsi="宋体" w:cs="宋体"/>
                <w:color w:val="000000"/>
                <w:kern w:val="0"/>
                <w:sz w:val="20"/>
                <w:szCs w:val="20"/>
                <w:lang w:bidi="ar"/>
              </w:rPr>
            </w:pPr>
          </w:p>
        </w:tc>
      </w:tr>
    </w:tbl>
    <w:p w14:paraId="3B20CE46">
      <w:pPr>
        <w:rPr>
          <w:rFonts w:ascii="宋体" w:hAnsi="宋体" w:cs="宋体"/>
          <w:sz w:val="20"/>
          <w:szCs w:val="20"/>
        </w:rPr>
      </w:pPr>
      <w:r>
        <w:rPr>
          <w:rFonts w:hint="eastAsia" w:ascii="宋体" w:hAnsi="宋体" w:cs="宋体"/>
          <w:sz w:val="20"/>
          <w:szCs w:val="20"/>
        </w:rPr>
        <w:t>注：1.如项目划分采购包，则本表应按包分别填写。</w:t>
      </w:r>
    </w:p>
    <w:p w14:paraId="79C47C9E">
      <w:pPr>
        <w:rPr>
          <w:rFonts w:ascii="宋体" w:hAnsi="宋体" w:cs="宋体"/>
          <w:sz w:val="20"/>
          <w:szCs w:val="20"/>
        </w:rPr>
      </w:pPr>
      <w:r>
        <w:rPr>
          <w:rFonts w:hint="eastAsia" w:ascii="宋体" w:hAnsi="宋体" w:cs="宋体"/>
          <w:sz w:val="20"/>
          <w:szCs w:val="20"/>
        </w:rPr>
        <w:t>2.如果不提供分项报价将视为没有实质性响应招标文件。</w:t>
      </w:r>
    </w:p>
    <w:p w14:paraId="4DDF6408">
      <w:pPr>
        <w:rPr>
          <w:rFonts w:ascii="宋体" w:hAnsi="宋体" w:cs="宋体"/>
          <w:sz w:val="20"/>
          <w:szCs w:val="20"/>
        </w:rPr>
      </w:pPr>
      <w:r>
        <w:rPr>
          <w:rFonts w:hint="eastAsia" w:ascii="宋体" w:hAnsi="宋体" w:cs="宋体"/>
          <w:sz w:val="20"/>
          <w:szCs w:val="20"/>
        </w:rPr>
        <w:t>3.上述各项的详细规格（如有），可另页描述。</w:t>
      </w:r>
    </w:p>
    <w:p w14:paraId="38869D8F">
      <w:pPr>
        <w:rPr>
          <w:rFonts w:ascii="宋体" w:hAnsi="宋体"/>
          <w:lang w:val="zh-CN"/>
        </w:rPr>
      </w:pPr>
      <w:r>
        <w:rPr>
          <w:rFonts w:hint="eastAsia" w:ascii="宋体" w:hAnsi="宋体" w:cs="宋体"/>
          <w:sz w:val="20"/>
          <w:szCs w:val="20"/>
        </w:rPr>
        <w:t>4.制造商规模列应填写“大型 ”、“中型”、“小型”、“微型”或“其他”，且不应与《中小企业声明函》或《拟分包情况说明》中内容矛盾。制造商所属性别请填写“男 ”或 “女 ”，指拥有制造商 51%以上绝对所有权的性别 ；绝对所有权拥有者可以是一个人，也可以是多人合计计算。外商投资类型请填写 “外商单独投资”、“外商部分投资”或“内资”。</w:t>
      </w:r>
    </w:p>
    <w:p w14:paraId="65FFFA7B">
      <w:pPr>
        <w:autoSpaceDE w:val="0"/>
        <w:autoSpaceDN w:val="0"/>
        <w:adjustRightInd w:val="0"/>
        <w:snapToGrid w:val="0"/>
        <w:spacing w:before="25" w:after="25" w:line="360" w:lineRule="auto"/>
        <w:rPr>
          <w:rFonts w:ascii="宋体" w:hAnsi="宋体"/>
          <w:sz w:val="24"/>
        </w:rPr>
      </w:pPr>
    </w:p>
    <w:p w14:paraId="3528461C">
      <w:pPr>
        <w:autoSpaceDE w:val="0"/>
        <w:autoSpaceDN w:val="0"/>
        <w:adjustRightInd w:val="0"/>
        <w:snapToGrid w:val="0"/>
        <w:spacing w:before="25" w:after="25" w:line="360" w:lineRule="auto"/>
        <w:rPr>
          <w:rFonts w:ascii="宋体" w:hAnsi="宋体"/>
          <w:sz w:val="24"/>
          <w:lang w:val="zh-CN"/>
        </w:rPr>
      </w:pPr>
      <w:r>
        <w:rPr>
          <w:rFonts w:ascii="宋体" w:hAnsi="宋体"/>
          <w:sz w:val="24"/>
        </w:rPr>
        <w:t>投标人名称（加盖公章）</w:t>
      </w:r>
      <w:r>
        <w:rPr>
          <w:rFonts w:ascii="宋体" w:hAnsi="宋体"/>
          <w:sz w:val="24"/>
          <w:lang w:val="zh-CN"/>
        </w:rPr>
        <w:t>：____________</w:t>
      </w:r>
    </w:p>
    <w:p w14:paraId="64EE4A63">
      <w:pPr>
        <w:autoSpaceDE w:val="0"/>
        <w:autoSpaceDN w:val="0"/>
        <w:adjustRightInd w:val="0"/>
        <w:snapToGrid w:val="0"/>
        <w:spacing w:before="25" w:after="25" w:line="360" w:lineRule="auto"/>
        <w:rPr>
          <w:rFonts w:ascii="宋体" w:hAnsi="宋体"/>
          <w:sz w:val="24"/>
          <w:lang w:val="zh-CN"/>
        </w:rPr>
      </w:pPr>
      <w:r>
        <w:rPr>
          <w:rFonts w:ascii="宋体" w:hAnsi="宋体"/>
          <w:sz w:val="24"/>
          <w:szCs w:val="20"/>
        </w:rPr>
        <w:t>日期：_____年______月______日</w:t>
      </w:r>
    </w:p>
    <w:p w14:paraId="3B6E41B9">
      <w:pPr>
        <w:rPr>
          <w:rFonts w:ascii="宋体" w:hAnsi="宋体"/>
          <w:sz w:val="24"/>
          <w:szCs w:val="20"/>
        </w:rPr>
        <w:sectPr>
          <w:pgSz w:w="16840" w:h="11907" w:orient="landscape"/>
          <w:pgMar w:top="1800" w:right="1440" w:bottom="1800" w:left="1440" w:header="851" w:footer="851" w:gutter="0"/>
          <w:cols w:space="720" w:num="1"/>
          <w:docGrid w:linePitch="462" w:charSpace="0"/>
        </w:sectPr>
      </w:pPr>
    </w:p>
    <w:bookmarkEnd w:id="842"/>
    <w:bookmarkEnd w:id="843"/>
    <w:bookmarkEnd w:id="844"/>
    <w:bookmarkEnd w:id="845"/>
    <w:bookmarkEnd w:id="846"/>
    <w:bookmarkEnd w:id="847"/>
    <w:bookmarkEnd w:id="848"/>
    <w:bookmarkEnd w:id="849"/>
    <w:bookmarkEnd w:id="850"/>
    <w:bookmarkEnd w:id="851"/>
    <w:bookmarkEnd w:id="852"/>
    <w:bookmarkEnd w:id="853"/>
    <w:bookmarkEnd w:id="854"/>
    <w:p w14:paraId="557ABB29">
      <w:pPr>
        <w:spacing w:line="360" w:lineRule="auto"/>
        <w:outlineLvl w:val="2"/>
        <w:rPr>
          <w:rFonts w:ascii="宋体" w:hAnsi="宋体"/>
          <w:sz w:val="24"/>
          <w:szCs w:val="20"/>
        </w:rPr>
      </w:pPr>
      <w:bookmarkStart w:id="866" w:name="_Toc142311062"/>
      <w:bookmarkStart w:id="867" w:name="_Toc226309806"/>
      <w:bookmarkStart w:id="868" w:name="_Toc226337258"/>
      <w:bookmarkStart w:id="869" w:name="_Toc127151562"/>
      <w:bookmarkStart w:id="870" w:name="_Toc305158904"/>
      <w:bookmarkStart w:id="871" w:name="_Toc305158830"/>
      <w:bookmarkStart w:id="872" w:name="_Toc195842927"/>
      <w:bookmarkStart w:id="873" w:name="_Toc150774765"/>
      <w:bookmarkStart w:id="874" w:name="_Toc150480798"/>
      <w:bookmarkStart w:id="875" w:name="_Toc264969252"/>
      <w:bookmarkStart w:id="876" w:name="_Toc226965752"/>
      <w:bookmarkStart w:id="877" w:name="_Toc226965835"/>
      <w:bookmarkStart w:id="878" w:name="_Toc265228400"/>
      <w:bookmarkStart w:id="879" w:name="_Toc150774764"/>
      <w:bookmarkStart w:id="880" w:name="_Toc127151561"/>
      <w:bookmarkStart w:id="881" w:name="_Toc305158829"/>
      <w:bookmarkStart w:id="882" w:name="_Toc150480797"/>
      <w:bookmarkStart w:id="883" w:name="_Toc142311061"/>
      <w:bookmarkStart w:id="884" w:name="_Toc264969251"/>
      <w:bookmarkStart w:id="885" w:name="_Toc226965834"/>
      <w:bookmarkStart w:id="886" w:name="_Toc195842926"/>
      <w:bookmarkStart w:id="887" w:name="_Toc226309805"/>
      <w:bookmarkStart w:id="888" w:name="_Toc265228399"/>
      <w:bookmarkStart w:id="889" w:name="_Toc226337257"/>
      <w:bookmarkStart w:id="890" w:name="_Toc305158903"/>
      <w:bookmarkStart w:id="891" w:name="_Toc226965751"/>
      <w:r>
        <w:rPr>
          <w:rFonts w:ascii="宋体" w:hAnsi="宋体"/>
          <w:sz w:val="24"/>
          <w:szCs w:val="20"/>
        </w:rPr>
        <w:t xml:space="preserve">5  </w:t>
      </w:r>
      <w:r>
        <w:rPr>
          <w:rFonts w:hint="eastAsia" w:ascii="宋体" w:hAnsi="宋体"/>
          <w:sz w:val="24"/>
          <w:szCs w:val="20"/>
        </w:rPr>
        <w:t>商务</w:t>
      </w:r>
      <w:r>
        <w:rPr>
          <w:rFonts w:ascii="宋体" w:hAnsi="宋体"/>
          <w:sz w:val="24"/>
          <w:szCs w:val="20"/>
        </w:rPr>
        <w:t>条款偏离表</w:t>
      </w:r>
      <w:bookmarkEnd w:id="866"/>
      <w:bookmarkEnd w:id="867"/>
      <w:bookmarkEnd w:id="868"/>
      <w:bookmarkEnd w:id="869"/>
      <w:bookmarkEnd w:id="870"/>
      <w:bookmarkEnd w:id="871"/>
      <w:bookmarkEnd w:id="872"/>
      <w:bookmarkEnd w:id="873"/>
      <w:bookmarkEnd w:id="874"/>
      <w:bookmarkEnd w:id="875"/>
      <w:bookmarkEnd w:id="876"/>
      <w:bookmarkEnd w:id="877"/>
      <w:bookmarkEnd w:id="878"/>
      <w:r>
        <w:rPr>
          <w:rFonts w:ascii="宋体" w:hAnsi="宋体"/>
          <w:sz w:val="24"/>
          <w:szCs w:val="20"/>
        </w:rPr>
        <w:t>（实质性格式）</w:t>
      </w:r>
    </w:p>
    <w:p w14:paraId="4C6C1711">
      <w:pPr>
        <w:spacing w:line="360" w:lineRule="auto"/>
        <w:rPr>
          <w:rFonts w:ascii="宋体" w:hAnsi="宋体"/>
          <w:sz w:val="24"/>
          <w:szCs w:val="20"/>
        </w:rPr>
      </w:pPr>
    </w:p>
    <w:p w14:paraId="54870AAA">
      <w:pPr>
        <w:tabs>
          <w:tab w:val="left" w:pos="2775"/>
          <w:tab w:val="center" w:pos="4153"/>
        </w:tabs>
        <w:autoSpaceDE w:val="0"/>
        <w:autoSpaceDN w:val="0"/>
        <w:adjustRightInd w:val="0"/>
        <w:spacing w:line="360" w:lineRule="auto"/>
        <w:jc w:val="center"/>
        <w:rPr>
          <w:rFonts w:ascii="宋体" w:hAnsi="宋体"/>
          <w:b/>
          <w:sz w:val="36"/>
          <w:szCs w:val="36"/>
        </w:rPr>
      </w:pPr>
      <w:r>
        <w:rPr>
          <w:rFonts w:hint="eastAsia" w:ascii="宋体" w:hAnsi="宋体"/>
          <w:b/>
          <w:sz w:val="36"/>
          <w:szCs w:val="36"/>
        </w:rPr>
        <w:t>商务条款偏离表</w:t>
      </w:r>
    </w:p>
    <w:p w14:paraId="10701BF6">
      <w:pPr>
        <w:spacing w:line="360" w:lineRule="auto"/>
        <w:rPr>
          <w:rFonts w:ascii="宋体" w:hAnsi="宋体"/>
          <w:sz w:val="24"/>
          <w:szCs w:val="20"/>
        </w:rPr>
      </w:pPr>
    </w:p>
    <w:p w14:paraId="0078C3BA">
      <w:pPr>
        <w:tabs>
          <w:tab w:val="left" w:pos="1800"/>
          <w:tab w:val="left" w:pos="5580"/>
        </w:tabs>
        <w:spacing w:line="360" w:lineRule="auto"/>
        <w:ind w:firstLine="360" w:firstLineChars="150"/>
        <w:jc w:val="left"/>
        <w:rPr>
          <w:rFonts w:ascii="宋体" w:hAnsi="宋体"/>
          <w:sz w:val="24"/>
        </w:rPr>
      </w:pPr>
      <w:r>
        <w:rPr>
          <w:rFonts w:ascii="宋体" w:hAnsi="宋体"/>
          <w:sz w:val="24"/>
        </w:rPr>
        <w:t>项目编号：_____________________     项目名称：_____________</w:t>
      </w:r>
    </w:p>
    <w:tbl>
      <w:tblPr>
        <w:tblStyle w:val="27"/>
        <w:tblW w:w="843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6"/>
        <w:gridCol w:w="1431"/>
        <w:gridCol w:w="1841"/>
        <w:gridCol w:w="1982"/>
        <w:gridCol w:w="1639"/>
        <w:gridCol w:w="850"/>
      </w:tblGrid>
      <w:tr w14:paraId="3E0BB9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696" w:type="dxa"/>
            <w:vAlign w:val="center"/>
          </w:tcPr>
          <w:p w14:paraId="7219669E">
            <w:pPr>
              <w:adjustRightInd w:val="0"/>
              <w:snapToGrid w:val="0"/>
              <w:jc w:val="center"/>
              <w:rPr>
                <w:rFonts w:ascii="宋体" w:hAnsi="宋体"/>
                <w:sz w:val="24"/>
              </w:rPr>
            </w:pPr>
            <w:r>
              <w:rPr>
                <w:rFonts w:hint="eastAsia" w:ascii="宋体" w:hAnsi="宋体"/>
                <w:sz w:val="24"/>
              </w:rPr>
              <w:t>序号</w:t>
            </w:r>
          </w:p>
        </w:tc>
        <w:tc>
          <w:tcPr>
            <w:tcW w:w="1431" w:type="dxa"/>
            <w:vAlign w:val="center"/>
          </w:tcPr>
          <w:p w14:paraId="36E13D63">
            <w:pPr>
              <w:adjustRightInd w:val="0"/>
              <w:snapToGrid w:val="0"/>
              <w:jc w:val="center"/>
              <w:rPr>
                <w:rFonts w:ascii="宋体" w:hAnsi="宋体"/>
                <w:sz w:val="24"/>
              </w:rPr>
            </w:pPr>
            <w:r>
              <w:rPr>
                <w:rFonts w:hint="eastAsia" w:ascii="宋体" w:hAnsi="宋体"/>
                <w:sz w:val="24"/>
                <w:szCs w:val="21"/>
              </w:rPr>
              <w:t>招标文件</w:t>
            </w:r>
            <w:r>
              <w:rPr>
                <w:rFonts w:hint="eastAsia" w:ascii="宋体" w:hAnsi="宋体"/>
                <w:sz w:val="24"/>
              </w:rPr>
              <w:t>条目号（页码）</w:t>
            </w:r>
          </w:p>
        </w:tc>
        <w:tc>
          <w:tcPr>
            <w:tcW w:w="1841" w:type="dxa"/>
            <w:vAlign w:val="center"/>
          </w:tcPr>
          <w:p w14:paraId="03B5C244">
            <w:pPr>
              <w:adjustRightInd w:val="0"/>
              <w:snapToGrid w:val="0"/>
              <w:jc w:val="center"/>
              <w:rPr>
                <w:rFonts w:ascii="宋体" w:hAnsi="宋体"/>
                <w:sz w:val="24"/>
              </w:rPr>
            </w:pPr>
            <w:r>
              <w:rPr>
                <w:rFonts w:hint="eastAsia" w:ascii="宋体" w:hAnsi="宋体"/>
                <w:sz w:val="24"/>
                <w:szCs w:val="21"/>
              </w:rPr>
              <w:t>招标文件</w:t>
            </w:r>
            <w:r>
              <w:rPr>
                <w:rFonts w:hint="eastAsia" w:ascii="宋体" w:hAnsi="宋体"/>
                <w:sz w:val="24"/>
              </w:rPr>
              <w:t>要求</w:t>
            </w:r>
          </w:p>
        </w:tc>
        <w:tc>
          <w:tcPr>
            <w:tcW w:w="1982" w:type="dxa"/>
            <w:vAlign w:val="center"/>
          </w:tcPr>
          <w:p w14:paraId="72973B01">
            <w:pPr>
              <w:adjustRightInd w:val="0"/>
              <w:snapToGrid w:val="0"/>
              <w:jc w:val="center"/>
              <w:rPr>
                <w:rFonts w:ascii="宋体" w:hAnsi="宋体"/>
                <w:sz w:val="24"/>
              </w:rPr>
            </w:pPr>
            <w:r>
              <w:rPr>
                <w:rFonts w:hint="eastAsia" w:ascii="宋体" w:hAnsi="宋体"/>
                <w:sz w:val="24"/>
              </w:rPr>
              <w:t>投标文件内容</w:t>
            </w:r>
          </w:p>
        </w:tc>
        <w:tc>
          <w:tcPr>
            <w:tcW w:w="1639" w:type="dxa"/>
            <w:vAlign w:val="center"/>
          </w:tcPr>
          <w:p w14:paraId="597EC2A7">
            <w:pPr>
              <w:adjustRightInd w:val="0"/>
              <w:snapToGrid w:val="0"/>
              <w:jc w:val="center"/>
              <w:rPr>
                <w:rFonts w:ascii="宋体" w:hAnsi="宋体"/>
                <w:sz w:val="24"/>
              </w:rPr>
            </w:pPr>
            <w:r>
              <w:rPr>
                <w:rFonts w:hint="eastAsia" w:ascii="宋体" w:hAnsi="宋体"/>
                <w:sz w:val="24"/>
              </w:rPr>
              <w:t>偏离情况</w:t>
            </w:r>
          </w:p>
        </w:tc>
        <w:tc>
          <w:tcPr>
            <w:tcW w:w="850" w:type="dxa"/>
            <w:vAlign w:val="center"/>
          </w:tcPr>
          <w:p w14:paraId="4F588379">
            <w:pPr>
              <w:adjustRightInd w:val="0"/>
              <w:snapToGrid w:val="0"/>
              <w:jc w:val="center"/>
              <w:rPr>
                <w:rFonts w:ascii="宋体" w:hAnsi="宋体"/>
                <w:sz w:val="24"/>
              </w:rPr>
            </w:pPr>
            <w:r>
              <w:rPr>
                <w:rFonts w:hint="eastAsia" w:ascii="宋体" w:hAnsi="宋体"/>
                <w:sz w:val="24"/>
              </w:rPr>
              <w:t>说明</w:t>
            </w:r>
          </w:p>
        </w:tc>
      </w:tr>
      <w:tr w14:paraId="252EC6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8439" w:type="dxa"/>
            <w:gridSpan w:val="6"/>
            <w:vAlign w:val="center"/>
          </w:tcPr>
          <w:p w14:paraId="66375FA3">
            <w:pPr>
              <w:widowControl/>
              <w:jc w:val="left"/>
              <w:rPr>
                <w:rFonts w:ascii="宋体" w:hAnsi="宋体"/>
              </w:rPr>
            </w:pPr>
            <w:r>
              <w:rPr>
                <w:rFonts w:hint="eastAsia" w:ascii="宋体" w:hAnsi="宋体" w:cs="宋体"/>
                <w:b/>
                <w:bCs/>
                <w:kern w:val="0"/>
                <w:sz w:val="24"/>
                <w:lang w:bidi="ar"/>
              </w:rPr>
              <w:t>对本项目商务条款的偏离情况</w:t>
            </w:r>
            <w:r>
              <w:rPr>
                <w:rFonts w:hint="eastAsia" w:ascii="宋体" w:hAnsi="宋体" w:cs="宋体"/>
                <w:kern w:val="0"/>
                <w:sz w:val="24"/>
                <w:lang w:bidi="ar"/>
              </w:rPr>
              <w:t>（应进行选择，未选择</w:t>
            </w:r>
            <w:r>
              <w:rPr>
                <w:rFonts w:hint="eastAsia" w:ascii="宋体" w:hAnsi="宋体" w:cs="宋体"/>
                <w:b/>
                <w:bCs/>
                <w:kern w:val="0"/>
                <w:sz w:val="24"/>
                <w:lang w:bidi="ar"/>
              </w:rPr>
              <w:t>投标无效</w:t>
            </w:r>
            <w:r>
              <w:rPr>
                <w:rFonts w:hint="eastAsia" w:ascii="宋体" w:hAnsi="宋体" w:cs="宋体"/>
                <w:kern w:val="0"/>
                <w:sz w:val="24"/>
                <w:lang w:bidi="ar"/>
              </w:rPr>
              <w:t>）：</w:t>
            </w:r>
          </w:p>
          <w:p w14:paraId="74ADE3FF">
            <w:pPr>
              <w:widowControl/>
              <w:jc w:val="left"/>
              <w:rPr>
                <w:rFonts w:ascii="宋体" w:hAnsi="宋体"/>
              </w:rPr>
            </w:pPr>
            <w:r>
              <w:rPr>
                <w:rFonts w:ascii="宋体" w:hAnsi="宋体" w:cs="DejaVuSans-Bold"/>
                <w:b/>
                <w:bCs/>
                <w:kern w:val="0"/>
                <w:sz w:val="24"/>
                <w:lang w:bidi="ar"/>
              </w:rPr>
              <w:t>□</w:t>
            </w:r>
            <w:r>
              <w:rPr>
                <w:rFonts w:hint="eastAsia" w:ascii="宋体" w:hAnsi="宋体" w:cs="宋体"/>
                <w:b/>
                <w:bCs/>
                <w:kern w:val="0"/>
                <w:sz w:val="24"/>
                <w:lang w:bidi="ar"/>
              </w:rPr>
              <w:t>无偏离</w:t>
            </w:r>
            <w:r>
              <w:rPr>
                <w:rFonts w:hint="eastAsia" w:ascii="宋体" w:hAnsi="宋体" w:cs="宋体"/>
                <w:kern w:val="0"/>
                <w:sz w:val="24"/>
                <w:lang w:bidi="ar"/>
              </w:rPr>
              <w:t>（如无偏离，仅选择无偏离即可；无偏离即为对商务条款中的所有要求，均视作供应商已对之理解和响应。）</w:t>
            </w:r>
          </w:p>
          <w:p w14:paraId="76AB9EF8">
            <w:pPr>
              <w:widowControl/>
              <w:jc w:val="left"/>
              <w:rPr>
                <w:rFonts w:ascii="宋体" w:hAnsi="宋体"/>
              </w:rPr>
            </w:pPr>
            <w:r>
              <w:rPr>
                <w:rFonts w:ascii="宋体" w:hAnsi="宋体" w:cs="DejaVuSans-Bold"/>
                <w:b/>
                <w:bCs/>
                <w:kern w:val="0"/>
                <w:sz w:val="24"/>
                <w:lang w:bidi="ar"/>
              </w:rPr>
              <w:t>□</w:t>
            </w:r>
            <w:r>
              <w:rPr>
                <w:rFonts w:hint="eastAsia" w:ascii="宋体" w:hAnsi="宋体" w:cs="宋体"/>
                <w:b/>
                <w:bCs/>
                <w:kern w:val="0"/>
                <w:sz w:val="24"/>
                <w:lang w:bidi="ar"/>
              </w:rPr>
              <w:t>有偏离</w:t>
            </w:r>
            <w:r>
              <w:rPr>
                <w:rFonts w:hint="eastAsia" w:ascii="宋体" w:hAnsi="宋体" w:cs="宋体"/>
                <w:kern w:val="0"/>
                <w:sz w:val="24"/>
                <w:lang w:bidi="ar"/>
              </w:rPr>
              <w:t>（如有偏离，则应在本表中对偏离项逐一列明，否则</w:t>
            </w:r>
            <w:r>
              <w:rPr>
                <w:rFonts w:hint="eastAsia" w:ascii="宋体" w:hAnsi="宋体" w:cs="宋体"/>
                <w:b/>
                <w:bCs/>
                <w:kern w:val="0"/>
                <w:sz w:val="24"/>
                <w:lang w:bidi="ar"/>
              </w:rPr>
              <w:t>投标无效</w:t>
            </w:r>
            <w:r>
              <w:rPr>
                <w:rFonts w:hint="eastAsia" w:ascii="宋体" w:hAnsi="宋体" w:cs="宋体"/>
                <w:kern w:val="0"/>
                <w:sz w:val="24"/>
                <w:lang w:bidi="ar"/>
              </w:rPr>
              <w:t xml:space="preserve">；对商务条款中的所有要求，除本表列明的偏离外，均视作供应商已对之理解和响应。） </w:t>
            </w:r>
          </w:p>
        </w:tc>
      </w:tr>
      <w:tr w14:paraId="0BD451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696" w:type="dxa"/>
            <w:vAlign w:val="center"/>
          </w:tcPr>
          <w:p w14:paraId="40064D98">
            <w:pPr>
              <w:adjustRightInd w:val="0"/>
              <w:snapToGrid w:val="0"/>
              <w:jc w:val="center"/>
              <w:rPr>
                <w:rFonts w:ascii="宋体" w:hAnsi="宋体"/>
                <w:sz w:val="24"/>
              </w:rPr>
            </w:pPr>
          </w:p>
        </w:tc>
        <w:tc>
          <w:tcPr>
            <w:tcW w:w="1431" w:type="dxa"/>
            <w:vAlign w:val="center"/>
          </w:tcPr>
          <w:p w14:paraId="56326D0A">
            <w:pPr>
              <w:adjustRightInd w:val="0"/>
              <w:snapToGrid w:val="0"/>
              <w:jc w:val="center"/>
              <w:rPr>
                <w:rFonts w:ascii="宋体" w:hAnsi="宋体"/>
                <w:sz w:val="24"/>
              </w:rPr>
            </w:pPr>
          </w:p>
        </w:tc>
        <w:tc>
          <w:tcPr>
            <w:tcW w:w="1841" w:type="dxa"/>
            <w:vAlign w:val="center"/>
          </w:tcPr>
          <w:p w14:paraId="27D559B7">
            <w:pPr>
              <w:adjustRightInd w:val="0"/>
              <w:snapToGrid w:val="0"/>
              <w:jc w:val="center"/>
              <w:rPr>
                <w:rFonts w:ascii="宋体" w:hAnsi="宋体"/>
                <w:sz w:val="24"/>
              </w:rPr>
            </w:pPr>
          </w:p>
        </w:tc>
        <w:tc>
          <w:tcPr>
            <w:tcW w:w="1982" w:type="dxa"/>
            <w:vAlign w:val="center"/>
          </w:tcPr>
          <w:p w14:paraId="114E6111">
            <w:pPr>
              <w:adjustRightInd w:val="0"/>
              <w:snapToGrid w:val="0"/>
              <w:jc w:val="center"/>
              <w:rPr>
                <w:rFonts w:ascii="宋体" w:hAnsi="宋体"/>
                <w:sz w:val="24"/>
              </w:rPr>
            </w:pPr>
          </w:p>
        </w:tc>
        <w:tc>
          <w:tcPr>
            <w:tcW w:w="1639" w:type="dxa"/>
            <w:vAlign w:val="center"/>
          </w:tcPr>
          <w:p w14:paraId="392402E5">
            <w:pPr>
              <w:adjustRightInd w:val="0"/>
              <w:snapToGrid w:val="0"/>
              <w:jc w:val="center"/>
              <w:rPr>
                <w:rFonts w:ascii="宋体" w:hAnsi="宋体"/>
                <w:sz w:val="24"/>
              </w:rPr>
            </w:pPr>
          </w:p>
        </w:tc>
        <w:tc>
          <w:tcPr>
            <w:tcW w:w="850" w:type="dxa"/>
            <w:vAlign w:val="center"/>
          </w:tcPr>
          <w:p w14:paraId="2A8EC3D8">
            <w:pPr>
              <w:adjustRightInd w:val="0"/>
              <w:snapToGrid w:val="0"/>
              <w:jc w:val="center"/>
              <w:rPr>
                <w:rFonts w:ascii="宋体" w:hAnsi="宋体"/>
                <w:sz w:val="24"/>
              </w:rPr>
            </w:pPr>
          </w:p>
        </w:tc>
      </w:tr>
      <w:tr w14:paraId="67CF5E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696" w:type="dxa"/>
            <w:vAlign w:val="center"/>
          </w:tcPr>
          <w:p w14:paraId="4D0DE882">
            <w:pPr>
              <w:adjustRightInd w:val="0"/>
              <w:snapToGrid w:val="0"/>
              <w:jc w:val="center"/>
              <w:rPr>
                <w:rFonts w:ascii="宋体" w:hAnsi="宋体"/>
                <w:sz w:val="24"/>
              </w:rPr>
            </w:pPr>
          </w:p>
        </w:tc>
        <w:tc>
          <w:tcPr>
            <w:tcW w:w="1431" w:type="dxa"/>
            <w:vAlign w:val="center"/>
          </w:tcPr>
          <w:p w14:paraId="560886BF">
            <w:pPr>
              <w:adjustRightInd w:val="0"/>
              <w:snapToGrid w:val="0"/>
              <w:jc w:val="center"/>
              <w:rPr>
                <w:rFonts w:ascii="宋体" w:hAnsi="宋体"/>
                <w:sz w:val="24"/>
              </w:rPr>
            </w:pPr>
          </w:p>
        </w:tc>
        <w:tc>
          <w:tcPr>
            <w:tcW w:w="1841" w:type="dxa"/>
            <w:vAlign w:val="center"/>
          </w:tcPr>
          <w:p w14:paraId="239F9D37">
            <w:pPr>
              <w:adjustRightInd w:val="0"/>
              <w:snapToGrid w:val="0"/>
              <w:jc w:val="center"/>
              <w:rPr>
                <w:rFonts w:ascii="宋体" w:hAnsi="宋体"/>
                <w:sz w:val="24"/>
              </w:rPr>
            </w:pPr>
          </w:p>
        </w:tc>
        <w:tc>
          <w:tcPr>
            <w:tcW w:w="1982" w:type="dxa"/>
            <w:vAlign w:val="center"/>
          </w:tcPr>
          <w:p w14:paraId="2F01503A">
            <w:pPr>
              <w:adjustRightInd w:val="0"/>
              <w:snapToGrid w:val="0"/>
              <w:jc w:val="center"/>
              <w:rPr>
                <w:rFonts w:ascii="宋体" w:hAnsi="宋体"/>
                <w:sz w:val="24"/>
              </w:rPr>
            </w:pPr>
          </w:p>
        </w:tc>
        <w:tc>
          <w:tcPr>
            <w:tcW w:w="1639" w:type="dxa"/>
            <w:vAlign w:val="center"/>
          </w:tcPr>
          <w:p w14:paraId="4AAC4E0C">
            <w:pPr>
              <w:adjustRightInd w:val="0"/>
              <w:snapToGrid w:val="0"/>
              <w:jc w:val="center"/>
              <w:rPr>
                <w:rFonts w:ascii="宋体" w:hAnsi="宋体"/>
                <w:sz w:val="24"/>
              </w:rPr>
            </w:pPr>
          </w:p>
        </w:tc>
        <w:tc>
          <w:tcPr>
            <w:tcW w:w="850" w:type="dxa"/>
            <w:vAlign w:val="center"/>
          </w:tcPr>
          <w:p w14:paraId="7C0EA67D">
            <w:pPr>
              <w:adjustRightInd w:val="0"/>
              <w:snapToGrid w:val="0"/>
              <w:jc w:val="center"/>
              <w:rPr>
                <w:rFonts w:ascii="宋体" w:hAnsi="宋体"/>
                <w:sz w:val="24"/>
              </w:rPr>
            </w:pPr>
          </w:p>
        </w:tc>
      </w:tr>
      <w:tr w14:paraId="2A5050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696" w:type="dxa"/>
            <w:vAlign w:val="center"/>
          </w:tcPr>
          <w:p w14:paraId="0E86105C">
            <w:pPr>
              <w:adjustRightInd w:val="0"/>
              <w:snapToGrid w:val="0"/>
              <w:jc w:val="center"/>
              <w:rPr>
                <w:rFonts w:ascii="宋体" w:hAnsi="宋体"/>
                <w:sz w:val="24"/>
              </w:rPr>
            </w:pPr>
          </w:p>
        </w:tc>
        <w:tc>
          <w:tcPr>
            <w:tcW w:w="1431" w:type="dxa"/>
            <w:vAlign w:val="center"/>
          </w:tcPr>
          <w:p w14:paraId="6055C211">
            <w:pPr>
              <w:adjustRightInd w:val="0"/>
              <w:snapToGrid w:val="0"/>
              <w:jc w:val="center"/>
              <w:rPr>
                <w:rFonts w:ascii="宋体" w:hAnsi="宋体"/>
                <w:sz w:val="24"/>
              </w:rPr>
            </w:pPr>
          </w:p>
        </w:tc>
        <w:tc>
          <w:tcPr>
            <w:tcW w:w="1841" w:type="dxa"/>
            <w:vAlign w:val="center"/>
          </w:tcPr>
          <w:p w14:paraId="41AE158E">
            <w:pPr>
              <w:adjustRightInd w:val="0"/>
              <w:snapToGrid w:val="0"/>
              <w:jc w:val="center"/>
              <w:rPr>
                <w:rFonts w:ascii="宋体" w:hAnsi="宋体"/>
                <w:sz w:val="24"/>
              </w:rPr>
            </w:pPr>
          </w:p>
        </w:tc>
        <w:tc>
          <w:tcPr>
            <w:tcW w:w="1982" w:type="dxa"/>
            <w:vAlign w:val="center"/>
          </w:tcPr>
          <w:p w14:paraId="5E21DB5D">
            <w:pPr>
              <w:adjustRightInd w:val="0"/>
              <w:snapToGrid w:val="0"/>
              <w:jc w:val="center"/>
              <w:rPr>
                <w:rFonts w:ascii="宋体" w:hAnsi="宋体"/>
                <w:sz w:val="24"/>
              </w:rPr>
            </w:pPr>
          </w:p>
        </w:tc>
        <w:tc>
          <w:tcPr>
            <w:tcW w:w="1639" w:type="dxa"/>
            <w:vAlign w:val="center"/>
          </w:tcPr>
          <w:p w14:paraId="213C96F5">
            <w:pPr>
              <w:adjustRightInd w:val="0"/>
              <w:snapToGrid w:val="0"/>
              <w:jc w:val="center"/>
              <w:rPr>
                <w:rFonts w:ascii="宋体" w:hAnsi="宋体"/>
                <w:sz w:val="24"/>
              </w:rPr>
            </w:pPr>
          </w:p>
        </w:tc>
        <w:tc>
          <w:tcPr>
            <w:tcW w:w="850" w:type="dxa"/>
            <w:vAlign w:val="center"/>
          </w:tcPr>
          <w:p w14:paraId="49FEC302">
            <w:pPr>
              <w:adjustRightInd w:val="0"/>
              <w:snapToGrid w:val="0"/>
              <w:jc w:val="center"/>
              <w:rPr>
                <w:rFonts w:ascii="宋体" w:hAnsi="宋体"/>
                <w:sz w:val="24"/>
              </w:rPr>
            </w:pPr>
          </w:p>
        </w:tc>
      </w:tr>
    </w:tbl>
    <w:p w14:paraId="19BAA021">
      <w:pPr>
        <w:tabs>
          <w:tab w:val="left" w:pos="1800"/>
          <w:tab w:val="left" w:pos="5580"/>
        </w:tabs>
        <w:spacing w:line="360" w:lineRule="auto"/>
        <w:jc w:val="left"/>
        <w:rPr>
          <w:rFonts w:ascii="宋体" w:hAnsi="宋体"/>
          <w:sz w:val="24"/>
        </w:rPr>
      </w:pPr>
      <w:r>
        <w:rPr>
          <w:rFonts w:ascii="宋体" w:hAnsi="宋体"/>
          <w:sz w:val="24"/>
        </w:rPr>
        <w:t>注：</w:t>
      </w:r>
    </w:p>
    <w:p w14:paraId="1491E1FE">
      <w:pPr>
        <w:tabs>
          <w:tab w:val="left" w:pos="1800"/>
          <w:tab w:val="left" w:pos="5580"/>
        </w:tabs>
        <w:spacing w:line="360" w:lineRule="auto"/>
        <w:jc w:val="left"/>
        <w:rPr>
          <w:rFonts w:ascii="宋体" w:hAnsi="宋体"/>
          <w:sz w:val="24"/>
        </w:rPr>
      </w:pPr>
      <w:r>
        <w:rPr>
          <w:rFonts w:hint="eastAsia" w:ascii="宋体" w:hAnsi="宋体"/>
          <w:sz w:val="24"/>
        </w:rPr>
        <w:t>1.</w:t>
      </w:r>
      <w:r>
        <w:rPr>
          <w:rFonts w:hint="eastAsia" w:ascii="宋体" w:hAnsi="宋体"/>
          <w:sz w:val="24"/>
          <w:lang w:bidi="ar"/>
        </w:rPr>
        <w:t>本表中的商务条款指</w:t>
      </w:r>
      <w:r>
        <w:rPr>
          <w:rFonts w:hint="eastAsia" w:ascii="宋体" w:hAnsi="宋体"/>
          <w:sz w:val="24"/>
        </w:rPr>
        <w:t>招标文件第五章 采购需求 “二、商务要求”及第六章 拟签订的合同文本。</w:t>
      </w:r>
    </w:p>
    <w:p w14:paraId="21D3D5DE">
      <w:pPr>
        <w:tabs>
          <w:tab w:val="left" w:pos="5580"/>
        </w:tabs>
        <w:spacing w:line="360" w:lineRule="auto"/>
        <w:rPr>
          <w:rFonts w:ascii="宋体" w:hAnsi="宋体"/>
          <w:sz w:val="24"/>
          <w:szCs w:val="20"/>
        </w:rPr>
      </w:pPr>
      <w:r>
        <w:rPr>
          <w:rFonts w:hint="eastAsia" w:ascii="宋体" w:hAnsi="宋体"/>
          <w:sz w:val="24"/>
        </w:rPr>
        <w:t>2.</w:t>
      </w:r>
      <w:r>
        <w:rPr>
          <w:rFonts w:hint="eastAsia" w:ascii="宋体" w:hAnsi="宋体" w:cs="宋体"/>
          <w:sz w:val="24"/>
          <w:szCs w:val="20"/>
        </w:rPr>
        <w:t>如项目划分采购包，</w:t>
      </w:r>
      <w:r>
        <w:rPr>
          <w:rFonts w:ascii="宋体" w:hAnsi="宋体"/>
          <w:sz w:val="24"/>
          <w:szCs w:val="20"/>
        </w:rPr>
        <w:t>本表必须按包分别填写。</w:t>
      </w:r>
    </w:p>
    <w:p w14:paraId="6354AC45">
      <w:pPr>
        <w:tabs>
          <w:tab w:val="left" w:pos="1800"/>
          <w:tab w:val="left" w:pos="5580"/>
        </w:tabs>
        <w:spacing w:line="360" w:lineRule="auto"/>
        <w:jc w:val="left"/>
        <w:rPr>
          <w:rFonts w:ascii="宋体" w:hAnsi="宋体"/>
        </w:rPr>
      </w:pPr>
    </w:p>
    <w:p w14:paraId="6C037EB3">
      <w:pPr>
        <w:tabs>
          <w:tab w:val="left" w:pos="1800"/>
          <w:tab w:val="left" w:pos="5580"/>
        </w:tabs>
        <w:spacing w:line="360" w:lineRule="auto"/>
        <w:jc w:val="left"/>
        <w:rPr>
          <w:rFonts w:ascii="宋体" w:hAnsi="宋体"/>
        </w:rPr>
      </w:pPr>
    </w:p>
    <w:p w14:paraId="0E86E71D">
      <w:pPr>
        <w:tabs>
          <w:tab w:val="left" w:pos="1800"/>
          <w:tab w:val="left" w:pos="5580"/>
        </w:tabs>
        <w:spacing w:line="360" w:lineRule="auto"/>
        <w:jc w:val="left"/>
        <w:rPr>
          <w:rFonts w:ascii="宋体" w:hAnsi="宋体"/>
        </w:rPr>
      </w:pPr>
    </w:p>
    <w:p w14:paraId="56E465FE">
      <w:pPr>
        <w:autoSpaceDE w:val="0"/>
        <w:autoSpaceDN w:val="0"/>
        <w:adjustRightInd w:val="0"/>
        <w:snapToGrid w:val="0"/>
        <w:spacing w:line="360" w:lineRule="auto"/>
        <w:rPr>
          <w:rFonts w:ascii="宋体" w:hAnsi="宋体"/>
          <w:sz w:val="24"/>
          <w:lang w:val="zh-CN"/>
        </w:rPr>
      </w:pPr>
    </w:p>
    <w:p w14:paraId="4B4E21D1">
      <w:pPr>
        <w:autoSpaceDE w:val="0"/>
        <w:autoSpaceDN w:val="0"/>
        <w:adjustRightInd w:val="0"/>
        <w:snapToGrid w:val="0"/>
        <w:spacing w:line="360" w:lineRule="auto"/>
        <w:rPr>
          <w:rFonts w:ascii="宋体" w:hAnsi="宋体"/>
          <w:sz w:val="24"/>
          <w:lang w:val="zh-CN"/>
        </w:rPr>
      </w:pPr>
      <w:r>
        <w:rPr>
          <w:rFonts w:ascii="宋体" w:hAnsi="宋体"/>
          <w:sz w:val="24"/>
        </w:rPr>
        <w:t>投标人名称（加盖公章）</w:t>
      </w:r>
      <w:r>
        <w:rPr>
          <w:rFonts w:ascii="宋体" w:hAnsi="宋体"/>
          <w:sz w:val="24"/>
          <w:lang w:val="zh-CN"/>
        </w:rPr>
        <w:t>：____________</w:t>
      </w:r>
    </w:p>
    <w:p w14:paraId="61EDC369">
      <w:pPr>
        <w:autoSpaceDE w:val="0"/>
        <w:autoSpaceDN w:val="0"/>
        <w:adjustRightInd w:val="0"/>
        <w:snapToGrid w:val="0"/>
        <w:spacing w:line="360" w:lineRule="auto"/>
        <w:rPr>
          <w:rFonts w:ascii="宋体" w:hAnsi="宋体"/>
          <w:sz w:val="24"/>
          <w:lang w:val="zh-CN"/>
        </w:rPr>
      </w:pPr>
      <w:r>
        <w:rPr>
          <w:rFonts w:ascii="宋体" w:hAnsi="宋体"/>
          <w:sz w:val="24"/>
          <w:szCs w:val="20"/>
        </w:rPr>
        <w:t>日期：_____年____月____日</w:t>
      </w:r>
    </w:p>
    <w:p w14:paraId="2B01240B">
      <w:pPr>
        <w:spacing w:line="360" w:lineRule="auto"/>
        <w:rPr>
          <w:rFonts w:ascii="宋体" w:hAnsi="宋体"/>
          <w:sz w:val="24"/>
          <w:szCs w:val="20"/>
        </w:rPr>
      </w:pPr>
      <w:r>
        <w:rPr>
          <w:rFonts w:ascii="宋体" w:hAnsi="宋体"/>
          <w:sz w:val="24"/>
          <w:szCs w:val="20"/>
        </w:rPr>
        <w:br w:type="page"/>
      </w:r>
    </w:p>
    <w:p w14:paraId="00D51C26">
      <w:pPr>
        <w:spacing w:line="360" w:lineRule="auto"/>
        <w:outlineLvl w:val="2"/>
        <w:rPr>
          <w:rFonts w:ascii="宋体" w:hAnsi="宋体"/>
          <w:sz w:val="24"/>
          <w:szCs w:val="20"/>
        </w:rPr>
      </w:pPr>
      <w:r>
        <w:rPr>
          <w:rFonts w:ascii="宋体" w:hAnsi="宋体"/>
          <w:sz w:val="24"/>
          <w:szCs w:val="20"/>
        </w:rPr>
        <w:t xml:space="preserve">6  </w:t>
      </w:r>
      <w:bookmarkEnd w:id="879"/>
      <w:bookmarkEnd w:id="880"/>
      <w:bookmarkEnd w:id="881"/>
      <w:bookmarkEnd w:id="882"/>
      <w:bookmarkEnd w:id="883"/>
      <w:bookmarkEnd w:id="884"/>
      <w:bookmarkEnd w:id="885"/>
      <w:bookmarkEnd w:id="886"/>
      <w:bookmarkEnd w:id="887"/>
      <w:bookmarkEnd w:id="888"/>
      <w:bookmarkEnd w:id="889"/>
      <w:bookmarkEnd w:id="890"/>
      <w:bookmarkEnd w:id="891"/>
      <w:r>
        <w:rPr>
          <w:rFonts w:ascii="宋体" w:hAnsi="宋体"/>
          <w:sz w:val="24"/>
          <w:szCs w:val="20"/>
        </w:rPr>
        <w:t>采购需求偏离表（实质性格式）</w:t>
      </w:r>
    </w:p>
    <w:p w14:paraId="40953B05">
      <w:pPr>
        <w:autoSpaceDE w:val="0"/>
        <w:autoSpaceDN w:val="0"/>
        <w:adjustRightInd w:val="0"/>
        <w:spacing w:line="360" w:lineRule="auto"/>
        <w:jc w:val="center"/>
        <w:rPr>
          <w:rFonts w:ascii="宋体" w:hAnsi="宋体"/>
          <w:b/>
          <w:sz w:val="36"/>
          <w:szCs w:val="36"/>
        </w:rPr>
      </w:pPr>
      <w:r>
        <w:rPr>
          <w:rFonts w:hint="eastAsia" w:ascii="宋体" w:hAnsi="宋体"/>
          <w:b/>
          <w:sz w:val="36"/>
          <w:szCs w:val="36"/>
        </w:rPr>
        <w:t>采购需求偏离表</w:t>
      </w:r>
    </w:p>
    <w:p w14:paraId="59B61417">
      <w:pPr>
        <w:tabs>
          <w:tab w:val="left" w:pos="1800"/>
          <w:tab w:val="left" w:pos="5580"/>
        </w:tabs>
        <w:spacing w:line="360" w:lineRule="auto"/>
        <w:jc w:val="left"/>
        <w:rPr>
          <w:rFonts w:ascii="宋体" w:hAnsi="宋体"/>
          <w:sz w:val="24"/>
          <w:u w:val="single"/>
        </w:rPr>
      </w:pPr>
      <w:r>
        <w:rPr>
          <w:rFonts w:ascii="宋体" w:hAnsi="宋体"/>
          <w:sz w:val="24"/>
        </w:rPr>
        <w:t>项目编号：_____________________     项目名称：____________</w:t>
      </w:r>
    </w:p>
    <w:tbl>
      <w:tblPr>
        <w:tblStyle w:val="27"/>
        <w:tblW w:w="826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5"/>
        <w:gridCol w:w="1482"/>
        <w:gridCol w:w="1744"/>
        <w:gridCol w:w="1701"/>
        <w:gridCol w:w="1418"/>
        <w:gridCol w:w="1147"/>
      </w:tblGrid>
      <w:tr w14:paraId="4E45D2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3" w:hRule="atLeast"/>
          <w:jc w:val="center"/>
        </w:trPr>
        <w:tc>
          <w:tcPr>
            <w:tcW w:w="775" w:type="dxa"/>
            <w:vAlign w:val="center"/>
          </w:tcPr>
          <w:p w14:paraId="020FBE04">
            <w:pPr>
              <w:adjustRightInd w:val="0"/>
              <w:snapToGrid w:val="0"/>
              <w:jc w:val="center"/>
              <w:rPr>
                <w:rFonts w:ascii="宋体" w:hAnsi="宋体"/>
                <w:sz w:val="24"/>
              </w:rPr>
            </w:pPr>
            <w:r>
              <w:rPr>
                <w:rFonts w:hint="eastAsia" w:ascii="宋体" w:hAnsi="宋体"/>
                <w:sz w:val="24"/>
              </w:rPr>
              <w:t>序号</w:t>
            </w:r>
          </w:p>
        </w:tc>
        <w:tc>
          <w:tcPr>
            <w:tcW w:w="1482" w:type="dxa"/>
            <w:vAlign w:val="center"/>
          </w:tcPr>
          <w:p w14:paraId="550544F2">
            <w:pPr>
              <w:adjustRightInd w:val="0"/>
              <w:snapToGrid w:val="0"/>
              <w:jc w:val="center"/>
              <w:rPr>
                <w:rFonts w:ascii="宋体" w:hAnsi="宋体"/>
                <w:sz w:val="24"/>
              </w:rPr>
            </w:pPr>
            <w:r>
              <w:rPr>
                <w:rFonts w:hint="eastAsia" w:ascii="宋体" w:hAnsi="宋体"/>
                <w:sz w:val="24"/>
              </w:rPr>
              <w:t>招标文件条目号</w:t>
            </w:r>
          </w:p>
        </w:tc>
        <w:tc>
          <w:tcPr>
            <w:tcW w:w="1744" w:type="dxa"/>
            <w:vAlign w:val="center"/>
          </w:tcPr>
          <w:p w14:paraId="5385E385">
            <w:pPr>
              <w:adjustRightInd w:val="0"/>
              <w:snapToGrid w:val="0"/>
              <w:jc w:val="center"/>
              <w:rPr>
                <w:rFonts w:ascii="宋体" w:hAnsi="宋体"/>
                <w:sz w:val="24"/>
              </w:rPr>
            </w:pPr>
            <w:r>
              <w:rPr>
                <w:rFonts w:hint="eastAsia" w:ascii="宋体" w:hAnsi="宋体"/>
                <w:sz w:val="24"/>
              </w:rPr>
              <w:t>招标文件要求</w:t>
            </w:r>
          </w:p>
        </w:tc>
        <w:tc>
          <w:tcPr>
            <w:tcW w:w="1701" w:type="dxa"/>
            <w:vAlign w:val="center"/>
          </w:tcPr>
          <w:p w14:paraId="596CCB67">
            <w:pPr>
              <w:adjustRightInd w:val="0"/>
              <w:snapToGrid w:val="0"/>
              <w:jc w:val="center"/>
              <w:rPr>
                <w:rFonts w:ascii="宋体" w:hAnsi="宋体"/>
                <w:sz w:val="24"/>
              </w:rPr>
            </w:pPr>
            <w:r>
              <w:rPr>
                <w:rFonts w:hint="eastAsia" w:ascii="宋体" w:hAnsi="宋体"/>
                <w:sz w:val="24"/>
              </w:rPr>
              <w:t>投标响应内容</w:t>
            </w:r>
          </w:p>
        </w:tc>
        <w:tc>
          <w:tcPr>
            <w:tcW w:w="1418" w:type="dxa"/>
            <w:vAlign w:val="center"/>
          </w:tcPr>
          <w:p w14:paraId="776D213F">
            <w:pPr>
              <w:adjustRightInd w:val="0"/>
              <w:snapToGrid w:val="0"/>
              <w:jc w:val="center"/>
              <w:rPr>
                <w:rFonts w:ascii="宋体" w:hAnsi="宋体"/>
                <w:sz w:val="24"/>
              </w:rPr>
            </w:pPr>
            <w:r>
              <w:rPr>
                <w:rFonts w:hint="eastAsia" w:ascii="宋体" w:hAnsi="宋体"/>
                <w:sz w:val="24"/>
              </w:rPr>
              <w:t>偏离情况</w:t>
            </w:r>
          </w:p>
        </w:tc>
        <w:tc>
          <w:tcPr>
            <w:tcW w:w="1147" w:type="dxa"/>
            <w:vAlign w:val="center"/>
          </w:tcPr>
          <w:p w14:paraId="04F89304">
            <w:pPr>
              <w:adjustRightInd w:val="0"/>
              <w:snapToGrid w:val="0"/>
              <w:jc w:val="center"/>
              <w:rPr>
                <w:rFonts w:ascii="宋体" w:hAnsi="宋体"/>
                <w:sz w:val="24"/>
              </w:rPr>
            </w:pPr>
            <w:r>
              <w:rPr>
                <w:rFonts w:hint="eastAsia" w:ascii="宋体" w:hAnsi="宋体"/>
                <w:sz w:val="24"/>
              </w:rPr>
              <w:t>说明</w:t>
            </w:r>
          </w:p>
        </w:tc>
      </w:tr>
      <w:tr w14:paraId="68E3B3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5D52DAB2">
            <w:pPr>
              <w:adjustRightInd w:val="0"/>
              <w:snapToGrid w:val="0"/>
              <w:jc w:val="center"/>
              <w:rPr>
                <w:rFonts w:ascii="宋体" w:hAnsi="宋体"/>
                <w:sz w:val="24"/>
              </w:rPr>
            </w:pPr>
          </w:p>
        </w:tc>
        <w:tc>
          <w:tcPr>
            <w:tcW w:w="1482" w:type="dxa"/>
            <w:vAlign w:val="center"/>
          </w:tcPr>
          <w:p w14:paraId="3D0C4D12">
            <w:pPr>
              <w:adjustRightInd w:val="0"/>
              <w:snapToGrid w:val="0"/>
              <w:jc w:val="center"/>
              <w:rPr>
                <w:rFonts w:ascii="宋体" w:hAnsi="宋体"/>
                <w:sz w:val="24"/>
              </w:rPr>
            </w:pPr>
          </w:p>
        </w:tc>
        <w:tc>
          <w:tcPr>
            <w:tcW w:w="1744" w:type="dxa"/>
            <w:vAlign w:val="center"/>
          </w:tcPr>
          <w:p w14:paraId="356F7EBF">
            <w:pPr>
              <w:adjustRightInd w:val="0"/>
              <w:snapToGrid w:val="0"/>
              <w:jc w:val="center"/>
              <w:rPr>
                <w:rFonts w:ascii="宋体" w:hAnsi="宋体"/>
                <w:sz w:val="24"/>
              </w:rPr>
            </w:pPr>
          </w:p>
        </w:tc>
        <w:tc>
          <w:tcPr>
            <w:tcW w:w="1701" w:type="dxa"/>
            <w:vAlign w:val="center"/>
          </w:tcPr>
          <w:p w14:paraId="5D8DC216">
            <w:pPr>
              <w:adjustRightInd w:val="0"/>
              <w:snapToGrid w:val="0"/>
              <w:jc w:val="center"/>
              <w:rPr>
                <w:rFonts w:ascii="宋体" w:hAnsi="宋体"/>
                <w:sz w:val="24"/>
              </w:rPr>
            </w:pPr>
          </w:p>
        </w:tc>
        <w:tc>
          <w:tcPr>
            <w:tcW w:w="1418" w:type="dxa"/>
            <w:vAlign w:val="center"/>
          </w:tcPr>
          <w:p w14:paraId="72E7DC62">
            <w:pPr>
              <w:adjustRightInd w:val="0"/>
              <w:snapToGrid w:val="0"/>
              <w:jc w:val="center"/>
              <w:rPr>
                <w:rFonts w:ascii="宋体" w:hAnsi="宋体"/>
                <w:sz w:val="24"/>
              </w:rPr>
            </w:pPr>
          </w:p>
        </w:tc>
        <w:tc>
          <w:tcPr>
            <w:tcW w:w="1147" w:type="dxa"/>
            <w:vAlign w:val="center"/>
          </w:tcPr>
          <w:p w14:paraId="03674502">
            <w:pPr>
              <w:adjustRightInd w:val="0"/>
              <w:snapToGrid w:val="0"/>
              <w:jc w:val="center"/>
              <w:rPr>
                <w:rFonts w:ascii="宋体" w:hAnsi="宋体"/>
                <w:sz w:val="24"/>
              </w:rPr>
            </w:pPr>
          </w:p>
        </w:tc>
      </w:tr>
      <w:tr w14:paraId="5CAAC4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126A4430">
            <w:pPr>
              <w:adjustRightInd w:val="0"/>
              <w:snapToGrid w:val="0"/>
              <w:jc w:val="center"/>
              <w:rPr>
                <w:rFonts w:ascii="宋体" w:hAnsi="宋体"/>
                <w:sz w:val="24"/>
              </w:rPr>
            </w:pPr>
          </w:p>
        </w:tc>
        <w:tc>
          <w:tcPr>
            <w:tcW w:w="1482" w:type="dxa"/>
            <w:vAlign w:val="center"/>
          </w:tcPr>
          <w:p w14:paraId="56862EE4">
            <w:pPr>
              <w:adjustRightInd w:val="0"/>
              <w:snapToGrid w:val="0"/>
              <w:jc w:val="center"/>
              <w:rPr>
                <w:rFonts w:ascii="宋体" w:hAnsi="宋体"/>
                <w:sz w:val="24"/>
              </w:rPr>
            </w:pPr>
          </w:p>
        </w:tc>
        <w:tc>
          <w:tcPr>
            <w:tcW w:w="1744" w:type="dxa"/>
            <w:vAlign w:val="center"/>
          </w:tcPr>
          <w:p w14:paraId="23451A2B">
            <w:pPr>
              <w:adjustRightInd w:val="0"/>
              <w:snapToGrid w:val="0"/>
              <w:jc w:val="center"/>
              <w:rPr>
                <w:rFonts w:ascii="宋体" w:hAnsi="宋体"/>
                <w:sz w:val="24"/>
              </w:rPr>
            </w:pPr>
          </w:p>
        </w:tc>
        <w:tc>
          <w:tcPr>
            <w:tcW w:w="1701" w:type="dxa"/>
            <w:vAlign w:val="center"/>
          </w:tcPr>
          <w:p w14:paraId="0981B541">
            <w:pPr>
              <w:adjustRightInd w:val="0"/>
              <w:snapToGrid w:val="0"/>
              <w:jc w:val="center"/>
              <w:rPr>
                <w:rFonts w:ascii="宋体" w:hAnsi="宋体"/>
                <w:sz w:val="24"/>
              </w:rPr>
            </w:pPr>
          </w:p>
        </w:tc>
        <w:tc>
          <w:tcPr>
            <w:tcW w:w="1418" w:type="dxa"/>
            <w:vAlign w:val="center"/>
          </w:tcPr>
          <w:p w14:paraId="3FFE9677">
            <w:pPr>
              <w:adjustRightInd w:val="0"/>
              <w:snapToGrid w:val="0"/>
              <w:jc w:val="center"/>
              <w:rPr>
                <w:rFonts w:ascii="宋体" w:hAnsi="宋体"/>
                <w:sz w:val="24"/>
              </w:rPr>
            </w:pPr>
          </w:p>
        </w:tc>
        <w:tc>
          <w:tcPr>
            <w:tcW w:w="1147" w:type="dxa"/>
            <w:vAlign w:val="center"/>
          </w:tcPr>
          <w:p w14:paraId="5E62E543">
            <w:pPr>
              <w:adjustRightInd w:val="0"/>
              <w:snapToGrid w:val="0"/>
              <w:jc w:val="center"/>
              <w:rPr>
                <w:rFonts w:ascii="宋体" w:hAnsi="宋体"/>
                <w:sz w:val="24"/>
              </w:rPr>
            </w:pPr>
          </w:p>
        </w:tc>
      </w:tr>
      <w:tr w14:paraId="793E86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7723D6C0">
            <w:pPr>
              <w:adjustRightInd w:val="0"/>
              <w:snapToGrid w:val="0"/>
              <w:jc w:val="center"/>
              <w:rPr>
                <w:rFonts w:ascii="宋体" w:hAnsi="宋体"/>
                <w:sz w:val="24"/>
              </w:rPr>
            </w:pPr>
          </w:p>
        </w:tc>
        <w:tc>
          <w:tcPr>
            <w:tcW w:w="1482" w:type="dxa"/>
            <w:vAlign w:val="center"/>
          </w:tcPr>
          <w:p w14:paraId="503AFC75">
            <w:pPr>
              <w:adjustRightInd w:val="0"/>
              <w:snapToGrid w:val="0"/>
              <w:jc w:val="center"/>
              <w:rPr>
                <w:rFonts w:ascii="宋体" w:hAnsi="宋体"/>
                <w:sz w:val="24"/>
              </w:rPr>
            </w:pPr>
          </w:p>
        </w:tc>
        <w:tc>
          <w:tcPr>
            <w:tcW w:w="1744" w:type="dxa"/>
            <w:vAlign w:val="center"/>
          </w:tcPr>
          <w:p w14:paraId="666F812F">
            <w:pPr>
              <w:adjustRightInd w:val="0"/>
              <w:snapToGrid w:val="0"/>
              <w:jc w:val="center"/>
              <w:rPr>
                <w:rFonts w:ascii="宋体" w:hAnsi="宋体"/>
                <w:sz w:val="24"/>
              </w:rPr>
            </w:pPr>
          </w:p>
        </w:tc>
        <w:tc>
          <w:tcPr>
            <w:tcW w:w="1701" w:type="dxa"/>
            <w:vAlign w:val="center"/>
          </w:tcPr>
          <w:p w14:paraId="4D793D91">
            <w:pPr>
              <w:adjustRightInd w:val="0"/>
              <w:snapToGrid w:val="0"/>
              <w:jc w:val="center"/>
              <w:rPr>
                <w:rFonts w:ascii="宋体" w:hAnsi="宋体"/>
                <w:sz w:val="24"/>
              </w:rPr>
            </w:pPr>
          </w:p>
        </w:tc>
        <w:tc>
          <w:tcPr>
            <w:tcW w:w="1418" w:type="dxa"/>
            <w:vAlign w:val="center"/>
          </w:tcPr>
          <w:p w14:paraId="53032292">
            <w:pPr>
              <w:adjustRightInd w:val="0"/>
              <w:snapToGrid w:val="0"/>
              <w:jc w:val="center"/>
              <w:rPr>
                <w:rFonts w:ascii="宋体" w:hAnsi="宋体"/>
                <w:sz w:val="24"/>
              </w:rPr>
            </w:pPr>
          </w:p>
        </w:tc>
        <w:tc>
          <w:tcPr>
            <w:tcW w:w="1147" w:type="dxa"/>
            <w:vAlign w:val="center"/>
          </w:tcPr>
          <w:p w14:paraId="684F49BB">
            <w:pPr>
              <w:adjustRightInd w:val="0"/>
              <w:snapToGrid w:val="0"/>
              <w:jc w:val="center"/>
              <w:rPr>
                <w:rFonts w:ascii="宋体" w:hAnsi="宋体"/>
                <w:sz w:val="24"/>
              </w:rPr>
            </w:pPr>
          </w:p>
        </w:tc>
      </w:tr>
      <w:tr w14:paraId="48B42D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4789D2F4">
            <w:pPr>
              <w:adjustRightInd w:val="0"/>
              <w:snapToGrid w:val="0"/>
              <w:jc w:val="center"/>
              <w:rPr>
                <w:rFonts w:ascii="宋体" w:hAnsi="宋体"/>
                <w:sz w:val="24"/>
              </w:rPr>
            </w:pPr>
          </w:p>
        </w:tc>
        <w:tc>
          <w:tcPr>
            <w:tcW w:w="1482" w:type="dxa"/>
            <w:vAlign w:val="center"/>
          </w:tcPr>
          <w:p w14:paraId="61BAA802">
            <w:pPr>
              <w:adjustRightInd w:val="0"/>
              <w:snapToGrid w:val="0"/>
              <w:jc w:val="center"/>
              <w:rPr>
                <w:rFonts w:ascii="宋体" w:hAnsi="宋体"/>
                <w:sz w:val="24"/>
              </w:rPr>
            </w:pPr>
          </w:p>
        </w:tc>
        <w:tc>
          <w:tcPr>
            <w:tcW w:w="1744" w:type="dxa"/>
            <w:vAlign w:val="center"/>
          </w:tcPr>
          <w:p w14:paraId="5599E43F">
            <w:pPr>
              <w:adjustRightInd w:val="0"/>
              <w:snapToGrid w:val="0"/>
              <w:jc w:val="center"/>
              <w:rPr>
                <w:rFonts w:ascii="宋体" w:hAnsi="宋体"/>
                <w:sz w:val="24"/>
              </w:rPr>
            </w:pPr>
          </w:p>
        </w:tc>
        <w:tc>
          <w:tcPr>
            <w:tcW w:w="1701" w:type="dxa"/>
            <w:vAlign w:val="center"/>
          </w:tcPr>
          <w:p w14:paraId="4F52064C">
            <w:pPr>
              <w:adjustRightInd w:val="0"/>
              <w:snapToGrid w:val="0"/>
              <w:jc w:val="center"/>
              <w:rPr>
                <w:rFonts w:ascii="宋体" w:hAnsi="宋体"/>
                <w:sz w:val="24"/>
              </w:rPr>
            </w:pPr>
          </w:p>
        </w:tc>
        <w:tc>
          <w:tcPr>
            <w:tcW w:w="1418" w:type="dxa"/>
            <w:vAlign w:val="center"/>
          </w:tcPr>
          <w:p w14:paraId="05107017">
            <w:pPr>
              <w:adjustRightInd w:val="0"/>
              <w:snapToGrid w:val="0"/>
              <w:jc w:val="center"/>
              <w:rPr>
                <w:rFonts w:ascii="宋体" w:hAnsi="宋体"/>
                <w:sz w:val="24"/>
              </w:rPr>
            </w:pPr>
          </w:p>
        </w:tc>
        <w:tc>
          <w:tcPr>
            <w:tcW w:w="1147" w:type="dxa"/>
            <w:vAlign w:val="center"/>
          </w:tcPr>
          <w:p w14:paraId="3F8E08D8">
            <w:pPr>
              <w:adjustRightInd w:val="0"/>
              <w:snapToGrid w:val="0"/>
              <w:jc w:val="center"/>
              <w:rPr>
                <w:rFonts w:ascii="宋体" w:hAnsi="宋体"/>
                <w:sz w:val="24"/>
              </w:rPr>
            </w:pPr>
          </w:p>
        </w:tc>
      </w:tr>
      <w:tr w14:paraId="4E6EEA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5C84998A">
            <w:pPr>
              <w:adjustRightInd w:val="0"/>
              <w:snapToGrid w:val="0"/>
              <w:jc w:val="center"/>
              <w:rPr>
                <w:rFonts w:ascii="宋体" w:hAnsi="宋体"/>
                <w:sz w:val="24"/>
              </w:rPr>
            </w:pPr>
          </w:p>
        </w:tc>
        <w:tc>
          <w:tcPr>
            <w:tcW w:w="1482" w:type="dxa"/>
            <w:vAlign w:val="center"/>
          </w:tcPr>
          <w:p w14:paraId="0F9EE327">
            <w:pPr>
              <w:adjustRightInd w:val="0"/>
              <w:snapToGrid w:val="0"/>
              <w:jc w:val="center"/>
              <w:rPr>
                <w:rFonts w:ascii="宋体" w:hAnsi="宋体"/>
                <w:sz w:val="24"/>
              </w:rPr>
            </w:pPr>
          </w:p>
        </w:tc>
        <w:tc>
          <w:tcPr>
            <w:tcW w:w="1744" w:type="dxa"/>
            <w:vAlign w:val="center"/>
          </w:tcPr>
          <w:p w14:paraId="18A0CAF8">
            <w:pPr>
              <w:adjustRightInd w:val="0"/>
              <w:snapToGrid w:val="0"/>
              <w:jc w:val="center"/>
              <w:rPr>
                <w:rFonts w:ascii="宋体" w:hAnsi="宋体"/>
                <w:sz w:val="24"/>
              </w:rPr>
            </w:pPr>
          </w:p>
        </w:tc>
        <w:tc>
          <w:tcPr>
            <w:tcW w:w="1701" w:type="dxa"/>
            <w:vAlign w:val="center"/>
          </w:tcPr>
          <w:p w14:paraId="49574DFE">
            <w:pPr>
              <w:adjustRightInd w:val="0"/>
              <w:snapToGrid w:val="0"/>
              <w:jc w:val="center"/>
              <w:rPr>
                <w:rFonts w:ascii="宋体" w:hAnsi="宋体"/>
                <w:sz w:val="24"/>
              </w:rPr>
            </w:pPr>
          </w:p>
        </w:tc>
        <w:tc>
          <w:tcPr>
            <w:tcW w:w="1418" w:type="dxa"/>
            <w:vAlign w:val="center"/>
          </w:tcPr>
          <w:p w14:paraId="7A19307B">
            <w:pPr>
              <w:adjustRightInd w:val="0"/>
              <w:snapToGrid w:val="0"/>
              <w:jc w:val="center"/>
              <w:rPr>
                <w:rFonts w:ascii="宋体" w:hAnsi="宋体"/>
                <w:sz w:val="24"/>
              </w:rPr>
            </w:pPr>
          </w:p>
        </w:tc>
        <w:tc>
          <w:tcPr>
            <w:tcW w:w="1147" w:type="dxa"/>
            <w:vAlign w:val="center"/>
          </w:tcPr>
          <w:p w14:paraId="660BC4E8">
            <w:pPr>
              <w:adjustRightInd w:val="0"/>
              <w:snapToGrid w:val="0"/>
              <w:jc w:val="center"/>
              <w:rPr>
                <w:rFonts w:ascii="宋体" w:hAnsi="宋体"/>
                <w:sz w:val="24"/>
              </w:rPr>
            </w:pPr>
          </w:p>
        </w:tc>
      </w:tr>
      <w:tr w14:paraId="327761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417F60A6">
            <w:pPr>
              <w:adjustRightInd w:val="0"/>
              <w:snapToGrid w:val="0"/>
              <w:jc w:val="center"/>
              <w:rPr>
                <w:rFonts w:ascii="宋体" w:hAnsi="宋体"/>
                <w:sz w:val="24"/>
              </w:rPr>
            </w:pPr>
          </w:p>
        </w:tc>
        <w:tc>
          <w:tcPr>
            <w:tcW w:w="1482" w:type="dxa"/>
            <w:vAlign w:val="center"/>
          </w:tcPr>
          <w:p w14:paraId="65D0DFC2">
            <w:pPr>
              <w:adjustRightInd w:val="0"/>
              <w:snapToGrid w:val="0"/>
              <w:jc w:val="center"/>
              <w:rPr>
                <w:rFonts w:ascii="宋体" w:hAnsi="宋体"/>
                <w:sz w:val="24"/>
              </w:rPr>
            </w:pPr>
          </w:p>
        </w:tc>
        <w:tc>
          <w:tcPr>
            <w:tcW w:w="1744" w:type="dxa"/>
            <w:vAlign w:val="center"/>
          </w:tcPr>
          <w:p w14:paraId="5AF8815A">
            <w:pPr>
              <w:adjustRightInd w:val="0"/>
              <w:snapToGrid w:val="0"/>
              <w:jc w:val="center"/>
              <w:rPr>
                <w:rFonts w:ascii="宋体" w:hAnsi="宋体"/>
                <w:sz w:val="24"/>
              </w:rPr>
            </w:pPr>
          </w:p>
        </w:tc>
        <w:tc>
          <w:tcPr>
            <w:tcW w:w="1701" w:type="dxa"/>
            <w:vAlign w:val="center"/>
          </w:tcPr>
          <w:p w14:paraId="4B2D7501">
            <w:pPr>
              <w:adjustRightInd w:val="0"/>
              <w:snapToGrid w:val="0"/>
              <w:jc w:val="center"/>
              <w:rPr>
                <w:rFonts w:ascii="宋体" w:hAnsi="宋体"/>
                <w:sz w:val="24"/>
              </w:rPr>
            </w:pPr>
          </w:p>
        </w:tc>
        <w:tc>
          <w:tcPr>
            <w:tcW w:w="1418" w:type="dxa"/>
            <w:vAlign w:val="center"/>
          </w:tcPr>
          <w:p w14:paraId="082599CA">
            <w:pPr>
              <w:adjustRightInd w:val="0"/>
              <w:snapToGrid w:val="0"/>
              <w:jc w:val="center"/>
              <w:rPr>
                <w:rFonts w:ascii="宋体" w:hAnsi="宋体"/>
                <w:sz w:val="24"/>
              </w:rPr>
            </w:pPr>
          </w:p>
        </w:tc>
        <w:tc>
          <w:tcPr>
            <w:tcW w:w="1147" w:type="dxa"/>
            <w:vAlign w:val="center"/>
          </w:tcPr>
          <w:p w14:paraId="62683BB3">
            <w:pPr>
              <w:adjustRightInd w:val="0"/>
              <w:snapToGrid w:val="0"/>
              <w:jc w:val="center"/>
              <w:rPr>
                <w:rFonts w:ascii="宋体" w:hAnsi="宋体"/>
                <w:sz w:val="24"/>
              </w:rPr>
            </w:pPr>
          </w:p>
        </w:tc>
      </w:tr>
    </w:tbl>
    <w:p w14:paraId="278160D7">
      <w:pPr>
        <w:tabs>
          <w:tab w:val="left" w:pos="1800"/>
          <w:tab w:val="left" w:pos="5580"/>
        </w:tabs>
        <w:spacing w:line="360" w:lineRule="auto"/>
        <w:jc w:val="left"/>
        <w:rPr>
          <w:rFonts w:ascii="宋体" w:hAnsi="宋体"/>
          <w:sz w:val="24"/>
        </w:rPr>
      </w:pPr>
      <w:r>
        <w:rPr>
          <w:rFonts w:ascii="宋体" w:hAnsi="宋体"/>
          <w:sz w:val="24"/>
        </w:rPr>
        <w:t>注：</w:t>
      </w:r>
    </w:p>
    <w:p w14:paraId="4BF28001">
      <w:pPr>
        <w:tabs>
          <w:tab w:val="left" w:pos="1800"/>
          <w:tab w:val="left" w:pos="5580"/>
        </w:tabs>
        <w:spacing w:line="360" w:lineRule="auto"/>
        <w:jc w:val="left"/>
        <w:rPr>
          <w:rFonts w:ascii="宋体" w:hAnsi="宋体"/>
          <w:sz w:val="24"/>
        </w:rPr>
      </w:pPr>
      <w:r>
        <w:rPr>
          <w:rFonts w:hint="eastAsia" w:ascii="宋体" w:hAnsi="宋体"/>
          <w:sz w:val="24"/>
        </w:rPr>
        <w:t>1.供应商须对招标文件第五章《采购需求》 “三、技术要求”中“（二）具体要求”项下的内容进行逐条响应，除本表所列明的所有偏离外，均视作供应商已对之理解和响应。此表中若无任何文字说明，内容为空白的，</w:t>
      </w:r>
      <w:r>
        <w:rPr>
          <w:rFonts w:hint="eastAsia" w:ascii="宋体" w:hAnsi="宋体"/>
          <w:b/>
          <w:bCs/>
          <w:sz w:val="24"/>
        </w:rPr>
        <w:t>投标无效</w:t>
      </w:r>
      <w:r>
        <w:rPr>
          <w:rFonts w:hint="eastAsia" w:ascii="宋体" w:hAnsi="宋体"/>
          <w:sz w:val="24"/>
        </w:rPr>
        <w:t>。</w:t>
      </w:r>
    </w:p>
    <w:p w14:paraId="040FCF04">
      <w:pPr>
        <w:tabs>
          <w:tab w:val="left" w:pos="1800"/>
          <w:tab w:val="left" w:pos="5580"/>
        </w:tabs>
        <w:spacing w:line="360" w:lineRule="auto"/>
        <w:jc w:val="left"/>
        <w:rPr>
          <w:rFonts w:ascii="宋体" w:hAnsi="宋体"/>
          <w:sz w:val="24"/>
        </w:rPr>
      </w:pPr>
      <w:r>
        <w:rPr>
          <w:rFonts w:hint="eastAsia" w:ascii="宋体" w:hAnsi="宋体"/>
          <w:sz w:val="24"/>
        </w:rPr>
        <w:t>2.“偏离情况”列应据实 “无偏离”、“正偏离”或“负偏离”，并逐条响应，未按照招标文件要求逐条响应的，评标委员会视为该条为“负偏离”。</w:t>
      </w:r>
    </w:p>
    <w:p w14:paraId="6D4FAF4F">
      <w:pPr>
        <w:tabs>
          <w:tab w:val="left" w:pos="5580"/>
        </w:tabs>
        <w:rPr>
          <w:rFonts w:ascii="宋体" w:hAnsi="宋体"/>
          <w:sz w:val="24"/>
          <w:szCs w:val="20"/>
        </w:rPr>
      </w:pPr>
      <w:r>
        <w:rPr>
          <w:rFonts w:hint="eastAsia" w:ascii="宋体" w:hAnsi="宋体"/>
          <w:sz w:val="24"/>
          <w:szCs w:val="20"/>
        </w:rPr>
        <w:t>3.</w:t>
      </w:r>
      <w:r>
        <w:rPr>
          <w:rFonts w:hint="eastAsia" w:ascii="宋体" w:hAnsi="宋体" w:cs="宋体"/>
          <w:sz w:val="24"/>
          <w:szCs w:val="20"/>
        </w:rPr>
        <w:t>如项目划分采购包，</w:t>
      </w:r>
      <w:r>
        <w:rPr>
          <w:rFonts w:ascii="宋体" w:hAnsi="宋体"/>
          <w:sz w:val="24"/>
          <w:szCs w:val="20"/>
        </w:rPr>
        <w:t>本表必须按包分别填写。</w:t>
      </w:r>
    </w:p>
    <w:p w14:paraId="0516C76B">
      <w:pPr>
        <w:rPr>
          <w:rFonts w:ascii="宋体" w:hAnsi="宋体"/>
          <w:sz w:val="24"/>
          <w:szCs w:val="20"/>
        </w:rPr>
      </w:pPr>
    </w:p>
    <w:p w14:paraId="1E85BD2C">
      <w:pPr>
        <w:autoSpaceDE w:val="0"/>
        <w:autoSpaceDN w:val="0"/>
        <w:adjustRightInd w:val="0"/>
        <w:snapToGrid w:val="0"/>
        <w:spacing w:before="25" w:after="25" w:line="360" w:lineRule="auto"/>
        <w:rPr>
          <w:rFonts w:ascii="宋体" w:hAnsi="宋体"/>
          <w:sz w:val="24"/>
        </w:rPr>
      </w:pPr>
    </w:p>
    <w:p w14:paraId="1CE538B9">
      <w:pPr>
        <w:autoSpaceDE w:val="0"/>
        <w:autoSpaceDN w:val="0"/>
        <w:adjustRightInd w:val="0"/>
        <w:snapToGrid w:val="0"/>
        <w:spacing w:before="25" w:after="25" w:line="360" w:lineRule="auto"/>
        <w:rPr>
          <w:rFonts w:ascii="宋体" w:hAnsi="宋体"/>
          <w:sz w:val="24"/>
          <w:lang w:val="zh-CN"/>
        </w:rPr>
      </w:pPr>
      <w:r>
        <w:rPr>
          <w:rFonts w:ascii="宋体" w:hAnsi="宋体"/>
          <w:sz w:val="24"/>
        </w:rPr>
        <w:t>投标人名称（加盖公章）</w:t>
      </w:r>
      <w:r>
        <w:rPr>
          <w:rFonts w:ascii="宋体" w:hAnsi="宋体"/>
          <w:sz w:val="24"/>
          <w:lang w:val="zh-CN"/>
        </w:rPr>
        <w:t>：____________</w:t>
      </w:r>
    </w:p>
    <w:p w14:paraId="44875050">
      <w:pPr>
        <w:autoSpaceDE w:val="0"/>
        <w:autoSpaceDN w:val="0"/>
        <w:adjustRightInd w:val="0"/>
        <w:snapToGrid w:val="0"/>
        <w:spacing w:before="25" w:after="25" w:line="360" w:lineRule="auto"/>
        <w:rPr>
          <w:rFonts w:ascii="宋体" w:hAnsi="宋体"/>
          <w:sz w:val="24"/>
          <w:lang w:val="zh-CN"/>
        </w:rPr>
      </w:pPr>
      <w:r>
        <w:rPr>
          <w:rFonts w:ascii="宋体" w:hAnsi="宋体"/>
          <w:sz w:val="24"/>
          <w:szCs w:val="20"/>
        </w:rPr>
        <w:t>日期：_____年____月____日</w:t>
      </w:r>
    </w:p>
    <w:p w14:paraId="25224561">
      <w:pPr>
        <w:spacing w:line="360" w:lineRule="auto"/>
        <w:outlineLvl w:val="2"/>
        <w:rPr>
          <w:rFonts w:ascii="宋体" w:hAnsi="宋体"/>
          <w:sz w:val="24"/>
          <w:szCs w:val="20"/>
        </w:rPr>
      </w:pPr>
      <w:r>
        <w:rPr>
          <w:rFonts w:ascii="宋体" w:hAnsi="宋体"/>
          <w:sz w:val="24"/>
          <w:szCs w:val="20"/>
        </w:rPr>
        <w:br w:type="page"/>
      </w:r>
      <w:r>
        <w:rPr>
          <w:rFonts w:ascii="宋体" w:hAnsi="宋体"/>
          <w:sz w:val="24"/>
          <w:szCs w:val="20"/>
        </w:rPr>
        <w:t xml:space="preserve">7  </w:t>
      </w:r>
      <w:r>
        <w:rPr>
          <w:rFonts w:hint="eastAsia" w:ascii="宋体" w:hAnsi="宋体"/>
          <w:sz w:val="24"/>
          <w:szCs w:val="20"/>
        </w:rPr>
        <w:t>中小企业证明文件</w:t>
      </w:r>
    </w:p>
    <w:p w14:paraId="5A8632F8">
      <w:pPr>
        <w:tabs>
          <w:tab w:val="left" w:pos="5580"/>
        </w:tabs>
        <w:spacing w:line="360" w:lineRule="auto"/>
        <w:rPr>
          <w:rFonts w:ascii="宋体" w:hAnsi="宋体"/>
          <w:sz w:val="24"/>
        </w:rPr>
      </w:pPr>
      <w:r>
        <w:rPr>
          <w:rFonts w:ascii="宋体" w:hAnsi="宋体"/>
          <w:sz w:val="24"/>
        </w:rPr>
        <w:t>说明：</w:t>
      </w:r>
    </w:p>
    <w:p w14:paraId="3C8BD98E">
      <w:pPr>
        <w:tabs>
          <w:tab w:val="left" w:pos="5580"/>
        </w:tabs>
        <w:spacing w:line="360" w:lineRule="auto"/>
        <w:rPr>
          <w:rFonts w:ascii="宋体" w:hAnsi="宋体"/>
          <w:sz w:val="24"/>
        </w:rPr>
      </w:pPr>
      <w:r>
        <w:rPr>
          <w:rFonts w:ascii="宋体" w:hAnsi="宋体"/>
          <w:sz w:val="24"/>
        </w:rPr>
        <w:t>1）中小企业参加政府采购活动，应当出具《中小企业声明函》或《残疾人福利性单位声明函》或由省级以上监狱管理局、戒毒管理局（含新疆生产建设兵团）出具的属于监狱企业的证明文件，以证明中小企业身份。《中小企业声明函》由参加政府采购活动的投标人出具。联合体投标的，《中小企业声明函》可由牵头人出具。</w:t>
      </w:r>
    </w:p>
    <w:p w14:paraId="3E6E6E85">
      <w:pPr>
        <w:tabs>
          <w:tab w:val="left" w:pos="5580"/>
        </w:tabs>
        <w:spacing w:line="360" w:lineRule="auto"/>
        <w:rPr>
          <w:rFonts w:ascii="宋体" w:hAnsi="宋体"/>
          <w:sz w:val="24"/>
        </w:rPr>
      </w:pPr>
      <w:r>
        <w:rPr>
          <w:rFonts w:ascii="宋体" w:hAnsi="宋体"/>
          <w:sz w:val="24"/>
        </w:rPr>
        <w:t>2）对于联合体中由中小企业承担的部分，或者分包给中小企业的部分，必须全部由中小企业制造、承建或者承接。供应商应当在声明函“标的名称”部分标明联合体中中小企业承担的具体内容或者中小企业的具体分包内容。</w:t>
      </w:r>
    </w:p>
    <w:p w14:paraId="707FFB02">
      <w:pPr>
        <w:tabs>
          <w:tab w:val="left" w:pos="5580"/>
        </w:tabs>
        <w:spacing w:line="360" w:lineRule="auto"/>
        <w:rPr>
          <w:rFonts w:ascii="宋体" w:hAnsi="宋体"/>
          <w:sz w:val="24"/>
        </w:rPr>
      </w:pPr>
      <w:r>
        <w:rPr>
          <w:rFonts w:ascii="宋体" w:hAnsi="宋体"/>
          <w:sz w:val="24"/>
        </w:rPr>
        <w:t>3）对于多标的采购项目，投标人应充分、准确地了解所提供货物的制造企业、提供服务的承接企业信息。对相关情况了解不清楚的，不建议填报本声明函。</w:t>
      </w:r>
    </w:p>
    <w:p w14:paraId="39A65F23">
      <w:pPr>
        <w:tabs>
          <w:tab w:val="left" w:pos="5580"/>
        </w:tabs>
        <w:spacing w:line="360" w:lineRule="auto"/>
        <w:rPr>
          <w:rFonts w:ascii="宋体" w:hAnsi="宋体"/>
          <w:sz w:val="24"/>
        </w:rPr>
      </w:pPr>
      <w:r>
        <w:rPr>
          <w:rFonts w:ascii="宋体" w:hAnsi="宋体"/>
          <w:sz w:val="24"/>
        </w:rPr>
        <w:t>4）温馨提示：为方便广大中小企业识别企业规模类型，工业和信息化部组织开发了中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2011﹞300号）》</w:t>
      </w:r>
      <w:r>
        <w:rPr>
          <w:rFonts w:hint="eastAsia" w:ascii="宋体" w:hAnsi="宋体"/>
          <w:sz w:val="24"/>
        </w:rPr>
        <w:t>及《金融业企业划型标准规定》（银发〔</w:t>
      </w:r>
      <w:r>
        <w:rPr>
          <w:rFonts w:ascii="宋体" w:hAnsi="宋体"/>
          <w:sz w:val="24"/>
        </w:rPr>
        <w:t>2015</w:t>
      </w:r>
      <w:r>
        <w:rPr>
          <w:rFonts w:hint="eastAsia" w:ascii="宋体" w:hAnsi="宋体"/>
          <w:sz w:val="24"/>
        </w:rPr>
        <w:t>〕</w:t>
      </w:r>
      <w:r>
        <w:rPr>
          <w:rFonts w:ascii="宋体" w:hAnsi="宋体"/>
          <w:sz w:val="24"/>
        </w:rPr>
        <w:t xml:space="preserve">309 </w:t>
      </w:r>
      <w:r>
        <w:rPr>
          <w:rFonts w:hint="eastAsia" w:ascii="宋体" w:hAnsi="宋体"/>
          <w:sz w:val="24"/>
        </w:rPr>
        <w:t>号）等国务院批准的中小企业划分标准执行</w:t>
      </w:r>
      <w:r>
        <w:rPr>
          <w:rFonts w:ascii="宋体" w:hAnsi="宋体"/>
          <w:sz w:val="24"/>
        </w:rPr>
        <w:t>。</w:t>
      </w:r>
    </w:p>
    <w:p w14:paraId="437161EB">
      <w:pPr>
        <w:tabs>
          <w:tab w:val="left" w:pos="5580"/>
        </w:tabs>
        <w:spacing w:line="360" w:lineRule="auto"/>
        <w:rPr>
          <w:rFonts w:ascii="宋体" w:hAnsi="宋体" w:cs="宋体"/>
          <w:snapToGrid w:val="0"/>
          <w:kern w:val="0"/>
          <w:sz w:val="24"/>
        </w:rPr>
      </w:pPr>
    </w:p>
    <w:p w14:paraId="1824F9DE">
      <w:pPr>
        <w:widowControl/>
        <w:spacing w:line="360" w:lineRule="auto"/>
        <w:jc w:val="left"/>
        <w:rPr>
          <w:rFonts w:ascii="宋体" w:hAnsi="宋体"/>
          <w:b/>
          <w:bCs/>
          <w:sz w:val="36"/>
          <w:szCs w:val="36"/>
        </w:rPr>
      </w:pPr>
      <w:r>
        <w:rPr>
          <w:rFonts w:ascii="宋体" w:hAnsi="宋体"/>
          <w:b/>
          <w:bCs/>
          <w:sz w:val="24"/>
        </w:rPr>
        <w:br w:type="page"/>
      </w:r>
    </w:p>
    <w:p w14:paraId="6A64468E">
      <w:pPr>
        <w:spacing w:before="240" w:beforeLines="100" w:after="240" w:afterLines="100" w:line="360" w:lineRule="auto"/>
        <w:jc w:val="center"/>
        <w:rPr>
          <w:rFonts w:ascii="宋体" w:hAnsi="宋体"/>
          <w:b/>
          <w:sz w:val="36"/>
          <w:szCs w:val="36"/>
        </w:rPr>
      </w:pPr>
      <w:r>
        <w:rPr>
          <w:rFonts w:ascii="宋体" w:hAnsi="宋体"/>
          <w:b/>
          <w:bCs/>
          <w:sz w:val="36"/>
          <w:szCs w:val="36"/>
        </w:rPr>
        <w:t>中小企业声明函（货物）格式</w:t>
      </w:r>
    </w:p>
    <w:p w14:paraId="24B36D77">
      <w:pPr>
        <w:autoSpaceDE w:val="0"/>
        <w:autoSpaceDN w:val="0"/>
        <w:spacing w:line="360" w:lineRule="auto"/>
        <w:ind w:left="220" w:right="415" w:firstLine="640"/>
        <w:jc w:val="left"/>
        <w:rPr>
          <w:rFonts w:ascii="宋体" w:hAnsi="宋体"/>
          <w:kern w:val="0"/>
          <w:sz w:val="24"/>
        </w:rPr>
      </w:pPr>
      <w:r>
        <w:rPr>
          <w:rFonts w:ascii="宋体" w:hAnsi="宋体"/>
          <w:kern w:val="0"/>
          <w:sz w:val="24"/>
        </w:rPr>
        <w:t>本公司（联合体）郑重声明，根据《政府采购促进中小企业发展管理办法》（财库﹝2020﹞46号）的规定，本公司（联合体）参加</w:t>
      </w:r>
      <w:r>
        <w:rPr>
          <w:rFonts w:hint="eastAsia" w:ascii="宋体" w:hAnsi="宋体"/>
          <w:kern w:val="0"/>
          <w:sz w:val="24"/>
          <w:u w:val="single" w:color="000000"/>
        </w:rPr>
        <w:t xml:space="preserve">    </w:t>
      </w:r>
      <w:r>
        <w:rPr>
          <w:rFonts w:ascii="宋体" w:hAnsi="宋体"/>
          <w:i/>
          <w:kern w:val="0"/>
          <w:sz w:val="24"/>
          <w:u w:val="single"/>
        </w:rPr>
        <w:t>（单位名称）</w:t>
      </w:r>
      <w:r>
        <w:rPr>
          <w:rFonts w:ascii="宋体" w:hAnsi="宋体"/>
          <w:kern w:val="0"/>
          <w:sz w:val="24"/>
        </w:rPr>
        <w:t>的</w:t>
      </w:r>
      <w:r>
        <w:rPr>
          <w:rFonts w:hint="eastAsia" w:ascii="宋体" w:hAnsi="宋体"/>
          <w:kern w:val="0"/>
          <w:sz w:val="24"/>
          <w:u w:val="single" w:color="000000"/>
        </w:rPr>
        <w:t xml:space="preserve">    </w:t>
      </w:r>
      <w:r>
        <w:rPr>
          <w:rFonts w:ascii="宋体" w:hAnsi="宋体"/>
          <w:i/>
          <w:kern w:val="0"/>
          <w:sz w:val="24"/>
          <w:u w:val="single"/>
        </w:rPr>
        <w:t>（项目名称）</w:t>
      </w:r>
      <w:r>
        <w:rPr>
          <w:rFonts w:ascii="宋体" w:hAnsi="宋体"/>
          <w:kern w:val="0"/>
          <w:sz w:val="24"/>
        </w:rPr>
        <w:t>采购活动，提供的货物全部由符合政策要求的中小企业制造。相关企业（含联合体中的中小企业、签订分包意向协议的中小企业）的具体情况如下：</w:t>
      </w:r>
    </w:p>
    <w:p w14:paraId="7CBE2490">
      <w:pPr>
        <w:numPr>
          <w:ilvl w:val="0"/>
          <w:numId w:val="13"/>
        </w:numPr>
        <w:tabs>
          <w:tab w:val="left" w:pos="1183"/>
          <w:tab w:val="left" w:pos="1484"/>
          <w:tab w:val="left" w:pos="4662"/>
          <w:tab w:val="left" w:pos="6903"/>
        </w:tabs>
        <w:autoSpaceDE w:val="0"/>
        <w:autoSpaceDN w:val="0"/>
        <w:spacing w:line="360" w:lineRule="auto"/>
        <w:ind w:right="169" w:firstLine="646"/>
        <w:jc w:val="left"/>
        <w:rPr>
          <w:rFonts w:ascii="宋体" w:hAnsi="宋体"/>
          <w:kern w:val="0"/>
          <w:sz w:val="24"/>
          <w:u w:color="000000"/>
        </w:rPr>
      </w:pPr>
      <w:r>
        <w:rPr>
          <w:rFonts w:ascii="宋体" w:hAnsi="宋体"/>
          <w:i/>
          <w:kern w:val="0"/>
          <w:sz w:val="24"/>
          <w:u w:val="single" w:color="000000"/>
        </w:rPr>
        <w:t>（标的名称）</w:t>
      </w:r>
      <w:r>
        <w:rPr>
          <w:rFonts w:ascii="宋体" w:hAnsi="宋体"/>
          <w:kern w:val="0"/>
          <w:sz w:val="24"/>
          <w:u w:color="000000"/>
        </w:rPr>
        <w:t>，属于</w:t>
      </w:r>
      <w:r>
        <w:rPr>
          <w:rFonts w:ascii="宋体" w:hAnsi="宋体"/>
          <w:i/>
          <w:kern w:val="0"/>
          <w:sz w:val="24"/>
          <w:u w:color="000000"/>
        </w:rPr>
        <w:t>（</w:t>
      </w:r>
      <w:r>
        <w:rPr>
          <w:rFonts w:ascii="宋体" w:hAnsi="宋体"/>
          <w:i/>
          <w:kern w:val="0"/>
          <w:sz w:val="24"/>
          <w:u w:val="single" w:color="000000"/>
        </w:rPr>
        <w:t>采购文件中明确的所属行业）行业</w:t>
      </w:r>
      <w:r>
        <w:rPr>
          <w:rFonts w:ascii="宋体" w:hAnsi="宋体"/>
          <w:kern w:val="0"/>
          <w:sz w:val="24"/>
          <w:u w:color="000000"/>
        </w:rPr>
        <w:t>；制造商为</w:t>
      </w:r>
      <w:r>
        <w:rPr>
          <w:rFonts w:ascii="宋体" w:hAnsi="宋体"/>
          <w:i/>
          <w:kern w:val="0"/>
          <w:sz w:val="24"/>
          <w:u w:val="single" w:color="000000"/>
        </w:rPr>
        <w:t>（企业名称）</w:t>
      </w:r>
      <w:r>
        <w:rPr>
          <w:rFonts w:ascii="宋体" w:hAnsi="宋体"/>
          <w:kern w:val="0"/>
          <w:sz w:val="24"/>
          <w:u w:color="000000"/>
        </w:rPr>
        <w:t>，从业人员</w:t>
      </w:r>
      <w:r>
        <w:rPr>
          <w:rFonts w:hint="eastAsia" w:ascii="宋体" w:hAnsi="宋体"/>
          <w:kern w:val="0"/>
          <w:sz w:val="24"/>
          <w:u w:val="single" w:color="000000"/>
        </w:rPr>
        <w:t xml:space="preserve">     </w:t>
      </w:r>
      <w:r>
        <w:rPr>
          <w:rFonts w:ascii="宋体" w:hAnsi="宋体"/>
          <w:kern w:val="0"/>
          <w:sz w:val="24"/>
          <w:u w:color="000000"/>
        </w:rPr>
        <w:t>人，营业收入为</w:t>
      </w:r>
      <w:r>
        <w:rPr>
          <w:rFonts w:hint="eastAsia" w:ascii="宋体" w:hAnsi="宋体"/>
          <w:kern w:val="0"/>
          <w:sz w:val="24"/>
          <w:u w:val="single" w:color="000000"/>
        </w:rPr>
        <w:t xml:space="preserve">    </w:t>
      </w:r>
      <w:r>
        <w:rPr>
          <w:rFonts w:ascii="宋体" w:hAnsi="宋体"/>
          <w:kern w:val="0"/>
          <w:sz w:val="24"/>
          <w:u w:color="000000"/>
        </w:rPr>
        <w:t>万元，资产总额为</w:t>
      </w:r>
      <w:r>
        <w:rPr>
          <w:rFonts w:hint="eastAsia" w:ascii="宋体" w:hAnsi="宋体"/>
          <w:kern w:val="0"/>
          <w:sz w:val="24"/>
          <w:u w:val="single" w:color="000000"/>
        </w:rPr>
        <w:t xml:space="preserve">    </w:t>
      </w:r>
      <w:r>
        <w:rPr>
          <w:rFonts w:ascii="宋体" w:hAnsi="宋体"/>
          <w:kern w:val="0"/>
          <w:sz w:val="24"/>
          <w:u w:color="000000"/>
        </w:rPr>
        <w:t>万元</w:t>
      </w:r>
      <w:r>
        <w:fldChar w:fldCharType="begin"/>
      </w:r>
      <w:r>
        <w:instrText xml:space="preserve"> HYPERLINK \l "_bookmark0" </w:instrText>
      </w:r>
      <w:r>
        <w:fldChar w:fldCharType="separate"/>
      </w:r>
      <w:r>
        <w:rPr>
          <w:rFonts w:ascii="宋体" w:hAnsi="宋体"/>
          <w:kern w:val="0"/>
          <w:position w:val="16"/>
          <w:sz w:val="24"/>
          <w:u w:color="000000"/>
        </w:rPr>
        <w:t>1</w:t>
      </w:r>
      <w:r>
        <w:rPr>
          <w:rFonts w:ascii="宋体" w:hAnsi="宋体"/>
          <w:kern w:val="0"/>
          <w:position w:val="16"/>
          <w:sz w:val="24"/>
          <w:u w:color="000000"/>
        </w:rPr>
        <w:fldChar w:fldCharType="end"/>
      </w:r>
      <w:r>
        <w:rPr>
          <w:rFonts w:ascii="宋体" w:hAnsi="宋体"/>
          <w:kern w:val="0"/>
          <w:sz w:val="24"/>
          <w:u w:color="000000"/>
        </w:rPr>
        <w:t>，属于</w:t>
      </w:r>
      <w:r>
        <w:rPr>
          <w:rFonts w:hint="eastAsia" w:ascii="宋体" w:hAnsi="宋体"/>
          <w:kern w:val="0"/>
          <w:sz w:val="24"/>
          <w:u w:val="single" w:color="000000"/>
        </w:rPr>
        <w:t xml:space="preserve">    </w:t>
      </w:r>
      <w:r>
        <w:rPr>
          <w:rFonts w:ascii="宋体" w:hAnsi="宋体"/>
          <w:i/>
          <w:kern w:val="0"/>
          <w:sz w:val="24"/>
          <w:u w:val="single" w:color="000000"/>
        </w:rPr>
        <w:t>（中型企业、小型企业、微型企业）</w:t>
      </w:r>
      <w:r>
        <w:rPr>
          <w:rFonts w:ascii="宋体" w:hAnsi="宋体"/>
          <w:kern w:val="0"/>
          <w:sz w:val="24"/>
          <w:u w:color="000000"/>
        </w:rPr>
        <w:t>；</w:t>
      </w:r>
    </w:p>
    <w:p w14:paraId="3EBD8287">
      <w:pPr>
        <w:numPr>
          <w:ilvl w:val="0"/>
          <w:numId w:val="13"/>
        </w:numPr>
        <w:tabs>
          <w:tab w:val="left" w:pos="1165"/>
          <w:tab w:val="left" w:pos="1183"/>
          <w:tab w:val="left" w:pos="4362"/>
          <w:tab w:val="left" w:pos="6577"/>
        </w:tabs>
        <w:autoSpaceDE w:val="0"/>
        <w:autoSpaceDN w:val="0"/>
        <w:spacing w:line="360" w:lineRule="auto"/>
        <w:ind w:right="169" w:firstLine="646"/>
        <w:jc w:val="left"/>
        <w:rPr>
          <w:rFonts w:ascii="宋体" w:hAnsi="宋体"/>
          <w:kern w:val="0"/>
          <w:sz w:val="24"/>
          <w:u w:color="000000"/>
        </w:rPr>
      </w:pPr>
      <w:r>
        <w:rPr>
          <w:rFonts w:ascii="宋体" w:hAnsi="宋体"/>
          <w:i/>
          <w:kern w:val="0"/>
          <w:sz w:val="24"/>
          <w:u w:val="single" w:color="000000"/>
        </w:rPr>
        <w:t>（标的名称）</w:t>
      </w:r>
      <w:r>
        <w:rPr>
          <w:rFonts w:ascii="宋体" w:hAnsi="宋体"/>
          <w:kern w:val="0"/>
          <w:sz w:val="24"/>
          <w:u w:color="000000"/>
        </w:rPr>
        <w:t>，属于</w:t>
      </w:r>
      <w:r>
        <w:rPr>
          <w:rFonts w:ascii="宋体" w:hAnsi="宋体"/>
          <w:i/>
          <w:kern w:val="0"/>
          <w:sz w:val="24"/>
          <w:u w:color="000000"/>
        </w:rPr>
        <w:t>（</w:t>
      </w:r>
      <w:r>
        <w:rPr>
          <w:rFonts w:ascii="宋体" w:hAnsi="宋体"/>
          <w:i/>
          <w:kern w:val="0"/>
          <w:sz w:val="24"/>
          <w:u w:val="single" w:color="000000"/>
        </w:rPr>
        <w:t>采购文件中明确的所属行业）行业</w:t>
      </w:r>
      <w:r>
        <w:rPr>
          <w:rFonts w:ascii="宋体" w:hAnsi="宋体"/>
          <w:kern w:val="0"/>
          <w:sz w:val="24"/>
          <w:u w:color="000000"/>
        </w:rPr>
        <w:t>；制造商为</w:t>
      </w:r>
      <w:r>
        <w:rPr>
          <w:rFonts w:ascii="宋体" w:hAnsi="宋体"/>
          <w:i/>
          <w:kern w:val="0"/>
          <w:sz w:val="24"/>
          <w:u w:val="single" w:color="000000"/>
        </w:rPr>
        <w:t>（企业名称）</w:t>
      </w:r>
      <w:r>
        <w:rPr>
          <w:rFonts w:ascii="宋体" w:hAnsi="宋体"/>
          <w:kern w:val="0"/>
          <w:sz w:val="24"/>
          <w:u w:color="000000"/>
        </w:rPr>
        <w:t>，从业人员</w:t>
      </w:r>
      <w:r>
        <w:rPr>
          <w:rFonts w:hint="eastAsia" w:ascii="宋体" w:hAnsi="宋体"/>
          <w:kern w:val="0"/>
          <w:sz w:val="24"/>
          <w:u w:val="single" w:color="000000"/>
        </w:rPr>
        <w:t xml:space="preserve">    </w:t>
      </w:r>
      <w:r>
        <w:rPr>
          <w:rFonts w:ascii="宋体" w:hAnsi="宋体"/>
          <w:kern w:val="0"/>
          <w:sz w:val="24"/>
          <w:u w:color="000000"/>
        </w:rPr>
        <w:t>人，营业收入为</w:t>
      </w:r>
      <w:r>
        <w:rPr>
          <w:rFonts w:hint="eastAsia" w:ascii="宋体" w:hAnsi="宋体"/>
          <w:kern w:val="0"/>
          <w:sz w:val="24"/>
          <w:u w:val="single" w:color="000000"/>
        </w:rPr>
        <w:t xml:space="preserve">    </w:t>
      </w:r>
      <w:r>
        <w:rPr>
          <w:rFonts w:ascii="宋体" w:hAnsi="宋体"/>
          <w:kern w:val="0"/>
          <w:sz w:val="24"/>
          <w:u w:color="000000"/>
        </w:rPr>
        <w:t>万元，资产总额为</w:t>
      </w:r>
      <w:r>
        <w:rPr>
          <w:rFonts w:hint="eastAsia" w:ascii="宋体" w:hAnsi="宋体"/>
          <w:kern w:val="0"/>
          <w:sz w:val="24"/>
          <w:u w:val="single" w:color="000000"/>
        </w:rPr>
        <w:t xml:space="preserve">    </w:t>
      </w:r>
      <w:r>
        <w:rPr>
          <w:rFonts w:ascii="宋体" w:hAnsi="宋体"/>
          <w:kern w:val="0"/>
          <w:sz w:val="24"/>
          <w:u w:color="000000"/>
        </w:rPr>
        <w:t>万元，属于</w:t>
      </w:r>
      <w:r>
        <w:rPr>
          <w:rFonts w:hint="eastAsia" w:ascii="宋体" w:hAnsi="宋体"/>
          <w:kern w:val="0"/>
          <w:sz w:val="24"/>
          <w:u w:val="single" w:color="000000"/>
        </w:rPr>
        <w:t xml:space="preserve">    </w:t>
      </w:r>
      <w:r>
        <w:rPr>
          <w:rFonts w:ascii="宋体" w:hAnsi="宋体"/>
          <w:i/>
          <w:kern w:val="0"/>
          <w:sz w:val="24"/>
          <w:u w:val="single" w:color="000000"/>
        </w:rPr>
        <w:t>（中型企业、小型企业、微型企业）</w:t>
      </w:r>
      <w:r>
        <w:rPr>
          <w:rFonts w:ascii="宋体" w:hAnsi="宋体"/>
          <w:kern w:val="0"/>
          <w:sz w:val="24"/>
          <w:u w:color="000000"/>
        </w:rPr>
        <w:t>；</w:t>
      </w:r>
    </w:p>
    <w:p w14:paraId="63AD7058">
      <w:pPr>
        <w:autoSpaceDE w:val="0"/>
        <w:autoSpaceDN w:val="0"/>
        <w:spacing w:line="360" w:lineRule="auto"/>
        <w:ind w:left="860"/>
        <w:jc w:val="left"/>
        <w:rPr>
          <w:rFonts w:ascii="宋体" w:hAnsi="宋体"/>
          <w:kern w:val="0"/>
          <w:sz w:val="24"/>
        </w:rPr>
      </w:pPr>
      <w:r>
        <w:rPr>
          <w:rFonts w:ascii="宋体" w:hAnsi="宋体"/>
          <w:kern w:val="0"/>
          <w:sz w:val="24"/>
        </w:rPr>
        <w:t>……</w:t>
      </w:r>
    </w:p>
    <w:p w14:paraId="045CC67B">
      <w:pPr>
        <w:autoSpaceDE w:val="0"/>
        <w:autoSpaceDN w:val="0"/>
        <w:spacing w:line="360" w:lineRule="auto"/>
        <w:ind w:left="220" w:right="417" w:firstLine="645"/>
        <w:rPr>
          <w:rFonts w:ascii="宋体" w:hAnsi="宋体"/>
          <w:kern w:val="0"/>
          <w:sz w:val="24"/>
        </w:rPr>
      </w:pPr>
      <w:r>
        <w:rPr>
          <w:rFonts w:ascii="宋体" w:hAnsi="宋体"/>
          <w:kern w:val="0"/>
          <w:sz w:val="24"/>
        </w:rPr>
        <w:t>以上企业，不属于大企业的分支机构，不存在控股股东为大企业的情形，也不存在与大企业的负责人为同一人的情形。</w:t>
      </w:r>
    </w:p>
    <w:p w14:paraId="24DDFEFC">
      <w:pPr>
        <w:autoSpaceDE w:val="0"/>
        <w:autoSpaceDN w:val="0"/>
        <w:spacing w:line="360" w:lineRule="auto"/>
        <w:ind w:left="220" w:right="372" w:firstLine="645"/>
        <w:jc w:val="left"/>
        <w:rPr>
          <w:rFonts w:ascii="宋体" w:hAnsi="宋体"/>
          <w:kern w:val="0"/>
          <w:sz w:val="24"/>
        </w:rPr>
      </w:pPr>
      <w:r>
        <w:rPr>
          <w:rFonts w:ascii="宋体" w:hAnsi="宋体"/>
          <w:kern w:val="0"/>
          <w:sz w:val="24"/>
        </w:rPr>
        <w:t>本企业对上述声明内容的真实性负责。如有虚假，将依法承担相应责任。</w:t>
      </w:r>
    </w:p>
    <w:p w14:paraId="6146E8A3">
      <w:pPr>
        <w:spacing w:line="360" w:lineRule="auto"/>
        <w:ind w:firstLine="504"/>
        <w:rPr>
          <w:rFonts w:ascii="宋体" w:hAnsi="宋体"/>
          <w:sz w:val="24"/>
        </w:rPr>
      </w:pPr>
    </w:p>
    <w:p w14:paraId="45266734">
      <w:pPr>
        <w:spacing w:line="360" w:lineRule="auto"/>
        <w:ind w:firstLine="504"/>
        <w:rPr>
          <w:rFonts w:ascii="宋体" w:hAnsi="宋体"/>
          <w:sz w:val="24"/>
        </w:rPr>
      </w:pPr>
    </w:p>
    <w:p w14:paraId="28746689">
      <w:pPr>
        <w:spacing w:line="360" w:lineRule="auto"/>
        <w:ind w:right="360" w:firstLine="480"/>
        <w:jc w:val="right"/>
        <w:rPr>
          <w:rFonts w:ascii="宋体" w:hAnsi="宋体"/>
          <w:sz w:val="24"/>
        </w:rPr>
      </w:pPr>
      <w:r>
        <w:rPr>
          <w:rFonts w:ascii="宋体" w:hAnsi="宋体"/>
          <w:sz w:val="24"/>
        </w:rPr>
        <w:t>企业名称（盖章）：________</w:t>
      </w:r>
    </w:p>
    <w:p w14:paraId="4FB8CF7D">
      <w:pPr>
        <w:spacing w:line="360" w:lineRule="auto"/>
        <w:ind w:right="360" w:firstLine="480"/>
        <w:jc w:val="right"/>
        <w:rPr>
          <w:rFonts w:ascii="宋体" w:hAnsi="宋体"/>
          <w:sz w:val="24"/>
        </w:rPr>
      </w:pPr>
      <w:r>
        <w:rPr>
          <w:rFonts w:ascii="宋体" w:hAnsi="宋体"/>
          <w:sz w:val="24"/>
        </w:rPr>
        <w:t>日 期：________</w:t>
      </w:r>
    </w:p>
    <w:p w14:paraId="69105118">
      <w:pPr>
        <w:spacing w:line="360" w:lineRule="auto"/>
        <w:ind w:right="360" w:firstLine="480"/>
        <w:jc w:val="right"/>
        <w:rPr>
          <w:rFonts w:ascii="宋体" w:hAnsi="宋体"/>
          <w:sz w:val="24"/>
        </w:rPr>
      </w:pPr>
    </w:p>
    <w:p w14:paraId="1788815C">
      <w:pPr>
        <w:spacing w:line="360" w:lineRule="auto"/>
        <w:ind w:right="360" w:firstLine="480"/>
        <w:jc w:val="right"/>
        <w:rPr>
          <w:rFonts w:ascii="宋体" w:hAnsi="宋体"/>
          <w:sz w:val="24"/>
        </w:rPr>
      </w:pPr>
    </w:p>
    <w:tbl>
      <w:tblPr>
        <w:tblStyle w:val="27"/>
        <w:tblW w:w="0" w:type="auto"/>
        <w:tblInd w:w="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523"/>
      </w:tblGrid>
      <w:tr w14:paraId="1C5B6859">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946" w:type="dxa"/>
          </w:tcPr>
          <w:p w14:paraId="48E1DD59">
            <w:pPr>
              <w:adjustRightInd w:val="0"/>
              <w:snapToGrid w:val="0"/>
              <w:jc w:val="left"/>
              <w:rPr>
                <w:rFonts w:ascii="宋体" w:hAnsi="宋体"/>
                <w:szCs w:val="21"/>
              </w:rPr>
            </w:pPr>
            <w:r>
              <w:rPr>
                <w:rFonts w:ascii="宋体" w:hAnsi="宋体"/>
                <w:szCs w:val="21"/>
                <w:vertAlign w:val="superscript"/>
              </w:rPr>
              <w:t>1</w:t>
            </w:r>
            <w:r>
              <w:rPr>
                <w:rFonts w:ascii="宋体" w:hAnsi="宋体"/>
                <w:szCs w:val="21"/>
              </w:rPr>
              <w:t>从业人员、营业收入、资产总额填报上一年度数据，无上一年度数据的新成立企业可不填报。</w:t>
            </w:r>
          </w:p>
        </w:tc>
      </w:tr>
    </w:tbl>
    <w:p w14:paraId="69C65F36">
      <w:pPr>
        <w:rPr>
          <w:rFonts w:ascii="宋体" w:hAnsi="宋体"/>
          <w:b/>
          <w:bCs/>
          <w:sz w:val="36"/>
          <w:szCs w:val="36"/>
        </w:rPr>
      </w:pPr>
      <w:r>
        <w:rPr>
          <w:rFonts w:hint="eastAsia" w:ascii="宋体" w:hAnsi="宋体"/>
          <w:b/>
          <w:bCs/>
          <w:sz w:val="36"/>
          <w:szCs w:val="36"/>
        </w:rPr>
        <w:br w:type="page"/>
      </w:r>
    </w:p>
    <w:p w14:paraId="7DB02CE8">
      <w:pPr>
        <w:spacing w:before="240" w:beforeLines="100" w:after="240" w:afterLines="100" w:line="360" w:lineRule="auto"/>
        <w:jc w:val="center"/>
        <w:rPr>
          <w:rFonts w:ascii="宋体" w:hAnsi="宋体"/>
          <w:sz w:val="36"/>
          <w:szCs w:val="36"/>
        </w:rPr>
      </w:pPr>
      <w:r>
        <w:rPr>
          <w:rFonts w:ascii="宋体" w:hAnsi="宋体"/>
          <w:b/>
          <w:bCs/>
          <w:sz w:val="36"/>
          <w:szCs w:val="36"/>
        </w:rPr>
        <w:t>残疾人福利性单位声明函格式</w:t>
      </w:r>
      <w:r>
        <w:rPr>
          <w:rFonts w:ascii="宋体" w:hAnsi="宋体"/>
          <w:sz w:val="36"/>
          <w:szCs w:val="36"/>
        </w:rPr>
        <w:t xml:space="preserve"> </w:t>
      </w:r>
    </w:p>
    <w:p w14:paraId="61B32DC7">
      <w:pPr>
        <w:spacing w:line="588" w:lineRule="exact"/>
        <w:ind w:firstLine="504"/>
        <w:rPr>
          <w:rFonts w:ascii="宋体" w:hAnsi="宋体"/>
          <w:sz w:val="24"/>
        </w:rPr>
      </w:pPr>
      <w:r>
        <w:rPr>
          <w:rFonts w:ascii="宋体" w:hAnsi="宋体"/>
          <w:sz w:val="24"/>
        </w:rPr>
        <w:t>本单位郑重声明，根据《财政部 民政部 中国残疾人联合会关于促进残疾人就业政府采购政策的通知》（财库〔2017〕141号）的规定，本单位</w:t>
      </w:r>
      <w:r>
        <w:rPr>
          <w:rFonts w:ascii="宋体" w:hAnsi="宋体"/>
          <w:b/>
          <w:sz w:val="24"/>
        </w:rPr>
        <w:t>（请进行选择）</w:t>
      </w:r>
      <w:r>
        <w:rPr>
          <w:rFonts w:ascii="宋体" w:hAnsi="宋体"/>
          <w:sz w:val="24"/>
        </w:rPr>
        <w:t>：</w:t>
      </w:r>
    </w:p>
    <w:p w14:paraId="35F62AB5">
      <w:pPr>
        <w:spacing w:line="588" w:lineRule="exact"/>
        <w:ind w:firstLine="482"/>
        <w:rPr>
          <w:rFonts w:ascii="宋体" w:hAnsi="宋体"/>
          <w:b/>
          <w:sz w:val="24"/>
        </w:rPr>
      </w:pPr>
      <w:r>
        <w:rPr>
          <w:rFonts w:ascii="宋体" w:hAnsi="宋体"/>
          <w:b/>
          <w:sz w:val="24"/>
        </w:rPr>
        <w:t>□不属于符合条件的残疾人福利性单位。</w:t>
      </w:r>
    </w:p>
    <w:p w14:paraId="7901F296">
      <w:pPr>
        <w:spacing w:line="588" w:lineRule="exact"/>
        <w:ind w:firstLine="482"/>
        <w:rPr>
          <w:rFonts w:ascii="宋体" w:hAnsi="宋体"/>
          <w:sz w:val="24"/>
        </w:rPr>
      </w:pPr>
      <w:r>
        <w:rPr>
          <w:rFonts w:ascii="宋体" w:hAnsi="宋体"/>
          <w:b/>
          <w:sz w:val="24"/>
        </w:rPr>
        <w:t>□属于符合条件的残疾人福利性单位，</w:t>
      </w:r>
      <w:r>
        <w:rPr>
          <w:rFonts w:ascii="宋体" w:hAnsi="宋体"/>
          <w:sz w:val="24"/>
        </w:rPr>
        <w:t>且本单位参加______单位的______项目采购活动提供本单位制造的货物（由本单位承担工程/提供服务），或者提供其他残疾人福利性单位制造的货物（不包括使用非残疾人福利性单位注册商标的货物）。</w:t>
      </w:r>
    </w:p>
    <w:p w14:paraId="340E8946">
      <w:pPr>
        <w:spacing w:line="588" w:lineRule="exact"/>
        <w:ind w:firstLine="482" w:firstLineChars="200"/>
        <w:rPr>
          <w:rFonts w:ascii="宋体" w:hAnsi="宋体"/>
          <w:sz w:val="24"/>
        </w:rPr>
      </w:pPr>
      <w:r>
        <w:rPr>
          <w:rFonts w:ascii="宋体" w:hAnsi="宋体"/>
          <w:b/>
          <w:sz w:val="24"/>
        </w:rPr>
        <w:t>本单位对上述声明的真实性负责。如有虚假，将依法承担相应责任。</w:t>
      </w:r>
    </w:p>
    <w:p w14:paraId="277CB1C8">
      <w:pPr>
        <w:spacing w:line="588" w:lineRule="exact"/>
        <w:ind w:firstLine="480" w:firstLineChars="200"/>
        <w:rPr>
          <w:rFonts w:ascii="宋体" w:hAnsi="宋体"/>
          <w:sz w:val="24"/>
        </w:rPr>
      </w:pPr>
    </w:p>
    <w:p w14:paraId="7EBDE200">
      <w:pPr>
        <w:spacing w:line="588" w:lineRule="exact"/>
        <w:ind w:firstLine="480" w:firstLineChars="200"/>
        <w:rPr>
          <w:rFonts w:ascii="宋体" w:hAnsi="宋体"/>
          <w:sz w:val="24"/>
        </w:rPr>
      </w:pPr>
    </w:p>
    <w:p w14:paraId="2EDC559B">
      <w:pPr>
        <w:tabs>
          <w:tab w:val="left" w:pos="4860"/>
        </w:tabs>
        <w:spacing w:line="588" w:lineRule="exact"/>
        <w:ind w:right="1560" w:firstLine="480" w:firstLineChars="200"/>
        <w:jc w:val="center"/>
        <w:rPr>
          <w:rFonts w:ascii="宋体" w:hAnsi="宋体"/>
          <w:sz w:val="24"/>
        </w:rPr>
      </w:pPr>
      <w:r>
        <w:rPr>
          <w:rFonts w:ascii="宋体" w:hAnsi="宋体"/>
          <w:sz w:val="24"/>
        </w:rPr>
        <w:t xml:space="preserve">               单位名称（盖章）：</w:t>
      </w:r>
    </w:p>
    <w:p w14:paraId="30654DCC">
      <w:pPr>
        <w:tabs>
          <w:tab w:val="left" w:pos="4860"/>
        </w:tabs>
        <w:spacing w:line="588" w:lineRule="exact"/>
        <w:ind w:right="1560" w:firstLine="480" w:firstLineChars="200"/>
        <w:jc w:val="center"/>
        <w:rPr>
          <w:rFonts w:ascii="宋体" w:hAnsi="宋体"/>
          <w:sz w:val="24"/>
        </w:rPr>
      </w:pPr>
      <w:r>
        <w:rPr>
          <w:rFonts w:ascii="宋体" w:hAnsi="宋体"/>
          <w:sz w:val="24"/>
        </w:rPr>
        <w:t xml:space="preserve">       日  期：</w:t>
      </w:r>
    </w:p>
    <w:p w14:paraId="6A0D4C60">
      <w:pPr>
        <w:pStyle w:val="44"/>
        <w:tabs>
          <w:tab w:val="left" w:pos="360"/>
          <w:tab w:val="left" w:pos="900"/>
        </w:tabs>
        <w:snapToGrid w:val="0"/>
        <w:spacing w:line="360" w:lineRule="auto"/>
        <w:ind w:firstLine="0" w:firstLineChars="0"/>
        <w:outlineLvl w:val="2"/>
        <w:rPr>
          <w:rFonts w:ascii="宋体" w:hAnsi="宋体" w:cs="宋体"/>
          <w:sz w:val="24"/>
          <w:szCs w:val="20"/>
        </w:rPr>
      </w:pPr>
      <w:r>
        <w:rPr>
          <w:rFonts w:ascii="宋体" w:hAnsi="宋体"/>
          <w:szCs w:val="20"/>
        </w:rPr>
        <w:br w:type="page"/>
      </w:r>
      <w:r>
        <w:rPr>
          <w:rFonts w:hint="eastAsia" w:ascii="宋体" w:hAnsi="宋体"/>
          <w:szCs w:val="20"/>
        </w:rPr>
        <w:t xml:space="preserve">8  </w:t>
      </w:r>
      <w:r>
        <w:rPr>
          <w:rFonts w:hint="eastAsia" w:ascii="宋体" w:hAnsi="宋体" w:cs="宋体"/>
          <w:sz w:val="24"/>
          <w:szCs w:val="20"/>
        </w:rPr>
        <w:t>本国产品标准证明文件</w:t>
      </w:r>
    </w:p>
    <w:p w14:paraId="46A67088">
      <w:pPr>
        <w:pStyle w:val="23"/>
        <w:shd w:val="clear" w:color="auto" w:fill="FFFFFF"/>
        <w:spacing w:before="30" w:beforeAutospacing="0" w:after="30" w:afterAutospacing="0"/>
        <w:jc w:val="center"/>
        <w:rPr>
          <w:rStyle w:val="30"/>
          <w:sz w:val="36"/>
          <w:szCs w:val="36"/>
          <w:shd w:val="clear" w:color="auto" w:fill="FFFFFF"/>
        </w:rPr>
      </w:pPr>
    </w:p>
    <w:p w14:paraId="1AF3EC70">
      <w:pPr>
        <w:pStyle w:val="23"/>
        <w:shd w:val="clear" w:color="auto" w:fill="FFFFFF"/>
        <w:spacing w:before="30" w:beforeAutospacing="0" w:after="30" w:afterAutospacing="0"/>
        <w:jc w:val="center"/>
        <w:rPr>
          <w:sz w:val="36"/>
          <w:szCs w:val="36"/>
        </w:rPr>
      </w:pPr>
      <w:r>
        <w:rPr>
          <w:rStyle w:val="30"/>
          <w:rFonts w:hint="eastAsia"/>
          <w:sz w:val="36"/>
          <w:szCs w:val="36"/>
          <w:shd w:val="clear" w:color="auto" w:fill="FFFFFF"/>
        </w:rPr>
        <w:t>关于符合本国产品标准的声明函</w:t>
      </w:r>
    </w:p>
    <w:p w14:paraId="5B4DC057">
      <w:pPr>
        <w:pStyle w:val="23"/>
        <w:shd w:val="clear" w:color="auto" w:fill="FFFFFF"/>
        <w:spacing w:before="30" w:beforeAutospacing="0" w:after="30" w:afterAutospacing="0"/>
        <w:ind w:firstLine="420"/>
      </w:pPr>
    </w:p>
    <w:p w14:paraId="0607618F">
      <w:pPr>
        <w:pStyle w:val="23"/>
        <w:shd w:val="clear" w:color="auto" w:fill="FFFFFF"/>
        <w:spacing w:before="0" w:beforeAutospacing="0" w:after="0" w:afterAutospacing="0" w:line="360" w:lineRule="auto"/>
        <w:ind w:firstLine="480" w:firstLineChars="200"/>
      </w:pPr>
      <w:r>
        <w:rPr>
          <w:rFonts w:hint="eastAsia"/>
          <w:shd w:val="clear" w:color="auto" w:fill="FFFFFF"/>
        </w:rPr>
        <w:t>本公司（单位）郑重声明，根据《国务院办公厅关于在政府采购中实施本国产品标准及相关政策的通知》（国办发〔2025〕34号）的规定，本公司（单位）提供的以下产品属于本国产品。具体情况如下：</w:t>
      </w:r>
    </w:p>
    <w:p w14:paraId="021DD7BE">
      <w:pPr>
        <w:pStyle w:val="23"/>
        <w:shd w:val="clear" w:color="auto" w:fill="FFFFFF"/>
        <w:spacing w:before="0" w:beforeAutospacing="0" w:after="0" w:afterAutospacing="0" w:line="360" w:lineRule="auto"/>
        <w:ind w:firstLine="480" w:firstLineChars="200"/>
      </w:pPr>
      <w:r>
        <w:rPr>
          <w:rFonts w:hint="eastAsia"/>
          <w:shd w:val="clear" w:color="auto" w:fill="FFFFFF"/>
        </w:rPr>
        <w:t>1.</w:t>
      </w:r>
      <w:r>
        <w:rPr>
          <w:rStyle w:val="32"/>
          <w:rFonts w:hint="eastAsia"/>
          <w:color w:val="auto"/>
          <w:u w:val="single"/>
          <w:shd w:val="clear" w:color="auto" w:fill="FFFFFF"/>
        </w:rPr>
        <w:t>（产品名称1）</w:t>
      </w:r>
      <w:r>
        <w:rPr>
          <w:rStyle w:val="32"/>
          <w:rFonts w:hint="eastAsia"/>
          <w:color w:val="auto"/>
          <w:shd w:val="clear" w:color="auto" w:fill="FFFFFF"/>
          <w:vertAlign w:val="superscript"/>
        </w:rPr>
        <w:t>1</w:t>
      </w:r>
      <w:r>
        <w:rPr>
          <w:rFonts w:hint="eastAsia"/>
          <w:shd w:val="clear" w:color="auto" w:fill="FFFFFF"/>
        </w:rPr>
        <w:t>，生产厂为</w:t>
      </w:r>
      <w:r>
        <w:rPr>
          <w:rStyle w:val="32"/>
          <w:rFonts w:hint="eastAsia"/>
          <w:color w:val="auto"/>
          <w:u w:val="single"/>
          <w:shd w:val="clear" w:color="auto" w:fill="FFFFFF"/>
        </w:rPr>
        <w:t>（厂名）</w:t>
      </w:r>
      <w:r>
        <w:rPr>
          <w:rStyle w:val="32"/>
          <w:rFonts w:hint="eastAsia"/>
          <w:color w:val="auto"/>
          <w:shd w:val="clear" w:color="auto" w:fill="FFFFFF"/>
          <w:vertAlign w:val="superscript"/>
        </w:rPr>
        <w:t>2</w:t>
      </w:r>
      <w:r>
        <w:rPr>
          <w:rFonts w:hint="eastAsia"/>
          <w:shd w:val="clear" w:color="auto" w:fill="FFFFFF"/>
        </w:rPr>
        <w:t>，厂址为</w:t>
      </w:r>
      <w:r>
        <w:rPr>
          <w:rStyle w:val="32"/>
          <w:rFonts w:hint="eastAsia"/>
          <w:color w:val="auto"/>
          <w:u w:val="single"/>
          <w:shd w:val="clear" w:color="auto" w:fill="FFFFFF"/>
        </w:rPr>
        <w:t>（生产厂址）</w:t>
      </w:r>
      <w:r>
        <w:rPr>
          <w:rFonts w:hint="eastAsia"/>
          <w:shd w:val="clear" w:color="auto" w:fill="FFFFFF"/>
        </w:rPr>
        <w:t>。</w:t>
      </w:r>
      <w:r>
        <w:rPr>
          <w:rStyle w:val="32"/>
          <w:rFonts w:hint="eastAsia"/>
          <w:color w:val="auto"/>
          <w:u w:val="single"/>
          <w:shd w:val="clear" w:color="auto" w:fill="FFFFFF"/>
        </w:rPr>
        <w:t>（产品名称1）</w:t>
      </w:r>
      <w:r>
        <w:rPr>
          <w:rFonts w:hint="eastAsia"/>
          <w:shd w:val="clear" w:color="auto" w:fill="FFFFFF"/>
        </w:rPr>
        <w:t>的中国境内生产的组件成本占比≥</w:t>
      </w:r>
      <w:r>
        <w:rPr>
          <w:rStyle w:val="32"/>
          <w:rFonts w:hint="eastAsia"/>
          <w:color w:val="auto"/>
          <w:u w:val="single"/>
          <w:shd w:val="clear" w:color="auto" w:fill="FFFFFF"/>
        </w:rPr>
        <w:t>（规定比例）</w:t>
      </w:r>
      <w:r>
        <w:rPr>
          <w:rStyle w:val="32"/>
          <w:rFonts w:hint="eastAsia"/>
          <w:color w:val="auto"/>
          <w:shd w:val="clear" w:color="auto" w:fill="FFFFFF"/>
          <w:vertAlign w:val="superscript"/>
        </w:rPr>
        <w:t>3</w:t>
      </w:r>
      <w:r>
        <w:rPr>
          <w:rFonts w:hint="eastAsia"/>
          <w:shd w:val="clear" w:color="auto" w:fill="FFFFFF"/>
        </w:rPr>
        <w:t>。</w:t>
      </w:r>
      <w:r>
        <w:rPr>
          <w:rStyle w:val="32"/>
          <w:rFonts w:hint="eastAsia"/>
          <w:color w:val="auto"/>
          <w:u w:val="single"/>
          <w:shd w:val="clear" w:color="auto" w:fill="FFFFFF"/>
        </w:rPr>
        <w:t>（产品名称1）</w:t>
      </w:r>
      <w:r>
        <w:rPr>
          <w:rFonts w:hint="eastAsia"/>
          <w:shd w:val="clear" w:color="auto" w:fill="FFFFFF"/>
        </w:rPr>
        <w:t>的</w:t>
      </w:r>
      <w:r>
        <w:rPr>
          <w:rStyle w:val="32"/>
          <w:rFonts w:hint="eastAsia"/>
          <w:color w:val="auto"/>
          <w:u w:val="single"/>
          <w:shd w:val="clear" w:color="auto" w:fill="FFFFFF"/>
        </w:rPr>
        <w:t>（关键组件）</w:t>
      </w:r>
      <w:r>
        <w:rPr>
          <w:rStyle w:val="32"/>
          <w:rFonts w:hint="eastAsia"/>
          <w:color w:val="auto"/>
          <w:shd w:val="clear" w:color="auto" w:fill="FFFFFF"/>
          <w:vertAlign w:val="superscript"/>
        </w:rPr>
        <w:t>4</w:t>
      </w:r>
      <w:r>
        <w:rPr>
          <w:rFonts w:hint="eastAsia"/>
          <w:shd w:val="clear" w:color="auto" w:fill="FFFFFF"/>
        </w:rPr>
        <w:t>在中国境内生产。</w:t>
      </w:r>
      <w:r>
        <w:rPr>
          <w:rStyle w:val="32"/>
          <w:rFonts w:hint="eastAsia"/>
          <w:color w:val="auto"/>
          <w:u w:val="single"/>
          <w:shd w:val="clear" w:color="auto" w:fill="FFFFFF"/>
        </w:rPr>
        <w:t>（产品名称1）</w:t>
      </w:r>
      <w:r>
        <w:rPr>
          <w:rFonts w:hint="eastAsia"/>
          <w:shd w:val="clear" w:color="auto" w:fill="FFFFFF"/>
        </w:rPr>
        <w:t>的</w:t>
      </w:r>
      <w:r>
        <w:rPr>
          <w:rStyle w:val="32"/>
          <w:rFonts w:hint="eastAsia"/>
          <w:color w:val="auto"/>
          <w:u w:val="single"/>
          <w:shd w:val="clear" w:color="auto" w:fill="FFFFFF"/>
        </w:rPr>
        <w:t>（关键工序）</w:t>
      </w:r>
      <w:r>
        <w:rPr>
          <w:rStyle w:val="32"/>
          <w:rFonts w:hint="eastAsia"/>
          <w:color w:val="auto"/>
          <w:shd w:val="clear" w:color="auto" w:fill="FFFFFF"/>
          <w:vertAlign w:val="superscript"/>
        </w:rPr>
        <w:t>5</w:t>
      </w:r>
      <w:r>
        <w:rPr>
          <w:rFonts w:hint="eastAsia"/>
          <w:shd w:val="clear" w:color="auto" w:fill="FFFFFF"/>
        </w:rPr>
        <w:t>在中国境内完成。</w:t>
      </w:r>
    </w:p>
    <w:p w14:paraId="7434ABBF">
      <w:pPr>
        <w:pStyle w:val="23"/>
        <w:shd w:val="clear" w:color="auto" w:fill="FFFFFF"/>
        <w:spacing w:before="0" w:beforeAutospacing="0" w:after="0" w:afterAutospacing="0" w:line="360" w:lineRule="auto"/>
        <w:ind w:firstLine="480" w:firstLineChars="200"/>
      </w:pPr>
      <w:r>
        <w:rPr>
          <w:rFonts w:hint="eastAsia"/>
          <w:shd w:val="clear" w:color="auto" w:fill="FFFFFF"/>
        </w:rPr>
        <w:t>2.</w:t>
      </w:r>
      <w:r>
        <w:rPr>
          <w:rStyle w:val="32"/>
          <w:rFonts w:hint="eastAsia"/>
          <w:color w:val="auto"/>
          <w:u w:val="single"/>
          <w:shd w:val="clear" w:color="auto" w:fill="FFFFFF"/>
        </w:rPr>
        <w:t>（产品名称2）</w:t>
      </w:r>
      <w:r>
        <w:rPr>
          <w:rFonts w:hint="eastAsia"/>
          <w:shd w:val="clear" w:color="auto" w:fill="FFFFFF"/>
        </w:rPr>
        <w:t>，生产厂为</w:t>
      </w:r>
      <w:r>
        <w:rPr>
          <w:rStyle w:val="32"/>
          <w:rFonts w:hint="eastAsia"/>
          <w:color w:val="auto"/>
          <w:u w:val="single"/>
          <w:shd w:val="clear" w:color="auto" w:fill="FFFFFF"/>
        </w:rPr>
        <w:t>（厂名）</w:t>
      </w:r>
      <w:r>
        <w:rPr>
          <w:rFonts w:hint="eastAsia"/>
          <w:shd w:val="clear" w:color="auto" w:fill="FFFFFF"/>
        </w:rPr>
        <w:t>，厂址为</w:t>
      </w:r>
      <w:r>
        <w:rPr>
          <w:rStyle w:val="32"/>
          <w:rFonts w:hint="eastAsia"/>
          <w:color w:val="auto"/>
          <w:u w:val="single"/>
          <w:shd w:val="clear" w:color="auto" w:fill="FFFFFF"/>
        </w:rPr>
        <w:t>（生产厂址）</w:t>
      </w:r>
      <w:r>
        <w:rPr>
          <w:rFonts w:hint="eastAsia"/>
          <w:shd w:val="clear" w:color="auto" w:fill="FFFFFF"/>
        </w:rPr>
        <w:t>。</w:t>
      </w:r>
      <w:r>
        <w:rPr>
          <w:rStyle w:val="32"/>
          <w:rFonts w:hint="eastAsia"/>
          <w:color w:val="auto"/>
          <w:u w:val="single"/>
          <w:shd w:val="clear" w:color="auto" w:fill="FFFFFF"/>
        </w:rPr>
        <w:t>（产品名称2）</w:t>
      </w:r>
      <w:r>
        <w:rPr>
          <w:rFonts w:hint="eastAsia"/>
          <w:shd w:val="clear" w:color="auto" w:fill="FFFFFF"/>
        </w:rPr>
        <w:t>的中国境内生产的组件成本占比≥</w:t>
      </w:r>
      <w:r>
        <w:rPr>
          <w:rStyle w:val="32"/>
          <w:rFonts w:hint="eastAsia"/>
          <w:color w:val="auto"/>
          <w:u w:val="single"/>
          <w:shd w:val="clear" w:color="auto" w:fill="FFFFFF"/>
        </w:rPr>
        <w:t>（规定比例）</w:t>
      </w:r>
      <w:r>
        <w:rPr>
          <w:rFonts w:hint="eastAsia"/>
          <w:shd w:val="clear" w:color="auto" w:fill="FFFFFF"/>
        </w:rPr>
        <w:t>。</w:t>
      </w:r>
      <w:r>
        <w:rPr>
          <w:rStyle w:val="32"/>
          <w:rFonts w:hint="eastAsia"/>
          <w:color w:val="auto"/>
          <w:u w:val="single"/>
          <w:shd w:val="clear" w:color="auto" w:fill="FFFFFF"/>
        </w:rPr>
        <w:t>（产品名称2）</w:t>
      </w:r>
      <w:r>
        <w:rPr>
          <w:rFonts w:hint="eastAsia"/>
          <w:shd w:val="clear" w:color="auto" w:fill="FFFFFF"/>
        </w:rPr>
        <w:t>的</w:t>
      </w:r>
      <w:r>
        <w:rPr>
          <w:rStyle w:val="32"/>
          <w:rFonts w:hint="eastAsia"/>
          <w:color w:val="auto"/>
          <w:u w:val="single"/>
          <w:shd w:val="clear" w:color="auto" w:fill="FFFFFF"/>
        </w:rPr>
        <w:t>（关键组件）</w:t>
      </w:r>
      <w:r>
        <w:rPr>
          <w:rFonts w:hint="eastAsia"/>
          <w:shd w:val="clear" w:color="auto" w:fill="FFFFFF"/>
        </w:rPr>
        <w:t>在中国境内生产。</w:t>
      </w:r>
      <w:r>
        <w:rPr>
          <w:rStyle w:val="32"/>
          <w:rFonts w:hint="eastAsia"/>
          <w:color w:val="auto"/>
          <w:u w:val="single"/>
          <w:shd w:val="clear" w:color="auto" w:fill="FFFFFF"/>
        </w:rPr>
        <w:t>（产品名称2）</w:t>
      </w:r>
      <w:r>
        <w:rPr>
          <w:rFonts w:hint="eastAsia"/>
          <w:shd w:val="clear" w:color="auto" w:fill="FFFFFF"/>
        </w:rPr>
        <w:t>的</w:t>
      </w:r>
      <w:r>
        <w:rPr>
          <w:rStyle w:val="32"/>
          <w:rFonts w:hint="eastAsia"/>
          <w:color w:val="auto"/>
          <w:u w:val="single"/>
          <w:shd w:val="clear" w:color="auto" w:fill="FFFFFF"/>
        </w:rPr>
        <w:t>（关键工序）</w:t>
      </w:r>
      <w:r>
        <w:rPr>
          <w:rFonts w:hint="eastAsia"/>
          <w:shd w:val="clear" w:color="auto" w:fill="FFFFFF"/>
        </w:rPr>
        <w:t>在中国境内完成。</w:t>
      </w:r>
    </w:p>
    <w:p w14:paraId="76F8ABDB">
      <w:pPr>
        <w:pStyle w:val="23"/>
        <w:shd w:val="clear" w:color="auto" w:fill="FFFFFF"/>
        <w:spacing w:before="0" w:beforeAutospacing="0" w:after="0" w:afterAutospacing="0" w:line="360" w:lineRule="auto"/>
        <w:ind w:firstLine="480" w:firstLineChars="200"/>
      </w:pPr>
      <w:r>
        <w:rPr>
          <w:rFonts w:hint="eastAsia"/>
          <w:shd w:val="clear" w:color="auto" w:fill="FFFFFF"/>
        </w:rPr>
        <w:t>……</w:t>
      </w:r>
    </w:p>
    <w:p w14:paraId="2FAB2957">
      <w:pPr>
        <w:pStyle w:val="23"/>
        <w:shd w:val="clear" w:color="auto" w:fill="FFFFFF"/>
        <w:spacing w:before="0" w:beforeAutospacing="0" w:after="0" w:afterAutospacing="0" w:line="360" w:lineRule="auto"/>
        <w:ind w:firstLine="480" w:firstLineChars="200"/>
      </w:pPr>
      <w:r>
        <w:rPr>
          <w:rFonts w:hint="eastAsia"/>
          <w:shd w:val="clear" w:color="auto" w:fill="FFFFFF"/>
        </w:rPr>
        <w:t>本公司（单位）对上述声明内容的真实性负责。如有虚假，愿承担相应法律责任。</w:t>
      </w:r>
    </w:p>
    <w:p w14:paraId="76BD0E83">
      <w:pPr>
        <w:pStyle w:val="23"/>
        <w:shd w:val="clear" w:color="auto" w:fill="FFFFFF"/>
        <w:spacing w:before="0" w:beforeAutospacing="0" w:after="0" w:afterAutospacing="0" w:line="360" w:lineRule="auto"/>
      </w:pPr>
    </w:p>
    <w:p w14:paraId="6F7F396F">
      <w:pPr>
        <w:pStyle w:val="23"/>
        <w:shd w:val="clear" w:color="auto" w:fill="FFFFFF"/>
        <w:spacing w:before="0" w:beforeAutospacing="0" w:after="0" w:afterAutospacing="0" w:line="360" w:lineRule="auto"/>
        <w:jc w:val="right"/>
        <w:rPr>
          <w:shd w:val="clear" w:color="auto" w:fill="FFFFFF"/>
        </w:rPr>
      </w:pPr>
    </w:p>
    <w:p w14:paraId="2E83A7F1">
      <w:pPr>
        <w:pStyle w:val="23"/>
        <w:shd w:val="clear" w:color="auto" w:fill="FFFFFF"/>
        <w:spacing w:before="0" w:beforeAutospacing="0" w:after="0" w:afterAutospacing="0" w:line="360" w:lineRule="auto"/>
        <w:jc w:val="right"/>
      </w:pPr>
      <w:r>
        <w:rPr>
          <w:rFonts w:hint="eastAsia"/>
          <w:shd w:val="clear" w:color="auto" w:fill="FFFFFF"/>
        </w:rPr>
        <w:t>公司（单位）名称（盖章）：</w:t>
      </w:r>
      <w:r>
        <w:t xml:space="preserve"> </w:t>
      </w:r>
    </w:p>
    <w:p w14:paraId="24A9BB44">
      <w:pPr>
        <w:pStyle w:val="23"/>
        <w:shd w:val="clear" w:color="auto" w:fill="FFFFFF"/>
        <w:spacing w:before="0" w:beforeAutospacing="0" w:after="0" w:afterAutospacing="0" w:line="360" w:lineRule="auto"/>
        <w:jc w:val="right"/>
      </w:pPr>
      <w:r>
        <w:rPr>
          <w:rFonts w:hint="eastAsia"/>
          <w:shd w:val="clear" w:color="auto" w:fill="FFFFFF"/>
        </w:rPr>
        <w:t>日期：     年    月    日</w:t>
      </w:r>
    </w:p>
    <w:p w14:paraId="2CE25AF3">
      <w:pPr>
        <w:pStyle w:val="23"/>
        <w:shd w:val="clear" w:color="auto" w:fill="FFFFFF"/>
        <w:spacing w:before="0" w:beforeAutospacing="0" w:after="0" w:afterAutospacing="0" w:line="360" w:lineRule="auto"/>
        <w:rPr>
          <w:shd w:val="clear" w:color="auto" w:fill="FFFFFF"/>
        </w:rPr>
      </w:pPr>
    </w:p>
    <w:p w14:paraId="595475C3">
      <w:pPr>
        <w:pStyle w:val="23"/>
        <w:shd w:val="clear" w:color="auto" w:fill="FFFFFF"/>
        <w:spacing w:before="0" w:beforeAutospacing="0" w:after="0" w:afterAutospacing="0" w:line="360" w:lineRule="auto"/>
        <w:rPr>
          <w:shd w:val="clear" w:color="auto" w:fill="FFFFFF"/>
        </w:rPr>
      </w:pPr>
    </w:p>
    <w:p w14:paraId="7A8250BB">
      <w:pPr>
        <w:spacing w:line="360" w:lineRule="auto"/>
        <w:ind w:left="424" w:leftChars="1" w:hanging="422" w:hangingChars="201"/>
        <w:rPr>
          <w:rFonts w:ascii="宋体" w:hAnsi="宋体"/>
          <w:szCs w:val="21"/>
          <w:shd w:val="clear" w:color="auto" w:fill="FFFFFF"/>
        </w:rPr>
      </w:pPr>
      <w:r>
        <w:rPr>
          <w:rFonts w:ascii="宋体" w:hAnsi="宋体"/>
          <w:szCs w:val="21"/>
          <w:shd w:val="clear" w:color="auto" w:fill="FFFFFF"/>
        </w:rPr>
        <w:t>注：1.产品如有型号，请在“产品名称”栏一并填写。</w:t>
      </w:r>
    </w:p>
    <w:p w14:paraId="4C69F1E4">
      <w:pPr>
        <w:spacing w:line="360" w:lineRule="auto"/>
        <w:ind w:left="420" w:leftChars="200"/>
        <w:rPr>
          <w:rFonts w:ascii="宋体" w:hAnsi="宋体"/>
          <w:szCs w:val="21"/>
          <w:shd w:val="clear" w:color="auto" w:fill="FFFFFF"/>
        </w:rPr>
      </w:pPr>
      <w:r>
        <w:rPr>
          <w:rFonts w:ascii="宋体" w:hAnsi="宋体"/>
          <w:szCs w:val="21"/>
          <w:shd w:val="clear" w:color="auto" w:fill="FFFFFF"/>
        </w:rPr>
        <w:t>2.生产厂名与厂址应与生产厂营业执照载明的相关信息保持一致。</w:t>
      </w:r>
    </w:p>
    <w:p w14:paraId="79056101">
      <w:pPr>
        <w:spacing w:line="360" w:lineRule="auto"/>
        <w:ind w:left="420" w:leftChars="200"/>
        <w:rPr>
          <w:rFonts w:ascii="宋体" w:hAnsi="宋体"/>
          <w:szCs w:val="21"/>
          <w:shd w:val="clear" w:color="auto" w:fill="FFFFFF"/>
        </w:rPr>
      </w:pPr>
      <w:r>
        <w:rPr>
          <w:rFonts w:ascii="宋体" w:hAnsi="宋体"/>
          <w:szCs w:val="21"/>
          <w:shd w:val="clear" w:color="auto" w:fill="FFFFFF"/>
        </w:rPr>
        <w:t>3.该产品的中国境内生产的组件成本占比相关要求实施前，“规定比例”栏可不填。</w:t>
      </w:r>
    </w:p>
    <w:p w14:paraId="35A89B69">
      <w:pPr>
        <w:spacing w:line="360" w:lineRule="auto"/>
        <w:ind w:left="420" w:leftChars="200"/>
        <w:rPr>
          <w:rFonts w:ascii="宋体" w:hAnsi="宋体"/>
          <w:szCs w:val="21"/>
          <w:shd w:val="clear" w:color="auto" w:fill="FFFFFF"/>
        </w:rPr>
      </w:pPr>
      <w:r>
        <w:rPr>
          <w:rFonts w:ascii="宋体" w:hAnsi="宋体"/>
          <w:szCs w:val="21"/>
          <w:shd w:val="clear" w:color="auto" w:fill="FFFFFF"/>
        </w:rPr>
        <w:t>4.该产品的关键组件要求实施前，“关键组件”栏可不填。</w:t>
      </w:r>
    </w:p>
    <w:p w14:paraId="6B899C58">
      <w:pPr>
        <w:spacing w:line="360" w:lineRule="auto"/>
        <w:ind w:left="420" w:leftChars="200"/>
        <w:rPr>
          <w:rFonts w:ascii="宋体" w:hAnsi="宋体"/>
          <w:szCs w:val="21"/>
          <w:shd w:val="clear" w:color="auto" w:fill="FFFFFF"/>
        </w:rPr>
      </w:pPr>
      <w:r>
        <w:rPr>
          <w:rFonts w:ascii="宋体" w:hAnsi="宋体"/>
          <w:szCs w:val="21"/>
          <w:shd w:val="clear" w:color="auto" w:fill="FFFFFF"/>
        </w:rPr>
        <w:t>5.该产品的关键工序要求实施前，“关键工序”栏可不填。</w:t>
      </w:r>
    </w:p>
    <w:p w14:paraId="18FE202F">
      <w:pPr>
        <w:rPr>
          <w:rFonts w:ascii="宋体" w:hAnsi="宋体"/>
          <w:szCs w:val="21"/>
          <w:shd w:val="clear" w:color="auto" w:fill="FFFFFF"/>
        </w:rPr>
      </w:pPr>
      <w:r>
        <w:rPr>
          <w:rFonts w:ascii="宋体" w:hAnsi="宋体"/>
          <w:szCs w:val="21"/>
          <w:shd w:val="clear" w:color="auto" w:fill="FFFFFF"/>
        </w:rPr>
        <w:br w:type="page"/>
      </w:r>
    </w:p>
    <w:p w14:paraId="344CE890">
      <w:pPr>
        <w:pStyle w:val="23"/>
        <w:shd w:val="clear" w:color="auto" w:fill="FFFFFF"/>
        <w:spacing w:before="30" w:beforeAutospacing="0" w:after="30" w:afterAutospacing="0"/>
        <w:jc w:val="center"/>
        <w:rPr>
          <w:rStyle w:val="30"/>
          <w:sz w:val="36"/>
          <w:szCs w:val="36"/>
        </w:rPr>
      </w:pPr>
      <w:r>
        <w:rPr>
          <w:rStyle w:val="30"/>
          <w:rFonts w:hint="eastAsia"/>
          <w:sz w:val="36"/>
          <w:szCs w:val="36"/>
        </w:rPr>
        <w:t>产品成本占比承诺函</w:t>
      </w:r>
    </w:p>
    <w:p w14:paraId="69224E5A">
      <w:pPr>
        <w:pStyle w:val="23"/>
        <w:shd w:val="clear" w:color="auto" w:fill="FFFFFF"/>
        <w:spacing w:before="30" w:beforeAutospacing="0" w:after="30" w:afterAutospacing="0"/>
        <w:rPr>
          <w:rStyle w:val="30"/>
          <w:sz w:val="36"/>
          <w:szCs w:val="36"/>
        </w:rPr>
      </w:pPr>
    </w:p>
    <w:p w14:paraId="29580ADB">
      <w:pPr>
        <w:widowControl/>
        <w:spacing w:line="360" w:lineRule="auto"/>
        <w:ind w:firstLine="480" w:firstLineChars="200"/>
        <w:jc w:val="left"/>
        <w:rPr>
          <w:rFonts w:ascii="宋体" w:hAnsi="宋体"/>
          <w:sz w:val="24"/>
          <w:shd w:val="clear" w:color="auto" w:fill="FFFFFF"/>
        </w:rPr>
      </w:pPr>
      <w:r>
        <w:rPr>
          <w:rFonts w:hint="eastAsia" w:ascii="宋体" w:hAnsi="宋体"/>
          <w:sz w:val="24"/>
          <w:shd w:val="clear" w:color="auto" w:fill="FFFFFF"/>
        </w:rPr>
        <w:t>我公司（单位）郑重承诺，我公司已阅读并理解《国务院办公厅关于在政府采购中实施本国产品标准及相关政策的通知》（国办发〔</w:t>
      </w:r>
      <w:r>
        <w:rPr>
          <w:rFonts w:ascii="宋体" w:hAnsi="宋体"/>
          <w:sz w:val="24"/>
          <w:shd w:val="clear" w:color="auto" w:fill="FFFFFF"/>
        </w:rPr>
        <w:t>2025</w:t>
      </w:r>
      <w:r>
        <w:rPr>
          <w:rFonts w:hint="eastAsia" w:ascii="宋体" w:hAnsi="宋体"/>
          <w:sz w:val="24"/>
          <w:shd w:val="clear" w:color="auto" w:fill="FFFFFF"/>
        </w:rPr>
        <w:t>〕</w:t>
      </w:r>
      <w:r>
        <w:rPr>
          <w:rFonts w:ascii="宋体" w:hAnsi="宋体"/>
          <w:sz w:val="24"/>
          <w:shd w:val="clear" w:color="auto" w:fill="FFFFFF"/>
        </w:rPr>
        <w:t>34</w:t>
      </w:r>
      <w:r>
        <w:rPr>
          <w:rFonts w:hint="eastAsia" w:ascii="宋体" w:hAnsi="宋体"/>
          <w:sz w:val="24"/>
          <w:shd w:val="clear" w:color="auto" w:fill="FFFFFF"/>
        </w:rPr>
        <w:t>号）的规定。据此承诺如下：</w:t>
      </w:r>
    </w:p>
    <w:p w14:paraId="047CD4D2">
      <w:pPr>
        <w:widowControl/>
        <w:spacing w:line="360" w:lineRule="auto"/>
        <w:ind w:firstLine="480" w:firstLineChars="200"/>
        <w:jc w:val="left"/>
        <w:rPr>
          <w:rFonts w:ascii="宋体" w:hAnsi="宋体"/>
          <w:sz w:val="24"/>
        </w:rPr>
      </w:pPr>
      <w:r>
        <w:rPr>
          <w:rFonts w:hint="eastAsia" w:ascii="宋体" w:hAnsi="宋体"/>
          <w:sz w:val="24"/>
          <w:shd w:val="clear" w:color="auto" w:fill="FFFFFF"/>
        </w:rPr>
        <w:t>为本采购项目或者采购包提供的符合本国产品标准的产品成本之和占提供的全部产品成本之和的比例为</w:t>
      </w:r>
      <w:r>
        <w:rPr>
          <w:rFonts w:ascii="宋体" w:hAnsi="宋体"/>
          <w:sz w:val="24"/>
        </w:rPr>
        <w:t>______%</w:t>
      </w:r>
      <w:r>
        <w:rPr>
          <w:rFonts w:hint="eastAsia" w:ascii="宋体" w:hAnsi="宋体"/>
          <w:sz w:val="24"/>
        </w:rPr>
        <w:t>。</w:t>
      </w:r>
    </w:p>
    <w:p w14:paraId="3CD0D5A5">
      <w:pPr>
        <w:widowControl/>
        <w:spacing w:line="360" w:lineRule="auto"/>
        <w:ind w:firstLine="480" w:firstLineChars="200"/>
        <w:jc w:val="left"/>
        <w:rPr>
          <w:rFonts w:ascii="宋体" w:hAnsi="宋体"/>
          <w:sz w:val="24"/>
        </w:rPr>
      </w:pPr>
    </w:p>
    <w:p w14:paraId="05EADA39">
      <w:pPr>
        <w:pStyle w:val="23"/>
        <w:shd w:val="clear" w:color="auto" w:fill="FFFFFF"/>
        <w:spacing w:before="0" w:beforeAutospacing="0" w:after="0" w:afterAutospacing="0" w:line="360" w:lineRule="auto"/>
        <w:jc w:val="right"/>
      </w:pPr>
      <w:r>
        <w:rPr>
          <w:rFonts w:hint="eastAsia"/>
          <w:shd w:val="clear" w:color="auto" w:fill="FFFFFF"/>
        </w:rPr>
        <w:t>公司（单位）名称（盖章）：</w:t>
      </w:r>
    </w:p>
    <w:p w14:paraId="5C4D4A02">
      <w:pPr>
        <w:widowControl/>
        <w:spacing w:line="360" w:lineRule="auto"/>
        <w:ind w:firstLine="480" w:firstLineChars="200"/>
        <w:jc w:val="right"/>
        <w:rPr>
          <w:rFonts w:ascii="宋体" w:hAnsi="宋体"/>
          <w:sz w:val="24"/>
        </w:rPr>
      </w:pPr>
      <w:r>
        <w:rPr>
          <w:rFonts w:hint="eastAsia" w:ascii="宋体" w:hAnsi="宋体"/>
          <w:sz w:val="24"/>
          <w:shd w:val="clear" w:color="auto" w:fill="FFFFFF"/>
        </w:rPr>
        <w:t xml:space="preserve">日期：     </w:t>
      </w:r>
      <w:r>
        <w:rPr>
          <w:rFonts w:hint="eastAsia" w:ascii="宋体" w:hAnsi="宋体" w:cs="宋体"/>
          <w:sz w:val="24"/>
          <w:shd w:val="clear" w:color="auto" w:fill="FFFFFF"/>
        </w:rPr>
        <w:t>年</w:t>
      </w:r>
      <w:r>
        <w:rPr>
          <w:rFonts w:hint="eastAsia" w:ascii="宋体" w:hAnsi="宋体"/>
          <w:sz w:val="24"/>
          <w:shd w:val="clear" w:color="auto" w:fill="FFFFFF"/>
        </w:rPr>
        <w:t xml:space="preserve">    </w:t>
      </w:r>
      <w:r>
        <w:rPr>
          <w:rFonts w:hint="eastAsia" w:ascii="宋体" w:hAnsi="宋体" w:cs="宋体"/>
          <w:sz w:val="24"/>
          <w:shd w:val="clear" w:color="auto" w:fill="FFFFFF"/>
        </w:rPr>
        <w:t>月</w:t>
      </w:r>
      <w:r>
        <w:rPr>
          <w:rFonts w:hint="eastAsia" w:ascii="宋体" w:hAnsi="宋体"/>
          <w:sz w:val="24"/>
          <w:shd w:val="clear" w:color="auto" w:fill="FFFFFF"/>
        </w:rPr>
        <w:t xml:space="preserve">   </w:t>
      </w:r>
      <w:r>
        <w:rPr>
          <w:rFonts w:hint="eastAsia" w:ascii="宋体" w:hAnsi="宋体" w:cs="宋体"/>
          <w:sz w:val="24"/>
          <w:shd w:val="clear" w:color="auto" w:fill="FFFFFF"/>
        </w:rPr>
        <w:t>日</w:t>
      </w:r>
    </w:p>
    <w:p w14:paraId="10B64A63">
      <w:pPr>
        <w:widowControl/>
        <w:spacing w:line="360" w:lineRule="auto"/>
        <w:jc w:val="left"/>
        <w:rPr>
          <w:rFonts w:ascii="宋体" w:hAnsi="宋体"/>
          <w:sz w:val="24"/>
        </w:rPr>
      </w:pPr>
    </w:p>
    <w:p w14:paraId="58F67814">
      <w:pPr>
        <w:widowControl/>
        <w:spacing w:line="360" w:lineRule="auto"/>
        <w:jc w:val="left"/>
        <w:rPr>
          <w:rFonts w:ascii="宋体" w:hAnsi="宋体"/>
          <w:sz w:val="24"/>
        </w:rPr>
      </w:pPr>
    </w:p>
    <w:p w14:paraId="5A72BBE6">
      <w:pPr>
        <w:spacing w:line="360" w:lineRule="auto"/>
        <w:rPr>
          <w:rFonts w:ascii="宋体" w:hAnsi="宋体"/>
          <w:sz w:val="22"/>
          <w:szCs w:val="22"/>
        </w:rPr>
      </w:pPr>
      <w:r>
        <w:rPr>
          <w:rFonts w:hint="eastAsia" w:ascii="宋体" w:hAnsi="宋体"/>
          <w:sz w:val="22"/>
          <w:szCs w:val="22"/>
        </w:rPr>
        <w:t>注：</w:t>
      </w:r>
    </w:p>
    <w:p w14:paraId="77CE622D">
      <w:pPr>
        <w:spacing w:line="360" w:lineRule="auto"/>
        <w:rPr>
          <w:rFonts w:ascii="宋体" w:hAnsi="宋体"/>
          <w:szCs w:val="21"/>
          <w:shd w:val="clear" w:color="auto" w:fill="FFFFFF"/>
        </w:rPr>
      </w:pPr>
      <w:r>
        <w:rPr>
          <w:rFonts w:ascii="宋体" w:hAnsi="宋体"/>
          <w:szCs w:val="21"/>
          <w:shd w:val="clear" w:color="auto" w:fill="FFFFFF"/>
        </w:rPr>
        <w:t xml:space="preserve">1. </w:t>
      </w:r>
      <w:r>
        <w:rPr>
          <w:rFonts w:hint="eastAsia" w:ascii="宋体" w:hAnsi="宋体"/>
          <w:szCs w:val="21"/>
          <w:shd w:val="clear" w:color="auto" w:fill="FFFFFF"/>
        </w:rPr>
        <w:t>本承诺函应按包分别提供。</w:t>
      </w:r>
    </w:p>
    <w:p w14:paraId="1E04931C">
      <w:pPr>
        <w:spacing w:line="360" w:lineRule="auto"/>
        <w:rPr>
          <w:rFonts w:ascii="宋体" w:hAnsi="宋体"/>
          <w:szCs w:val="21"/>
          <w:shd w:val="clear" w:color="auto" w:fill="FFFFFF"/>
        </w:rPr>
      </w:pPr>
      <w:r>
        <w:rPr>
          <w:rFonts w:ascii="宋体" w:hAnsi="宋体"/>
          <w:szCs w:val="21"/>
          <w:shd w:val="clear" w:color="auto" w:fill="FFFFFF"/>
        </w:rPr>
        <w:t xml:space="preserve">2. </w:t>
      </w:r>
      <w:r>
        <w:rPr>
          <w:rFonts w:hint="eastAsia" w:ascii="宋体" w:hAnsi="宋体"/>
          <w:szCs w:val="21"/>
          <w:shd w:val="clear" w:color="auto" w:fill="FFFFFF"/>
        </w:rPr>
        <w:t>单一产品采购无须提供本承诺函；供应商提供产品全部为本国产品，且提供了《关于符合本国产品标准的声明函》时，无须提供本承诺函。</w:t>
      </w:r>
    </w:p>
    <w:p w14:paraId="07DDFAD4">
      <w:pPr>
        <w:spacing w:line="360" w:lineRule="auto"/>
        <w:rPr>
          <w:rFonts w:ascii="宋体" w:hAnsi="宋体"/>
          <w:szCs w:val="21"/>
          <w:shd w:val="clear" w:color="auto" w:fill="FFFFFF"/>
        </w:rPr>
      </w:pPr>
      <w:r>
        <w:rPr>
          <w:rFonts w:ascii="宋体" w:hAnsi="宋体"/>
          <w:szCs w:val="21"/>
          <w:shd w:val="clear" w:color="auto" w:fill="FFFFFF"/>
        </w:rPr>
        <w:t xml:space="preserve">3. </w:t>
      </w:r>
      <w:r>
        <w:rPr>
          <w:rFonts w:hint="eastAsia" w:ascii="宋体" w:hAnsi="宋体"/>
          <w:szCs w:val="21"/>
          <w:shd w:val="clear" w:color="auto" w:fill="FFFFFF"/>
        </w:rPr>
        <w:t>当采购项目或单个采购包中含有多种产品，且供应商提供的产品同时包含本国产品及非本国产品，则供应商除需提供《关于符合本国产品标准的声明函》外，还需提供本承诺函；否则，不享受</w:t>
      </w:r>
      <w:r>
        <w:rPr>
          <w:rFonts w:hint="eastAsia" w:ascii="宋体" w:hAnsi="宋体"/>
        </w:rPr>
        <w:t>价格评审优惠</w:t>
      </w:r>
      <w:r>
        <w:rPr>
          <w:rFonts w:hint="eastAsia" w:ascii="宋体" w:hAnsi="宋体"/>
          <w:szCs w:val="21"/>
          <w:shd w:val="clear" w:color="auto" w:fill="FFFFFF"/>
        </w:rPr>
        <w:t>。</w:t>
      </w:r>
    </w:p>
    <w:p w14:paraId="6470A273">
      <w:pPr>
        <w:rPr>
          <w:rFonts w:ascii="宋体" w:hAnsi="宋体"/>
          <w:szCs w:val="20"/>
        </w:rPr>
      </w:pPr>
      <w:r>
        <w:rPr>
          <w:rFonts w:ascii="宋体" w:hAnsi="宋体"/>
          <w:szCs w:val="20"/>
        </w:rPr>
        <w:br w:type="page"/>
      </w:r>
    </w:p>
    <w:p w14:paraId="208CF9D6">
      <w:pPr>
        <w:spacing w:line="360" w:lineRule="auto"/>
        <w:outlineLvl w:val="2"/>
        <w:rPr>
          <w:rFonts w:ascii="宋体" w:hAnsi="宋体"/>
          <w:sz w:val="24"/>
        </w:rPr>
      </w:pPr>
      <w:r>
        <w:rPr>
          <w:rFonts w:hint="eastAsia" w:ascii="宋体" w:hAnsi="宋体"/>
          <w:sz w:val="24"/>
          <w:szCs w:val="20"/>
        </w:rPr>
        <w:t>9</w:t>
      </w:r>
      <w:r>
        <w:rPr>
          <w:rFonts w:ascii="宋体" w:hAnsi="宋体"/>
          <w:sz w:val="24"/>
          <w:szCs w:val="20"/>
        </w:rPr>
        <w:t xml:space="preserve"> </w:t>
      </w:r>
      <w:r>
        <w:rPr>
          <w:rFonts w:ascii="宋体" w:hAnsi="宋体"/>
          <w:sz w:val="24"/>
        </w:rPr>
        <w:t>代理费承诺书</w:t>
      </w:r>
    </w:p>
    <w:p w14:paraId="68C87D1D">
      <w:pPr>
        <w:rPr>
          <w:rFonts w:ascii="宋体" w:hAnsi="宋体"/>
        </w:rPr>
      </w:pPr>
    </w:p>
    <w:p w14:paraId="1F5CCE88">
      <w:pPr>
        <w:spacing w:line="360" w:lineRule="auto"/>
        <w:ind w:left="1080" w:hanging="1080"/>
        <w:jc w:val="left"/>
        <w:rPr>
          <w:rFonts w:ascii="宋体" w:hAnsi="宋体" w:cs="宋体"/>
          <w:b/>
          <w:sz w:val="24"/>
          <w:u w:val="single"/>
        </w:rPr>
      </w:pPr>
      <w:r>
        <w:rPr>
          <w:rFonts w:hint="eastAsia" w:ascii="宋体" w:hAnsi="宋体" w:cs="宋体"/>
          <w:b/>
          <w:sz w:val="24"/>
        </w:rPr>
        <w:t>致：北京中兴恒达招标有限公司</w:t>
      </w:r>
    </w:p>
    <w:p w14:paraId="6475B588">
      <w:pPr>
        <w:spacing w:line="360" w:lineRule="auto"/>
        <w:ind w:firstLine="480"/>
        <w:jc w:val="left"/>
        <w:rPr>
          <w:rFonts w:ascii="宋体" w:hAnsi="宋体" w:cs="宋体"/>
          <w:sz w:val="24"/>
        </w:rPr>
      </w:pPr>
    </w:p>
    <w:p w14:paraId="4557AE94">
      <w:pPr>
        <w:pStyle w:val="11"/>
        <w:spacing w:line="360" w:lineRule="auto"/>
        <w:ind w:left="0" w:leftChars="0" w:firstLine="480" w:firstLineChars="200"/>
        <w:rPr>
          <w:rFonts w:ascii="宋体" w:hAnsi="宋体"/>
        </w:rPr>
      </w:pPr>
      <w:r>
        <w:rPr>
          <w:rFonts w:hint="eastAsia" w:ascii="宋体" w:hAnsi="宋体" w:cs="宋体"/>
          <w:sz w:val="24"/>
        </w:rPr>
        <w:t>我单位承诺：若我单位在贵公司组织的</w:t>
      </w:r>
      <w:r>
        <w:rPr>
          <w:rFonts w:hint="eastAsia" w:ascii="宋体" w:hAnsi="宋体" w:cs="宋体"/>
          <w:sz w:val="24"/>
          <w:u w:val="single"/>
        </w:rPr>
        <w:t xml:space="preserve">             </w:t>
      </w:r>
      <w:r>
        <w:rPr>
          <w:rFonts w:hint="eastAsia" w:ascii="宋体" w:hAnsi="宋体" w:cs="宋体"/>
          <w:sz w:val="24"/>
        </w:rPr>
        <w:t>（项目编号：</w:t>
      </w:r>
      <w:r>
        <w:rPr>
          <w:rFonts w:hint="eastAsia" w:ascii="宋体" w:hAnsi="宋体" w:cs="宋体"/>
          <w:sz w:val="24"/>
          <w:u w:val="single"/>
        </w:rPr>
        <w:t xml:space="preserve">     </w:t>
      </w:r>
      <w:r>
        <w:rPr>
          <w:rFonts w:hint="eastAsia" w:ascii="宋体" w:hAnsi="宋体" w:cs="宋体"/>
          <w:sz w:val="24"/>
        </w:rPr>
        <w:t>）采购项目中获得中标资格，我单位将在领取中标通知书时以银行转账汇款的方式向贵公司一次性支付应由我单位交纳的代理费。</w:t>
      </w:r>
    </w:p>
    <w:p w14:paraId="379DC6E4">
      <w:pPr>
        <w:spacing w:line="360" w:lineRule="auto"/>
        <w:ind w:left="1620" w:leftChars="257" w:hanging="1080"/>
        <w:jc w:val="left"/>
        <w:rPr>
          <w:rFonts w:ascii="宋体" w:hAnsi="宋体" w:cs="宋体"/>
          <w:sz w:val="24"/>
        </w:rPr>
      </w:pPr>
    </w:p>
    <w:p w14:paraId="214CD7E6">
      <w:pPr>
        <w:spacing w:line="360" w:lineRule="auto"/>
        <w:ind w:left="1620" w:leftChars="257" w:hanging="1080"/>
        <w:jc w:val="left"/>
        <w:rPr>
          <w:rFonts w:ascii="宋体" w:hAnsi="宋体" w:cs="宋体"/>
          <w:sz w:val="24"/>
        </w:rPr>
      </w:pPr>
    </w:p>
    <w:p w14:paraId="4D77BB3C">
      <w:pPr>
        <w:spacing w:line="360" w:lineRule="auto"/>
        <w:ind w:left="1620" w:leftChars="257" w:hanging="1080"/>
        <w:jc w:val="left"/>
        <w:rPr>
          <w:rFonts w:ascii="宋体" w:hAnsi="宋体" w:cs="宋体"/>
          <w:sz w:val="24"/>
        </w:rPr>
      </w:pPr>
    </w:p>
    <w:p w14:paraId="537113E9">
      <w:pPr>
        <w:spacing w:line="360" w:lineRule="auto"/>
        <w:ind w:left="1620" w:leftChars="257" w:hanging="1080"/>
        <w:jc w:val="left"/>
        <w:rPr>
          <w:rFonts w:ascii="宋体" w:hAnsi="宋体" w:cs="宋体"/>
          <w:sz w:val="24"/>
        </w:rPr>
      </w:pPr>
      <w:r>
        <w:rPr>
          <w:rFonts w:hint="eastAsia" w:ascii="宋体" w:hAnsi="宋体" w:cs="宋体"/>
          <w:sz w:val="24"/>
        </w:rPr>
        <w:t>承诺方法定名称：</w:t>
      </w:r>
      <w:r>
        <w:rPr>
          <w:rFonts w:hint="eastAsia" w:ascii="宋体" w:hAnsi="宋体" w:cs="宋体"/>
          <w:sz w:val="24"/>
          <w:u w:val="single"/>
        </w:rPr>
        <w:t xml:space="preserve">       （加盖单位公章）</w:t>
      </w:r>
    </w:p>
    <w:p w14:paraId="717FBA82">
      <w:pPr>
        <w:spacing w:line="360" w:lineRule="auto"/>
        <w:ind w:left="1620" w:leftChars="257" w:hanging="1080"/>
        <w:jc w:val="left"/>
        <w:rPr>
          <w:rFonts w:ascii="宋体" w:hAnsi="宋体" w:cs="宋体"/>
          <w:sz w:val="24"/>
        </w:rPr>
        <w:sectPr>
          <w:pgSz w:w="11907" w:h="16840"/>
          <w:pgMar w:top="1440" w:right="1800" w:bottom="1440" w:left="1800" w:header="851" w:footer="851" w:gutter="0"/>
          <w:cols w:space="720" w:num="1"/>
          <w:docGrid w:linePitch="462" w:charSpace="0"/>
        </w:sectPr>
      </w:pPr>
      <w:r>
        <w:rPr>
          <w:rFonts w:hint="eastAsia" w:ascii="宋体" w:hAnsi="宋体" w:cs="宋体"/>
          <w:sz w:val="24"/>
        </w:rPr>
        <w:t>日   期：</w:t>
      </w:r>
      <w:r>
        <w:rPr>
          <w:rFonts w:hint="eastAsia" w:ascii="宋体" w:hAnsi="宋体" w:cs="宋体"/>
          <w:sz w:val="24"/>
          <w:u w:val="single"/>
        </w:rPr>
        <w:t xml:space="preserve">           </w:t>
      </w:r>
    </w:p>
    <w:p w14:paraId="40572B7C">
      <w:pPr>
        <w:pStyle w:val="6"/>
        <w:rPr>
          <w:rFonts w:hAnsi="宋体"/>
          <w:b w:val="0"/>
          <w:bCs/>
          <w:u w:val="none"/>
        </w:rPr>
      </w:pPr>
      <w:r>
        <w:rPr>
          <w:rFonts w:hint="eastAsia" w:hAnsi="宋体"/>
          <w:b w:val="0"/>
          <w:bCs/>
          <w:u w:val="none"/>
        </w:rPr>
        <w:t>11 商务符合性承诺书</w:t>
      </w:r>
      <w:r>
        <w:rPr>
          <w:rFonts w:hAnsi="宋体"/>
          <w:b w:val="0"/>
          <w:bCs/>
          <w:u w:val="none"/>
        </w:rPr>
        <w:t>（实质性格式）</w:t>
      </w:r>
    </w:p>
    <w:p w14:paraId="6CB1BE2B">
      <w:pPr>
        <w:rPr>
          <w:rFonts w:ascii="宋体" w:hAnsi="宋体"/>
          <w:sz w:val="24"/>
          <w:szCs w:val="20"/>
        </w:rPr>
      </w:pPr>
    </w:p>
    <w:p w14:paraId="1DBAA22C">
      <w:pPr>
        <w:rPr>
          <w:rFonts w:ascii="宋体" w:hAnsi="宋体"/>
          <w:sz w:val="24"/>
          <w:szCs w:val="20"/>
        </w:rPr>
      </w:pPr>
    </w:p>
    <w:p w14:paraId="200A1409">
      <w:pPr>
        <w:rPr>
          <w:rFonts w:ascii="宋体" w:hAnsi="宋体"/>
          <w:b/>
          <w:bCs/>
          <w:sz w:val="24"/>
          <w:szCs w:val="20"/>
        </w:rPr>
      </w:pPr>
      <w:r>
        <w:rPr>
          <w:rFonts w:ascii="宋体" w:hAnsi="宋体" w:cs="Arial"/>
          <w:b/>
          <w:sz w:val="24"/>
        </w:rPr>
        <w:t>致：</w:t>
      </w:r>
      <w:r>
        <w:rPr>
          <w:rFonts w:hint="eastAsia" w:ascii="宋体" w:hAnsi="宋体"/>
          <w:b/>
          <w:bCs/>
          <w:sz w:val="24"/>
          <w:szCs w:val="20"/>
        </w:rPr>
        <w:t>北京中兴恒达招标有限公司</w:t>
      </w:r>
    </w:p>
    <w:p w14:paraId="5770E297">
      <w:pPr>
        <w:rPr>
          <w:rFonts w:ascii="宋体" w:hAnsi="宋体"/>
          <w:sz w:val="24"/>
          <w:szCs w:val="20"/>
        </w:rPr>
      </w:pPr>
    </w:p>
    <w:p w14:paraId="06CAB634">
      <w:pPr>
        <w:rPr>
          <w:rFonts w:ascii="宋体" w:hAnsi="宋体"/>
          <w:sz w:val="24"/>
          <w:szCs w:val="20"/>
        </w:rPr>
      </w:pPr>
    </w:p>
    <w:p w14:paraId="1B621F11">
      <w:pPr>
        <w:spacing w:line="360" w:lineRule="auto"/>
        <w:ind w:firstLine="480" w:firstLineChars="200"/>
        <w:rPr>
          <w:rFonts w:ascii="宋体" w:hAnsi="宋体"/>
          <w:sz w:val="24"/>
          <w:szCs w:val="20"/>
        </w:rPr>
      </w:pPr>
      <w:r>
        <w:rPr>
          <w:rFonts w:hint="eastAsia" w:ascii="宋体" w:hAnsi="宋体"/>
          <w:sz w:val="24"/>
          <w:szCs w:val="20"/>
        </w:rPr>
        <w:t>我公司承诺：</w:t>
      </w:r>
    </w:p>
    <w:p w14:paraId="49DA47F6">
      <w:pPr>
        <w:spacing w:line="360" w:lineRule="auto"/>
        <w:ind w:firstLine="480" w:firstLineChars="200"/>
        <w:jc w:val="left"/>
        <w:rPr>
          <w:rFonts w:ascii="宋体" w:hAnsi="宋体"/>
          <w:sz w:val="24"/>
        </w:rPr>
      </w:pPr>
      <w:r>
        <w:rPr>
          <w:rFonts w:hint="eastAsia" w:ascii="宋体" w:hAnsi="宋体"/>
          <w:sz w:val="24"/>
        </w:rPr>
        <w:t>（一）我公司</w:t>
      </w:r>
      <w:r>
        <w:rPr>
          <w:rFonts w:ascii="宋体" w:hAnsi="宋体"/>
          <w:sz w:val="24"/>
        </w:rPr>
        <w:t>遵循公平竞争的原则，不存在恶意串通，</w:t>
      </w:r>
      <w:r>
        <w:rPr>
          <w:rFonts w:hint="eastAsia" w:ascii="宋体" w:hAnsi="宋体"/>
          <w:sz w:val="24"/>
        </w:rPr>
        <w:t>或</w:t>
      </w:r>
      <w:r>
        <w:rPr>
          <w:rFonts w:ascii="宋体" w:hAnsi="宋体"/>
          <w:sz w:val="24"/>
        </w:rPr>
        <w:t>妨碍其他投标人的竞争行为，不存在损害采购人或者其他投标人的合法权益情形；</w:t>
      </w:r>
    </w:p>
    <w:p w14:paraId="2CBAE7FA">
      <w:pPr>
        <w:spacing w:line="360" w:lineRule="auto"/>
        <w:ind w:firstLine="480" w:firstLineChars="200"/>
        <w:jc w:val="left"/>
        <w:rPr>
          <w:rFonts w:ascii="宋体" w:hAnsi="宋体"/>
          <w:sz w:val="24"/>
        </w:rPr>
      </w:pPr>
      <w:r>
        <w:rPr>
          <w:rFonts w:hint="eastAsia" w:ascii="宋体" w:hAnsi="宋体"/>
          <w:sz w:val="24"/>
        </w:rPr>
        <w:t>（二）我公司不存在《政府采购货物和服务招标投标管理办法》视为投标人串通投标的情形：</w:t>
      </w:r>
    </w:p>
    <w:p w14:paraId="03AACF64">
      <w:pPr>
        <w:spacing w:line="360" w:lineRule="auto"/>
        <w:ind w:firstLine="480" w:firstLineChars="200"/>
        <w:jc w:val="left"/>
        <w:rPr>
          <w:rFonts w:ascii="宋体" w:hAnsi="宋体"/>
          <w:sz w:val="24"/>
        </w:rPr>
      </w:pPr>
      <w:r>
        <w:rPr>
          <w:rFonts w:hint="eastAsia" w:ascii="宋体" w:hAnsi="宋体"/>
          <w:sz w:val="24"/>
        </w:rPr>
        <w:t>（1）不同投标人的投标文件由同一单位或者个人编制；</w:t>
      </w:r>
    </w:p>
    <w:p w14:paraId="20F6E478">
      <w:pPr>
        <w:spacing w:line="360" w:lineRule="auto"/>
        <w:ind w:firstLine="480" w:firstLineChars="200"/>
        <w:jc w:val="left"/>
        <w:rPr>
          <w:rFonts w:ascii="宋体" w:hAnsi="宋体"/>
          <w:sz w:val="24"/>
        </w:rPr>
      </w:pPr>
      <w:r>
        <w:rPr>
          <w:rFonts w:hint="eastAsia" w:ascii="宋体" w:hAnsi="宋体"/>
          <w:sz w:val="24"/>
        </w:rPr>
        <w:t>（2）不同投标人委托同一单位或者个人办理投标事宜；</w:t>
      </w:r>
    </w:p>
    <w:p w14:paraId="369408F8">
      <w:pPr>
        <w:spacing w:line="360" w:lineRule="auto"/>
        <w:ind w:firstLine="480" w:firstLineChars="200"/>
        <w:jc w:val="left"/>
        <w:rPr>
          <w:rFonts w:ascii="宋体" w:hAnsi="宋体"/>
          <w:sz w:val="24"/>
        </w:rPr>
      </w:pPr>
      <w:r>
        <w:rPr>
          <w:rFonts w:hint="eastAsia" w:ascii="宋体" w:hAnsi="宋体"/>
          <w:sz w:val="24"/>
        </w:rPr>
        <w:t>（3）不同投标人的投标文件载明的项目管理成员或者联系人员为同一人；</w:t>
      </w:r>
    </w:p>
    <w:p w14:paraId="70D30823">
      <w:pPr>
        <w:spacing w:line="360" w:lineRule="auto"/>
        <w:ind w:firstLine="480" w:firstLineChars="200"/>
        <w:jc w:val="left"/>
        <w:rPr>
          <w:rFonts w:ascii="宋体" w:hAnsi="宋体"/>
          <w:sz w:val="24"/>
        </w:rPr>
      </w:pPr>
      <w:r>
        <w:rPr>
          <w:rFonts w:hint="eastAsia" w:ascii="宋体" w:hAnsi="宋体"/>
          <w:sz w:val="24"/>
        </w:rPr>
        <w:t>（4）不同投标人的投标文件异常一致或者投标报价呈规律性差异；</w:t>
      </w:r>
    </w:p>
    <w:p w14:paraId="706E6C03">
      <w:pPr>
        <w:spacing w:line="360" w:lineRule="auto"/>
        <w:ind w:firstLine="480" w:firstLineChars="200"/>
        <w:jc w:val="left"/>
        <w:rPr>
          <w:rFonts w:ascii="宋体" w:hAnsi="宋体"/>
          <w:sz w:val="24"/>
        </w:rPr>
      </w:pPr>
      <w:r>
        <w:rPr>
          <w:rFonts w:hint="eastAsia" w:ascii="宋体" w:hAnsi="宋体"/>
          <w:sz w:val="24"/>
        </w:rPr>
        <w:t>（5）不同投标人的投标文件相互混装；</w:t>
      </w:r>
    </w:p>
    <w:p w14:paraId="4C4420DB">
      <w:pPr>
        <w:spacing w:line="360" w:lineRule="auto"/>
        <w:ind w:firstLine="480" w:firstLineChars="200"/>
        <w:jc w:val="left"/>
        <w:rPr>
          <w:rFonts w:ascii="宋体" w:hAnsi="宋体"/>
          <w:sz w:val="24"/>
        </w:rPr>
      </w:pPr>
      <w:r>
        <w:rPr>
          <w:rFonts w:hint="eastAsia" w:ascii="宋体" w:hAnsi="宋体"/>
          <w:sz w:val="24"/>
        </w:rPr>
        <w:t>（6）不同投标人的投标保证金从同一单位或者个人的账户转出</w:t>
      </w:r>
      <w:r>
        <w:rPr>
          <w:rFonts w:ascii="宋体" w:hAnsi="宋体"/>
          <w:sz w:val="24"/>
        </w:rPr>
        <w:t>；</w:t>
      </w:r>
    </w:p>
    <w:p w14:paraId="289797EE">
      <w:pPr>
        <w:spacing w:line="360" w:lineRule="auto"/>
        <w:ind w:firstLine="480" w:firstLineChars="200"/>
        <w:jc w:val="left"/>
        <w:rPr>
          <w:rFonts w:ascii="宋体" w:hAnsi="宋体"/>
          <w:sz w:val="24"/>
          <w:szCs w:val="20"/>
        </w:rPr>
      </w:pPr>
      <w:r>
        <w:rPr>
          <w:rFonts w:hint="eastAsia" w:ascii="宋体" w:hAnsi="宋体"/>
          <w:sz w:val="24"/>
        </w:rPr>
        <w:t>（三）</w:t>
      </w:r>
      <w:r>
        <w:rPr>
          <w:rFonts w:hint="eastAsia" w:ascii="宋体" w:hAnsi="宋体"/>
          <w:sz w:val="24"/>
          <w:szCs w:val="20"/>
        </w:rPr>
        <w:t>我公司的投标文件未含有采购人不能接受的附加条件；</w:t>
      </w:r>
    </w:p>
    <w:p w14:paraId="38B1A03A">
      <w:pPr>
        <w:spacing w:line="360" w:lineRule="auto"/>
        <w:ind w:firstLine="480" w:firstLineChars="200"/>
        <w:jc w:val="left"/>
        <w:rPr>
          <w:rFonts w:ascii="宋体" w:hAnsi="宋体"/>
          <w:sz w:val="24"/>
          <w:szCs w:val="20"/>
        </w:rPr>
      </w:pPr>
      <w:r>
        <w:rPr>
          <w:rFonts w:hint="eastAsia" w:ascii="宋体" w:hAnsi="宋体"/>
          <w:sz w:val="24"/>
        </w:rPr>
        <w:t>（四）</w:t>
      </w:r>
      <w:r>
        <w:rPr>
          <w:rFonts w:hint="eastAsia" w:ascii="宋体" w:hAnsi="宋体"/>
          <w:sz w:val="24"/>
          <w:szCs w:val="20"/>
        </w:rPr>
        <w:t>我公司不存在不符合法律法规和招标文件规定的其他无效情形。</w:t>
      </w:r>
    </w:p>
    <w:p w14:paraId="279AC9A5">
      <w:pPr>
        <w:pStyle w:val="11"/>
        <w:ind w:left="900" w:hanging="480"/>
        <w:rPr>
          <w:rFonts w:ascii="宋体" w:hAnsi="宋体"/>
          <w:sz w:val="24"/>
          <w:szCs w:val="20"/>
        </w:rPr>
      </w:pPr>
    </w:p>
    <w:p w14:paraId="08752FFC">
      <w:pPr>
        <w:pStyle w:val="11"/>
        <w:ind w:left="900" w:hanging="480"/>
        <w:rPr>
          <w:rFonts w:ascii="宋体" w:hAnsi="宋体"/>
          <w:sz w:val="24"/>
          <w:szCs w:val="20"/>
        </w:rPr>
      </w:pPr>
    </w:p>
    <w:p w14:paraId="3553B1E0">
      <w:pPr>
        <w:pStyle w:val="11"/>
        <w:ind w:left="900" w:hanging="480"/>
        <w:rPr>
          <w:rFonts w:ascii="宋体" w:hAnsi="宋体"/>
          <w:sz w:val="24"/>
          <w:szCs w:val="20"/>
        </w:rPr>
      </w:pPr>
    </w:p>
    <w:p w14:paraId="18F82C35">
      <w:pPr>
        <w:pStyle w:val="11"/>
        <w:ind w:left="900" w:hanging="480"/>
        <w:rPr>
          <w:rFonts w:ascii="宋体" w:hAnsi="宋体"/>
          <w:sz w:val="24"/>
          <w:szCs w:val="20"/>
        </w:rPr>
      </w:pPr>
    </w:p>
    <w:p w14:paraId="269C417F">
      <w:pPr>
        <w:spacing w:line="360" w:lineRule="auto"/>
        <w:ind w:left="1620" w:leftChars="257" w:hanging="1080"/>
        <w:jc w:val="left"/>
        <w:rPr>
          <w:rFonts w:ascii="宋体" w:hAnsi="宋体" w:cs="宋体"/>
          <w:sz w:val="24"/>
        </w:rPr>
      </w:pPr>
      <w:r>
        <w:rPr>
          <w:rFonts w:hint="eastAsia" w:ascii="宋体" w:hAnsi="宋体" w:cs="宋体"/>
          <w:sz w:val="24"/>
        </w:rPr>
        <w:t>承诺方法定名称：</w:t>
      </w:r>
      <w:r>
        <w:rPr>
          <w:rFonts w:hint="eastAsia" w:ascii="宋体" w:hAnsi="宋体" w:cs="宋体"/>
          <w:sz w:val="24"/>
          <w:u w:val="single"/>
        </w:rPr>
        <w:t>（加盖单位公章）</w:t>
      </w:r>
    </w:p>
    <w:p w14:paraId="6E146BFC">
      <w:pPr>
        <w:spacing w:line="360" w:lineRule="auto"/>
        <w:ind w:left="1620" w:leftChars="257" w:hanging="1080"/>
        <w:jc w:val="left"/>
        <w:rPr>
          <w:rFonts w:ascii="宋体" w:hAnsi="宋体" w:cs="宋体"/>
          <w:sz w:val="24"/>
          <w:u w:val="single"/>
        </w:rPr>
      </w:pPr>
      <w:r>
        <w:rPr>
          <w:rFonts w:hint="eastAsia" w:ascii="宋体" w:hAnsi="宋体" w:cs="宋体"/>
          <w:sz w:val="24"/>
        </w:rPr>
        <w:t>日   期：</w:t>
      </w:r>
      <w:r>
        <w:rPr>
          <w:rFonts w:hint="eastAsia" w:ascii="宋体" w:hAnsi="宋体" w:cs="宋体"/>
          <w:sz w:val="24"/>
          <w:u w:val="single"/>
        </w:rPr>
        <w:t xml:space="preserve">         </w:t>
      </w:r>
    </w:p>
    <w:p w14:paraId="47350100">
      <w:pPr>
        <w:rPr>
          <w:rFonts w:ascii="宋体" w:hAnsi="宋体" w:cs="宋体"/>
          <w:sz w:val="24"/>
          <w:u w:val="single"/>
        </w:rPr>
        <w:sectPr>
          <w:headerReference r:id="rId21" w:type="first"/>
          <w:footerReference r:id="rId23" w:type="first"/>
          <w:headerReference r:id="rId20" w:type="even"/>
          <w:footerReference r:id="rId22" w:type="even"/>
          <w:pgSz w:w="11907" w:h="16840"/>
          <w:pgMar w:top="1440" w:right="1800" w:bottom="1440" w:left="1800" w:header="851" w:footer="851" w:gutter="0"/>
          <w:cols w:space="720" w:num="1"/>
          <w:docGrid w:linePitch="462" w:charSpace="0"/>
        </w:sectPr>
      </w:pPr>
      <w:r>
        <w:rPr>
          <w:rFonts w:hint="eastAsia" w:ascii="宋体" w:hAnsi="宋体" w:cs="宋体"/>
          <w:sz w:val="24"/>
          <w:u w:val="single"/>
        </w:rPr>
        <w:br w:type="page"/>
      </w:r>
    </w:p>
    <w:p w14:paraId="263BACB8">
      <w:pPr>
        <w:pStyle w:val="6"/>
        <w:rPr>
          <w:rFonts w:hAnsi="宋体"/>
          <w:b w:val="0"/>
          <w:bCs/>
          <w:u w:val="none"/>
        </w:rPr>
      </w:pPr>
      <w:r>
        <w:rPr>
          <w:rFonts w:hint="eastAsia" w:hAnsi="宋体"/>
          <w:b w:val="0"/>
          <w:bCs/>
          <w:u w:val="none"/>
        </w:rPr>
        <w:t>12 不参与围标、串标承诺书</w:t>
      </w:r>
      <w:r>
        <w:rPr>
          <w:rFonts w:hAnsi="宋体"/>
          <w:b w:val="0"/>
          <w:bCs/>
          <w:u w:val="none"/>
        </w:rPr>
        <w:t>（实质性格式）</w:t>
      </w:r>
    </w:p>
    <w:p w14:paraId="603FC0AC">
      <w:pPr>
        <w:pStyle w:val="51"/>
        <w:spacing w:line="360" w:lineRule="auto"/>
        <w:ind w:firstLine="0"/>
        <w:jc w:val="left"/>
        <w:rPr>
          <w:b/>
        </w:rPr>
      </w:pPr>
    </w:p>
    <w:p w14:paraId="4ECB0BAB">
      <w:pPr>
        <w:pStyle w:val="51"/>
        <w:spacing w:line="360" w:lineRule="auto"/>
        <w:ind w:firstLine="0"/>
        <w:jc w:val="left"/>
        <w:rPr>
          <w:b/>
          <w:u w:val="single"/>
        </w:rPr>
      </w:pPr>
      <w:r>
        <w:rPr>
          <w:b/>
          <w:u w:val="single"/>
        </w:rPr>
        <w:t xml:space="preserve">致：        </w:t>
      </w:r>
      <w:r>
        <w:rPr>
          <w:rFonts w:hint="eastAsia"/>
          <w:b/>
          <w:u w:val="single"/>
        </w:rPr>
        <w:t>（</w:t>
      </w:r>
      <w:r>
        <w:rPr>
          <w:b/>
          <w:u w:val="single"/>
        </w:rPr>
        <w:t>采购</w:t>
      </w:r>
      <w:r>
        <w:rPr>
          <w:rFonts w:hint="eastAsia"/>
          <w:b/>
          <w:u w:val="single"/>
        </w:rPr>
        <w:t>人）</w:t>
      </w:r>
    </w:p>
    <w:p w14:paraId="7473B4BC">
      <w:pPr>
        <w:pStyle w:val="51"/>
        <w:spacing w:line="360" w:lineRule="auto"/>
        <w:ind w:firstLineChars="200"/>
        <w:jc w:val="left"/>
      </w:pPr>
    </w:p>
    <w:p w14:paraId="29F85C7A">
      <w:pPr>
        <w:pStyle w:val="51"/>
        <w:spacing w:line="360" w:lineRule="auto"/>
        <w:ind w:firstLineChars="200"/>
        <w:jc w:val="left"/>
      </w:pPr>
      <w:r>
        <w:rPr>
          <w:rFonts w:hint="eastAsia"/>
        </w:rPr>
        <w:t>我公司参与贵单位组织的</w:t>
      </w:r>
      <w:r>
        <w:rPr>
          <w:u w:val="single"/>
        </w:rPr>
        <w:t xml:space="preserve">       </w:t>
      </w:r>
      <w:r>
        <w:rPr>
          <w:rFonts w:hint="eastAsia"/>
          <w:u w:val="single"/>
        </w:rPr>
        <w:t xml:space="preserve">  </w:t>
      </w:r>
      <w:r>
        <w:rPr>
          <w:u w:val="single"/>
        </w:rPr>
        <w:t xml:space="preserve">      </w:t>
      </w:r>
      <w:r>
        <w:rPr>
          <w:rFonts w:hint="eastAsia"/>
          <w:u w:val="single"/>
        </w:rPr>
        <w:t>项目（编号：</w:t>
      </w:r>
      <w:r>
        <w:rPr>
          <w:u w:val="single"/>
        </w:rPr>
        <w:t xml:space="preserve">         </w:t>
      </w:r>
      <w:r>
        <w:rPr>
          <w:rFonts w:hint="eastAsia"/>
        </w:rPr>
        <w:t>）的采购活动，现郑重承诺如下：</w:t>
      </w:r>
    </w:p>
    <w:p w14:paraId="0030F5FA">
      <w:pPr>
        <w:pStyle w:val="51"/>
        <w:spacing w:line="360" w:lineRule="auto"/>
        <w:ind w:firstLineChars="200"/>
        <w:jc w:val="left"/>
      </w:pPr>
    </w:p>
    <w:p w14:paraId="77078B04">
      <w:pPr>
        <w:pStyle w:val="51"/>
        <w:spacing w:line="360" w:lineRule="auto"/>
        <w:ind w:firstLineChars="200"/>
        <w:jc w:val="left"/>
      </w:pPr>
      <w:r>
        <w:rPr>
          <w:rFonts w:hint="eastAsia"/>
        </w:rPr>
        <w:t>1.我公司</w:t>
      </w:r>
      <w:r>
        <w:t>严格遵守《中华人民共和国政府采购法》及相关</w:t>
      </w:r>
      <w:r>
        <w:rPr>
          <w:rFonts w:hint="eastAsia"/>
        </w:rPr>
        <w:t>规定，保证依法依规参与本项目投标/响应</w:t>
      </w:r>
      <w:r>
        <w:t>。</w:t>
      </w:r>
    </w:p>
    <w:p w14:paraId="1CB7E3ED">
      <w:pPr>
        <w:pStyle w:val="51"/>
        <w:spacing w:line="360" w:lineRule="auto"/>
        <w:ind w:firstLineChars="200"/>
        <w:jc w:val="left"/>
      </w:pPr>
    </w:p>
    <w:p w14:paraId="04276A7A">
      <w:pPr>
        <w:pStyle w:val="51"/>
        <w:spacing w:line="360" w:lineRule="auto"/>
        <w:ind w:firstLineChars="200"/>
        <w:jc w:val="left"/>
      </w:pPr>
      <w:r>
        <w:rPr>
          <w:rFonts w:hint="eastAsia"/>
        </w:rPr>
        <w:t>2.我公司承诺，在本项目采购活动中，不存在以下情况：</w:t>
      </w:r>
    </w:p>
    <w:p w14:paraId="0711564A">
      <w:pPr>
        <w:pStyle w:val="51"/>
        <w:spacing w:line="360" w:lineRule="auto"/>
        <w:ind w:firstLineChars="200"/>
        <w:jc w:val="left"/>
      </w:pPr>
      <w:r>
        <w:rPr>
          <w:rFonts w:hint="eastAsia"/>
        </w:rPr>
        <w:t>（</w:t>
      </w:r>
      <w:r>
        <w:t>1</w:t>
      </w:r>
      <w:r>
        <w:rPr>
          <w:rFonts w:hint="eastAsia"/>
        </w:rPr>
        <w:t>）直接或者间接从采购人或者采购代理机构处获得其他投标人的相关情况并修改其投标文件或者响应文件；</w:t>
      </w:r>
    </w:p>
    <w:p w14:paraId="37F34758">
      <w:pPr>
        <w:pStyle w:val="51"/>
        <w:spacing w:line="360" w:lineRule="auto"/>
        <w:ind w:firstLineChars="200"/>
        <w:jc w:val="left"/>
      </w:pPr>
      <w:r>
        <w:rPr>
          <w:rFonts w:hint="eastAsia"/>
        </w:rPr>
        <w:t>（</w:t>
      </w:r>
      <w:r>
        <w:t>2</w:t>
      </w:r>
      <w:r>
        <w:rPr>
          <w:rFonts w:hint="eastAsia"/>
        </w:rPr>
        <w:t>）按照采购人或者采购代理机构的授意撤换、修改投标文件或者响应文件的情况；</w:t>
      </w:r>
    </w:p>
    <w:p w14:paraId="231113C6">
      <w:pPr>
        <w:pStyle w:val="51"/>
        <w:spacing w:line="360" w:lineRule="auto"/>
        <w:ind w:firstLineChars="200"/>
        <w:jc w:val="left"/>
      </w:pPr>
      <w:r>
        <w:rPr>
          <w:rFonts w:hint="eastAsia"/>
        </w:rPr>
        <w:t>（</w:t>
      </w:r>
      <w:r>
        <w:t>3</w:t>
      </w:r>
      <w:r>
        <w:rPr>
          <w:rFonts w:hint="eastAsia"/>
        </w:rPr>
        <w:t>）与其他供应商协商报价、技术方案等投标文件或者响应文件实质性内容的情况；</w:t>
      </w:r>
    </w:p>
    <w:p w14:paraId="0AD4738F">
      <w:pPr>
        <w:pStyle w:val="51"/>
        <w:spacing w:line="360" w:lineRule="auto"/>
        <w:ind w:firstLineChars="200"/>
        <w:jc w:val="left"/>
      </w:pPr>
      <w:r>
        <w:rPr>
          <w:rFonts w:hint="eastAsia"/>
        </w:rPr>
        <w:t>（</w:t>
      </w:r>
      <w:r>
        <w:t>4</w:t>
      </w:r>
      <w:r>
        <w:rPr>
          <w:rFonts w:hint="eastAsia"/>
        </w:rPr>
        <w:t>）与其他投标人属于同一集团、协会、商会等组织成员并按照该组织要求协同参加采购活动的情况；</w:t>
      </w:r>
    </w:p>
    <w:p w14:paraId="6059EDD2">
      <w:pPr>
        <w:pStyle w:val="51"/>
        <w:spacing w:line="360" w:lineRule="auto"/>
        <w:ind w:firstLineChars="200"/>
        <w:jc w:val="left"/>
      </w:pPr>
      <w:r>
        <w:rPr>
          <w:rFonts w:hint="eastAsia"/>
        </w:rPr>
        <w:t>（</w:t>
      </w:r>
      <w:r>
        <w:t>5</w:t>
      </w:r>
      <w:r>
        <w:rPr>
          <w:rFonts w:hint="eastAsia"/>
        </w:rPr>
        <w:t>）与其他供应商事先约定由某一特定投标人中标、成交的情况；</w:t>
      </w:r>
    </w:p>
    <w:p w14:paraId="692082EF">
      <w:pPr>
        <w:pStyle w:val="51"/>
        <w:spacing w:line="360" w:lineRule="auto"/>
        <w:ind w:firstLineChars="200"/>
        <w:jc w:val="left"/>
      </w:pPr>
      <w:r>
        <w:rPr>
          <w:rFonts w:hint="eastAsia"/>
        </w:rPr>
        <w:t>（</w:t>
      </w:r>
      <w:r>
        <w:t>6</w:t>
      </w:r>
      <w:r>
        <w:rPr>
          <w:rFonts w:hint="eastAsia"/>
        </w:rPr>
        <w:t>）与其他供应商商定部分供应商放弃参加采购活动或者放弃中标、成交的情况；</w:t>
      </w:r>
    </w:p>
    <w:p w14:paraId="6B10FEE2">
      <w:pPr>
        <w:pStyle w:val="51"/>
        <w:spacing w:line="360" w:lineRule="auto"/>
        <w:ind w:firstLineChars="200"/>
        <w:jc w:val="left"/>
      </w:pPr>
      <w:r>
        <w:rPr>
          <w:rFonts w:hint="eastAsia"/>
        </w:rPr>
        <w:t>（</w:t>
      </w:r>
      <w:r>
        <w:t>7</w:t>
      </w:r>
      <w:r>
        <w:rPr>
          <w:rFonts w:hint="eastAsia"/>
        </w:rPr>
        <w:t>）与采购人或者采购代理机构之间、与其他供应商相互之间，为谋求特定投标人中标、成交或者排斥其他投标人的其他串通行为。</w:t>
      </w:r>
    </w:p>
    <w:p w14:paraId="5C548F19">
      <w:pPr>
        <w:pStyle w:val="51"/>
        <w:spacing w:line="360" w:lineRule="auto"/>
        <w:jc w:val="left"/>
      </w:pPr>
    </w:p>
    <w:p w14:paraId="7604166D">
      <w:pPr>
        <w:pStyle w:val="51"/>
        <w:spacing w:line="360" w:lineRule="auto"/>
        <w:ind w:firstLineChars="200"/>
        <w:jc w:val="left"/>
      </w:pPr>
      <w:r>
        <w:rPr>
          <w:rFonts w:hint="eastAsia"/>
        </w:rPr>
        <w:t>3.我公司承诺，在本项目投标活动中，未实施以下行为：</w:t>
      </w:r>
    </w:p>
    <w:p w14:paraId="5BEBD304">
      <w:pPr>
        <w:pStyle w:val="51"/>
        <w:spacing w:line="360" w:lineRule="auto"/>
        <w:ind w:firstLineChars="200"/>
        <w:jc w:val="left"/>
      </w:pPr>
      <w:r>
        <w:rPr>
          <w:rFonts w:hint="eastAsia"/>
        </w:rPr>
        <w:t>（</w:t>
      </w:r>
      <w:r>
        <w:t>1</w:t>
      </w:r>
      <w:r>
        <w:rPr>
          <w:rFonts w:hint="eastAsia"/>
        </w:rPr>
        <w:t>）与其他供应商的投标/响应文件由同一单位或者个人编制；</w:t>
      </w:r>
    </w:p>
    <w:p w14:paraId="11BF10E9">
      <w:pPr>
        <w:pStyle w:val="51"/>
        <w:spacing w:line="360" w:lineRule="auto"/>
        <w:ind w:firstLineChars="200"/>
        <w:jc w:val="left"/>
      </w:pPr>
      <w:r>
        <w:rPr>
          <w:rFonts w:hint="eastAsia"/>
        </w:rPr>
        <w:t>（</w:t>
      </w:r>
      <w:r>
        <w:t>2</w:t>
      </w:r>
      <w:r>
        <w:rPr>
          <w:rFonts w:hint="eastAsia"/>
        </w:rPr>
        <w:t>）与其他供应商委托同一单位或者个人办理投标/响应事宜；</w:t>
      </w:r>
    </w:p>
    <w:p w14:paraId="0D97A0E5">
      <w:pPr>
        <w:pStyle w:val="51"/>
        <w:spacing w:line="360" w:lineRule="auto"/>
        <w:ind w:firstLineChars="200"/>
        <w:jc w:val="left"/>
      </w:pPr>
      <w:r>
        <w:rPr>
          <w:rFonts w:hint="eastAsia"/>
        </w:rPr>
        <w:t>（</w:t>
      </w:r>
      <w:r>
        <w:t>3</w:t>
      </w:r>
      <w:r>
        <w:rPr>
          <w:rFonts w:hint="eastAsia"/>
        </w:rPr>
        <w:t>）与其他供应商的投标/响应文件载明的项目管理成员或者联系人员为同一人；</w:t>
      </w:r>
    </w:p>
    <w:p w14:paraId="709D6FE7">
      <w:pPr>
        <w:pStyle w:val="51"/>
        <w:spacing w:line="360" w:lineRule="auto"/>
        <w:ind w:firstLineChars="200"/>
        <w:jc w:val="left"/>
      </w:pPr>
      <w:r>
        <w:rPr>
          <w:rFonts w:hint="eastAsia"/>
        </w:rPr>
        <w:t>（</w:t>
      </w:r>
      <w:r>
        <w:t>4</w:t>
      </w:r>
      <w:r>
        <w:rPr>
          <w:rFonts w:hint="eastAsia"/>
        </w:rPr>
        <w:t>）与其他供应商的投标文件异常一致或者投标报价呈规律性差异；</w:t>
      </w:r>
    </w:p>
    <w:p w14:paraId="5269C944">
      <w:pPr>
        <w:pStyle w:val="51"/>
        <w:spacing w:line="360" w:lineRule="auto"/>
        <w:ind w:firstLineChars="200"/>
        <w:jc w:val="left"/>
      </w:pPr>
      <w:r>
        <w:rPr>
          <w:rFonts w:hint="eastAsia"/>
        </w:rPr>
        <w:t>（</w:t>
      </w:r>
      <w:r>
        <w:t>5</w:t>
      </w:r>
      <w:r>
        <w:rPr>
          <w:rFonts w:hint="eastAsia"/>
        </w:rPr>
        <w:t>）与其他供应商的投标/响应文件相互混装；</w:t>
      </w:r>
    </w:p>
    <w:p w14:paraId="47EDC2F9">
      <w:pPr>
        <w:pStyle w:val="51"/>
        <w:spacing w:line="360" w:lineRule="auto"/>
        <w:ind w:firstLineChars="200"/>
        <w:jc w:val="left"/>
      </w:pPr>
      <w:r>
        <w:rPr>
          <w:rFonts w:hint="eastAsia"/>
        </w:rPr>
        <w:t>（</w:t>
      </w:r>
      <w:r>
        <w:t>6</w:t>
      </w:r>
      <w:r>
        <w:rPr>
          <w:rFonts w:hint="eastAsia"/>
        </w:rPr>
        <w:t>）与其他供应商的保证金从同一单位或者个人的账户转出。</w:t>
      </w:r>
    </w:p>
    <w:p w14:paraId="69C7A650">
      <w:pPr>
        <w:pStyle w:val="51"/>
        <w:spacing w:line="360" w:lineRule="auto"/>
        <w:ind w:firstLineChars="200"/>
        <w:jc w:val="left"/>
      </w:pPr>
    </w:p>
    <w:p w14:paraId="7EA66D3F">
      <w:pPr>
        <w:pStyle w:val="51"/>
        <w:spacing w:line="360" w:lineRule="auto"/>
        <w:ind w:firstLineChars="200"/>
        <w:jc w:val="left"/>
      </w:pPr>
      <w:r>
        <w:rPr>
          <w:rFonts w:hint="eastAsia"/>
        </w:rPr>
        <w:t>4.我公司承诺，不进行其他恶意串通行为：</w:t>
      </w:r>
    </w:p>
    <w:p w14:paraId="313100CF">
      <w:pPr>
        <w:pStyle w:val="51"/>
        <w:spacing w:line="360" w:lineRule="auto"/>
        <w:ind w:firstLineChars="200"/>
        <w:jc w:val="left"/>
      </w:pPr>
      <w:r>
        <w:rPr>
          <w:rFonts w:hint="eastAsia"/>
        </w:rPr>
        <w:t>（1）不通过行贿、利益输送等方式谋求中标；</w:t>
      </w:r>
    </w:p>
    <w:p w14:paraId="5C4C8691">
      <w:pPr>
        <w:pStyle w:val="51"/>
        <w:spacing w:line="360" w:lineRule="auto"/>
        <w:ind w:firstLineChars="200"/>
        <w:jc w:val="left"/>
      </w:pPr>
      <w:r>
        <w:rPr>
          <w:rFonts w:hint="eastAsia"/>
        </w:rPr>
        <w:t>（2）不利用关联关系（如与其他供应商负责人为同一人或存在控股、管理关系）参与投标/响应且未依法声明；</w:t>
      </w:r>
    </w:p>
    <w:p w14:paraId="6C2DF4FC">
      <w:pPr>
        <w:pStyle w:val="51"/>
        <w:spacing w:line="360" w:lineRule="auto"/>
        <w:ind w:firstLineChars="200"/>
        <w:jc w:val="left"/>
      </w:pPr>
      <w:r>
        <w:rPr>
          <w:rFonts w:hint="eastAsia"/>
        </w:rPr>
        <w:t>（3）不以其他任何形式损害采购人、其他供应商或国家利益。</w:t>
      </w:r>
    </w:p>
    <w:p w14:paraId="3D69F909">
      <w:pPr>
        <w:pStyle w:val="51"/>
        <w:spacing w:line="360" w:lineRule="auto"/>
        <w:ind w:firstLineChars="200"/>
        <w:jc w:val="left"/>
      </w:pPr>
    </w:p>
    <w:p w14:paraId="0664412D">
      <w:pPr>
        <w:pStyle w:val="51"/>
        <w:spacing w:line="360" w:lineRule="auto"/>
        <w:ind w:firstLineChars="200"/>
        <w:jc w:val="left"/>
      </w:pPr>
      <w:r>
        <w:rPr>
          <w:rFonts w:hint="eastAsia"/>
        </w:rPr>
        <w:t>5.我公司承诺，若在本项目采购活动中存在围标串标行为，自愿承担以下法律责任，包括但不限于：</w:t>
      </w:r>
    </w:p>
    <w:p w14:paraId="2941767E">
      <w:pPr>
        <w:pStyle w:val="51"/>
        <w:spacing w:line="360" w:lineRule="auto"/>
        <w:ind w:firstLineChars="200"/>
        <w:jc w:val="left"/>
      </w:pPr>
      <w:r>
        <w:rPr>
          <w:rFonts w:hint="eastAsia"/>
        </w:rPr>
        <w:t>（1）取消投标或中标/成交资格；</w:t>
      </w:r>
    </w:p>
    <w:p w14:paraId="1AC5D6DE">
      <w:pPr>
        <w:pStyle w:val="51"/>
        <w:spacing w:line="360" w:lineRule="auto"/>
        <w:ind w:firstLineChars="200"/>
        <w:jc w:val="left"/>
      </w:pPr>
      <w:r>
        <w:rPr>
          <w:rFonts w:hint="eastAsia"/>
        </w:rPr>
        <w:t>（2）没收投标保证金；</w:t>
      </w:r>
    </w:p>
    <w:p w14:paraId="7CAFD8C6">
      <w:pPr>
        <w:pStyle w:val="51"/>
        <w:spacing w:line="360" w:lineRule="auto"/>
        <w:ind w:firstLineChars="200"/>
        <w:jc w:val="left"/>
      </w:pPr>
      <w:r>
        <w:rPr>
          <w:rFonts w:hint="eastAsia"/>
        </w:rPr>
        <w:t>（3）列入不良行为记录名单；</w:t>
      </w:r>
    </w:p>
    <w:p w14:paraId="0160088A">
      <w:pPr>
        <w:pStyle w:val="51"/>
        <w:spacing w:line="360" w:lineRule="auto"/>
        <w:ind w:firstLineChars="200"/>
        <w:jc w:val="left"/>
      </w:pPr>
      <w:r>
        <w:rPr>
          <w:rFonts w:hint="eastAsia"/>
        </w:rPr>
        <w:t>（4）承担违约责任并赔偿由此给相关方造成的全部损失；</w:t>
      </w:r>
    </w:p>
    <w:p w14:paraId="41ED2A5E">
      <w:pPr>
        <w:pStyle w:val="51"/>
        <w:spacing w:line="360" w:lineRule="auto"/>
        <w:ind w:firstLineChars="200"/>
        <w:jc w:val="left"/>
      </w:pPr>
      <w:r>
        <w:rPr>
          <w:rFonts w:hint="eastAsia"/>
        </w:rPr>
        <w:t>（5）接受行政处罚；</w:t>
      </w:r>
    </w:p>
    <w:p w14:paraId="675D5650">
      <w:pPr>
        <w:pStyle w:val="51"/>
        <w:spacing w:line="360" w:lineRule="auto"/>
        <w:ind w:firstLineChars="200"/>
        <w:jc w:val="left"/>
      </w:pPr>
      <w:r>
        <w:rPr>
          <w:rFonts w:hint="eastAsia"/>
        </w:rPr>
        <w:t>（6）构成犯罪的，依法追究刑事责任。</w:t>
      </w:r>
    </w:p>
    <w:p w14:paraId="1A94275C">
      <w:pPr>
        <w:pStyle w:val="51"/>
        <w:spacing w:line="360" w:lineRule="auto"/>
        <w:ind w:firstLineChars="200"/>
        <w:jc w:val="left"/>
      </w:pPr>
    </w:p>
    <w:p w14:paraId="12BA533D">
      <w:pPr>
        <w:pStyle w:val="51"/>
        <w:spacing w:line="360" w:lineRule="auto"/>
        <w:ind w:firstLineChars="200"/>
        <w:jc w:val="left"/>
      </w:pPr>
      <w:r>
        <w:t>特此承诺。</w:t>
      </w:r>
    </w:p>
    <w:p w14:paraId="0DD7BF6A">
      <w:pPr>
        <w:pStyle w:val="51"/>
        <w:spacing w:line="360" w:lineRule="auto"/>
        <w:ind w:firstLineChars="200"/>
        <w:jc w:val="left"/>
      </w:pPr>
    </w:p>
    <w:p w14:paraId="47B5160B">
      <w:pPr>
        <w:pStyle w:val="51"/>
        <w:spacing w:line="360" w:lineRule="auto"/>
        <w:ind w:firstLineChars="200"/>
        <w:jc w:val="left"/>
      </w:pPr>
    </w:p>
    <w:p w14:paraId="356B54A0">
      <w:pPr>
        <w:pStyle w:val="51"/>
        <w:spacing w:line="360" w:lineRule="auto"/>
        <w:ind w:firstLineChars="200"/>
        <w:jc w:val="left"/>
      </w:pPr>
      <w:r>
        <w:t>承诺</w:t>
      </w:r>
      <w:r>
        <w:rPr>
          <w:rFonts w:hint="eastAsia"/>
        </w:rPr>
        <w:t>人</w:t>
      </w:r>
      <w:r>
        <w:t>（盖章）：</w:t>
      </w:r>
      <w:r>
        <w:rPr>
          <w:rFonts w:hint="eastAsia"/>
          <w:u w:val="single"/>
        </w:rPr>
        <w:t xml:space="preserve">                          </w:t>
      </w:r>
    </w:p>
    <w:p w14:paraId="5CAFB4D9">
      <w:pPr>
        <w:pStyle w:val="51"/>
        <w:spacing w:line="360" w:lineRule="auto"/>
        <w:ind w:firstLineChars="200"/>
        <w:jc w:val="left"/>
      </w:pPr>
      <w:r>
        <w:t>日期：</w:t>
      </w:r>
      <w:r>
        <w:rPr>
          <w:u w:val="single"/>
        </w:rPr>
        <w:t xml:space="preserve">  </w:t>
      </w:r>
      <w:r>
        <w:rPr>
          <w:rFonts w:hint="eastAsia"/>
          <w:u w:val="single"/>
        </w:rPr>
        <w:t xml:space="preserve">  </w:t>
      </w:r>
      <w:r>
        <w:rPr>
          <w:u w:val="single"/>
        </w:rPr>
        <w:t xml:space="preserve">  </w:t>
      </w:r>
      <w:r>
        <w:t>年</w:t>
      </w:r>
      <w:r>
        <w:rPr>
          <w:u w:val="single"/>
        </w:rPr>
        <w:t xml:space="preserve">    </w:t>
      </w:r>
      <w:r>
        <w:t>月</w:t>
      </w:r>
      <w:r>
        <w:rPr>
          <w:u w:val="single"/>
        </w:rPr>
        <w:t xml:space="preserve">    </w:t>
      </w:r>
      <w:r>
        <w:t>日</w:t>
      </w:r>
    </w:p>
    <w:p w14:paraId="6D633A6D">
      <w:pPr>
        <w:rPr>
          <w:rFonts w:ascii="宋体" w:hAnsi="宋体" w:cs="宋体"/>
          <w:sz w:val="24"/>
          <w:u w:val="single"/>
        </w:rPr>
      </w:pPr>
      <w:r>
        <w:rPr>
          <w:rFonts w:hint="eastAsia" w:ascii="宋体" w:hAnsi="宋体" w:cs="宋体"/>
          <w:sz w:val="24"/>
          <w:u w:val="single"/>
        </w:rPr>
        <w:br w:type="page"/>
      </w:r>
    </w:p>
    <w:p w14:paraId="6D8D859D">
      <w:pPr>
        <w:pStyle w:val="6"/>
        <w:rPr>
          <w:rFonts w:hAnsi="宋体"/>
          <w:szCs w:val="24"/>
          <w:u w:val="none"/>
        </w:rPr>
      </w:pPr>
      <w:r>
        <w:rPr>
          <w:rFonts w:hint="eastAsia" w:hAnsi="宋体" w:cs="Arial"/>
          <w:position w:val="20"/>
          <w:szCs w:val="24"/>
          <w:u w:val="none"/>
        </w:rPr>
        <w:t>13</w:t>
      </w:r>
      <w:r>
        <w:rPr>
          <w:rFonts w:hAnsi="宋体" w:cs="Arial"/>
          <w:position w:val="20"/>
          <w:szCs w:val="24"/>
          <w:u w:val="none"/>
        </w:rPr>
        <w:t xml:space="preserve"> </w:t>
      </w:r>
      <w:r>
        <w:rPr>
          <w:rFonts w:hAnsi="宋体"/>
          <w:position w:val="20"/>
          <w:szCs w:val="24"/>
          <w:u w:val="none"/>
        </w:rPr>
        <w:t>招标文件要求提供或投标人认为应附的其他材料</w:t>
      </w:r>
    </w:p>
    <w:p w14:paraId="7F0408A6">
      <w:pPr>
        <w:pStyle w:val="10"/>
        <w:spacing w:line="360" w:lineRule="auto"/>
        <w:ind w:left="128"/>
        <w:rPr>
          <w:rFonts w:cs="宋体"/>
        </w:rPr>
      </w:pPr>
      <w:r>
        <w:rPr>
          <w:rFonts w:hint="eastAsia" w:cs="宋体"/>
        </w:rPr>
        <w:t>13-1 供应商信息采集表</w:t>
      </w:r>
    </w:p>
    <w:tbl>
      <w:tblPr>
        <w:tblStyle w:val="27"/>
        <w:tblW w:w="8365"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108" w:type="dxa"/>
          <w:bottom w:w="0" w:type="dxa"/>
          <w:right w:w="108" w:type="dxa"/>
        </w:tblCellMar>
      </w:tblPr>
      <w:tblGrid>
        <w:gridCol w:w="1986"/>
        <w:gridCol w:w="2693"/>
        <w:gridCol w:w="3686"/>
      </w:tblGrid>
      <w:tr w14:paraId="63A75F3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trPr>
        <w:tc>
          <w:tcPr>
            <w:tcW w:w="1986" w:type="dxa"/>
            <w:vAlign w:val="center"/>
          </w:tcPr>
          <w:p w14:paraId="66EB60AA">
            <w:pPr>
              <w:spacing w:before="43"/>
              <w:ind w:left="112"/>
              <w:jc w:val="center"/>
              <w:rPr>
                <w:rFonts w:ascii="宋体" w:hAnsi="宋体" w:cs="宋体"/>
                <w:sz w:val="24"/>
              </w:rPr>
            </w:pPr>
            <w:r>
              <w:rPr>
                <w:rFonts w:hint="eastAsia" w:ascii="宋体" w:hAnsi="宋体" w:cs="宋体"/>
                <w:sz w:val="24"/>
              </w:rPr>
              <w:t>供应商名称</w:t>
            </w:r>
          </w:p>
        </w:tc>
        <w:tc>
          <w:tcPr>
            <w:tcW w:w="2693" w:type="dxa"/>
            <w:vAlign w:val="center"/>
          </w:tcPr>
          <w:p w14:paraId="3C39A080">
            <w:pPr>
              <w:spacing w:before="43"/>
              <w:ind w:left="109"/>
              <w:jc w:val="center"/>
              <w:rPr>
                <w:rFonts w:ascii="宋体" w:hAnsi="宋体" w:cs="宋体"/>
                <w:sz w:val="24"/>
              </w:rPr>
            </w:pPr>
            <w:r>
              <w:rPr>
                <w:rFonts w:hint="eastAsia" w:ascii="宋体" w:hAnsi="宋体" w:cs="宋体"/>
                <w:sz w:val="24"/>
              </w:rPr>
              <w:t>供应商所属性别</w:t>
            </w:r>
          </w:p>
        </w:tc>
        <w:tc>
          <w:tcPr>
            <w:tcW w:w="3686" w:type="dxa"/>
            <w:vAlign w:val="center"/>
          </w:tcPr>
          <w:p w14:paraId="7C2EA522">
            <w:pPr>
              <w:spacing w:before="43"/>
              <w:ind w:left="110"/>
              <w:jc w:val="center"/>
              <w:rPr>
                <w:rFonts w:ascii="宋体" w:hAnsi="宋体" w:cs="宋体"/>
                <w:sz w:val="24"/>
              </w:rPr>
            </w:pPr>
            <w:r>
              <w:rPr>
                <w:rFonts w:hint="eastAsia" w:ascii="宋体" w:hAnsi="宋体" w:cs="宋体"/>
                <w:sz w:val="24"/>
              </w:rPr>
              <w:t>外商投资类型</w:t>
            </w:r>
          </w:p>
        </w:tc>
      </w:tr>
      <w:tr w14:paraId="18CD37B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trPr>
        <w:tc>
          <w:tcPr>
            <w:tcW w:w="1986" w:type="dxa"/>
            <w:vAlign w:val="center"/>
          </w:tcPr>
          <w:p w14:paraId="606160AD">
            <w:pPr>
              <w:pStyle w:val="45"/>
              <w:rPr>
                <w:rFonts w:ascii="宋体" w:hAnsi="宋体" w:eastAsia="宋体" w:cs="宋体"/>
                <w:sz w:val="24"/>
                <w:szCs w:val="24"/>
              </w:rPr>
            </w:pPr>
          </w:p>
        </w:tc>
        <w:tc>
          <w:tcPr>
            <w:tcW w:w="2693" w:type="dxa"/>
            <w:vAlign w:val="center"/>
          </w:tcPr>
          <w:p w14:paraId="79088C3F">
            <w:pPr>
              <w:pStyle w:val="45"/>
              <w:rPr>
                <w:rFonts w:ascii="宋体" w:hAnsi="宋体" w:eastAsia="宋体" w:cs="宋体"/>
                <w:sz w:val="24"/>
                <w:szCs w:val="24"/>
              </w:rPr>
            </w:pPr>
          </w:p>
        </w:tc>
        <w:tc>
          <w:tcPr>
            <w:tcW w:w="3686" w:type="dxa"/>
            <w:vAlign w:val="center"/>
          </w:tcPr>
          <w:p w14:paraId="10840586">
            <w:pPr>
              <w:pStyle w:val="45"/>
              <w:rPr>
                <w:rFonts w:ascii="宋体" w:hAnsi="宋体" w:eastAsia="宋体" w:cs="宋体"/>
                <w:sz w:val="24"/>
                <w:szCs w:val="24"/>
              </w:rPr>
            </w:pPr>
          </w:p>
        </w:tc>
      </w:tr>
      <w:tr w14:paraId="4C97042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trPr>
        <w:tc>
          <w:tcPr>
            <w:tcW w:w="1986" w:type="dxa"/>
            <w:vAlign w:val="center"/>
          </w:tcPr>
          <w:p w14:paraId="63578BCA">
            <w:pPr>
              <w:pStyle w:val="45"/>
              <w:rPr>
                <w:rFonts w:ascii="宋体" w:hAnsi="宋体" w:eastAsia="宋体" w:cs="宋体"/>
                <w:sz w:val="24"/>
                <w:szCs w:val="24"/>
              </w:rPr>
            </w:pPr>
          </w:p>
        </w:tc>
        <w:tc>
          <w:tcPr>
            <w:tcW w:w="2693" w:type="dxa"/>
            <w:vAlign w:val="center"/>
          </w:tcPr>
          <w:p w14:paraId="2B308913">
            <w:pPr>
              <w:pStyle w:val="45"/>
              <w:rPr>
                <w:rFonts w:ascii="宋体" w:hAnsi="宋体" w:eastAsia="宋体" w:cs="宋体"/>
                <w:sz w:val="24"/>
                <w:szCs w:val="24"/>
              </w:rPr>
            </w:pPr>
          </w:p>
        </w:tc>
        <w:tc>
          <w:tcPr>
            <w:tcW w:w="3686" w:type="dxa"/>
            <w:vAlign w:val="center"/>
          </w:tcPr>
          <w:p w14:paraId="63831F49">
            <w:pPr>
              <w:pStyle w:val="45"/>
              <w:rPr>
                <w:rFonts w:ascii="宋体" w:hAnsi="宋体" w:eastAsia="宋体" w:cs="宋体"/>
                <w:sz w:val="24"/>
                <w:szCs w:val="24"/>
              </w:rPr>
            </w:pPr>
          </w:p>
        </w:tc>
      </w:tr>
      <w:tr w14:paraId="085170A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trPr>
        <w:tc>
          <w:tcPr>
            <w:tcW w:w="1986" w:type="dxa"/>
            <w:vAlign w:val="center"/>
          </w:tcPr>
          <w:p w14:paraId="1A3AEA75">
            <w:pPr>
              <w:pStyle w:val="45"/>
              <w:rPr>
                <w:rFonts w:ascii="宋体" w:hAnsi="宋体" w:eastAsia="宋体" w:cs="宋体"/>
                <w:sz w:val="24"/>
                <w:szCs w:val="24"/>
              </w:rPr>
            </w:pPr>
          </w:p>
        </w:tc>
        <w:tc>
          <w:tcPr>
            <w:tcW w:w="2693" w:type="dxa"/>
            <w:vAlign w:val="center"/>
          </w:tcPr>
          <w:p w14:paraId="2C7135F8">
            <w:pPr>
              <w:pStyle w:val="45"/>
              <w:rPr>
                <w:rFonts w:ascii="宋体" w:hAnsi="宋体" w:eastAsia="宋体" w:cs="宋体"/>
                <w:sz w:val="24"/>
                <w:szCs w:val="24"/>
              </w:rPr>
            </w:pPr>
          </w:p>
        </w:tc>
        <w:tc>
          <w:tcPr>
            <w:tcW w:w="3686" w:type="dxa"/>
            <w:vAlign w:val="center"/>
          </w:tcPr>
          <w:p w14:paraId="732A8C8E">
            <w:pPr>
              <w:pStyle w:val="45"/>
              <w:rPr>
                <w:rFonts w:ascii="宋体" w:hAnsi="宋体" w:eastAsia="宋体" w:cs="宋体"/>
                <w:sz w:val="24"/>
                <w:szCs w:val="24"/>
              </w:rPr>
            </w:pPr>
          </w:p>
        </w:tc>
      </w:tr>
      <w:tr w14:paraId="19F14E3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trPr>
        <w:tc>
          <w:tcPr>
            <w:tcW w:w="1986" w:type="dxa"/>
            <w:vAlign w:val="center"/>
          </w:tcPr>
          <w:p w14:paraId="47D5B093">
            <w:pPr>
              <w:pStyle w:val="45"/>
              <w:rPr>
                <w:rFonts w:ascii="宋体" w:hAnsi="宋体" w:eastAsia="宋体" w:cs="宋体"/>
                <w:sz w:val="24"/>
                <w:szCs w:val="24"/>
              </w:rPr>
            </w:pPr>
          </w:p>
        </w:tc>
        <w:tc>
          <w:tcPr>
            <w:tcW w:w="2693" w:type="dxa"/>
            <w:vAlign w:val="center"/>
          </w:tcPr>
          <w:p w14:paraId="19A3B849">
            <w:pPr>
              <w:pStyle w:val="45"/>
              <w:rPr>
                <w:rFonts w:ascii="宋体" w:hAnsi="宋体" w:eastAsia="宋体" w:cs="宋体"/>
                <w:sz w:val="24"/>
                <w:szCs w:val="24"/>
              </w:rPr>
            </w:pPr>
          </w:p>
        </w:tc>
        <w:tc>
          <w:tcPr>
            <w:tcW w:w="3686" w:type="dxa"/>
            <w:vAlign w:val="center"/>
          </w:tcPr>
          <w:p w14:paraId="3424434D">
            <w:pPr>
              <w:pStyle w:val="45"/>
              <w:rPr>
                <w:rFonts w:ascii="宋体" w:hAnsi="宋体" w:eastAsia="宋体" w:cs="宋体"/>
                <w:sz w:val="24"/>
                <w:szCs w:val="24"/>
              </w:rPr>
            </w:pPr>
          </w:p>
        </w:tc>
      </w:tr>
    </w:tbl>
    <w:p w14:paraId="4CEF9F2B">
      <w:pPr>
        <w:pStyle w:val="10"/>
        <w:spacing w:before="39" w:line="360" w:lineRule="auto"/>
        <w:rPr>
          <w:rFonts w:cs="宋体"/>
        </w:rPr>
      </w:pPr>
      <w:r>
        <w:rPr>
          <w:rFonts w:hint="eastAsia" w:cs="宋体"/>
        </w:rPr>
        <w:t>注：</w:t>
      </w:r>
    </w:p>
    <w:p w14:paraId="3435C33A">
      <w:pPr>
        <w:pStyle w:val="10"/>
        <w:spacing w:before="39" w:line="360" w:lineRule="auto"/>
        <w:rPr>
          <w:rFonts w:cs="宋体"/>
        </w:rPr>
      </w:pPr>
      <w:r>
        <w:rPr>
          <w:rFonts w:hint="eastAsia" w:cs="宋体"/>
        </w:rPr>
        <w:t>1.供应商如为联合体，则应填写联合体各成员信息。</w:t>
      </w:r>
    </w:p>
    <w:p w14:paraId="21117A2B">
      <w:pPr>
        <w:pStyle w:val="10"/>
        <w:spacing w:before="39" w:line="360" w:lineRule="auto"/>
        <w:rPr>
          <w:rFonts w:cs="宋体"/>
        </w:rPr>
      </w:pPr>
      <w:r>
        <w:rPr>
          <w:rFonts w:hint="eastAsia" w:cs="宋体"/>
        </w:rPr>
        <w:t>2.供应商所属性别请填写“男”或“女”，指拥有供应商51%以上绝对所有权的性别；绝对所有权拥有者可以是一个人，也可以是多人合计计算。</w:t>
      </w:r>
    </w:p>
    <w:p w14:paraId="22B0EF60">
      <w:pPr>
        <w:pStyle w:val="10"/>
        <w:spacing w:before="39" w:line="360" w:lineRule="auto"/>
        <w:rPr>
          <w:rFonts w:cs="宋体"/>
        </w:rPr>
      </w:pPr>
      <w:r>
        <w:rPr>
          <w:rFonts w:hint="eastAsia" w:cs="宋体"/>
        </w:rPr>
        <w:t>3.外商投资类型请填写“外商单独投资”、“外商部分投资”或“内资”。</w:t>
      </w:r>
    </w:p>
    <w:p w14:paraId="46AFB3FD">
      <w:pPr>
        <w:rPr>
          <w:rFonts w:ascii="宋体" w:hAnsi="宋体" w:cs="宋体"/>
          <w:sz w:val="24"/>
        </w:rPr>
      </w:pPr>
      <w:r>
        <w:rPr>
          <w:rFonts w:hint="eastAsia" w:ascii="宋体" w:hAnsi="宋体" w:cs="宋体"/>
          <w:sz w:val="24"/>
        </w:rPr>
        <w:br w:type="page"/>
      </w:r>
    </w:p>
    <w:p w14:paraId="061C7D61">
      <w:pPr>
        <w:pStyle w:val="10"/>
        <w:spacing w:line="360" w:lineRule="auto"/>
        <w:ind w:left="128"/>
        <w:rPr>
          <w:szCs w:val="20"/>
        </w:rPr>
      </w:pPr>
      <w:r>
        <w:rPr>
          <w:rFonts w:hint="eastAsia" w:cs="宋体"/>
        </w:rPr>
        <w:t xml:space="preserve">13-2 </w:t>
      </w:r>
      <w:r>
        <w:rPr>
          <w:rFonts w:hint="eastAsia"/>
          <w:szCs w:val="20"/>
        </w:rPr>
        <w:t>投标人认为应附的其他材料</w:t>
      </w:r>
    </w:p>
    <w:p w14:paraId="0883117C">
      <w:pPr>
        <w:pStyle w:val="10"/>
        <w:spacing w:line="360" w:lineRule="auto"/>
        <w:ind w:left="128"/>
        <w:rPr>
          <w:szCs w:val="20"/>
        </w:rPr>
      </w:pPr>
    </w:p>
    <w:p w14:paraId="65FC10CC">
      <w:pPr>
        <w:pStyle w:val="10"/>
        <w:spacing w:line="360" w:lineRule="auto"/>
        <w:ind w:left="128"/>
        <w:rPr>
          <w:szCs w:val="20"/>
        </w:rPr>
      </w:pPr>
    </w:p>
    <w:p w14:paraId="0899690E">
      <w:pPr>
        <w:pStyle w:val="10"/>
        <w:spacing w:line="360" w:lineRule="auto"/>
        <w:ind w:left="128"/>
        <w:rPr>
          <w:szCs w:val="20"/>
        </w:rPr>
      </w:pPr>
    </w:p>
    <w:p w14:paraId="76CF65A9">
      <w:pPr>
        <w:pStyle w:val="10"/>
        <w:spacing w:line="360" w:lineRule="auto"/>
        <w:ind w:left="128"/>
        <w:rPr>
          <w:szCs w:val="20"/>
        </w:rPr>
      </w:pPr>
    </w:p>
    <w:sectPr>
      <w:pgSz w:w="11907" w:h="16840"/>
      <w:pgMar w:top="1440" w:right="1800" w:bottom="1440" w:left="1800" w:header="851" w:footer="851" w:gutter="0"/>
      <w:cols w:space="720" w:num="1"/>
      <w:docGrid w:linePitch="46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entury Gothic">
    <w:altName w:val="Yu Gothic UI"/>
    <w:panose1 w:val="020B0502020202020204"/>
    <w:charset w:val="00"/>
    <w:family w:val="swiss"/>
    <w:pitch w:val="default"/>
    <w:sig w:usb0="00000000" w:usb1="00000000" w:usb2="00000000" w:usb3="00000000" w:csb0="2000009F" w:csb1="DFD70000"/>
  </w:font>
  <w:font w:name="仿宋">
    <w:panose1 w:val="02010609060101010101"/>
    <w:charset w:val="86"/>
    <w:family w:val="modern"/>
    <w:pitch w:val="default"/>
    <w:sig w:usb0="800002BF" w:usb1="38CF7CFA" w:usb2="00000016" w:usb3="00000000" w:csb0="00040001" w:csb1="00000000"/>
  </w:font>
  <w:font w:name="PingFang SC">
    <w:altName w:val="宋体"/>
    <w:panose1 w:val="00000000000000000000"/>
    <w:charset w:val="86"/>
    <w:family w:val="auto"/>
    <w:pitch w:val="default"/>
    <w:sig w:usb0="00000000" w:usb1="00000000" w:usb2="00000017" w:usb3="00000000" w:csb0="00040001" w:csb1="00000000"/>
  </w:font>
  <w:font w:name="MS Gothic">
    <w:panose1 w:val="020B0609070205080204"/>
    <w:charset w:val="80"/>
    <w:family w:val="modern"/>
    <w:pitch w:val="default"/>
    <w:sig w:usb0="E00002FF" w:usb1="6AC7FDFB" w:usb2="08000012" w:usb3="00000000" w:csb0="4002009F" w:csb1="DFD70000"/>
  </w:font>
  <w:font w:name="DejaVuSans-Bold">
    <w:altName w:val="Segoe Print"/>
    <w:panose1 w:val="00000000000000000000"/>
    <w:charset w:val="00"/>
    <w:family w:val="auto"/>
    <w:pitch w:val="default"/>
    <w:sig w:usb0="00000000" w:usb1="00000000" w:usb2="00000000" w:usb3="00000000" w:csb0="00040001" w:csb1="00000000"/>
  </w:font>
  <w:font w:name="Segoe Print">
    <w:panose1 w:val="02000600000000000000"/>
    <w:charset w:val="00"/>
    <w:family w:val="auto"/>
    <w:pitch w:val="default"/>
    <w:sig w:usb0="0000028F" w:usb1="00000000" w:usb2="00000000" w:usb3="00000000" w:csb0="2000009F" w:csb1="4701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Yu Gothic UI">
    <w:panose1 w:val="020B0500000000000000"/>
    <w:charset w:val="80"/>
    <w:family w:val="auto"/>
    <w:pitch w:val="default"/>
    <w:sig w:usb0="E00002FF" w:usb1="2AC7FDFF" w:usb2="00000016" w:usb3="00000000" w:csb0="2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06DC1E">
    <w:pPr>
      <w:pStyle w:val="16"/>
      <w:jc w:val="center"/>
    </w:pPr>
    <w:r>
      <w:rPr>
        <w:rFonts w:ascii="Times New Roman"/>
      </w:rPr>
      <w:fldChar w:fldCharType="begin"/>
    </w:r>
    <w:r>
      <w:rPr>
        <w:rFonts w:ascii="Times New Roman"/>
      </w:rPr>
      <w:instrText xml:space="preserve">PAGE   \* MERGEFORMAT</w:instrText>
    </w:r>
    <w:r>
      <w:rPr>
        <w:rFonts w:ascii="Times New Roman"/>
      </w:rPr>
      <w:fldChar w:fldCharType="separate"/>
    </w:r>
    <w:r>
      <w:rPr>
        <w:rFonts w:ascii="Times New Roman"/>
        <w:lang w:val="zh-CN"/>
      </w:rPr>
      <w:t>6</w:t>
    </w:r>
    <w:r>
      <w:rPr>
        <w:rFonts w:ascii="Times New Roman"/>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A1C314">
    <w:pPr>
      <w:pStyle w:val="16"/>
      <w:framePr w:wrap="around" w:vAnchor="text" w:hAnchor="margin" w:xAlign="right" w:y="1"/>
      <w:rPr>
        <w:rStyle w:val="31"/>
      </w:rPr>
    </w:pPr>
  </w:p>
  <w:p w14:paraId="4CA53497">
    <w:pPr>
      <w:pStyle w:val="16"/>
      <w:ind w:right="360"/>
      <w:jc w:val="righ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3946A1">
    <w:pPr>
      <w:pStyle w:val="16"/>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EAA9CA">
    <w:pPr>
      <w:pStyle w:val="16"/>
      <w:framePr w:wrap="around" w:vAnchor="text" w:hAnchor="margin" w:xAlign="right" w:y="1"/>
      <w:rPr>
        <w:rStyle w:val="31"/>
      </w:rPr>
    </w:pPr>
  </w:p>
  <w:p w14:paraId="312A3682">
    <w:pPr>
      <w:pStyle w:val="16"/>
      <w:ind w:right="360"/>
      <w:jc w:val="right"/>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4F83CE">
    <w:pPr>
      <w:pStyle w:val="16"/>
      <w:jc w:val="center"/>
    </w:pPr>
    <w:r>
      <w:rPr>
        <w:rFonts w:ascii="Times New Roman"/>
      </w:rPr>
      <w:fldChar w:fldCharType="begin"/>
    </w:r>
    <w:r>
      <w:rPr>
        <w:rFonts w:ascii="Times New Roman"/>
      </w:rPr>
      <w:instrText xml:space="preserve">PAGE   \* MERGEFORMAT</w:instrText>
    </w:r>
    <w:r>
      <w:rPr>
        <w:rFonts w:ascii="Times New Roman"/>
      </w:rPr>
      <w:fldChar w:fldCharType="separate"/>
    </w:r>
    <w:r>
      <w:rPr>
        <w:rFonts w:ascii="Times New Roman"/>
        <w:lang w:val="zh-CN"/>
      </w:rPr>
      <w:t>8</w:t>
    </w:r>
    <w:r>
      <w:rPr>
        <w:rFonts w:ascii="Times New Roman"/>
      </w:rP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673CDE">
    <w:pPr>
      <w:pStyle w:val="16"/>
      <w:framePr w:wrap="around" w:vAnchor="text" w:hAnchor="margin" w:xAlign="right" w:y="1"/>
      <w:rPr>
        <w:rStyle w:val="31"/>
      </w:rPr>
    </w:pPr>
  </w:p>
  <w:p w14:paraId="514054B6">
    <w:pPr>
      <w:pStyle w:val="16"/>
      <w:ind w:right="360"/>
      <w:jc w:val="right"/>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F0A2C3">
    <w:pPr>
      <w:pStyle w:val="16"/>
      <w:framePr w:wrap="around" w:vAnchor="text" w:hAnchor="margin" w:xAlign="center" w:y="1"/>
      <w:rPr>
        <w:rStyle w:val="31"/>
      </w:rPr>
    </w:pPr>
    <w:r>
      <w:fldChar w:fldCharType="begin"/>
    </w:r>
    <w:r>
      <w:rPr>
        <w:rStyle w:val="31"/>
      </w:rPr>
      <w:instrText xml:space="preserve">PAGE  </w:instrText>
    </w:r>
    <w:r>
      <w:fldChar w:fldCharType="separate"/>
    </w:r>
    <w:r>
      <w:rPr>
        <w:rStyle w:val="31"/>
      </w:rPr>
      <w:t>27</w:t>
    </w:r>
    <w:r>
      <w:fldChar w:fldCharType="end"/>
    </w:r>
  </w:p>
  <w:p w14:paraId="77A762FC">
    <w:pPr>
      <w:pStyle w:val="16"/>
      <w:ind w:right="360" w:firstLine="360"/>
      <w:jc w:val="right"/>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D534D7">
    <w:pPr>
      <w:pStyle w:val="16"/>
      <w:framePr w:wrap="around" w:vAnchor="text" w:hAnchor="margin" w:xAlign="right" w:y="1"/>
      <w:rPr>
        <w:rStyle w:val="31"/>
      </w:rPr>
    </w:pPr>
    <w:r>
      <w:rPr>
        <w:rStyle w:val="31"/>
      </w:rPr>
      <w:fldChar w:fldCharType="begin"/>
    </w:r>
    <w:r>
      <w:rPr>
        <w:rStyle w:val="31"/>
      </w:rPr>
      <w:instrText xml:space="preserve">PAGE  </w:instrText>
    </w:r>
    <w:r>
      <w:rPr>
        <w:rStyle w:val="31"/>
      </w:rPr>
      <w:fldChar w:fldCharType="end"/>
    </w:r>
  </w:p>
  <w:p w14:paraId="1760F310">
    <w:pPr>
      <w:pStyle w:val="16"/>
      <w:ind w:right="360"/>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0763C3">
    <w:pPr>
      <w:pStyle w:val="16"/>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FA4F91">
    <w:pPr>
      <w:spacing w:line="189" w:lineRule="auto"/>
      <w:ind w:left="4435"/>
      <w:rPr>
        <w:rFonts w:ascii="Arial" w:hAnsi="Arial" w:eastAsia="Arial" w:cs="Arial"/>
        <w:sz w:val="18"/>
        <w:szCs w:val="18"/>
      </w:rP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72085" cy="147955"/>
              <wp:effectExtent l="0" t="0" r="12065" b="0"/>
              <wp:wrapNone/>
              <wp:docPr id="1" name="文本框 1"/>
              <wp:cNvGraphicFramePr/>
              <a:graphic xmlns:a="http://schemas.openxmlformats.org/drawingml/2006/main">
                <a:graphicData uri="http://schemas.microsoft.com/office/word/2010/wordprocessingShape">
                  <wps:wsp>
                    <wps:cNvSpPr txBox="1"/>
                    <wps:spPr>
                      <a:xfrm>
                        <a:off x="0" y="0"/>
                        <a:ext cx="172085" cy="147955"/>
                      </a:xfrm>
                      <a:prstGeom prst="rect">
                        <a:avLst/>
                      </a:prstGeom>
                      <a:noFill/>
                      <a:ln w="6350">
                        <a:noFill/>
                      </a:ln>
                    </wps:spPr>
                    <wps:txbx>
                      <w:txbxContent>
                        <w:p w14:paraId="5DA6AA5F">
                          <w:pPr>
                            <w:pStyle w:val="16"/>
                          </w:pPr>
                          <w:r>
                            <w:fldChar w:fldCharType="begin"/>
                          </w:r>
                          <w:r>
                            <w:instrText xml:space="preserve"> PAGE  \* MERGEFORMAT </w:instrText>
                          </w:r>
                          <w:r>
                            <w:fldChar w:fldCharType="separate"/>
                          </w:r>
                          <w:r>
                            <w:t>46</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1.65pt;width:13.55pt;mso-position-horizontal:center;mso-position-horizontal-relative:margin;mso-wrap-style:none;z-index:251661312;mso-width-relative:page;mso-height-relative:page;" filled="f" stroked="f" coordsize="21600,21600" o:gfxdata="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Ba7A6f0QAAAAMBAAAPAAAAAAAAAAEAIAAAACIAAABkcnMvZG93bnJldi54bWxQSwECFAAU&#10;AAAACACHTuJAgvLQeDECAABTBAAADgAAAAAAAAABACAAAAAgAQAAZHJzL2Uyb0RvYy54bWxQSwUG&#10;AAAAAAYABgBZAQAAwwUAAAAA&#10;">
              <v:fill on="f" focussize="0,0"/>
              <v:stroke on="f" weight="0.5pt"/>
              <v:imagedata o:title=""/>
              <o:lock v:ext="edit" aspectratio="f"/>
              <v:textbox inset="0mm,0mm,0mm,0mm" style="mso-fit-shape-to-text:t;">
                <w:txbxContent>
                  <w:p w14:paraId="5DA6AA5F">
                    <w:pPr>
                      <w:pStyle w:val="16"/>
                    </w:pPr>
                    <w:r>
                      <w:fldChar w:fldCharType="begin"/>
                    </w:r>
                    <w:r>
                      <w:instrText xml:space="preserve"> PAGE  \* MERGEFORMAT </w:instrText>
                    </w:r>
                    <w:r>
                      <w:fldChar w:fldCharType="separate"/>
                    </w:r>
                    <w:r>
                      <w:t>46</w:t>
                    </w:r>
                    <w:r>
                      <w:fldChar w:fldCharType="end"/>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BDBAA0">
    <w:pPr>
      <w:spacing w:line="189" w:lineRule="auto"/>
      <w:ind w:left="4435"/>
      <w:rPr>
        <w:rFonts w:ascii="Arial" w:hAnsi="Arial" w:eastAsia="Arial" w:cs="Arial"/>
        <w:sz w:val="18"/>
        <w:szCs w:val="18"/>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D48FB0F">
                          <w:pPr>
                            <w:pStyle w:val="16"/>
                          </w:pPr>
                          <w:r>
                            <w:fldChar w:fldCharType="begin"/>
                          </w:r>
                          <w:r>
                            <w:instrText xml:space="preserve"> PAGE  \* MERGEFORMAT </w:instrText>
                          </w:r>
                          <w:r>
                            <w:fldChar w:fldCharType="separate"/>
                          </w:r>
                          <w:r>
                            <w:t>132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LQ8m0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y0PJtKwIAAFUEAAAOAAAAAAAAAAEAIAAAAB8BAABkcnMvZTJvRG9jLnhtbFBLBQYAAAAABgAG&#10;AFkBAAC8BQAAAAA=&#10;">
              <v:fill on="f" focussize="0,0"/>
              <v:stroke on="f" weight="0.5pt"/>
              <v:imagedata o:title=""/>
              <o:lock v:ext="edit" aspectratio="f"/>
              <v:textbox inset="0mm,0mm,0mm,0mm" style="mso-fit-shape-to-text:t;">
                <w:txbxContent>
                  <w:p w14:paraId="6D48FB0F">
                    <w:pPr>
                      <w:pStyle w:val="16"/>
                    </w:pPr>
                    <w:r>
                      <w:fldChar w:fldCharType="begin"/>
                    </w:r>
                    <w:r>
                      <w:instrText xml:space="preserve"> PAGE  \* MERGEFORMAT </w:instrText>
                    </w:r>
                    <w:r>
                      <w:fldChar w:fldCharType="separate"/>
                    </w:r>
                    <w:r>
                      <w:t>132</w:t>
                    </w:r>
                    <w:r>
                      <w:fldChar w:fldCharType="end"/>
                    </w:r>
                  </w:p>
                </w:txbxContent>
              </v:textbox>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62A87B">
    <w:pPr>
      <w:pStyle w:val="16"/>
      <w:framePr w:wrap="around" w:vAnchor="text" w:hAnchor="margin" w:xAlign="right" w:y="1"/>
      <w:rPr>
        <w:rStyle w:val="31"/>
      </w:rPr>
    </w:pPr>
    <w:r>
      <w:rPr>
        <w:rStyle w:val="31"/>
      </w:rPr>
      <w:fldChar w:fldCharType="begin"/>
    </w:r>
    <w:r>
      <w:rPr>
        <w:rStyle w:val="31"/>
      </w:rPr>
      <w:instrText xml:space="preserve">PAGE  </w:instrText>
    </w:r>
    <w:r>
      <w:rPr>
        <w:rStyle w:val="31"/>
      </w:rPr>
      <w:fldChar w:fldCharType="end"/>
    </w:r>
  </w:p>
  <w:p w14:paraId="263D6461">
    <w:pPr>
      <w:pStyle w:val="16"/>
      <w:ind w:right="360"/>
    </w:pPr>
  </w:p>
  <w:p w14:paraId="24B88488"/>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887E7D">
    <w:pPr>
      <w:pStyle w:val="16"/>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6013CE">
    <w:pPr>
      <w:pStyle w:val="17"/>
      <w:pBdr>
        <w:bottom w:val="none" w:color="auto" w:sz="0" w:space="1"/>
      </w:pBdr>
      <w:jc w:val="righ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F52EEF">
    <w:pPr>
      <w:pStyle w:val="17"/>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C93D2D">
    <w:pPr>
      <w:pStyle w:val="17"/>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6E4D96">
    <w:pPr>
      <w:pStyle w:val="17"/>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5B70C6">
    <w:pPr>
      <w:pStyle w:val="10"/>
      <w:spacing w:line="198" w:lineRule="auto"/>
      <w:jc w:val="right"/>
      <w:rPr>
        <w:sz w:val="18"/>
        <w:szCs w:val="18"/>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6452C8">
    <w:pPr>
      <w:pStyle w:val="10"/>
      <w:spacing w:line="198" w:lineRule="auto"/>
      <w:jc w:val="right"/>
      <w:rPr>
        <w:sz w:val="18"/>
        <w:szCs w:val="18"/>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8DA76B">
    <w:pPr>
      <w:pStyle w:val="17"/>
    </w:pPr>
  </w:p>
  <w:p w14:paraId="1E6B2366"/>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FB0ECA">
    <w:pPr>
      <w:pStyle w:val="1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9258D4D"/>
    <w:multiLevelType w:val="singleLevel"/>
    <w:tmpl w:val="99258D4D"/>
    <w:lvl w:ilvl="0" w:tentative="0">
      <w:start w:val="4"/>
      <w:numFmt w:val="decimal"/>
      <w:suff w:val="space"/>
      <w:lvlText w:val="%1."/>
      <w:lvlJc w:val="left"/>
    </w:lvl>
  </w:abstractNum>
  <w:abstractNum w:abstractNumId="1">
    <w:nsid w:val="A3F469D9"/>
    <w:multiLevelType w:val="singleLevel"/>
    <w:tmpl w:val="A3F469D9"/>
    <w:lvl w:ilvl="0" w:tentative="0">
      <w:start w:val="1"/>
      <w:numFmt w:val="decimal"/>
      <w:suff w:val="space"/>
      <w:lvlText w:val="%1."/>
      <w:lvlJc w:val="left"/>
    </w:lvl>
  </w:abstractNum>
  <w:abstractNum w:abstractNumId="2">
    <w:nsid w:val="00000004"/>
    <w:multiLevelType w:val="multilevel"/>
    <w:tmpl w:val="00000004"/>
    <w:lvl w:ilvl="0" w:tentative="0">
      <w:start w:val="1"/>
      <w:numFmt w:val="japaneseCounting"/>
      <w:lvlText w:val="第%1章"/>
      <w:lvlJc w:val="left"/>
      <w:pPr>
        <w:tabs>
          <w:tab w:val="left" w:pos="4941"/>
        </w:tabs>
        <w:ind w:left="4941" w:hanging="1140"/>
      </w:pPr>
      <w:rPr>
        <w:rFonts w:hint="eastAsia"/>
      </w:rPr>
    </w:lvl>
    <w:lvl w:ilvl="1" w:tentative="0">
      <w:start w:val="1"/>
      <w:numFmt w:val="lowerLetter"/>
      <w:lvlText w:val="%2)"/>
      <w:lvlJc w:val="left"/>
      <w:pPr>
        <w:tabs>
          <w:tab w:val="left" w:pos="4641"/>
        </w:tabs>
        <w:ind w:left="4641" w:hanging="420"/>
      </w:pPr>
    </w:lvl>
    <w:lvl w:ilvl="2" w:tentative="0">
      <w:start w:val="1"/>
      <w:numFmt w:val="lowerRoman"/>
      <w:lvlText w:val="%3."/>
      <w:lvlJc w:val="right"/>
      <w:pPr>
        <w:tabs>
          <w:tab w:val="left" w:pos="5061"/>
        </w:tabs>
        <w:ind w:left="5061" w:hanging="420"/>
      </w:pPr>
    </w:lvl>
    <w:lvl w:ilvl="3" w:tentative="0">
      <w:start w:val="1"/>
      <w:numFmt w:val="decimal"/>
      <w:lvlText w:val="%4."/>
      <w:lvlJc w:val="left"/>
      <w:pPr>
        <w:tabs>
          <w:tab w:val="left" w:pos="5481"/>
        </w:tabs>
        <w:ind w:left="5481" w:hanging="420"/>
      </w:pPr>
    </w:lvl>
    <w:lvl w:ilvl="4" w:tentative="0">
      <w:start w:val="1"/>
      <w:numFmt w:val="lowerLetter"/>
      <w:lvlText w:val="%5)"/>
      <w:lvlJc w:val="left"/>
      <w:pPr>
        <w:tabs>
          <w:tab w:val="left" w:pos="5901"/>
        </w:tabs>
        <w:ind w:left="5901" w:hanging="420"/>
      </w:pPr>
    </w:lvl>
    <w:lvl w:ilvl="5" w:tentative="0">
      <w:start w:val="1"/>
      <w:numFmt w:val="lowerRoman"/>
      <w:lvlText w:val="%6."/>
      <w:lvlJc w:val="right"/>
      <w:pPr>
        <w:tabs>
          <w:tab w:val="left" w:pos="6321"/>
        </w:tabs>
        <w:ind w:left="6321" w:hanging="420"/>
      </w:pPr>
    </w:lvl>
    <w:lvl w:ilvl="6" w:tentative="0">
      <w:start w:val="1"/>
      <w:numFmt w:val="decimal"/>
      <w:lvlText w:val="%7."/>
      <w:lvlJc w:val="left"/>
      <w:pPr>
        <w:tabs>
          <w:tab w:val="left" w:pos="6741"/>
        </w:tabs>
        <w:ind w:left="6741" w:hanging="420"/>
      </w:pPr>
    </w:lvl>
    <w:lvl w:ilvl="7" w:tentative="0">
      <w:start w:val="1"/>
      <w:numFmt w:val="lowerLetter"/>
      <w:lvlText w:val="%8)"/>
      <w:lvlJc w:val="left"/>
      <w:pPr>
        <w:tabs>
          <w:tab w:val="left" w:pos="7161"/>
        </w:tabs>
        <w:ind w:left="7161" w:hanging="420"/>
      </w:pPr>
    </w:lvl>
    <w:lvl w:ilvl="8" w:tentative="0">
      <w:start w:val="1"/>
      <w:numFmt w:val="lowerRoman"/>
      <w:lvlText w:val="%9."/>
      <w:lvlJc w:val="right"/>
      <w:pPr>
        <w:tabs>
          <w:tab w:val="left" w:pos="7581"/>
        </w:tabs>
        <w:ind w:left="7581" w:hanging="420"/>
      </w:pPr>
    </w:lvl>
  </w:abstractNum>
  <w:abstractNum w:abstractNumId="3">
    <w:nsid w:val="00000029"/>
    <w:multiLevelType w:val="multilevel"/>
    <w:tmpl w:val="00000029"/>
    <w:lvl w:ilvl="0" w:tentative="0">
      <w:start w:val="1"/>
      <w:numFmt w:val="decimal"/>
      <w:lvlText w:val="%1"/>
      <w:lvlJc w:val="left"/>
      <w:pPr>
        <w:tabs>
          <w:tab w:val="left" w:pos="900"/>
        </w:tabs>
        <w:ind w:left="900" w:hanging="900"/>
      </w:pPr>
      <w:rPr>
        <w:rFonts w:hint="eastAsia" w:ascii="宋体" w:hAnsi="宋体" w:eastAsia="宋体"/>
      </w:rPr>
    </w:lvl>
    <w:lvl w:ilvl="1" w:tentative="0">
      <w:start w:val="1"/>
      <w:numFmt w:val="decimal"/>
      <w:lvlText w:val="%1.%2"/>
      <w:lvlJc w:val="left"/>
      <w:pPr>
        <w:tabs>
          <w:tab w:val="left" w:pos="1589"/>
        </w:tabs>
        <w:ind w:left="1468" w:hanging="900"/>
      </w:pPr>
      <w:rPr>
        <w:rFonts w:hint="default" w:ascii="宋体" w:hAnsi="宋体" w:eastAsia="宋体" w:cs="Times New Roman"/>
        <w:sz w:val="24"/>
        <w:szCs w:val="24"/>
      </w:rPr>
    </w:lvl>
    <w:lvl w:ilvl="2" w:tentative="0">
      <w:start w:val="1"/>
      <w:numFmt w:val="decimal"/>
      <w:lvlText w:val="%1.%2.%3"/>
      <w:lvlJc w:val="left"/>
      <w:pPr>
        <w:tabs>
          <w:tab w:val="left" w:pos="1980"/>
        </w:tabs>
        <w:ind w:left="1980" w:hanging="900"/>
      </w:pPr>
      <w:rPr>
        <w:rFonts w:hint="eastAsia" w:ascii="宋体" w:hAnsi="宋体" w:eastAsia="宋体"/>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4">
    <w:nsid w:val="10872DAA"/>
    <w:multiLevelType w:val="multilevel"/>
    <w:tmpl w:val="10872DAA"/>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宋体" w:hAnsi="宋体" w:eastAsia="宋体" w:cs="Times New Roman"/>
        <w:b w:val="0"/>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5">
    <w:nsid w:val="13851098"/>
    <w:multiLevelType w:val="multilevel"/>
    <w:tmpl w:val="13851098"/>
    <w:lvl w:ilvl="0" w:tentative="0">
      <w:start w:val="1"/>
      <w:numFmt w:val="japaneseCounting"/>
      <w:lvlText w:val="%1、"/>
      <w:lvlJc w:val="left"/>
      <w:pPr>
        <w:ind w:left="500" w:hanging="50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6">
    <w:nsid w:val="2670BD29"/>
    <w:multiLevelType w:val="singleLevel"/>
    <w:tmpl w:val="2670BD29"/>
    <w:lvl w:ilvl="0" w:tentative="0">
      <w:start w:val="1"/>
      <w:numFmt w:val="decimal"/>
      <w:suff w:val="space"/>
      <w:lvlText w:val="%1."/>
      <w:lvlJc w:val="left"/>
    </w:lvl>
  </w:abstractNum>
  <w:abstractNum w:abstractNumId="7">
    <w:nsid w:val="2C56E103"/>
    <w:multiLevelType w:val="singleLevel"/>
    <w:tmpl w:val="2C56E103"/>
    <w:lvl w:ilvl="0" w:tentative="0">
      <w:start w:val="2"/>
      <w:numFmt w:val="chineseCounting"/>
      <w:suff w:val="nothing"/>
      <w:lvlText w:val="%1、"/>
      <w:lvlJc w:val="left"/>
      <w:rPr>
        <w:rFonts w:hint="eastAsia"/>
      </w:rPr>
    </w:lvl>
  </w:abstractNum>
  <w:abstractNum w:abstractNumId="8">
    <w:nsid w:val="302065E1"/>
    <w:multiLevelType w:val="multilevel"/>
    <w:tmpl w:val="302065E1"/>
    <w:lvl w:ilvl="0" w:tentative="0">
      <w:start w:val="1"/>
      <w:numFmt w:val="japaneseCounting"/>
      <w:lvlText w:val="（%1）"/>
      <w:lvlJc w:val="left"/>
      <w:pPr>
        <w:ind w:left="1560" w:hanging="720"/>
      </w:pPr>
      <w:rPr>
        <w:rFonts w:hint="default"/>
      </w:rPr>
    </w:lvl>
    <w:lvl w:ilvl="1" w:tentative="0">
      <w:start w:val="1"/>
      <w:numFmt w:val="lowerLetter"/>
      <w:lvlText w:val="%2)"/>
      <w:lvlJc w:val="left"/>
      <w:pPr>
        <w:ind w:left="1680" w:hanging="420"/>
      </w:pPr>
    </w:lvl>
    <w:lvl w:ilvl="2" w:tentative="0">
      <w:start w:val="1"/>
      <w:numFmt w:val="lowerRoman"/>
      <w:lvlText w:val="%3."/>
      <w:lvlJc w:val="right"/>
      <w:pPr>
        <w:ind w:left="2100" w:hanging="420"/>
      </w:pPr>
    </w:lvl>
    <w:lvl w:ilvl="3" w:tentative="0">
      <w:start w:val="1"/>
      <w:numFmt w:val="decimal"/>
      <w:lvlText w:val="%4."/>
      <w:lvlJc w:val="left"/>
      <w:pPr>
        <w:ind w:left="2520" w:hanging="420"/>
      </w:pPr>
    </w:lvl>
    <w:lvl w:ilvl="4" w:tentative="0">
      <w:start w:val="1"/>
      <w:numFmt w:val="lowerLetter"/>
      <w:lvlText w:val="%5)"/>
      <w:lvlJc w:val="left"/>
      <w:pPr>
        <w:ind w:left="2940" w:hanging="420"/>
      </w:pPr>
    </w:lvl>
    <w:lvl w:ilvl="5" w:tentative="0">
      <w:start w:val="1"/>
      <w:numFmt w:val="lowerRoman"/>
      <w:lvlText w:val="%6."/>
      <w:lvlJc w:val="right"/>
      <w:pPr>
        <w:ind w:left="3360" w:hanging="420"/>
      </w:pPr>
    </w:lvl>
    <w:lvl w:ilvl="6" w:tentative="0">
      <w:start w:val="1"/>
      <w:numFmt w:val="decimal"/>
      <w:lvlText w:val="%7."/>
      <w:lvlJc w:val="left"/>
      <w:pPr>
        <w:ind w:left="3780" w:hanging="420"/>
      </w:pPr>
    </w:lvl>
    <w:lvl w:ilvl="7" w:tentative="0">
      <w:start w:val="1"/>
      <w:numFmt w:val="lowerLetter"/>
      <w:lvlText w:val="%8)"/>
      <w:lvlJc w:val="left"/>
      <w:pPr>
        <w:ind w:left="4200" w:hanging="420"/>
      </w:pPr>
    </w:lvl>
    <w:lvl w:ilvl="8" w:tentative="0">
      <w:start w:val="1"/>
      <w:numFmt w:val="lowerRoman"/>
      <w:lvlText w:val="%9."/>
      <w:lvlJc w:val="right"/>
      <w:pPr>
        <w:ind w:left="4620" w:hanging="420"/>
      </w:pPr>
    </w:lvl>
  </w:abstractNum>
  <w:abstractNum w:abstractNumId="9">
    <w:nsid w:val="3E487E37"/>
    <w:multiLevelType w:val="multilevel"/>
    <w:tmpl w:val="3E487E37"/>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0">
    <w:nsid w:val="52FD7323"/>
    <w:multiLevelType w:val="multilevel"/>
    <w:tmpl w:val="52FD7323"/>
    <w:lvl w:ilvl="0" w:tentative="0">
      <w:start w:val="1"/>
      <w:numFmt w:val="decimal"/>
      <w:lvlText w:val="%1."/>
      <w:lvlJc w:val="left"/>
      <w:pPr>
        <w:ind w:left="205" w:hanging="322"/>
      </w:pPr>
      <w:rPr>
        <w:rFonts w:hint="default" w:ascii="仿宋" w:hAnsi="仿宋" w:eastAsia="仿宋" w:cs="仿宋"/>
        <w:spacing w:val="-46"/>
        <w:w w:val="99"/>
        <w:sz w:val="30"/>
        <w:szCs w:val="30"/>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1">
    <w:nsid w:val="5A232928"/>
    <w:multiLevelType w:val="multilevel"/>
    <w:tmpl w:val="5A232928"/>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2">
    <w:nsid w:val="6E0A4AF0"/>
    <w:multiLevelType w:val="multilevel"/>
    <w:tmpl w:val="6E0A4AF0"/>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num w:numId="1">
    <w:abstractNumId w:val="3"/>
  </w:num>
  <w:num w:numId="2">
    <w:abstractNumId w:val="2"/>
  </w:num>
  <w:num w:numId="3">
    <w:abstractNumId w:val="9"/>
  </w:num>
  <w:num w:numId="4">
    <w:abstractNumId w:val="4"/>
  </w:num>
  <w:num w:numId="5">
    <w:abstractNumId w:val="12"/>
  </w:num>
  <w:num w:numId="6">
    <w:abstractNumId w:val="7"/>
  </w:num>
  <w:num w:numId="7">
    <w:abstractNumId w:val="5"/>
  </w:num>
  <w:num w:numId="8">
    <w:abstractNumId w:val="6"/>
  </w:num>
  <w:num w:numId="9">
    <w:abstractNumId w:val="1"/>
  </w:num>
  <w:num w:numId="10">
    <w:abstractNumId w:val="0"/>
  </w:num>
  <w:num w:numId="11">
    <w:abstractNumId w:val="11"/>
  </w:num>
  <w:num w:numId="12">
    <w:abstractNumId w:val="8"/>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3"/>
  <w:hideSpellingErrors/>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MxNjNkZTg3ZTI4ZTJmMzYwMDc5MDhjMzc5NDFkZjYifQ=="/>
  </w:docVars>
  <w:rsids>
    <w:rsidRoot w:val="00172A27"/>
    <w:rsid w:val="00000175"/>
    <w:rsid w:val="0000045A"/>
    <w:rsid w:val="00004D25"/>
    <w:rsid w:val="00010FB4"/>
    <w:rsid w:val="000129D1"/>
    <w:rsid w:val="0002561E"/>
    <w:rsid w:val="0003078A"/>
    <w:rsid w:val="000717A9"/>
    <w:rsid w:val="0007518B"/>
    <w:rsid w:val="00087C21"/>
    <w:rsid w:val="00097351"/>
    <w:rsid w:val="000D5267"/>
    <w:rsid w:val="00122016"/>
    <w:rsid w:val="00126241"/>
    <w:rsid w:val="0015041B"/>
    <w:rsid w:val="001510A0"/>
    <w:rsid w:val="00170297"/>
    <w:rsid w:val="00170758"/>
    <w:rsid w:val="001729DF"/>
    <w:rsid w:val="00172A27"/>
    <w:rsid w:val="0017781F"/>
    <w:rsid w:val="00186888"/>
    <w:rsid w:val="001A57D3"/>
    <w:rsid w:val="001C371C"/>
    <w:rsid w:val="001D499A"/>
    <w:rsid w:val="001E0A08"/>
    <w:rsid w:val="001E4B6D"/>
    <w:rsid w:val="001F1571"/>
    <w:rsid w:val="0020457B"/>
    <w:rsid w:val="00214166"/>
    <w:rsid w:val="00225C3B"/>
    <w:rsid w:val="00227C1B"/>
    <w:rsid w:val="00231B42"/>
    <w:rsid w:val="00233A94"/>
    <w:rsid w:val="002347CB"/>
    <w:rsid w:val="00236AFA"/>
    <w:rsid w:val="0024364D"/>
    <w:rsid w:val="0027744B"/>
    <w:rsid w:val="00284D15"/>
    <w:rsid w:val="0029186D"/>
    <w:rsid w:val="00293907"/>
    <w:rsid w:val="002A6B15"/>
    <w:rsid w:val="002E0CAE"/>
    <w:rsid w:val="002F78D6"/>
    <w:rsid w:val="003010D9"/>
    <w:rsid w:val="00314059"/>
    <w:rsid w:val="00342B8B"/>
    <w:rsid w:val="003752D6"/>
    <w:rsid w:val="003B6317"/>
    <w:rsid w:val="003C1764"/>
    <w:rsid w:val="00417F62"/>
    <w:rsid w:val="00426EBB"/>
    <w:rsid w:val="00440ACB"/>
    <w:rsid w:val="00440BE9"/>
    <w:rsid w:val="00444A13"/>
    <w:rsid w:val="00451F02"/>
    <w:rsid w:val="00474B5D"/>
    <w:rsid w:val="00477DFA"/>
    <w:rsid w:val="00497C92"/>
    <w:rsid w:val="004B2B21"/>
    <w:rsid w:val="004B2C7F"/>
    <w:rsid w:val="004B4A8A"/>
    <w:rsid w:val="004E43BF"/>
    <w:rsid w:val="004F2D88"/>
    <w:rsid w:val="00523CAA"/>
    <w:rsid w:val="00523F94"/>
    <w:rsid w:val="0055006E"/>
    <w:rsid w:val="00557D43"/>
    <w:rsid w:val="005643CB"/>
    <w:rsid w:val="00586137"/>
    <w:rsid w:val="005A3943"/>
    <w:rsid w:val="005C021D"/>
    <w:rsid w:val="005C74D4"/>
    <w:rsid w:val="005E0AA6"/>
    <w:rsid w:val="005F2C21"/>
    <w:rsid w:val="005F32C8"/>
    <w:rsid w:val="00611421"/>
    <w:rsid w:val="006340EA"/>
    <w:rsid w:val="00640B7D"/>
    <w:rsid w:val="006474D2"/>
    <w:rsid w:val="006616F6"/>
    <w:rsid w:val="00672444"/>
    <w:rsid w:val="00676375"/>
    <w:rsid w:val="0068024E"/>
    <w:rsid w:val="0068648A"/>
    <w:rsid w:val="00696CAA"/>
    <w:rsid w:val="006A2DCC"/>
    <w:rsid w:val="006A4137"/>
    <w:rsid w:val="006A7D4E"/>
    <w:rsid w:val="006E6D1B"/>
    <w:rsid w:val="006F3814"/>
    <w:rsid w:val="00707150"/>
    <w:rsid w:val="0072327C"/>
    <w:rsid w:val="0072787C"/>
    <w:rsid w:val="00746F2F"/>
    <w:rsid w:val="00747E21"/>
    <w:rsid w:val="00767109"/>
    <w:rsid w:val="00777E03"/>
    <w:rsid w:val="00787821"/>
    <w:rsid w:val="007C3988"/>
    <w:rsid w:val="007C6771"/>
    <w:rsid w:val="007D192C"/>
    <w:rsid w:val="007F2CBF"/>
    <w:rsid w:val="008023F9"/>
    <w:rsid w:val="008135E7"/>
    <w:rsid w:val="00816950"/>
    <w:rsid w:val="00862DF4"/>
    <w:rsid w:val="00882EF6"/>
    <w:rsid w:val="00897667"/>
    <w:rsid w:val="008A29C9"/>
    <w:rsid w:val="008A52A5"/>
    <w:rsid w:val="008D41AD"/>
    <w:rsid w:val="008E0420"/>
    <w:rsid w:val="00906133"/>
    <w:rsid w:val="00912F12"/>
    <w:rsid w:val="0091320B"/>
    <w:rsid w:val="00937F07"/>
    <w:rsid w:val="00957349"/>
    <w:rsid w:val="00973417"/>
    <w:rsid w:val="009C3113"/>
    <w:rsid w:val="009D3D51"/>
    <w:rsid w:val="00A41EE8"/>
    <w:rsid w:val="00A77A12"/>
    <w:rsid w:val="00A91787"/>
    <w:rsid w:val="00A9271A"/>
    <w:rsid w:val="00A927D8"/>
    <w:rsid w:val="00AC409A"/>
    <w:rsid w:val="00AE5E85"/>
    <w:rsid w:val="00AE6422"/>
    <w:rsid w:val="00AF1302"/>
    <w:rsid w:val="00B0302A"/>
    <w:rsid w:val="00B154F4"/>
    <w:rsid w:val="00B1654D"/>
    <w:rsid w:val="00B40282"/>
    <w:rsid w:val="00B7353A"/>
    <w:rsid w:val="00B736F8"/>
    <w:rsid w:val="00B8340D"/>
    <w:rsid w:val="00B928EE"/>
    <w:rsid w:val="00BA5FFD"/>
    <w:rsid w:val="00BA6FC0"/>
    <w:rsid w:val="00BC1DD8"/>
    <w:rsid w:val="00BD364F"/>
    <w:rsid w:val="00C069BB"/>
    <w:rsid w:val="00C35A29"/>
    <w:rsid w:val="00C51C9B"/>
    <w:rsid w:val="00C52B16"/>
    <w:rsid w:val="00C62732"/>
    <w:rsid w:val="00C87009"/>
    <w:rsid w:val="00CB5229"/>
    <w:rsid w:val="00CD2AB3"/>
    <w:rsid w:val="00CD3C34"/>
    <w:rsid w:val="00CF36A3"/>
    <w:rsid w:val="00D019E4"/>
    <w:rsid w:val="00D028A7"/>
    <w:rsid w:val="00D12317"/>
    <w:rsid w:val="00D5071B"/>
    <w:rsid w:val="00D53EC9"/>
    <w:rsid w:val="00D63F12"/>
    <w:rsid w:val="00D707CB"/>
    <w:rsid w:val="00D708A2"/>
    <w:rsid w:val="00D8611D"/>
    <w:rsid w:val="00DA61B5"/>
    <w:rsid w:val="00DC4D00"/>
    <w:rsid w:val="00DC64F4"/>
    <w:rsid w:val="00DC76C4"/>
    <w:rsid w:val="00DD5092"/>
    <w:rsid w:val="00DE5D4C"/>
    <w:rsid w:val="00DF1ECC"/>
    <w:rsid w:val="00E02CFB"/>
    <w:rsid w:val="00E8097D"/>
    <w:rsid w:val="00E82B1F"/>
    <w:rsid w:val="00E9266C"/>
    <w:rsid w:val="00EA49E1"/>
    <w:rsid w:val="00EA5994"/>
    <w:rsid w:val="00EB6AA0"/>
    <w:rsid w:val="00EB6CBC"/>
    <w:rsid w:val="00EC04A3"/>
    <w:rsid w:val="00EE4C4C"/>
    <w:rsid w:val="00F021F7"/>
    <w:rsid w:val="00F05477"/>
    <w:rsid w:val="00F07EA2"/>
    <w:rsid w:val="00F22C87"/>
    <w:rsid w:val="00F5651D"/>
    <w:rsid w:val="00F86E05"/>
    <w:rsid w:val="00FB03A7"/>
    <w:rsid w:val="00FB0B5E"/>
    <w:rsid w:val="00FB31E7"/>
    <w:rsid w:val="00FB66D3"/>
    <w:rsid w:val="00FE4DCB"/>
    <w:rsid w:val="00FF2139"/>
    <w:rsid w:val="015C2756"/>
    <w:rsid w:val="017B2F92"/>
    <w:rsid w:val="01B464A4"/>
    <w:rsid w:val="01D76FCD"/>
    <w:rsid w:val="01E55D08"/>
    <w:rsid w:val="01EC20E2"/>
    <w:rsid w:val="021E00DE"/>
    <w:rsid w:val="022376FA"/>
    <w:rsid w:val="022D3CE3"/>
    <w:rsid w:val="0246362F"/>
    <w:rsid w:val="027F7EBD"/>
    <w:rsid w:val="02B546C0"/>
    <w:rsid w:val="02B90611"/>
    <w:rsid w:val="0314570F"/>
    <w:rsid w:val="03375AE2"/>
    <w:rsid w:val="035E2B6B"/>
    <w:rsid w:val="039D7B38"/>
    <w:rsid w:val="03B7227C"/>
    <w:rsid w:val="03BB4E91"/>
    <w:rsid w:val="03D16FB7"/>
    <w:rsid w:val="03D22594"/>
    <w:rsid w:val="03D41080"/>
    <w:rsid w:val="03E272F9"/>
    <w:rsid w:val="03FD5D52"/>
    <w:rsid w:val="04036024"/>
    <w:rsid w:val="043E17A6"/>
    <w:rsid w:val="046E5030"/>
    <w:rsid w:val="047434CD"/>
    <w:rsid w:val="04D211E1"/>
    <w:rsid w:val="04E45ED3"/>
    <w:rsid w:val="04FC263C"/>
    <w:rsid w:val="05092269"/>
    <w:rsid w:val="0518120E"/>
    <w:rsid w:val="052664FE"/>
    <w:rsid w:val="054913C7"/>
    <w:rsid w:val="05947D89"/>
    <w:rsid w:val="05AA7659"/>
    <w:rsid w:val="05AC3583"/>
    <w:rsid w:val="05BB1F47"/>
    <w:rsid w:val="05C33D5A"/>
    <w:rsid w:val="05E653CB"/>
    <w:rsid w:val="060C4B01"/>
    <w:rsid w:val="062A1DC8"/>
    <w:rsid w:val="066761DB"/>
    <w:rsid w:val="06680ED0"/>
    <w:rsid w:val="0687687D"/>
    <w:rsid w:val="06B05BC3"/>
    <w:rsid w:val="06CC0A35"/>
    <w:rsid w:val="06D22DA8"/>
    <w:rsid w:val="06E920D7"/>
    <w:rsid w:val="06F853A4"/>
    <w:rsid w:val="07155C37"/>
    <w:rsid w:val="071F36EB"/>
    <w:rsid w:val="07293490"/>
    <w:rsid w:val="0737795B"/>
    <w:rsid w:val="074A1AF4"/>
    <w:rsid w:val="07554285"/>
    <w:rsid w:val="075631C5"/>
    <w:rsid w:val="078E1308"/>
    <w:rsid w:val="0792694C"/>
    <w:rsid w:val="07B436A2"/>
    <w:rsid w:val="07D4434A"/>
    <w:rsid w:val="07EC6998"/>
    <w:rsid w:val="07F75DBF"/>
    <w:rsid w:val="080451C4"/>
    <w:rsid w:val="08170E80"/>
    <w:rsid w:val="082906FC"/>
    <w:rsid w:val="0829610B"/>
    <w:rsid w:val="082D16E3"/>
    <w:rsid w:val="08314A80"/>
    <w:rsid w:val="08836BD0"/>
    <w:rsid w:val="08886361"/>
    <w:rsid w:val="089B73D6"/>
    <w:rsid w:val="08BC6A1A"/>
    <w:rsid w:val="08D8516E"/>
    <w:rsid w:val="08E73603"/>
    <w:rsid w:val="08F04682"/>
    <w:rsid w:val="08F3072F"/>
    <w:rsid w:val="093A3733"/>
    <w:rsid w:val="09471C45"/>
    <w:rsid w:val="09550054"/>
    <w:rsid w:val="09AD11D5"/>
    <w:rsid w:val="09AD2157"/>
    <w:rsid w:val="09B72FD5"/>
    <w:rsid w:val="09C87767"/>
    <w:rsid w:val="09DB4F16"/>
    <w:rsid w:val="09DF3664"/>
    <w:rsid w:val="09EB0ED1"/>
    <w:rsid w:val="09FA5D04"/>
    <w:rsid w:val="0A18027F"/>
    <w:rsid w:val="0A337547"/>
    <w:rsid w:val="0A390149"/>
    <w:rsid w:val="0A3F75CC"/>
    <w:rsid w:val="0A5B2DE7"/>
    <w:rsid w:val="0A924098"/>
    <w:rsid w:val="0AC459AA"/>
    <w:rsid w:val="0ADD4CBE"/>
    <w:rsid w:val="0B07671A"/>
    <w:rsid w:val="0B4F19BA"/>
    <w:rsid w:val="0B674587"/>
    <w:rsid w:val="0B792C38"/>
    <w:rsid w:val="0BA8253A"/>
    <w:rsid w:val="0BAE0408"/>
    <w:rsid w:val="0C0117FF"/>
    <w:rsid w:val="0C0901F9"/>
    <w:rsid w:val="0C3A6197"/>
    <w:rsid w:val="0C83265E"/>
    <w:rsid w:val="0CA473CE"/>
    <w:rsid w:val="0CAA5933"/>
    <w:rsid w:val="0CE340E1"/>
    <w:rsid w:val="0CEE4786"/>
    <w:rsid w:val="0D122CD5"/>
    <w:rsid w:val="0D5648B3"/>
    <w:rsid w:val="0D6B6C75"/>
    <w:rsid w:val="0D857E27"/>
    <w:rsid w:val="0D997722"/>
    <w:rsid w:val="0D9D3EA1"/>
    <w:rsid w:val="0DA3709E"/>
    <w:rsid w:val="0DB46670"/>
    <w:rsid w:val="0DD06C7C"/>
    <w:rsid w:val="0DF85D40"/>
    <w:rsid w:val="0E4E4068"/>
    <w:rsid w:val="0EA25C48"/>
    <w:rsid w:val="0EAA11F9"/>
    <w:rsid w:val="0EBC4BEA"/>
    <w:rsid w:val="0EC44971"/>
    <w:rsid w:val="0F12129A"/>
    <w:rsid w:val="0F3D2203"/>
    <w:rsid w:val="0F3E7E3A"/>
    <w:rsid w:val="0F4A0448"/>
    <w:rsid w:val="0F8920EE"/>
    <w:rsid w:val="0F985025"/>
    <w:rsid w:val="0F9F5F50"/>
    <w:rsid w:val="0FB77220"/>
    <w:rsid w:val="0FB87FCB"/>
    <w:rsid w:val="0FC24931"/>
    <w:rsid w:val="0FF463E6"/>
    <w:rsid w:val="1043262A"/>
    <w:rsid w:val="1044187D"/>
    <w:rsid w:val="10493510"/>
    <w:rsid w:val="105A5A95"/>
    <w:rsid w:val="108950AA"/>
    <w:rsid w:val="10B97633"/>
    <w:rsid w:val="10F11046"/>
    <w:rsid w:val="10F54700"/>
    <w:rsid w:val="110034B4"/>
    <w:rsid w:val="110A4333"/>
    <w:rsid w:val="110B6826"/>
    <w:rsid w:val="110F292A"/>
    <w:rsid w:val="115B231D"/>
    <w:rsid w:val="116E48C1"/>
    <w:rsid w:val="1182036D"/>
    <w:rsid w:val="118B7221"/>
    <w:rsid w:val="11A40DB1"/>
    <w:rsid w:val="11BE4ADD"/>
    <w:rsid w:val="11F54FE5"/>
    <w:rsid w:val="120945EA"/>
    <w:rsid w:val="12203363"/>
    <w:rsid w:val="12301B77"/>
    <w:rsid w:val="12397EE3"/>
    <w:rsid w:val="123B1F6E"/>
    <w:rsid w:val="1247373F"/>
    <w:rsid w:val="12A97F8C"/>
    <w:rsid w:val="12AE3B43"/>
    <w:rsid w:val="12BC78AF"/>
    <w:rsid w:val="12BD79B0"/>
    <w:rsid w:val="12D322B2"/>
    <w:rsid w:val="12E05727"/>
    <w:rsid w:val="12F229F0"/>
    <w:rsid w:val="12F470BB"/>
    <w:rsid w:val="12FE1C75"/>
    <w:rsid w:val="13091FED"/>
    <w:rsid w:val="130F79DE"/>
    <w:rsid w:val="13114E3D"/>
    <w:rsid w:val="13286C49"/>
    <w:rsid w:val="132F1B6B"/>
    <w:rsid w:val="13366A55"/>
    <w:rsid w:val="133923F2"/>
    <w:rsid w:val="13B660AC"/>
    <w:rsid w:val="13C609E5"/>
    <w:rsid w:val="13C95DDF"/>
    <w:rsid w:val="13E75FB2"/>
    <w:rsid w:val="14EC6D1B"/>
    <w:rsid w:val="15115C90"/>
    <w:rsid w:val="15186E22"/>
    <w:rsid w:val="151E65FF"/>
    <w:rsid w:val="153F5750"/>
    <w:rsid w:val="15455939"/>
    <w:rsid w:val="155B6E8A"/>
    <w:rsid w:val="156653E4"/>
    <w:rsid w:val="15A00DC2"/>
    <w:rsid w:val="15B34F99"/>
    <w:rsid w:val="15B52109"/>
    <w:rsid w:val="15E31D70"/>
    <w:rsid w:val="16175528"/>
    <w:rsid w:val="161E1983"/>
    <w:rsid w:val="1674297A"/>
    <w:rsid w:val="167A721E"/>
    <w:rsid w:val="16BF2C4F"/>
    <w:rsid w:val="16F12DE4"/>
    <w:rsid w:val="16FE6A36"/>
    <w:rsid w:val="16FF2645"/>
    <w:rsid w:val="1710689D"/>
    <w:rsid w:val="17217510"/>
    <w:rsid w:val="1722468F"/>
    <w:rsid w:val="17342109"/>
    <w:rsid w:val="174B3FB3"/>
    <w:rsid w:val="17544559"/>
    <w:rsid w:val="176B50EC"/>
    <w:rsid w:val="176C0B82"/>
    <w:rsid w:val="17712A16"/>
    <w:rsid w:val="1771641F"/>
    <w:rsid w:val="177249E0"/>
    <w:rsid w:val="179B5CE4"/>
    <w:rsid w:val="17B20A29"/>
    <w:rsid w:val="17E256C1"/>
    <w:rsid w:val="17F54607"/>
    <w:rsid w:val="18245CDA"/>
    <w:rsid w:val="18365467"/>
    <w:rsid w:val="18387012"/>
    <w:rsid w:val="187B7588"/>
    <w:rsid w:val="188669F5"/>
    <w:rsid w:val="18A84B5D"/>
    <w:rsid w:val="18BD034D"/>
    <w:rsid w:val="18D73B39"/>
    <w:rsid w:val="18EB4A4A"/>
    <w:rsid w:val="19962743"/>
    <w:rsid w:val="19DB47FE"/>
    <w:rsid w:val="19DD52F9"/>
    <w:rsid w:val="19F8741E"/>
    <w:rsid w:val="1A0A0EFF"/>
    <w:rsid w:val="1A2A3EFE"/>
    <w:rsid w:val="1A3857CE"/>
    <w:rsid w:val="1A5253E1"/>
    <w:rsid w:val="1A614BEF"/>
    <w:rsid w:val="1AC121DC"/>
    <w:rsid w:val="1ACD2989"/>
    <w:rsid w:val="1AF6760B"/>
    <w:rsid w:val="1B07032C"/>
    <w:rsid w:val="1B0911B7"/>
    <w:rsid w:val="1B271392"/>
    <w:rsid w:val="1B3D2BD7"/>
    <w:rsid w:val="1B847720"/>
    <w:rsid w:val="1B851BC5"/>
    <w:rsid w:val="1B88201F"/>
    <w:rsid w:val="1B8F3DB2"/>
    <w:rsid w:val="1BB90E2F"/>
    <w:rsid w:val="1BCD0E63"/>
    <w:rsid w:val="1BD63DBC"/>
    <w:rsid w:val="1BE614F8"/>
    <w:rsid w:val="1C1E64AF"/>
    <w:rsid w:val="1C2C1601"/>
    <w:rsid w:val="1C334A1D"/>
    <w:rsid w:val="1C3C2056"/>
    <w:rsid w:val="1C7D00AF"/>
    <w:rsid w:val="1C8834C4"/>
    <w:rsid w:val="1C8E5E13"/>
    <w:rsid w:val="1CA473E9"/>
    <w:rsid w:val="1CA83640"/>
    <w:rsid w:val="1CB659F1"/>
    <w:rsid w:val="1CC92392"/>
    <w:rsid w:val="1CD6156D"/>
    <w:rsid w:val="1CEB6DC6"/>
    <w:rsid w:val="1CEF0D86"/>
    <w:rsid w:val="1D135559"/>
    <w:rsid w:val="1D29146A"/>
    <w:rsid w:val="1D293D92"/>
    <w:rsid w:val="1D436C02"/>
    <w:rsid w:val="1D632D08"/>
    <w:rsid w:val="1D76518A"/>
    <w:rsid w:val="1D863286"/>
    <w:rsid w:val="1DAD1D09"/>
    <w:rsid w:val="1DED0975"/>
    <w:rsid w:val="1E032835"/>
    <w:rsid w:val="1E0B750E"/>
    <w:rsid w:val="1E44002F"/>
    <w:rsid w:val="1E533291"/>
    <w:rsid w:val="1E58492F"/>
    <w:rsid w:val="1E5B7F7C"/>
    <w:rsid w:val="1E5D3CF4"/>
    <w:rsid w:val="1E7D7EF2"/>
    <w:rsid w:val="1E890EA3"/>
    <w:rsid w:val="1E944099"/>
    <w:rsid w:val="1E9B35BD"/>
    <w:rsid w:val="1EA25AC0"/>
    <w:rsid w:val="1EA621AD"/>
    <w:rsid w:val="1EC34309"/>
    <w:rsid w:val="1ECA64F1"/>
    <w:rsid w:val="1ECB5336"/>
    <w:rsid w:val="1EEC26D8"/>
    <w:rsid w:val="1F170346"/>
    <w:rsid w:val="1F59469C"/>
    <w:rsid w:val="1F726CF1"/>
    <w:rsid w:val="1F737547"/>
    <w:rsid w:val="1F842B44"/>
    <w:rsid w:val="1F8D23B7"/>
    <w:rsid w:val="1F8D7043"/>
    <w:rsid w:val="1FB02549"/>
    <w:rsid w:val="1FDFC466"/>
    <w:rsid w:val="1FF618BE"/>
    <w:rsid w:val="1FF91BFE"/>
    <w:rsid w:val="1FFB6CAE"/>
    <w:rsid w:val="20036B1D"/>
    <w:rsid w:val="203159E0"/>
    <w:rsid w:val="205F04A3"/>
    <w:rsid w:val="206C021E"/>
    <w:rsid w:val="20823EE5"/>
    <w:rsid w:val="20A249A1"/>
    <w:rsid w:val="20A344CD"/>
    <w:rsid w:val="20C02CB5"/>
    <w:rsid w:val="20C718F8"/>
    <w:rsid w:val="20D10C33"/>
    <w:rsid w:val="20D37D1E"/>
    <w:rsid w:val="20E16435"/>
    <w:rsid w:val="211C7E96"/>
    <w:rsid w:val="211D3C0E"/>
    <w:rsid w:val="214C0E58"/>
    <w:rsid w:val="215869F4"/>
    <w:rsid w:val="21B412C8"/>
    <w:rsid w:val="21C81DCC"/>
    <w:rsid w:val="21DA38AD"/>
    <w:rsid w:val="21E01739"/>
    <w:rsid w:val="223B259E"/>
    <w:rsid w:val="225F78FB"/>
    <w:rsid w:val="229F6E72"/>
    <w:rsid w:val="22AA60F9"/>
    <w:rsid w:val="22EC5646"/>
    <w:rsid w:val="23064D5C"/>
    <w:rsid w:val="232440B2"/>
    <w:rsid w:val="233203DB"/>
    <w:rsid w:val="23377209"/>
    <w:rsid w:val="23466F17"/>
    <w:rsid w:val="235B2848"/>
    <w:rsid w:val="23893087"/>
    <w:rsid w:val="239555EB"/>
    <w:rsid w:val="23C7422D"/>
    <w:rsid w:val="240A5E72"/>
    <w:rsid w:val="241755D5"/>
    <w:rsid w:val="241A1784"/>
    <w:rsid w:val="2432073F"/>
    <w:rsid w:val="2443573A"/>
    <w:rsid w:val="24494315"/>
    <w:rsid w:val="24772346"/>
    <w:rsid w:val="2492046F"/>
    <w:rsid w:val="249B7F2C"/>
    <w:rsid w:val="24F8728F"/>
    <w:rsid w:val="250F3880"/>
    <w:rsid w:val="251D4887"/>
    <w:rsid w:val="251E34B0"/>
    <w:rsid w:val="251F0283"/>
    <w:rsid w:val="25203CCD"/>
    <w:rsid w:val="256B2793"/>
    <w:rsid w:val="25755D25"/>
    <w:rsid w:val="25804D6F"/>
    <w:rsid w:val="25897AC4"/>
    <w:rsid w:val="259F4AE8"/>
    <w:rsid w:val="25A97AD1"/>
    <w:rsid w:val="25B34B41"/>
    <w:rsid w:val="26081BA9"/>
    <w:rsid w:val="263B5F44"/>
    <w:rsid w:val="267349AD"/>
    <w:rsid w:val="26890B30"/>
    <w:rsid w:val="269229A8"/>
    <w:rsid w:val="26B47BB7"/>
    <w:rsid w:val="26CD2CE6"/>
    <w:rsid w:val="26EC61E5"/>
    <w:rsid w:val="26F96F78"/>
    <w:rsid w:val="271C2272"/>
    <w:rsid w:val="272050AF"/>
    <w:rsid w:val="272A498F"/>
    <w:rsid w:val="2771651B"/>
    <w:rsid w:val="278247CB"/>
    <w:rsid w:val="27875B84"/>
    <w:rsid w:val="27881334"/>
    <w:rsid w:val="27B801ED"/>
    <w:rsid w:val="27C0082E"/>
    <w:rsid w:val="27C938F0"/>
    <w:rsid w:val="281D44F4"/>
    <w:rsid w:val="282317CB"/>
    <w:rsid w:val="28277120"/>
    <w:rsid w:val="283A4310"/>
    <w:rsid w:val="2869427F"/>
    <w:rsid w:val="286B525F"/>
    <w:rsid w:val="28CD2F54"/>
    <w:rsid w:val="28FC235B"/>
    <w:rsid w:val="29041BAB"/>
    <w:rsid w:val="292C49EE"/>
    <w:rsid w:val="296416D8"/>
    <w:rsid w:val="297C5B80"/>
    <w:rsid w:val="299B6CDF"/>
    <w:rsid w:val="29AA0D0B"/>
    <w:rsid w:val="29B31587"/>
    <w:rsid w:val="29D31DC1"/>
    <w:rsid w:val="29FA6374"/>
    <w:rsid w:val="2A047719"/>
    <w:rsid w:val="2A217BE8"/>
    <w:rsid w:val="2A924D25"/>
    <w:rsid w:val="2AB234A2"/>
    <w:rsid w:val="2AC35B85"/>
    <w:rsid w:val="2AC80DF9"/>
    <w:rsid w:val="2ACA31E0"/>
    <w:rsid w:val="2B24619F"/>
    <w:rsid w:val="2B2D7144"/>
    <w:rsid w:val="2B3D4ABE"/>
    <w:rsid w:val="2B5F7CF2"/>
    <w:rsid w:val="2B8054C5"/>
    <w:rsid w:val="2B810227"/>
    <w:rsid w:val="2B9176D3"/>
    <w:rsid w:val="2BA455BA"/>
    <w:rsid w:val="2BC2163A"/>
    <w:rsid w:val="2BDE46D5"/>
    <w:rsid w:val="2BFF463C"/>
    <w:rsid w:val="2C071743"/>
    <w:rsid w:val="2C370F78"/>
    <w:rsid w:val="2C3A5674"/>
    <w:rsid w:val="2C411344"/>
    <w:rsid w:val="2C480741"/>
    <w:rsid w:val="2C5C1A8E"/>
    <w:rsid w:val="2C954FA0"/>
    <w:rsid w:val="2CB05936"/>
    <w:rsid w:val="2CB31AEF"/>
    <w:rsid w:val="2CBF2A7D"/>
    <w:rsid w:val="2CE11F94"/>
    <w:rsid w:val="2CE3364D"/>
    <w:rsid w:val="2D6D3827"/>
    <w:rsid w:val="2DAC4350"/>
    <w:rsid w:val="2DC518B5"/>
    <w:rsid w:val="2DD5687C"/>
    <w:rsid w:val="2DDB4FED"/>
    <w:rsid w:val="2E0C7407"/>
    <w:rsid w:val="2E1D15A1"/>
    <w:rsid w:val="2E300BAB"/>
    <w:rsid w:val="2E3215B7"/>
    <w:rsid w:val="2E3B47CF"/>
    <w:rsid w:val="2E416702"/>
    <w:rsid w:val="2E466AFF"/>
    <w:rsid w:val="2E5828FE"/>
    <w:rsid w:val="2EA15E7F"/>
    <w:rsid w:val="2EA62A1A"/>
    <w:rsid w:val="2EB243B1"/>
    <w:rsid w:val="2EB5368F"/>
    <w:rsid w:val="2EB86423"/>
    <w:rsid w:val="2EBD177C"/>
    <w:rsid w:val="2ED51946"/>
    <w:rsid w:val="2EE30A47"/>
    <w:rsid w:val="2F062A5A"/>
    <w:rsid w:val="2F2B7FC7"/>
    <w:rsid w:val="2F3D4E71"/>
    <w:rsid w:val="2F4309AA"/>
    <w:rsid w:val="2F662571"/>
    <w:rsid w:val="2F923A19"/>
    <w:rsid w:val="2F964A23"/>
    <w:rsid w:val="2FC17E5A"/>
    <w:rsid w:val="2FC25559"/>
    <w:rsid w:val="2FDE0A0C"/>
    <w:rsid w:val="30136908"/>
    <w:rsid w:val="30303EB0"/>
    <w:rsid w:val="30466CDD"/>
    <w:rsid w:val="304940D8"/>
    <w:rsid w:val="305E56A9"/>
    <w:rsid w:val="30651B76"/>
    <w:rsid w:val="306E7FE2"/>
    <w:rsid w:val="3082324D"/>
    <w:rsid w:val="308721FB"/>
    <w:rsid w:val="3093394D"/>
    <w:rsid w:val="309537C1"/>
    <w:rsid w:val="309D171B"/>
    <w:rsid w:val="309F01A1"/>
    <w:rsid w:val="30B57CDB"/>
    <w:rsid w:val="30E2564C"/>
    <w:rsid w:val="30F253AE"/>
    <w:rsid w:val="31044E10"/>
    <w:rsid w:val="310F1FCE"/>
    <w:rsid w:val="31283ED9"/>
    <w:rsid w:val="312C4574"/>
    <w:rsid w:val="31741628"/>
    <w:rsid w:val="317672E5"/>
    <w:rsid w:val="318F27FC"/>
    <w:rsid w:val="319E2257"/>
    <w:rsid w:val="31AD3142"/>
    <w:rsid w:val="31BB2DB3"/>
    <w:rsid w:val="31D125D7"/>
    <w:rsid w:val="31D200FD"/>
    <w:rsid w:val="31DE4CF4"/>
    <w:rsid w:val="320831A2"/>
    <w:rsid w:val="321172DC"/>
    <w:rsid w:val="32125C83"/>
    <w:rsid w:val="32137377"/>
    <w:rsid w:val="32202459"/>
    <w:rsid w:val="323B3EF4"/>
    <w:rsid w:val="3242116C"/>
    <w:rsid w:val="325E42E1"/>
    <w:rsid w:val="326F6129"/>
    <w:rsid w:val="327C49FE"/>
    <w:rsid w:val="32827D75"/>
    <w:rsid w:val="32904240"/>
    <w:rsid w:val="32943604"/>
    <w:rsid w:val="32E5730D"/>
    <w:rsid w:val="32EC51EE"/>
    <w:rsid w:val="33031AD6"/>
    <w:rsid w:val="335D2713"/>
    <w:rsid w:val="336E40D0"/>
    <w:rsid w:val="337E053C"/>
    <w:rsid w:val="33916868"/>
    <w:rsid w:val="33A04957"/>
    <w:rsid w:val="33B65F28"/>
    <w:rsid w:val="33C44396"/>
    <w:rsid w:val="33C443B2"/>
    <w:rsid w:val="3410418A"/>
    <w:rsid w:val="341B2F88"/>
    <w:rsid w:val="34260CA3"/>
    <w:rsid w:val="34583943"/>
    <w:rsid w:val="345A7293"/>
    <w:rsid w:val="3497257A"/>
    <w:rsid w:val="34AB088E"/>
    <w:rsid w:val="34B21621"/>
    <w:rsid w:val="34BC7916"/>
    <w:rsid w:val="34CE1050"/>
    <w:rsid w:val="34E730E7"/>
    <w:rsid w:val="34E84BDA"/>
    <w:rsid w:val="350B6AC8"/>
    <w:rsid w:val="35101668"/>
    <w:rsid w:val="35283494"/>
    <w:rsid w:val="352B2F77"/>
    <w:rsid w:val="354F70FE"/>
    <w:rsid w:val="355754E9"/>
    <w:rsid w:val="35646D96"/>
    <w:rsid w:val="358636D8"/>
    <w:rsid w:val="35926521"/>
    <w:rsid w:val="35A41DB0"/>
    <w:rsid w:val="35AA1344"/>
    <w:rsid w:val="35AB57BF"/>
    <w:rsid w:val="35B00B49"/>
    <w:rsid w:val="35C661CB"/>
    <w:rsid w:val="35C97A69"/>
    <w:rsid w:val="35FE3BB6"/>
    <w:rsid w:val="361231BE"/>
    <w:rsid w:val="361F3F7F"/>
    <w:rsid w:val="365365D2"/>
    <w:rsid w:val="36554F3D"/>
    <w:rsid w:val="36617CA1"/>
    <w:rsid w:val="36960BC9"/>
    <w:rsid w:val="36AA31D0"/>
    <w:rsid w:val="36B712AD"/>
    <w:rsid w:val="36CA1CEB"/>
    <w:rsid w:val="36CE3FBF"/>
    <w:rsid w:val="37166CDE"/>
    <w:rsid w:val="37515F68"/>
    <w:rsid w:val="37522919"/>
    <w:rsid w:val="375D1487"/>
    <w:rsid w:val="375D490D"/>
    <w:rsid w:val="375F0685"/>
    <w:rsid w:val="37654AF6"/>
    <w:rsid w:val="37717646"/>
    <w:rsid w:val="377E6610"/>
    <w:rsid w:val="37A6491A"/>
    <w:rsid w:val="37B76E41"/>
    <w:rsid w:val="3828316D"/>
    <w:rsid w:val="383523CE"/>
    <w:rsid w:val="384A4E91"/>
    <w:rsid w:val="38547ABE"/>
    <w:rsid w:val="389C1176"/>
    <w:rsid w:val="389D76B7"/>
    <w:rsid w:val="38A85BDE"/>
    <w:rsid w:val="38B81244"/>
    <w:rsid w:val="38CA1FF4"/>
    <w:rsid w:val="38D1031E"/>
    <w:rsid w:val="38DF2C15"/>
    <w:rsid w:val="38F17A02"/>
    <w:rsid w:val="38F65019"/>
    <w:rsid w:val="39241B86"/>
    <w:rsid w:val="39294C83"/>
    <w:rsid w:val="395E4888"/>
    <w:rsid w:val="399308EC"/>
    <w:rsid w:val="39E12EE6"/>
    <w:rsid w:val="39EF8775"/>
    <w:rsid w:val="3A3B6DFB"/>
    <w:rsid w:val="3AB900AC"/>
    <w:rsid w:val="3AD2116E"/>
    <w:rsid w:val="3ADD023E"/>
    <w:rsid w:val="3AE30259"/>
    <w:rsid w:val="3AF85078"/>
    <w:rsid w:val="3B2E5EEF"/>
    <w:rsid w:val="3B2E62FA"/>
    <w:rsid w:val="3B4D0332"/>
    <w:rsid w:val="3B624E48"/>
    <w:rsid w:val="3B954675"/>
    <w:rsid w:val="3B9C3C56"/>
    <w:rsid w:val="3BA35A50"/>
    <w:rsid w:val="3BB54D17"/>
    <w:rsid w:val="3BF00CC8"/>
    <w:rsid w:val="3C0E5C1F"/>
    <w:rsid w:val="3C757B77"/>
    <w:rsid w:val="3C9C5ED7"/>
    <w:rsid w:val="3CA0254E"/>
    <w:rsid w:val="3CA623CD"/>
    <w:rsid w:val="3CB80223"/>
    <w:rsid w:val="3CBA010B"/>
    <w:rsid w:val="3CDB16A9"/>
    <w:rsid w:val="3D0132C4"/>
    <w:rsid w:val="3D204412"/>
    <w:rsid w:val="3D4B6281"/>
    <w:rsid w:val="3D6D72DE"/>
    <w:rsid w:val="3D7E7DDD"/>
    <w:rsid w:val="3D9A41C5"/>
    <w:rsid w:val="3DAC1A84"/>
    <w:rsid w:val="3DBD1130"/>
    <w:rsid w:val="3DBF3E9F"/>
    <w:rsid w:val="3DF5764D"/>
    <w:rsid w:val="3E276237"/>
    <w:rsid w:val="3E46381E"/>
    <w:rsid w:val="3E6415B0"/>
    <w:rsid w:val="3E6D50FB"/>
    <w:rsid w:val="3E90770F"/>
    <w:rsid w:val="3E9230EE"/>
    <w:rsid w:val="3E985F3F"/>
    <w:rsid w:val="3E986769"/>
    <w:rsid w:val="3ECC05DA"/>
    <w:rsid w:val="3EDB03F2"/>
    <w:rsid w:val="3EED2A1A"/>
    <w:rsid w:val="3EF06066"/>
    <w:rsid w:val="3EF64113"/>
    <w:rsid w:val="3EF70024"/>
    <w:rsid w:val="3EFC4A0B"/>
    <w:rsid w:val="3F0E0284"/>
    <w:rsid w:val="3F1949FF"/>
    <w:rsid w:val="3F1E0E25"/>
    <w:rsid w:val="3F261A88"/>
    <w:rsid w:val="3F3100A3"/>
    <w:rsid w:val="3F4203A6"/>
    <w:rsid w:val="3F6B7D64"/>
    <w:rsid w:val="3F6E3AAE"/>
    <w:rsid w:val="3F980BD8"/>
    <w:rsid w:val="3FA27361"/>
    <w:rsid w:val="3FAC4683"/>
    <w:rsid w:val="3FBD23EC"/>
    <w:rsid w:val="40100ABF"/>
    <w:rsid w:val="401E7324"/>
    <w:rsid w:val="401F09B1"/>
    <w:rsid w:val="40503261"/>
    <w:rsid w:val="40516E38"/>
    <w:rsid w:val="4071376A"/>
    <w:rsid w:val="407B63C5"/>
    <w:rsid w:val="4081341A"/>
    <w:rsid w:val="409C12D6"/>
    <w:rsid w:val="40A76693"/>
    <w:rsid w:val="40CB0B39"/>
    <w:rsid w:val="41105572"/>
    <w:rsid w:val="411E6EBB"/>
    <w:rsid w:val="41384420"/>
    <w:rsid w:val="41401527"/>
    <w:rsid w:val="414B62A2"/>
    <w:rsid w:val="41692144"/>
    <w:rsid w:val="418A67B5"/>
    <w:rsid w:val="41941DA6"/>
    <w:rsid w:val="41D43A1D"/>
    <w:rsid w:val="41F12885"/>
    <w:rsid w:val="41FE3818"/>
    <w:rsid w:val="42051E29"/>
    <w:rsid w:val="420C04C6"/>
    <w:rsid w:val="420D4B01"/>
    <w:rsid w:val="423F358D"/>
    <w:rsid w:val="42601C37"/>
    <w:rsid w:val="426C0C47"/>
    <w:rsid w:val="42701998"/>
    <w:rsid w:val="42DA5695"/>
    <w:rsid w:val="42EF3CA3"/>
    <w:rsid w:val="42F110E7"/>
    <w:rsid w:val="430B64AE"/>
    <w:rsid w:val="43487623"/>
    <w:rsid w:val="43544FFA"/>
    <w:rsid w:val="43572B58"/>
    <w:rsid w:val="4382178C"/>
    <w:rsid w:val="43C1792A"/>
    <w:rsid w:val="43C63351"/>
    <w:rsid w:val="43D35EC7"/>
    <w:rsid w:val="43D66090"/>
    <w:rsid w:val="43E715B7"/>
    <w:rsid w:val="43EC14F2"/>
    <w:rsid w:val="440305EA"/>
    <w:rsid w:val="44093F6D"/>
    <w:rsid w:val="440B7F88"/>
    <w:rsid w:val="44142024"/>
    <w:rsid w:val="44174B71"/>
    <w:rsid w:val="44246EDE"/>
    <w:rsid w:val="44332C7D"/>
    <w:rsid w:val="444A6219"/>
    <w:rsid w:val="444C01E3"/>
    <w:rsid w:val="445C12EB"/>
    <w:rsid w:val="446B66F7"/>
    <w:rsid w:val="447339C1"/>
    <w:rsid w:val="449B108E"/>
    <w:rsid w:val="449C1298"/>
    <w:rsid w:val="450164D6"/>
    <w:rsid w:val="45120AE5"/>
    <w:rsid w:val="4519103D"/>
    <w:rsid w:val="453D3566"/>
    <w:rsid w:val="455616C1"/>
    <w:rsid w:val="456948B1"/>
    <w:rsid w:val="4578348C"/>
    <w:rsid w:val="458A5A65"/>
    <w:rsid w:val="4596510C"/>
    <w:rsid w:val="45C053B5"/>
    <w:rsid w:val="45C142B9"/>
    <w:rsid w:val="45E36119"/>
    <w:rsid w:val="46070915"/>
    <w:rsid w:val="460A5C60"/>
    <w:rsid w:val="46224D78"/>
    <w:rsid w:val="463017D5"/>
    <w:rsid w:val="46357048"/>
    <w:rsid w:val="46445615"/>
    <w:rsid w:val="46505E58"/>
    <w:rsid w:val="465B64BB"/>
    <w:rsid w:val="46640D69"/>
    <w:rsid w:val="467B6B5D"/>
    <w:rsid w:val="468477C0"/>
    <w:rsid w:val="469A6206"/>
    <w:rsid w:val="47040660"/>
    <w:rsid w:val="471F5F36"/>
    <w:rsid w:val="47215957"/>
    <w:rsid w:val="47224138"/>
    <w:rsid w:val="474C0428"/>
    <w:rsid w:val="47572D31"/>
    <w:rsid w:val="478D36B4"/>
    <w:rsid w:val="47C12FC5"/>
    <w:rsid w:val="47DC7D0E"/>
    <w:rsid w:val="47EA7AF7"/>
    <w:rsid w:val="47F6649C"/>
    <w:rsid w:val="4823125B"/>
    <w:rsid w:val="4841611D"/>
    <w:rsid w:val="48461096"/>
    <w:rsid w:val="484A4A39"/>
    <w:rsid w:val="48531B40"/>
    <w:rsid w:val="48641BA5"/>
    <w:rsid w:val="48751A7C"/>
    <w:rsid w:val="48825DB2"/>
    <w:rsid w:val="489B0CC3"/>
    <w:rsid w:val="48B25AE3"/>
    <w:rsid w:val="48C77E38"/>
    <w:rsid w:val="49047ECE"/>
    <w:rsid w:val="490948F4"/>
    <w:rsid w:val="4938670B"/>
    <w:rsid w:val="493955DE"/>
    <w:rsid w:val="495279EA"/>
    <w:rsid w:val="495F295F"/>
    <w:rsid w:val="496841DC"/>
    <w:rsid w:val="49831FB1"/>
    <w:rsid w:val="49895588"/>
    <w:rsid w:val="49A362C7"/>
    <w:rsid w:val="49BF6D61"/>
    <w:rsid w:val="49DE6AF2"/>
    <w:rsid w:val="4A076836"/>
    <w:rsid w:val="4A4D25BF"/>
    <w:rsid w:val="4A4E41F6"/>
    <w:rsid w:val="4A591F38"/>
    <w:rsid w:val="4A7758C2"/>
    <w:rsid w:val="4AB0359F"/>
    <w:rsid w:val="4AB12B4E"/>
    <w:rsid w:val="4AE65E63"/>
    <w:rsid w:val="4AE6781E"/>
    <w:rsid w:val="4AEC3EC2"/>
    <w:rsid w:val="4B285784"/>
    <w:rsid w:val="4B29748A"/>
    <w:rsid w:val="4B6C4928"/>
    <w:rsid w:val="4B714905"/>
    <w:rsid w:val="4B725BE9"/>
    <w:rsid w:val="4B8509C1"/>
    <w:rsid w:val="4B87519B"/>
    <w:rsid w:val="4BA821A3"/>
    <w:rsid w:val="4BB228C6"/>
    <w:rsid w:val="4BE17463"/>
    <w:rsid w:val="4C0575F5"/>
    <w:rsid w:val="4C1E06B7"/>
    <w:rsid w:val="4C45166F"/>
    <w:rsid w:val="4C5C4D3B"/>
    <w:rsid w:val="4C752587"/>
    <w:rsid w:val="4C837185"/>
    <w:rsid w:val="4CC0351C"/>
    <w:rsid w:val="4D1A2C2C"/>
    <w:rsid w:val="4D64546F"/>
    <w:rsid w:val="4D6B3488"/>
    <w:rsid w:val="4D806341"/>
    <w:rsid w:val="4D844549"/>
    <w:rsid w:val="4D852D7D"/>
    <w:rsid w:val="4D9A3D6D"/>
    <w:rsid w:val="4DC967FE"/>
    <w:rsid w:val="4DD24560"/>
    <w:rsid w:val="4E130CAB"/>
    <w:rsid w:val="4E261FAE"/>
    <w:rsid w:val="4E676345"/>
    <w:rsid w:val="4E774E5D"/>
    <w:rsid w:val="4E87324E"/>
    <w:rsid w:val="4E880069"/>
    <w:rsid w:val="4E8A2033"/>
    <w:rsid w:val="4EDF3153"/>
    <w:rsid w:val="4EE60BFB"/>
    <w:rsid w:val="4EF85C31"/>
    <w:rsid w:val="4F0F2539"/>
    <w:rsid w:val="4F165675"/>
    <w:rsid w:val="4F200CFA"/>
    <w:rsid w:val="4F2222AD"/>
    <w:rsid w:val="4F2A2ECF"/>
    <w:rsid w:val="4F2F0144"/>
    <w:rsid w:val="4F382CBA"/>
    <w:rsid w:val="4F427FF9"/>
    <w:rsid w:val="4F560168"/>
    <w:rsid w:val="4F5663B9"/>
    <w:rsid w:val="4F606DC8"/>
    <w:rsid w:val="4F8265F7"/>
    <w:rsid w:val="4FB35619"/>
    <w:rsid w:val="50182CF3"/>
    <w:rsid w:val="50730285"/>
    <w:rsid w:val="507650A9"/>
    <w:rsid w:val="50812FC2"/>
    <w:rsid w:val="50967F77"/>
    <w:rsid w:val="50CF01D2"/>
    <w:rsid w:val="50CF3129"/>
    <w:rsid w:val="50E35CE3"/>
    <w:rsid w:val="50E847C4"/>
    <w:rsid w:val="50F2565B"/>
    <w:rsid w:val="51750D79"/>
    <w:rsid w:val="517B4E23"/>
    <w:rsid w:val="518A32F2"/>
    <w:rsid w:val="51AE6039"/>
    <w:rsid w:val="51B71F6F"/>
    <w:rsid w:val="51D6733E"/>
    <w:rsid w:val="5205367A"/>
    <w:rsid w:val="52351487"/>
    <w:rsid w:val="52397FF8"/>
    <w:rsid w:val="524842D8"/>
    <w:rsid w:val="524E29D5"/>
    <w:rsid w:val="526D3037"/>
    <w:rsid w:val="529214B7"/>
    <w:rsid w:val="52A80EC4"/>
    <w:rsid w:val="52C73868"/>
    <w:rsid w:val="52D5448F"/>
    <w:rsid w:val="52D93AE7"/>
    <w:rsid w:val="5311062D"/>
    <w:rsid w:val="53250D50"/>
    <w:rsid w:val="5327128E"/>
    <w:rsid w:val="534529CD"/>
    <w:rsid w:val="534C7D3B"/>
    <w:rsid w:val="537F6AC2"/>
    <w:rsid w:val="539D3D35"/>
    <w:rsid w:val="53A9627A"/>
    <w:rsid w:val="53B65F21"/>
    <w:rsid w:val="53C23AF9"/>
    <w:rsid w:val="53E86514"/>
    <w:rsid w:val="53F359BC"/>
    <w:rsid w:val="53F41109"/>
    <w:rsid w:val="540B7BF5"/>
    <w:rsid w:val="5411465D"/>
    <w:rsid w:val="5431683A"/>
    <w:rsid w:val="543211F5"/>
    <w:rsid w:val="5453547D"/>
    <w:rsid w:val="549F6D91"/>
    <w:rsid w:val="54A86D6F"/>
    <w:rsid w:val="54AB6860"/>
    <w:rsid w:val="54B77022"/>
    <w:rsid w:val="54BC0A6D"/>
    <w:rsid w:val="54C210FA"/>
    <w:rsid w:val="54FB77E7"/>
    <w:rsid w:val="55034507"/>
    <w:rsid w:val="55052414"/>
    <w:rsid w:val="556752C9"/>
    <w:rsid w:val="55C80D3A"/>
    <w:rsid w:val="55D27B8B"/>
    <w:rsid w:val="55FD45F5"/>
    <w:rsid w:val="561548D9"/>
    <w:rsid w:val="561B3C04"/>
    <w:rsid w:val="562B73E4"/>
    <w:rsid w:val="56440E09"/>
    <w:rsid w:val="56554CD5"/>
    <w:rsid w:val="565E62A2"/>
    <w:rsid w:val="566D69A1"/>
    <w:rsid w:val="56724041"/>
    <w:rsid w:val="56867584"/>
    <w:rsid w:val="56AD68BF"/>
    <w:rsid w:val="56CD51B3"/>
    <w:rsid w:val="56FF15A8"/>
    <w:rsid w:val="57080F55"/>
    <w:rsid w:val="5714693E"/>
    <w:rsid w:val="57215724"/>
    <w:rsid w:val="572F3778"/>
    <w:rsid w:val="57376E50"/>
    <w:rsid w:val="577D1266"/>
    <w:rsid w:val="577E34BE"/>
    <w:rsid w:val="57864589"/>
    <w:rsid w:val="578719A8"/>
    <w:rsid w:val="579C4B3D"/>
    <w:rsid w:val="57AD0F63"/>
    <w:rsid w:val="57B63E99"/>
    <w:rsid w:val="57CC546B"/>
    <w:rsid w:val="580E5545"/>
    <w:rsid w:val="581B1F4E"/>
    <w:rsid w:val="58252B4A"/>
    <w:rsid w:val="58366D88"/>
    <w:rsid w:val="584B45E2"/>
    <w:rsid w:val="58A97AA0"/>
    <w:rsid w:val="58AE4181"/>
    <w:rsid w:val="58B2099D"/>
    <w:rsid w:val="58C23956"/>
    <w:rsid w:val="58FA6008"/>
    <w:rsid w:val="58FE21EC"/>
    <w:rsid w:val="593D4460"/>
    <w:rsid w:val="59494470"/>
    <w:rsid w:val="59560A6B"/>
    <w:rsid w:val="599B0D47"/>
    <w:rsid w:val="59C604DE"/>
    <w:rsid w:val="59FB5B93"/>
    <w:rsid w:val="5A2A0227"/>
    <w:rsid w:val="5A2F63C6"/>
    <w:rsid w:val="5A710DCE"/>
    <w:rsid w:val="5A762CCA"/>
    <w:rsid w:val="5A8608D2"/>
    <w:rsid w:val="5A9654FD"/>
    <w:rsid w:val="5AAF32DA"/>
    <w:rsid w:val="5ABB5323"/>
    <w:rsid w:val="5ABC284A"/>
    <w:rsid w:val="5B866767"/>
    <w:rsid w:val="5B8E605E"/>
    <w:rsid w:val="5BDC0A81"/>
    <w:rsid w:val="5BF12BFF"/>
    <w:rsid w:val="5C4202DC"/>
    <w:rsid w:val="5C4359D4"/>
    <w:rsid w:val="5C864984"/>
    <w:rsid w:val="5C8B76A2"/>
    <w:rsid w:val="5CC74453"/>
    <w:rsid w:val="5CC86473"/>
    <w:rsid w:val="5CD526CC"/>
    <w:rsid w:val="5CF35248"/>
    <w:rsid w:val="5D331AE8"/>
    <w:rsid w:val="5D336E01"/>
    <w:rsid w:val="5D3B14D0"/>
    <w:rsid w:val="5D4D0ABB"/>
    <w:rsid w:val="5D650ECF"/>
    <w:rsid w:val="5D7B19F7"/>
    <w:rsid w:val="5D837164"/>
    <w:rsid w:val="5E007C1C"/>
    <w:rsid w:val="5E0105E4"/>
    <w:rsid w:val="5E047AE9"/>
    <w:rsid w:val="5E185CD7"/>
    <w:rsid w:val="5E272791"/>
    <w:rsid w:val="5E2B1CB9"/>
    <w:rsid w:val="5E407BED"/>
    <w:rsid w:val="5E4B17AE"/>
    <w:rsid w:val="5E4F2B5D"/>
    <w:rsid w:val="5E541D16"/>
    <w:rsid w:val="5E663254"/>
    <w:rsid w:val="5E797815"/>
    <w:rsid w:val="5EBD0B28"/>
    <w:rsid w:val="5ED43BEF"/>
    <w:rsid w:val="5ED54D16"/>
    <w:rsid w:val="5F051DCA"/>
    <w:rsid w:val="5F076D88"/>
    <w:rsid w:val="5F0E7E34"/>
    <w:rsid w:val="5F180F96"/>
    <w:rsid w:val="5F204709"/>
    <w:rsid w:val="5F2E7EEE"/>
    <w:rsid w:val="5F341B74"/>
    <w:rsid w:val="5F3969AE"/>
    <w:rsid w:val="5F5521EA"/>
    <w:rsid w:val="5F7D5314"/>
    <w:rsid w:val="5FA42829"/>
    <w:rsid w:val="5FB213EA"/>
    <w:rsid w:val="5FCD7FD2"/>
    <w:rsid w:val="5FDE3FC6"/>
    <w:rsid w:val="60011C45"/>
    <w:rsid w:val="60022122"/>
    <w:rsid w:val="60457B68"/>
    <w:rsid w:val="605B3704"/>
    <w:rsid w:val="60753E1A"/>
    <w:rsid w:val="608B0F10"/>
    <w:rsid w:val="609277AE"/>
    <w:rsid w:val="60940AF0"/>
    <w:rsid w:val="60AD4011"/>
    <w:rsid w:val="60B1344C"/>
    <w:rsid w:val="60B40439"/>
    <w:rsid w:val="60C45117"/>
    <w:rsid w:val="60E530F9"/>
    <w:rsid w:val="60E604C2"/>
    <w:rsid w:val="60F375C4"/>
    <w:rsid w:val="610D059B"/>
    <w:rsid w:val="61274D37"/>
    <w:rsid w:val="61377200"/>
    <w:rsid w:val="6153099E"/>
    <w:rsid w:val="6175447D"/>
    <w:rsid w:val="61860438"/>
    <w:rsid w:val="618678EE"/>
    <w:rsid w:val="61BD0199"/>
    <w:rsid w:val="61D4389A"/>
    <w:rsid w:val="61ED6709"/>
    <w:rsid w:val="620F091C"/>
    <w:rsid w:val="62210161"/>
    <w:rsid w:val="623D49EA"/>
    <w:rsid w:val="624D3F53"/>
    <w:rsid w:val="6287563B"/>
    <w:rsid w:val="628F5A13"/>
    <w:rsid w:val="62BB05B6"/>
    <w:rsid w:val="62C6245B"/>
    <w:rsid w:val="62C95A86"/>
    <w:rsid w:val="62DB375F"/>
    <w:rsid w:val="62E25B42"/>
    <w:rsid w:val="62E45AC6"/>
    <w:rsid w:val="62F16356"/>
    <w:rsid w:val="631C6D2A"/>
    <w:rsid w:val="632D3743"/>
    <w:rsid w:val="632E12BD"/>
    <w:rsid w:val="63316ACA"/>
    <w:rsid w:val="635B17DB"/>
    <w:rsid w:val="636C7B02"/>
    <w:rsid w:val="636D3C84"/>
    <w:rsid w:val="63722A03"/>
    <w:rsid w:val="63762C5D"/>
    <w:rsid w:val="638C3D00"/>
    <w:rsid w:val="639B4AFA"/>
    <w:rsid w:val="63CE77B7"/>
    <w:rsid w:val="63D11082"/>
    <w:rsid w:val="63E61662"/>
    <w:rsid w:val="63FE263A"/>
    <w:rsid w:val="64047D3A"/>
    <w:rsid w:val="64080555"/>
    <w:rsid w:val="64236413"/>
    <w:rsid w:val="643B30C5"/>
    <w:rsid w:val="643E324C"/>
    <w:rsid w:val="64514D63"/>
    <w:rsid w:val="645B552C"/>
    <w:rsid w:val="648A14D6"/>
    <w:rsid w:val="64A07A63"/>
    <w:rsid w:val="64A81B7C"/>
    <w:rsid w:val="64BD0615"/>
    <w:rsid w:val="64D20964"/>
    <w:rsid w:val="64F904BF"/>
    <w:rsid w:val="6500799D"/>
    <w:rsid w:val="65026E35"/>
    <w:rsid w:val="650736DE"/>
    <w:rsid w:val="651133A9"/>
    <w:rsid w:val="65180AF8"/>
    <w:rsid w:val="652C3A04"/>
    <w:rsid w:val="65476131"/>
    <w:rsid w:val="656366AF"/>
    <w:rsid w:val="65636E35"/>
    <w:rsid w:val="65654809"/>
    <w:rsid w:val="656D05F3"/>
    <w:rsid w:val="657C6BE0"/>
    <w:rsid w:val="65D803F4"/>
    <w:rsid w:val="65E074CC"/>
    <w:rsid w:val="65FA13F5"/>
    <w:rsid w:val="66154481"/>
    <w:rsid w:val="662326FA"/>
    <w:rsid w:val="66365D8C"/>
    <w:rsid w:val="66531171"/>
    <w:rsid w:val="6672676D"/>
    <w:rsid w:val="669F69A0"/>
    <w:rsid w:val="66AB26EF"/>
    <w:rsid w:val="66BA58BD"/>
    <w:rsid w:val="66C93DB8"/>
    <w:rsid w:val="66F81DD8"/>
    <w:rsid w:val="66F90A49"/>
    <w:rsid w:val="67443DA0"/>
    <w:rsid w:val="674673A4"/>
    <w:rsid w:val="675C14D2"/>
    <w:rsid w:val="676B1CEC"/>
    <w:rsid w:val="676C1E7F"/>
    <w:rsid w:val="676E6AD4"/>
    <w:rsid w:val="67921654"/>
    <w:rsid w:val="67D57A24"/>
    <w:rsid w:val="67E07176"/>
    <w:rsid w:val="68045607"/>
    <w:rsid w:val="68142797"/>
    <w:rsid w:val="68210EBB"/>
    <w:rsid w:val="685B7A72"/>
    <w:rsid w:val="68936CB9"/>
    <w:rsid w:val="68A4734D"/>
    <w:rsid w:val="68B10DA4"/>
    <w:rsid w:val="68C22BD8"/>
    <w:rsid w:val="69194288"/>
    <w:rsid w:val="69220B2A"/>
    <w:rsid w:val="69856A6D"/>
    <w:rsid w:val="69A86A0E"/>
    <w:rsid w:val="69AA4EE0"/>
    <w:rsid w:val="69DA455C"/>
    <w:rsid w:val="69E20B1E"/>
    <w:rsid w:val="69E55F18"/>
    <w:rsid w:val="6A0158E7"/>
    <w:rsid w:val="6A1B23DD"/>
    <w:rsid w:val="6A1F58CE"/>
    <w:rsid w:val="6A7E1370"/>
    <w:rsid w:val="6A843983"/>
    <w:rsid w:val="6A8D6CDC"/>
    <w:rsid w:val="6A8F3E19"/>
    <w:rsid w:val="6AAC0203"/>
    <w:rsid w:val="6ADE12E5"/>
    <w:rsid w:val="6B2F248F"/>
    <w:rsid w:val="6B6F4633"/>
    <w:rsid w:val="6B746FC5"/>
    <w:rsid w:val="6B93068D"/>
    <w:rsid w:val="6B9C0E3C"/>
    <w:rsid w:val="6B9D2877"/>
    <w:rsid w:val="6BC97EFC"/>
    <w:rsid w:val="6BCB3149"/>
    <w:rsid w:val="6BD14C49"/>
    <w:rsid w:val="6BDE5A0E"/>
    <w:rsid w:val="6BF568E6"/>
    <w:rsid w:val="6BFD579B"/>
    <w:rsid w:val="6BFF8045"/>
    <w:rsid w:val="6C3B62C3"/>
    <w:rsid w:val="6C3F3A93"/>
    <w:rsid w:val="6C492C72"/>
    <w:rsid w:val="6C991968"/>
    <w:rsid w:val="6CB247D7"/>
    <w:rsid w:val="6CB4780B"/>
    <w:rsid w:val="6CB95B66"/>
    <w:rsid w:val="6CE82A10"/>
    <w:rsid w:val="6CED1CB3"/>
    <w:rsid w:val="6CEE4DA1"/>
    <w:rsid w:val="6CF3038D"/>
    <w:rsid w:val="6D00042B"/>
    <w:rsid w:val="6D3A25B2"/>
    <w:rsid w:val="6D45389E"/>
    <w:rsid w:val="6D480ACA"/>
    <w:rsid w:val="6D725D15"/>
    <w:rsid w:val="6D793547"/>
    <w:rsid w:val="6DB66CA7"/>
    <w:rsid w:val="6DCD73EF"/>
    <w:rsid w:val="6DD358C1"/>
    <w:rsid w:val="6DD93FE6"/>
    <w:rsid w:val="6DE36C13"/>
    <w:rsid w:val="6DEE5D22"/>
    <w:rsid w:val="6E11552E"/>
    <w:rsid w:val="6E184FE1"/>
    <w:rsid w:val="6E1D2124"/>
    <w:rsid w:val="6E2240E5"/>
    <w:rsid w:val="6E2C05BA"/>
    <w:rsid w:val="6E4B0A4A"/>
    <w:rsid w:val="6E6164B5"/>
    <w:rsid w:val="6E62222D"/>
    <w:rsid w:val="6E740367"/>
    <w:rsid w:val="6E792CCA"/>
    <w:rsid w:val="6E8B4B4F"/>
    <w:rsid w:val="6E9F1846"/>
    <w:rsid w:val="6EB14DA4"/>
    <w:rsid w:val="6EC52C73"/>
    <w:rsid w:val="6ECE5F81"/>
    <w:rsid w:val="6EF46D1F"/>
    <w:rsid w:val="6F0A08BE"/>
    <w:rsid w:val="6F2747C5"/>
    <w:rsid w:val="6F345978"/>
    <w:rsid w:val="6F471088"/>
    <w:rsid w:val="6F4A6F49"/>
    <w:rsid w:val="6F4E20FF"/>
    <w:rsid w:val="6F51652A"/>
    <w:rsid w:val="6F9B3AFB"/>
    <w:rsid w:val="6FB277EB"/>
    <w:rsid w:val="6FB840A7"/>
    <w:rsid w:val="6FB96EDF"/>
    <w:rsid w:val="6FB97C2B"/>
    <w:rsid w:val="6FE8583A"/>
    <w:rsid w:val="700215D2"/>
    <w:rsid w:val="701F2D9D"/>
    <w:rsid w:val="702E686B"/>
    <w:rsid w:val="70324FC5"/>
    <w:rsid w:val="70651502"/>
    <w:rsid w:val="707C5764"/>
    <w:rsid w:val="707D50FC"/>
    <w:rsid w:val="708C3591"/>
    <w:rsid w:val="70BE4B17"/>
    <w:rsid w:val="70C44C10"/>
    <w:rsid w:val="70CB6663"/>
    <w:rsid w:val="70CD07AD"/>
    <w:rsid w:val="70E83694"/>
    <w:rsid w:val="711710AD"/>
    <w:rsid w:val="71341C5F"/>
    <w:rsid w:val="71367DFF"/>
    <w:rsid w:val="7166042F"/>
    <w:rsid w:val="71930143"/>
    <w:rsid w:val="71945B8B"/>
    <w:rsid w:val="71A14E1B"/>
    <w:rsid w:val="71A96A43"/>
    <w:rsid w:val="71E11F7E"/>
    <w:rsid w:val="71F3680E"/>
    <w:rsid w:val="71FB09CF"/>
    <w:rsid w:val="723D2D95"/>
    <w:rsid w:val="726065DD"/>
    <w:rsid w:val="727122A5"/>
    <w:rsid w:val="72B6510C"/>
    <w:rsid w:val="72BF19FC"/>
    <w:rsid w:val="72C07522"/>
    <w:rsid w:val="72C25048"/>
    <w:rsid w:val="72C95059"/>
    <w:rsid w:val="72CE5508"/>
    <w:rsid w:val="72F974B7"/>
    <w:rsid w:val="730B7BD0"/>
    <w:rsid w:val="731A1328"/>
    <w:rsid w:val="732E0930"/>
    <w:rsid w:val="73323ED5"/>
    <w:rsid w:val="7340167A"/>
    <w:rsid w:val="734E594C"/>
    <w:rsid w:val="735A3288"/>
    <w:rsid w:val="735C34D5"/>
    <w:rsid w:val="737629FD"/>
    <w:rsid w:val="73A77D9D"/>
    <w:rsid w:val="73BA5622"/>
    <w:rsid w:val="73DA6DC4"/>
    <w:rsid w:val="741775AC"/>
    <w:rsid w:val="742064CB"/>
    <w:rsid w:val="742835D1"/>
    <w:rsid w:val="743261FE"/>
    <w:rsid w:val="747D1B6F"/>
    <w:rsid w:val="748C7C25"/>
    <w:rsid w:val="74E220C3"/>
    <w:rsid w:val="74E93707"/>
    <w:rsid w:val="74FC5350"/>
    <w:rsid w:val="75181175"/>
    <w:rsid w:val="752541D9"/>
    <w:rsid w:val="754652C1"/>
    <w:rsid w:val="754D6952"/>
    <w:rsid w:val="755A481F"/>
    <w:rsid w:val="759251A6"/>
    <w:rsid w:val="75A90DFC"/>
    <w:rsid w:val="75B05B2B"/>
    <w:rsid w:val="75B734B4"/>
    <w:rsid w:val="75C702F8"/>
    <w:rsid w:val="75CF1B48"/>
    <w:rsid w:val="75D237F5"/>
    <w:rsid w:val="75D4689D"/>
    <w:rsid w:val="75DA6B4D"/>
    <w:rsid w:val="75DE7698"/>
    <w:rsid w:val="75EA0038"/>
    <w:rsid w:val="75EB60DE"/>
    <w:rsid w:val="75EF25F8"/>
    <w:rsid w:val="761756AB"/>
    <w:rsid w:val="761E4C8C"/>
    <w:rsid w:val="76322C84"/>
    <w:rsid w:val="76671F06"/>
    <w:rsid w:val="76830C04"/>
    <w:rsid w:val="76834381"/>
    <w:rsid w:val="76962A74"/>
    <w:rsid w:val="76A74C81"/>
    <w:rsid w:val="76B37ACA"/>
    <w:rsid w:val="76BD49F2"/>
    <w:rsid w:val="76E56F0E"/>
    <w:rsid w:val="76E83A54"/>
    <w:rsid w:val="77135D6A"/>
    <w:rsid w:val="77322613"/>
    <w:rsid w:val="7747223C"/>
    <w:rsid w:val="77517D6E"/>
    <w:rsid w:val="775D5575"/>
    <w:rsid w:val="77D762CA"/>
    <w:rsid w:val="7829056A"/>
    <w:rsid w:val="782C7B34"/>
    <w:rsid w:val="784D4E26"/>
    <w:rsid w:val="78580BBB"/>
    <w:rsid w:val="7866291A"/>
    <w:rsid w:val="786D1EFA"/>
    <w:rsid w:val="787648A7"/>
    <w:rsid w:val="787A0A3E"/>
    <w:rsid w:val="78857244"/>
    <w:rsid w:val="78B21BAD"/>
    <w:rsid w:val="78CB4E68"/>
    <w:rsid w:val="78E73A5B"/>
    <w:rsid w:val="793738F5"/>
    <w:rsid w:val="795F1843"/>
    <w:rsid w:val="79B769D6"/>
    <w:rsid w:val="79D815F5"/>
    <w:rsid w:val="79E12DEC"/>
    <w:rsid w:val="79F95AEC"/>
    <w:rsid w:val="7A287E87"/>
    <w:rsid w:val="7A3C04D5"/>
    <w:rsid w:val="7A4B0019"/>
    <w:rsid w:val="7A5F5A01"/>
    <w:rsid w:val="7A8E22D9"/>
    <w:rsid w:val="7A993241"/>
    <w:rsid w:val="7A9C2623"/>
    <w:rsid w:val="7ABC0D13"/>
    <w:rsid w:val="7AD51D81"/>
    <w:rsid w:val="7AE22405"/>
    <w:rsid w:val="7AF0365B"/>
    <w:rsid w:val="7B0501C8"/>
    <w:rsid w:val="7B074BD9"/>
    <w:rsid w:val="7B0A1C83"/>
    <w:rsid w:val="7B320EE1"/>
    <w:rsid w:val="7B3C50AC"/>
    <w:rsid w:val="7B7B4C16"/>
    <w:rsid w:val="7B9F16C3"/>
    <w:rsid w:val="7BA03060"/>
    <w:rsid w:val="7BA93249"/>
    <w:rsid w:val="7BD14C58"/>
    <w:rsid w:val="7BDF4EBD"/>
    <w:rsid w:val="7C0861C2"/>
    <w:rsid w:val="7C0B5666"/>
    <w:rsid w:val="7C120D88"/>
    <w:rsid w:val="7C1A6A54"/>
    <w:rsid w:val="7C2A29F8"/>
    <w:rsid w:val="7C4F15EA"/>
    <w:rsid w:val="7C55517F"/>
    <w:rsid w:val="7C916C49"/>
    <w:rsid w:val="7C9925AF"/>
    <w:rsid w:val="7CB4175F"/>
    <w:rsid w:val="7CC92608"/>
    <w:rsid w:val="7CD71937"/>
    <w:rsid w:val="7CD9068C"/>
    <w:rsid w:val="7CF356C1"/>
    <w:rsid w:val="7CF51D44"/>
    <w:rsid w:val="7CFA4560"/>
    <w:rsid w:val="7D156746"/>
    <w:rsid w:val="7D3D4087"/>
    <w:rsid w:val="7D450D50"/>
    <w:rsid w:val="7D4A45B8"/>
    <w:rsid w:val="7D865647"/>
    <w:rsid w:val="7D93486B"/>
    <w:rsid w:val="7DB55ED6"/>
    <w:rsid w:val="7DCC1471"/>
    <w:rsid w:val="7DDF2F52"/>
    <w:rsid w:val="7DDF3108"/>
    <w:rsid w:val="7DE96869"/>
    <w:rsid w:val="7DF0795C"/>
    <w:rsid w:val="7DFC631E"/>
    <w:rsid w:val="7E0429B9"/>
    <w:rsid w:val="7E1846B6"/>
    <w:rsid w:val="7E1E2589"/>
    <w:rsid w:val="7E2369FE"/>
    <w:rsid w:val="7E251C56"/>
    <w:rsid w:val="7E374F5D"/>
    <w:rsid w:val="7E564737"/>
    <w:rsid w:val="7E5A7BDE"/>
    <w:rsid w:val="7E6C052E"/>
    <w:rsid w:val="7E6D4A02"/>
    <w:rsid w:val="7E820E9B"/>
    <w:rsid w:val="7EC00FD6"/>
    <w:rsid w:val="7EC743BC"/>
    <w:rsid w:val="7ECA1657"/>
    <w:rsid w:val="7F0B1630"/>
    <w:rsid w:val="7F182BC0"/>
    <w:rsid w:val="7F1B26CA"/>
    <w:rsid w:val="7F1B2F50"/>
    <w:rsid w:val="7F2C0419"/>
    <w:rsid w:val="7F317BE1"/>
    <w:rsid w:val="7F323556"/>
    <w:rsid w:val="7F393393"/>
    <w:rsid w:val="7F4E6AEC"/>
    <w:rsid w:val="7F6E4BBD"/>
    <w:rsid w:val="7F741DC0"/>
    <w:rsid w:val="7F7D2A23"/>
    <w:rsid w:val="7F7D336A"/>
    <w:rsid w:val="7F906B71"/>
    <w:rsid w:val="7FB14DC3"/>
    <w:rsid w:val="7FB7936B"/>
    <w:rsid w:val="7FBB576C"/>
    <w:rsid w:val="7FC9483E"/>
    <w:rsid w:val="7FDD2E1F"/>
    <w:rsid w:val="7FE540B3"/>
    <w:rsid w:val="7FF60DA5"/>
    <w:rsid w:val="7FF8654D"/>
    <w:rsid w:val="7FFD0B4E"/>
    <w:rsid w:val="7FFDEC37"/>
    <w:rsid w:val="9DFD9FF5"/>
    <w:rsid w:val="B5E9D4BC"/>
    <w:rsid w:val="BA5F8731"/>
    <w:rsid w:val="E3DE13FA"/>
    <w:rsid w:val="EBA11F5A"/>
    <w:rsid w:val="EBFB413B"/>
    <w:rsid w:val="EFFBF764"/>
    <w:rsid w:val="F7A3A373"/>
    <w:rsid w:val="F7DF43AB"/>
    <w:rsid w:val="FDBF6908"/>
    <w:rsid w:val="FE7D7277"/>
    <w:rsid w:val="FFAE8A26"/>
    <w:rsid w:val="FFBFDA77"/>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qFormat="1" w:unhideWhenUsed="0" w:uiPriority="0" w:semiHidden="0" w:name="index 1"/>
    <w:lsdException w:uiPriority="0" w:name="index 2"/>
    <w:lsdException w:uiPriority="0" w:name="index 3"/>
    <w:lsdException w:qFormat="1" w:uiPriority="99" w:semiHidden="0" w:name="index 4"/>
    <w:lsdException w:uiPriority="0" w:name="index 5"/>
    <w:lsdException w:uiPriority="0" w:name="index 6"/>
    <w:lsdException w:uiPriority="0" w:name="index 7"/>
    <w:lsdException w:uiPriority="0" w:name="index 8"/>
    <w:lsdException w:uiPriority="0" w:name="index 9"/>
    <w:lsdException w:qFormat="1" w:unhideWhenUsed="0" w:uiPriority="39" w:semiHidden="0" w:name="toc 1"/>
    <w:lsdException w:qFormat="1" w:unhideWhenUsed="0" w:uiPriority="39" w:semiHidden="0" w:name="toc 2"/>
    <w:lsdException w:uiPriority="0" w:name="toc 3"/>
    <w:lsdException w:uiPriority="0" w:name="toc 4"/>
    <w:lsdException w:uiPriority="0" w:name="toc 5"/>
    <w:lsdException w:qFormat="1" w:unhideWhenUsed="0" w:uiPriority="0" w:semiHidden="0" w:name="toc 6"/>
    <w:lsdException w:uiPriority="0" w:name="toc 7"/>
    <w:lsdException w:uiPriority="0" w:name="toc 8"/>
    <w:lsdException w:uiPriority="0" w:name="toc 9"/>
    <w:lsdException w:qFormat="1" w:unhideWhenUsed="0" w:uiPriority="0" w:semiHidden="0" w:name="Normal Indent"/>
    <w:lsdException w:uiPriority="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qFormat="1" w:unhideWhenUsed="0" w:uiPriority="0" w:semiHidden="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qFormat="1" w:unhideWhenUsed="0" w:uiPriority="0" w:semiHidden="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0" w:semiHidden="0" w:name="Body Text"/>
    <w:lsdException w:qFormat="1" w:uiPriority="99"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99" w:semiHidden="0" w:name="Body Text First Indent 2"/>
    <w:lsdException w:uiPriority="0" w:name="Note Heading"/>
    <w:lsdException w:qFormat="1" w:uiPriority="99" w:name="Body Text 2"/>
    <w:lsdException w:uiPriority="0" w:name="Body Text 3"/>
    <w:lsdException w:qFormat="1" w:unhideWhenUsed="0" w:uiPriority="0" w:semiHidden="0" w:name="Body Text Indent 2"/>
    <w:lsdException w:qFormat="1" w:unhideWhenUsed="0" w:uiPriority="0" w:semiHidden="0" w:name="Body Text Indent 3"/>
    <w:lsdException w:uiPriority="0" w:name="Block Text"/>
    <w:lsdException w:qFormat="1" w:unhideWhenUsed="0" w:uiPriority="99" w:semiHidden="0" w:name="Hyperlink"/>
    <w:lsdException w:uiPriority="99" w:name="FollowedHyperlink"/>
    <w:lsdException w:qFormat="1" w:unhideWhenUsed="0" w:uiPriority="0" w:semiHidden="0" w:name="Strong"/>
    <w:lsdException w:qFormat="1" w:unhideWhenUsed="0" w:uiPriority="0" w:semiHidden="0" w:name="Emphasis"/>
    <w:lsdException w:uiPriority="0" w:name="Document Map"/>
    <w:lsdException w:qFormat="1" w:unhideWhenUsed="0" w:uiPriority="0" w:semiHidden="0" w:name="Plain Text"/>
    <w:lsdException w:uiPriority="0" w:name="E-mail Signature"/>
    <w:lsdException w:qFormat="1"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1"/>
    <w:basedOn w:val="1"/>
    <w:next w:val="1"/>
    <w:autoRedefine/>
    <w:qFormat/>
    <w:uiPriority w:val="0"/>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5">
    <w:name w:val="heading 2"/>
    <w:basedOn w:val="1"/>
    <w:next w:val="1"/>
    <w:link w:val="37"/>
    <w:qFormat/>
    <w:uiPriority w:val="0"/>
    <w:pPr>
      <w:keepNext/>
      <w:keepLines/>
      <w:autoSpaceDE w:val="0"/>
      <w:autoSpaceDN w:val="0"/>
      <w:adjustRightInd w:val="0"/>
      <w:spacing w:before="120" w:line="300" w:lineRule="auto"/>
      <w:jc w:val="center"/>
      <w:outlineLvl w:val="1"/>
    </w:pPr>
    <w:rPr>
      <w:rFonts w:ascii="Arial" w:hAnsi="Arial" w:eastAsia="黑体"/>
      <w:b/>
      <w:kern w:val="0"/>
      <w:sz w:val="30"/>
      <w:szCs w:val="20"/>
    </w:rPr>
  </w:style>
  <w:style w:type="paragraph" w:styleId="6">
    <w:name w:val="heading 3"/>
    <w:basedOn w:val="1"/>
    <w:next w:val="7"/>
    <w:link w:val="38"/>
    <w:autoRedefine/>
    <w:qFormat/>
    <w:uiPriority w:val="0"/>
    <w:pPr>
      <w:keepNext/>
      <w:keepLines/>
      <w:autoSpaceDE w:val="0"/>
      <w:autoSpaceDN w:val="0"/>
      <w:adjustRightInd w:val="0"/>
      <w:spacing w:before="360" w:after="120"/>
      <w:jc w:val="left"/>
      <w:outlineLvl w:val="2"/>
    </w:pPr>
    <w:rPr>
      <w:rFonts w:ascii="宋体"/>
      <w:b/>
      <w:kern w:val="0"/>
      <w:sz w:val="24"/>
      <w:szCs w:val="20"/>
      <w:u w:val="single"/>
    </w:rPr>
  </w:style>
  <w:style w:type="paragraph" w:styleId="8">
    <w:name w:val="heading 4"/>
    <w:basedOn w:val="1"/>
    <w:next w:val="1"/>
    <w:autoRedefine/>
    <w:qFormat/>
    <w:uiPriority w:val="0"/>
    <w:pPr>
      <w:keepNext/>
      <w:keepLines/>
      <w:adjustRightInd w:val="0"/>
      <w:spacing w:before="280" w:after="290" w:line="376" w:lineRule="atLeast"/>
      <w:textAlignment w:val="baseline"/>
      <w:outlineLvl w:val="3"/>
    </w:pPr>
    <w:rPr>
      <w:kern w:val="0"/>
      <w:sz w:val="24"/>
      <w:szCs w:val="20"/>
    </w:rPr>
  </w:style>
  <w:style w:type="character" w:default="1" w:styleId="29">
    <w:name w:val="Default Paragraph Font"/>
    <w:semiHidden/>
    <w:unhideWhenUsed/>
    <w:qFormat/>
    <w:uiPriority w:val="1"/>
  </w:style>
  <w:style w:type="table" w:default="1" w:styleId="27">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next w:val="1"/>
    <w:link w:val="36"/>
    <w:qFormat/>
    <w:uiPriority w:val="99"/>
    <w:pPr>
      <w:spacing w:line="480" w:lineRule="exact"/>
      <w:ind w:firstLine="420" w:firstLineChars="200"/>
    </w:pPr>
    <w:rPr>
      <w:szCs w:val="20"/>
    </w:rPr>
  </w:style>
  <w:style w:type="paragraph" w:styleId="3">
    <w:name w:val="Body Text Indent"/>
    <w:basedOn w:val="1"/>
    <w:link w:val="35"/>
    <w:unhideWhenUsed/>
    <w:qFormat/>
    <w:uiPriority w:val="99"/>
    <w:pPr>
      <w:spacing w:after="120"/>
      <w:ind w:left="420" w:leftChars="200"/>
    </w:pPr>
  </w:style>
  <w:style w:type="paragraph" w:styleId="7">
    <w:name w:val="Normal Indent"/>
    <w:basedOn w:val="1"/>
    <w:autoRedefine/>
    <w:qFormat/>
    <w:uiPriority w:val="0"/>
    <w:pPr>
      <w:autoSpaceDE w:val="0"/>
      <w:autoSpaceDN w:val="0"/>
      <w:adjustRightInd w:val="0"/>
      <w:ind w:firstLine="420"/>
      <w:jc w:val="left"/>
    </w:pPr>
    <w:rPr>
      <w:rFonts w:ascii="宋体"/>
      <w:sz w:val="24"/>
    </w:rPr>
  </w:style>
  <w:style w:type="paragraph" w:styleId="9">
    <w:name w:val="annotation text"/>
    <w:basedOn w:val="1"/>
    <w:link w:val="39"/>
    <w:autoRedefine/>
    <w:qFormat/>
    <w:uiPriority w:val="0"/>
    <w:pPr>
      <w:jc w:val="left"/>
    </w:pPr>
  </w:style>
  <w:style w:type="paragraph" w:styleId="10">
    <w:name w:val="Body Text"/>
    <w:basedOn w:val="1"/>
    <w:autoRedefine/>
    <w:qFormat/>
    <w:uiPriority w:val="0"/>
    <w:pPr>
      <w:tabs>
        <w:tab w:val="left" w:pos="567"/>
      </w:tabs>
      <w:spacing w:before="120" w:line="22" w:lineRule="atLeast"/>
    </w:pPr>
    <w:rPr>
      <w:rFonts w:ascii="宋体" w:hAnsi="宋体"/>
      <w:sz w:val="24"/>
    </w:rPr>
  </w:style>
  <w:style w:type="paragraph" w:styleId="11">
    <w:name w:val="List 2"/>
    <w:basedOn w:val="1"/>
    <w:autoRedefine/>
    <w:qFormat/>
    <w:uiPriority w:val="0"/>
    <w:pPr>
      <w:ind w:left="100" w:leftChars="200" w:hanging="200" w:hangingChars="200"/>
    </w:pPr>
  </w:style>
  <w:style w:type="paragraph" w:styleId="12">
    <w:name w:val="index 4"/>
    <w:basedOn w:val="1"/>
    <w:next w:val="1"/>
    <w:autoRedefine/>
    <w:unhideWhenUsed/>
    <w:qFormat/>
    <w:uiPriority w:val="99"/>
    <w:pPr>
      <w:spacing w:before="100" w:beforeAutospacing="1" w:after="100" w:afterAutospacing="1"/>
      <w:ind w:left="600" w:leftChars="600"/>
    </w:pPr>
  </w:style>
  <w:style w:type="paragraph" w:styleId="13">
    <w:name w:val="Plain Text"/>
    <w:basedOn w:val="1"/>
    <w:qFormat/>
    <w:uiPriority w:val="0"/>
    <w:rPr>
      <w:rFonts w:hint="eastAsia" w:ascii="宋体" w:hAnsi="Courier New"/>
      <w:szCs w:val="20"/>
    </w:rPr>
  </w:style>
  <w:style w:type="paragraph" w:styleId="14">
    <w:name w:val="Body Text Indent 2"/>
    <w:basedOn w:val="1"/>
    <w:autoRedefine/>
    <w:qFormat/>
    <w:uiPriority w:val="0"/>
    <w:pPr>
      <w:spacing w:line="360" w:lineRule="auto"/>
      <w:ind w:firstLine="435"/>
    </w:pPr>
    <w:rPr>
      <w:rFonts w:ascii="宋体" w:hAnsi="宋体"/>
      <w:sz w:val="30"/>
    </w:rPr>
  </w:style>
  <w:style w:type="paragraph" w:styleId="15">
    <w:name w:val="Balloon Text"/>
    <w:basedOn w:val="1"/>
    <w:link w:val="40"/>
    <w:autoRedefine/>
    <w:qFormat/>
    <w:uiPriority w:val="0"/>
    <w:rPr>
      <w:sz w:val="18"/>
      <w:szCs w:val="18"/>
    </w:rPr>
  </w:style>
  <w:style w:type="paragraph" w:styleId="16">
    <w:name w:val="footer"/>
    <w:basedOn w:val="1"/>
    <w:next w:val="1"/>
    <w:autoRedefine/>
    <w:qFormat/>
    <w:uiPriority w:val="99"/>
    <w:pPr>
      <w:tabs>
        <w:tab w:val="center" w:pos="4153"/>
        <w:tab w:val="right" w:pos="8306"/>
      </w:tabs>
      <w:autoSpaceDE w:val="0"/>
      <w:autoSpaceDN w:val="0"/>
      <w:adjustRightInd w:val="0"/>
      <w:snapToGrid w:val="0"/>
      <w:jc w:val="left"/>
    </w:pPr>
    <w:rPr>
      <w:rFonts w:ascii="宋体"/>
      <w:kern w:val="0"/>
      <w:sz w:val="18"/>
      <w:szCs w:val="20"/>
    </w:rPr>
  </w:style>
  <w:style w:type="paragraph" w:styleId="17">
    <w:name w:val="header"/>
    <w:basedOn w:val="1"/>
    <w:autoRedefine/>
    <w:qFormat/>
    <w:uiPriority w:val="99"/>
    <w:pPr>
      <w:pBdr>
        <w:bottom w:val="single" w:color="auto" w:sz="6" w:space="1"/>
      </w:pBdr>
      <w:tabs>
        <w:tab w:val="center" w:pos="4153"/>
        <w:tab w:val="right" w:pos="8306"/>
      </w:tabs>
      <w:snapToGrid w:val="0"/>
      <w:jc w:val="center"/>
    </w:pPr>
    <w:rPr>
      <w:sz w:val="18"/>
      <w:szCs w:val="18"/>
    </w:rPr>
  </w:style>
  <w:style w:type="paragraph" w:styleId="18">
    <w:name w:val="toc 1"/>
    <w:basedOn w:val="1"/>
    <w:next w:val="1"/>
    <w:qFormat/>
    <w:uiPriority w:val="39"/>
    <w:pPr>
      <w:tabs>
        <w:tab w:val="left" w:pos="1050"/>
        <w:tab w:val="right" w:leader="dot" w:pos="8937"/>
      </w:tabs>
      <w:spacing w:line="300" w:lineRule="auto"/>
    </w:pPr>
    <w:rPr>
      <w:rFonts w:ascii="宋体" w:hAnsi="宋体"/>
      <w:b/>
      <w:sz w:val="24"/>
    </w:rPr>
  </w:style>
  <w:style w:type="paragraph" w:styleId="19">
    <w:name w:val="toc 6"/>
    <w:basedOn w:val="1"/>
    <w:next w:val="1"/>
    <w:autoRedefine/>
    <w:qFormat/>
    <w:uiPriority w:val="0"/>
    <w:pPr>
      <w:ind w:left="1050"/>
      <w:jc w:val="left"/>
    </w:pPr>
    <w:rPr>
      <w:rFonts w:ascii="Century Gothic" w:hAnsi="Century Gothic"/>
      <w:sz w:val="18"/>
      <w:szCs w:val="18"/>
    </w:rPr>
  </w:style>
  <w:style w:type="paragraph" w:styleId="20">
    <w:name w:val="Body Text Indent 3"/>
    <w:basedOn w:val="1"/>
    <w:autoRedefine/>
    <w:qFormat/>
    <w:uiPriority w:val="0"/>
    <w:pPr>
      <w:autoSpaceDE w:val="0"/>
      <w:autoSpaceDN w:val="0"/>
      <w:adjustRightInd w:val="0"/>
      <w:spacing w:before="120" w:line="22" w:lineRule="atLeast"/>
      <w:ind w:left="720" w:firstLine="480"/>
      <w:jc w:val="left"/>
    </w:pPr>
    <w:rPr>
      <w:rFonts w:ascii="宋体"/>
      <w:kern w:val="0"/>
      <w:sz w:val="24"/>
      <w:szCs w:val="20"/>
    </w:rPr>
  </w:style>
  <w:style w:type="paragraph" w:styleId="21">
    <w:name w:val="toc 2"/>
    <w:basedOn w:val="1"/>
    <w:next w:val="1"/>
    <w:autoRedefine/>
    <w:qFormat/>
    <w:uiPriority w:val="39"/>
    <w:pPr>
      <w:tabs>
        <w:tab w:val="right" w:leader="dot" w:pos="8937"/>
      </w:tabs>
      <w:spacing w:line="312" w:lineRule="auto"/>
      <w:ind w:left="420" w:leftChars="200"/>
    </w:pPr>
  </w:style>
  <w:style w:type="paragraph" w:styleId="22">
    <w:name w:val="Body Text 2"/>
    <w:basedOn w:val="1"/>
    <w:autoRedefine/>
    <w:semiHidden/>
    <w:unhideWhenUsed/>
    <w:qFormat/>
    <w:uiPriority w:val="99"/>
    <w:pPr>
      <w:spacing w:after="120" w:line="480" w:lineRule="auto"/>
    </w:pPr>
  </w:style>
  <w:style w:type="paragraph" w:styleId="23">
    <w:name w:val="Normal (Web)"/>
    <w:basedOn w:val="1"/>
    <w:autoRedefine/>
    <w:unhideWhenUsed/>
    <w:qFormat/>
    <w:uiPriority w:val="99"/>
    <w:pPr>
      <w:widowControl/>
      <w:spacing w:before="100" w:beforeAutospacing="1" w:after="100" w:afterAutospacing="1"/>
      <w:jc w:val="left"/>
    </w:pPr>
    <w:rPr>
      <w:rFonts w:ascii="宋体" w:hAnsi="宋体" w:cs="宋体"/>
      <w:kern w:val="0"/>
      <w:sz w:val="24"/>
    </w:rPr>
  </w:style>
  <w:style w:type="paragraph" w:styleId="24">
    <w:name w:val="index 1"/>
    <w:basedOn w:val="1"/>
    <w:next w:val="1"/>
    <w:autoRedefine/>
    <w:qFormat/>
    <w:uiPriority w:val="0"/>
    <w:rPr>
      <w:szCs w:val="20"/>
    </w:rPr>
  </w:style>
  <w:style w:type="paragraph" w:styleId="25">
    <w:name w:val="annotation subject"/>
    <w:basedOn w:val="9"/>
    <w:next w:val="9"/>
    <w:link w:val="41"/>
    <w:autoRedefine/>
    <w:qFormat/>
    <w:uiPriority w:val="0"/>
    <w:rPr>
      <w:b/>
      <w:bCs/>
    </w:rPr>
  </w:style>
  <w:style w:type="paragraph" w:styleId="26">
    <w:name w:val="Body Text First Indent"/>
    <w:basedOn w:val="1"/>
    <w:autoRedefine/>
    <w:qFormat/>
    <w:uiPriority w:val="0"/>
    <w:pPr>
      <w:tabs>
        <w:tab w:val="left" w:pos="567"/>
      </w:tabs>
      <w:spacing w:line="360" w:lineRule="auto"/>
    </w:pPr>
    <w:rPr>
      <w:rFonts w:ascii="宋体" w:hAnsi="宋体"/>
      <w:sz w:val="24"/>
      <w:szCs w:val="28"/>
    </w:rPr>
  </w:style>
  <w:style w:type="table" w:styleId="28">
    <w:name w:val="Table Grid"/>
    <w:basedOn w:val="27"/>
    <w:autoRedefine/>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30">
    <w:name w:val="Strong"/>
    <w:basedOn w:val="29"/>
    <w:autoRedefine/>
    <w:qFormat/>
    <w:uiPriority w:val="0"/>
    <w:rPr>
      <w:b/>
      <w:bCs/>
    </w:rPr>
  </w:style>
  <w:style w:type="character" w:styleId="31">
    <w:name w:val="page number"/>
    <w:basedOn w:val="29"/>
    <w:autoRedefine/>
    <w:qFormat/>
    <w:uiPriority w:val="0"/>
  </w:style>
  <w:style w:type="character" w:styleId="32">
    <w:name w:val="Emphasis"/>
    <w:autoRedefine/>
    <w:qFormat/>
    <w:uiPriority w:val="0"/>
    <w:rPr>
      <w:color w:val="CC0033"/>
    </w:rPr>
  </w:style>
  <w:style w:type="character" w:styleId="33">
    <w:name w:val="Hyperlink"/>
    <w:autoRedefine/>
    <w:qFormat/>
    <w:uiPriority w:val="99"/>
    <w:rPr>
      <w:color w:val="0000FF"/>
      <w:u w:val="single"/>
    </w:rPr>
  </w:style>
  <w:style w:type="character" w:styleId="34">
    <w:name w:val="annotation reference"/>
    <w:basedOn w:val="29"/>
    <w:autoRedefine/>
    <w:qFormat/>
    <w:uiPriority w:val="0"/>
    <w:rPr>
      <w:sz w:val="21"/>
      <w:szCs w:val="21"/>
    </w:rPr>
  </w:style>
  <w:style w:type="character" w:customStyle="1" w:styleId="35">
    <w:name w:val="正文文本缩进 Char"/>
    <w:basedOn w:val="29"/>
    <w:link w:val="3"/>
    <w:qFormat/>
    <w:uiPriority w:val="99"/>
    <w:rPr>
      <w:kern w:val="2"/>
      <w:sz w:val="21"/>
      <w:szCs w:val="24"/>
    </w:rPr>
  </w:style>
  <w:style w:type="character" w:customStyle="1" w:styleId="36">
    <w:name w:val="正文首行缩进 2 Char"/>
    <w:basedOn w:val="35"/>
    <w:link w:val="2"/>
    <w:qFormat/>
    <w:uiPriority w:val="99"/>
    <w:rPr>
      <w:kern w:val="2"/>
      <w:sz w:val="21"/>
      <w:szCs w:val="24"/>
    </w:rPr>
  </w:style>
  <w:style w:type="character" w:customStyle="1" w:styleId="37">
    <w:name w:val="标题 2 Char"/>
    <w:basedOn w:val="29"/>
    <w:link w:val="5"/>
    <w:autoRedefine/>
    <w:qFormat/>
    <w:uiPriority w:val="0"/>
    <w:rPr>
      <w:rFonts w:ascii="Arial" w:hAnsi="Arial" w:eastAsia="黑体" w:cs="Times New Roman"/>
      <w:b/>
      <w:sz w:val="30"/>
    </w:rPr>
  </w:style>
  <w:style w:type="character" w:customStyle="1" w:styleId="38">
    <w:name w:val="标题 3 Char"/>
    <w:basedOn w:val="29"/>
    <w:link w:val="6"/>
    <w:autoRedefine/>
    <w:qFormat/>
    <w:uiPriority w:val="0"/>
    <w:rPr>
      <w:rFonts w:ascii="宋体" w:hAnsi="Times New Roman" w:eastAsia="宋体" w:cs="Times New Roman"/>
      <w:b/>
      <w:sz w:val="24"/>
      <w:u w:val="single"/>
    </w:rPr>
  </w:style>
  <w:style w:type="character" w:customStyle="1" w:styleId="39">
    <w:name w:val="批注文字 Char"/>
    <w:basedOn w:val="29"/>
    <w:link w:val="9"/>
    <w:autoRedefine/>
    <w:qFormat/>
    <w:uiPriority w:val="0"/>
    <w:rPr>
      <w:rFonts w:ascii="Times New Roman" w:hAnsi="Times New Roman" w:eastAsia="宋体" w:cs="Times New Roman"/>
      <w:kern w:val="2"/>
      <w:sz w:val="21"/>
      <w:szCs w:val="24"/>
    </w:rPr>
  </w:style>
  <w:style w:type="character" w:customStyle="1" w:styleId="40">
    <w:name w:val="批注框文本 Char"/>
    <w:basedOn w:val="29"/>
    <w:link w:val="15"/>
    <w:autoRedefine/>
    <w:qFormat/>
    <w:uiPriority w:val="0"/>
    <w:rPr>
      <w:rFonts w:ascii="Times New Roman" w:hAnsi="Times New Roman" w:eastAsia="宋体" w:cs="Times New Roman"/>
      <w:kern w:val="2"/>
      <w:sz w:val="18"/>
      <w:szCs w:val="18"/>
    </w:rPr>
  </w:style>
  <w:style w:type="character" w:customStyle="1" w:styleId="41">
    <w:name w:val="批注主题 Char"/>
    <w:basedOn w:val="39"/>
    <w:link w:val="25"/>
    <w:autoRedefine/>
    <w:qFormat/>
    <w:uiPriority w:val="0"/>
    <w:rPr>
      <w:rFonts w:ascii="Times New Roman" w:hAnsi="Times New Roman" w:eastAsia="宋体" w:cs="Times New Roman"/>
      <w:b/>
      <w:bCs/>
      <w:kern w:val="2"/>
      <w:sz w:val="21"/>
      <w:szCs w:val="24"/>
    </w:rPr>
  </w:style>
  <w:style w:type="paragraph" w:customStyle="1" w:styleId="42">
    <w:name w:val="列出段落1"/>
    <w:basedOn w:val="1"/>
    <w:autoRedefine/>
    <w:qFormat/>
    <w:uiPriority w:val="34"/>
    <w:pPr>
      <w:ind w:firstLine="420" w:firstLineChars="200"/>
    </w:pPr>
    <w:rPr>
      <w:rFonts w:ascii="Calibri" w:hAnsi="Calibri"/>
      <w:szCs w:val="22"/>
    </w:rPr>
  </w:style>
  <w:style w:type="paragraph" w:customStyle="1" w:styleId="43">
    <w:name w:val="Table Paragraph"/>
    <w:basedOn w:val="1"/>
    <w:autoRedefine/>
    <w:qFormat/>
    <w:uiPriority w:val="1"/>
    <w:pPr>
      <w:autoSpaceDE w:val="0"/>
      <w:autoSpaceDN w:val="0"/>
      <w:jc w:val="left"/>
    </w:pPr>
    <w:rPr>
      <w:rFonts w:ascii="宋体" w:hAnsi="宋体" w:cs="宋体"/>
      <w:kern w:val="0"/>
      <w:sz w:val="22"/>
      <w:szCs w:val="22"/>
      <w:lang w:eastAsia="en-US"/>
    </w:rPr>
  </w:style>
  <w:style w:type="paragraph" w:styleId="44">
    <w:name w:val="List Paragraph"/>
    <w:basedOn w:val="1"/>
    <w:autoRedefine/>
    <w:qFormat/>
    <w:uiPriority w:val="1"/>
    <w:pPr>
      <w:ind w:firstLine="420" w:firstLineChars="200"/>
    </w:pPr>
  </w:style>
  <w:style w:type="paragraph" w:customStyle="1" w:styleId="45">
    <w:name w:val="Table Text"/>
    <w:basedOn w:val="1"/>
    <w:autoRedefine/>
    <w:semiHidden/>
    <w:qFormat/>
    <w:uiPriority w:val="0"/>
    <w:rPr>
      <w:rFonts w:ascii="Arial" w:hAnsi="Arial" w:eastAsia="Arial" w:cs="Arial"/>
      <w:szCs w:val="21"/>
      <w:lang w:eastAsia="en-US"/>
    </w:rPr>
  </w:style>
  <w:style w:type="paragraph" w:customStyle="1" w:styleId="46">
    <w:name w:val="修订1"/>
    <w:autoRedefine/>
    <w:hidden/>
    <w:semiHidden/>
    <w:qFormat/>
    <w:uiPriority w:val="99"/>
    <w:rPr>
      <w:rFonts w:ascii="Times New Roman" w:hAnsi="Times New Roman" w:eastAsia="宋体" w:cs="Times New Roman"/>
      <w:kern w:val="2"/>
      <w:sz w:val="21"/>
      <w:szCs w:val="24"/>
      <w:lang w:val="en-US" w:eastAsia="zh-CN" w:bidi="ar-SA"/>
    </w:rPr>
  </w:style>
  <w:style w:type="paragraph" w:customStyle="1" w:styleId="47">
    <w:name w:val="正文3"/>
    <w:autoRedefine/>
    <w:qFormat/>
    <w:uiPriority w:val="99"/>
    <w:pPr>
      <w:jc w:val="both"/>
    </w:pPr>
    <w:rPr>
      <w:rFonts w:ascii="Calibri" w:hAnsi="Calibri" w:eastAsia="宋体" w:cs="Calibri"/>
      <w:kern w:val="2"/>
      <w:sz w:val="21"/>
      <w:szCs w:val="21"/>
      <w:lang w:val="en-US" w:eastAsia="zh-CN" w:bidi="ar-SA"/>
    </w:rPr>
  </w:style>
  <w:style w:type="table" w:customStyle="1" w:styleId="48">
    <w:name w:val="Table Normal"/>
    <w:autoRedefine/>
    <w:semiHidden/>
    <w:unhideWhenUsed/>
    <w:qFormat/>
    <w:uiPriority w:val="0"/>
    <w:tblPr>
      <w:tblCellMar>
        <w:top w:w="0" w:type="dxa"/>
        <w:left w:w="0" w:type="dxa"/>
        <w:bottom w:w="0" w:type="dxa"/>
        <w:right w:w="0" w:type="dxa"/>
      </w:tblCellMar>
    </w:tblPr>
  </w:style>
  <w:style w:type="paragraph" w:customStyle="1" w:styleId="49">
    <w:name w:val="列出段落11"/>
    <w:basedOn w:val="1"/>
    <w:autoRedefine/>
    <w:qFormat/>
    <w:uiPriority w:val="0"/>
    <w:pPr>
      <w:ind w:firstLine="420" w:firstLineChars="200"/>
    </w:pPr>
    <w:rPr>
      <w:rFonts w:ascii="Calibri" w:hAnsi="Calibri"/>
      <w:szCs w:val="22"/>
    </w:rPr>
  </w:style>
  <w:style w:type="paragraph" w:customStyle="1" w:styleId="50">
    <w:name w:val="!正文"/>
    <w:basedOn w:val="1"/>
    <w:autoRedefine/>
    <w:qFormat/>
    <w:uiPriority w:val="0"/>
    <w:pPr>
      <w:spacing w:after="120" w:line="360" w:lineRule="auto"/>
      <w:ind w:left="420" w:leftChars="200" w:firstLine="480" w:firstLineChars="200"/>
    </w:pPr>
    <w:rPr>
      <w:rFonts w:cs="宋体"/>
      <w:sz w:val="24"/>
    </w:rPr>
  </w:style>
  <w:style w:type="paragraph" w:customStyle="1" w:styleId="51">
    <w:name w:val="*正文"/>
    <w:basedOn w:val="1"/>
    <w:autoRedefine/>
    <w:qFormat/>
    <w:uiPriority w:val="0"/>
    <w:pPr>
      <w:spacing w:line="300" w:lineRule="auto"/>
      <w:ind w:firstLine="480"/>
    </w:pPr>
    <w:rPr>
      <w:rFonts w:ascii="宋体" w:hAnsi="宋体"/>
      <w:sz w:val="24"/>
    </w:rPr>
  </w:style>
  <w:style w:type="paragraph" w:customStyle="1" w:styleId="52">
    <w:name w:val="修订2"/>
    <w:autoRedefine/>
    <w:hidden/>
    <w:unhideWhenUsed/>
    <w:qFormat/>
    <w:uiPriority w:val="99"/>
    <w:rPr>
      <w:rFonts w:ascii="Times New Roman" w:hAnsi="Times New Roman" w:eastAsia="宋体" w:cs="Times New Roman"/>
      <w:kern w:val="2"/>
      <w:sz w:val="21"/>
      <w:szCs w:val="24"/>
      <w:lang w:val="en-US" w:eastAsia="zh-CN" w:bidi="ar-SA"/>
    </w:rPr>
  </w:style>
  <w:style w:type="paragraph" w:customStyle="1" w:styleId="53">
    <w:name w:val="修订3"/>
    <w:autoRedefine/>
    <w:hidden/>
    <w:unhideWhenUsed/>
    <w:qFormat/>
    <w:uiPriority w:val="99"/>
    <w:rPr>
      <w:rFonts w:ascii="Times New Roman" w:hAnsi="Times New Roman" w:eastAsia="宋体" w:cs="Times New Roman"/>
      <w:kern w:val="2"/>
      <w:sz w:val="21"/>
      <w:szCs w:val="24"/>
      <w:lang w:val="en-US" w:eastAsia="zh-CN" w:bidi="ar-SA"/>
    </w:rPr>
  </w:style>
  <w:style w:type="character" w:customStyle="1" w:styleId="54">
    <w:name w:val="font61"/>
    <w:basedOn w:val="29"/>
    <w:autoRedefine/>
    <w:qFormat/>
    <w:uiPriority w:val="0"/>
    <w:rPr>
      <w:rFonts w:hint="eastAsia" w:ascii="宋体" w:hAnsi="宋体" w:eastAsia="宋体" w:cs="宋体"/>
      <w:color w:val="000000"/>
      <w:sz w:val="22"/>
      <w:szCs w:val="22"/>
      <w:u w:val="none"/>
    </w:rPr>
  </w:style>
  <w:style w:type="character" w:customStyle="1" w:styleId="55">
    <w:name w:val="font71"/>
    <w:basedOn w:val="29"/>
    <w:autoRedefine/>
    <w:qFormat/>
    <w:uiPriority w:val="0"/>
    <w:rPr>
      <w:rFonts w:hint="default" w:ascii="Times New Roman" w:hAnsi="Times New Roman" w:cs="Times New Roman"/>
      <w:color w:val="000000"/>
      <w:sz w:val="22"/>
      <w:szCs w:val="22"/>
      <w:u w:val="none"/>
    </w:rPr>
  </w:style>
  <w:style w:type="character" w:customStyle="1" w:styleId="56">
    <w:name w:val="font31"/>
    <w:basedOn w:val="29"/>
    <w:autoRedefine/>
    <w:qFormat/>
    <w:uiPriority w:val="0"/>
    <w:rPr>
      <w:rFonts w:hint="eastAsia" w:ascii="宋体" w:hAnsi="宋体" w:eastAsia="宋体" w:cs="宋体"/>
      <w:color w:val="000000"/>
      <w:sz w:val="24"/>
      <w:szCs w:val="24"/>
      <w:u w:val="none"/>
    </w:rPr>
  </w:style>
  <w:style w:type="paragraph" w:customStyle="1" w:styleId="57">
    <w:name w:val="修订4"/>
    <w:autoRedefine/>
    <w:hidden/>
    <w:unhideWhenUsed/>
    <w:qFormat/>
    <w:uiPriority w:val="99"/>
    <w:rPr>
      <w:rFonts w:ascii="Times New Roman" w:hAnsi="Times New Roman" w:eastAsia="宋体" w:cs="Times New Roman"/>
      <w:kern w:val="2"/>
      <w:sz w:val="21"/>
      <w:szCs w:val="24"/>
      <w:lang w:val="en-US" w:eastAsia="zh-CN" w:bidi="ar-SA"/>
    </w:rPr>
  </w:style>
  <w:style w:type="paragraph" w:customStyle="1" w:styleId="58">
    <w:name w:val="修订5"/>
    <w:autoRedefine/>
    <w:hidden/>
    <w:unhideWhenUsed/>
    <w:qFormat/>
    <w:uiPriority w:val="99"/>
    <w:rPr>
      <w:rFonts w:ascii="Times New Roman" w:hAnsi="Times New Roman" w:eastAsia="宋体" w:cs="Times New Roman"/>
      <w:kern w:val="2"/>
      <w:sz w:val="21"/>
      <w:szCs w:val="24"/>
      <w:lang w:val="en-US" w:eastAsia="zh-CN" w:bidi="ar-SA"/>
    </w:rPr>
  </w:style>
  <w:style w:type="paragraph" w:customStyle="1" w:styleId="59">
    <w:name w:val="修订6"/>
    <w:hidden/>
    <w:unhideWhenUsed/>
    <w:qFormat/>
    <w:uiPriority w:val="99"/>
    <w:rPr>
      <w:rFonts w:ascii="Times New Roman" w:hAnsi="Times New Roman" w:eastAsia="宋体" w:cs="Times New Roman"/>
      <w:kern w:val="2"/>
      <w:sz w:val="21"/>
      <w:szCs w:val="24"/>
      <w:lang w:val="en-US" w:eastAsia="zh-CN" w:bidi="ar-SA"/>
    </w:rPr>
  </w:style>
  <w:style w:type="paragraph" w:customStyle="1" w:styleId="60">
    <w:name w:val="修订7"/>
    <w:hidden/>
    <w:unhideWhenUsed/>
    <w:qFormat/>
    <w:uiPriority w:val="99"/>
    <w:rPr>
      <w:rFonts w:ascii="Times New Roman" w:hAnsi="Times New Roman" w:eastAsia="宋体" w:cs="Times New Roman"/>
      <w:kern w:val="2"/>
      <w:sz w:val="21"/>
      <w:szCs w:val="24"/>
      <w:lang w:val="en-US" w:eastAsia="zh-CN" w:bidi="ar-SA"/>
    </w:rPr>
  </w:style>
  <w:style w:type="character" w:customStyle="1" w:styleId="61">
    <w:name w:val="font21"/>
    <w:basedOn w:val="29"/>
    <w:qFormat/>
    <w:uiPriority w:val="0"/>
    <w:rPr>
      <w:rFonts w:hint="eastAsia" w:ascii="宋体" w:hAnsi="宋体" w:eastAsia="宋体" w:cs="宋体"/>
      <w:color w:val="000000"/>
      <w:sz w:val="28"/>
      <w:szCs w:val="28"/>
      <w:u w:val="none"/>
    </w:rPr>
  </w:style>
  <w:style w:type="paragraph" w:customStyle="1" w:styleId="62">
    <w:name w:val="样式 首行缩进:  2 字符"/>
    <w:qFormat/>
    <w:uiPriority w:val="0"/>
    <w:pPr>
      <w:widowControl w:val="0"/>
      <w:spacing w:line="400" w:lineRule="exact"/>
      <w:ind w:firstLine="200" w:firstLineChars="200"/>
    </w:pPr>
    <w:rPr>
      <w:rFonts w:ascii="Times New Roman" w:hAnsi="Times New Roman" w:eastAsia="宋体" w:cs="宋体"/>
      <w:kern w:val="2"/>
      <w:sz w:val="24"/>
      <w:szCs w:val="24"/>
      <w:lang w:val="en-US" w:eastAsia="zh-CN" w:bidi="ar-SA"/>
    </w:rPr>
  </w:style>
  <w:style w:type="paragraph" w:customStyle="1" w:styleId="63">
    <w:name w:val="p0"/>
    <w:basedOn w:val="1"/>
    <w:qFormat/>
    <w:uiPriority w:val="0"/>
    <w:pPr>
      <w:widowControl/>
    </w:pPr>
    <w:rPr>
      <w:kern w:val="0"/>
      <w:szCs w:val="21"/>
    </w:rPr>
  </w:style>
  <w:style w:type="paragraph" w:customStyle="1" w:styleId="64">
    <w:name w:val="修订8"/>
    <w:hidden/>
    <w:unhideWhenUsed/>
    <w:qFormat/>
    <w:uiPriority w:val="99"/>
    <w:rPr>
      <w:rFonts w:ascii="Times New Roman" w:hAnsi="Times New Roman" w:eastAsia="宋体" w:cs="Times New Roman"/>
      <w:kern w:val="2"/>
      <w:sz w:val="21"/>
      <w:szCs w:val="24"/>
      <w:lang w:val="en-US" w:eastAsia="zh-CN" w:bidi="ar-SA"/>
    </w:rPr>
  </w:style>
  <w:style w:type="character" w:customStyle="1" w:styleId="65">
    <w:name w:val="font11"/>
    <w:basedOn w:val="29"/>
    <w:qFormat/>
    <w:uiPriority w:val="0"/>
    <w:rPr>
      <w:rFonts w:hint="eastAsia" w:ascii="宋体" w:hAnsi="宋体" w:eastAsia="宋体" w:cs="宋体"/>
      <w:color w:val="000000"/>
      <w:sz w:val="20"/>
      <w:szCs w:val="20"/>
      <w:u w:val="none"/>
    </w:rPr>
  </w:style>
  <w:style w:type="character" w:customStyle="1" w:styleId="66">
    <w:name w:val="font91"/>
    <w:basedOn w:val="29"/>
    <w:qFormat/>
    <w:uiPriority w:val="0"/>
    <w:rPr>
      <w:rFonts w:hint="eastAsia" w:ascii="宋体" w:hAnsi="宋体" w:eastAsia="宋体" w:cs="宋体"/>
      <w:color w:val="FF0000"/>
      <w:sz w:val="20"/>
      <w:szCs w:val="20"/>
      <w:u w:val="none"/>
    </w:rPr>
  </w:style>
  <w:style w:type="character" w:customStyle="1" w:styleId="67">
    <w:name w:val="font51"/>
    <w:basedOn w:val="29"/>
    <w:qFormat/>
    <w:uiPriority w:val="0"/>
    <w:rPr>
      <w:rFonts w:hint="eastAsia" w:ascii="宋体" w:hAnsi="宋体" w:eastAsia="宋体" w:cs="宋体"/>
      <w:color w:val="00000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7" Type="http://schemas.openxmlformats.org/officeDocument/2006/relationships/fontTable" Target="fontTable.xml"/><Relationship Id="rId26" Type="http://schemas.openxmlformats.org/officeDocument/2006/relationships/numbering" Target="numbering.xml"/><Relationship Id="rId25" Type="http://schemas.openxmlformats.org/officeDocument/2006/relationships/customXml" Target="../customXml/item1.xml"/><Relationship Id="rId24" Type="http://schemas.openxmlformats.org/officeDocument/2006/relationships/theme" Target="theme/theme1.xml"/><Relationship Id="rId23" Type="http://schemas.openxmlformats.org/officeDocument/2006/relationships/footer" Target="footer13.xml"/><Relationship Id="rId22" Type="http://schemas.openxmlformats.org/officeDocument/2006/relationships/footer" Target="footer12.xml"/><Relationship Id="rId21" Type="http://schemas.openxmlformats.org/officeDocument/2006/relationships/header" Target="header8.xml"/><Relationship Id="rId20" Type="http://schemas.openxmlformats.org/officeDocument/2006/relationships/header" Target="header7.xml"/><Relationship Id="rId2" Type="http://schemas.openxmlformats.org/officeDocument/2006/relationships/settings" Target="settings.xml"/><Relationship Id="rId19" Type="http://schemas.openxmlformats.org/officeDocument/2006/relationships/footer" Target="footer11.xml"/><Relationship Id="rId18" Type="http://schemas.openxmlformats.org/officeDocument/2006/relationships/header" Target="header6.xml"/><Relationship Id="rId17" Type="http://schemas.openxmlformats.org/officeDocument/2006/relationships/footer" Target="footer10.xml"/><Relationship Id="rId16" Type="http://schemas.openxmlformats.org/officeDocument/2006/relationships/header" Target="header5.xml"/><Relationship Id="rId15" Type="http://schemas.openxmlformats.org/officeDocument/2006/relationships/footer" Target="footer9.xml"/><Relationship Id="rId14" Type="http://schemas.openxmlformats.org/officeDocument/2006/relationships/footer" Target="footer8.xml"/><Relationship Id="rId13" Type="http://schemas.openxmlformats.org/officeDocument/2006/relationships/footer" Target="footer7.xml"/><Relationship Id="rId12" Type="http://schemas.openxmlformats.org/officeDocument/2006/relationships/header" Target="header4.xml"/><Relationship Id="rId11" Type="http://schemas.openxmlformats.org/officeDocument/2006/relationships/header" Target="header3.xml"/><Relationship Id="rId10" Type="http://schemas.openxmlformats.org/officeDocument/2006/relationships/footer" Target="footer6.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158</Pages>
  <Words>17068</Words>
  <Characters>17998</Characters>
  <Lines>747</Lines>
  <Paragraphs>210</Paragraphs>
  <TotalTime>37</TotalTime>
  <ScaleCrop>false</ScaleCrop>
  <LinksUpToDate>false</LinksUpToDate>
  <CharactersWithSpaces>18219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2026-09-30T03:27:00Z</dcterms:created>
  <dc:creator>nuc</dc:creator>
  <cp:lastModifiedBy>用户</cp:lastModifiedBy>
  <dcterms:modified xsi:type="dcterms:W3CDTF">2026-09-30T08:54:29Z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5A42A583DA884858BA6C84FC30CB1241_13</vt:lpwstr>
  </property>
  <property fmtid="{D5CDD505-2E9C-101B-9397-08002B2CF9AE}" pid="4" name="KSOTemplateDocerSaveRecord">
    <vt:lpwstr>eyJoZGlkIjoiNzdmODdjN2Y4NmFiNjdjZGFiMmRjZGU1NzVlN2NkYTMiLCJ1c2VySWQiOiIyOTI2NjUzMzQifQ==</vt:lpwstr>
  </property>
</Properties>
</file>