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C629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788ACCDE">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5810C9F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78E39002">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1BD8555C">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4AE544FD">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8"/>
          <w:szCs w:val="28"/>
          <w:highlight w:val="none"/>
        </w:rPr>
      </w:pPr>
    </w:p>
    <w:p w14:paraId="16C85E4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40"/>
          <w:szCs w:val="40"/>
          <w:highlight w:val="none"/>
        </w:rPr>
      </w:pPr>
      <w:r>
        <w:rPr>
          <w:rFonts w:hint="eastAsia" w:asciiTheme="minorEastAsia" w:hAnsiTheme="minorEastAsia" w:eastAsiaTheme="minorEastAsia" w:cstheme="minorEastAsia"/>
          <w:b w:val="0"/>
          <w:bCs w:val="0"/>
          <w:snapToGrid/>
          <w:spacing w:val="0"/>
          <w:kern w:val="21"/>
          <w:sz w:val="40"/>
          <w:szCs w:val="40"/>
          <w:highlight w:val="none"/>
        </w:rPr>
        <w:t>竞争性磋商文件</w:t>
      </w:r>
    </w:p>
    <w:p w14:paraId="38F22C70">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67BA9127">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5CF4E193">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623216C3">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0E93AF4F">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197538EF">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27D33FEB">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02DE4061">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1EA3E4CD">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15B7BA69">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39000B1B">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p>
    <w:p w14:paraId="31106597">
      <w:pPr>
        <w:keepNext w:val="0"/>
        <w:keepLines w:val="0"/>
        <w:pageBreakBefore w:val="0"/>
        <w:widowControl w:val="0"/>
        <w:tabs>
          <w:tab w:val="left" w:pos="5609"/>
        </w:tabs>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8"/>
          <w:szCs w:val="28"/>
          <w:highlight w:val="none"/>
          <w:lang w:val="en-US" w:eastAsia="zh-CN"/>
        </w:rPr>
      </w:pPr>
      <w:r>
        <w:rPr>
          <w:rFonts w:hint="eastAsia" w:asciiTheme="minorEastAsia" w:hAnsiTheme="minorEastAsia" w:eastAsiaTheme="minorEastAsia" w:cstheme="minorEastAsia"/>
          <w:b w:val="0"/>
          <w:bCs w:val="0"/>
          <w:snapToGrid/>
          <w:spacing w:val="0"/>
          <w:kern w:val="21"/>
          <w:sz w:val="28"/>
          <w:szCs w:val="28"/>
          <w:highlight w:val="none"/>
        </w:rPr>
        <w:t>项目名称：</w:t>
      </w:r>
      <w:r>
        <w:rPr>
          <w:rFonts w:hint="eastAsia" w:asciiTheme="minorEastAsia" w:hAnsiTheme="minorEastAsia" w:eastAsiaTheme="minorEastAsia" w:cstheme="minorEastAsia"/>
          <w:b w:val="0"/>
          <w:bCs w:val="0"/>
          <w:snapToGrid/>
          <w:spacing w:val="0"/>
          <w:kern w:val="21"/>
          <w:sz w:val="28"/>
          <w:szCs w:val="28"/>
          <w:highlight w:val="none"/>
          <w:lang w:eastAsia="zh-CN"/>
        </w:rPr>
        <w:t>环境建设第三方检查</w:t>
      </w:r>
    </w:p>
    <w:p w14:paraId="5F827F25">
      <w:pPr>
        <w:keepNext w:val="0"/>
        <w:keepLines w:val="0"/>
        <w:pageBreakBefore w:val="0"/>
        <w:widowControl w:val="0"/>
        <w:tabs>
          <w:tab w:val="left" w:pos="2320"/>
          <w:tab w:val="left" w:pos="294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8"/>
          <w:szCs w:val="28"/>
          <w:highlight w:val="none"/>
          <w:lang w:val="en-US" w:eastAsia="zh-CN"/>
        </w:rPr>
      </w:pPr>
      <w:r>
        <w:rPr>
          <w:rFonts w:hint="eastAsia" w:asciiTheme="minorEastAsia" w:hAnsiTheme="minorEastAsia" w:eastAsiaTheme="minorEastAsia" w:cstheme="minorEastAsia"/>
          <w:b w:val="0"/>
          <w:bCs w:val="0"/>
          <w:snapToGrid/>
          <w:spacing w:val="0"/>
          <w:kern w:val="21"/>
          <w:sz w:val="28"/>
          <w:szCs w:val="28"/>
          <w:highlight w:val="none"/>
        </w:rPr>
        <w:t>项目编号：11011326210200028625-XM001</w:t>
      </w:r>
    </w:p>
    <w:p w14:paraId="1984FEB0">
      <w:pPr>
        <w:keepNext w:val="0"/>
        <w:keepLines w:val="0"/>
        <w:pageBreakBefore w:val="0"/>
        <w:widowControl w:val="0"/>
        <w:tabs>
          <w:tab w:val="left" w:pos="2100"/>
          <w:tab w:val="left" w:pos="294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8"/>
          <w:szCs w:val="28"/>
          <w:highlight w:val="none"/>
          <w:lang w:eastAsia="zh-CN"/>
        </w:rPr>
      </w:pPr>
      <w:r>
        <w:rPr>
          <w:rFonts w:hint="eastAsia" w:asciiTheme="minorEastAsia" w:hAnsiTheme="minorEastAsia" w:eastAsiaTheme="minorEastAsia" w:cstheme="minorEastAsia"/>
          <w:b w:val="0"/>
          <w:bCs w:val="0"/>
          <w:snapToGrid/>
          <w:spacing w:val="0"/>
          <w:kern w:val="21"/>
          <w:sz w:val="28"/>
          <w:szCs w:val="28"/>
          <w:highlight w:val="none"/>
        </w:rPr>
        <w:t>采 购 人：</w:t>
      </w:r>
      <w:r>
        <w:rPr>
          <w:rFonts w:hint="eastAsia" w:asciiTheme="minorEastAsia" w:hAnsiTheme="minorEastAsia" w:eastAsiaTheme="minorEastAsia" w:cstheme="minorEastAsia"/>
          <w:b w:val="0"/>
          <w:bCs w:val="0"/>
          <w:snapToGrid/>
          <w:spacing w:val="0"/>
          <w:kern w:val="21"/>
          <w:sz w:val="28"/>
          <w:szCs w:val="28"/>
          <w:highlight w:val="none"/>
          <w:lang w:eastAsia="zh-CN"/>
        </w:rPr>
        <w:t>北京市顺义区城市管理委员会</w:t>
      </w:r>
    </w:p>
    <w:p w14:paraId="24D23002">
      <w:pPr>
        <w:keepNext w:val="0"/>
        <w:keepLines w:val="0"/>
        <w:pageBreakBefore w:val="0"/>
        <w:widowControl w:val="0"/>
        <w:tabs>
          <w:tab w:val="left" w:pos="2320"/>
          <w:tab w:val="left" w:pos="294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8"/>
          <w:szCs w:val="28"/>
          <w:highlight w:val="none"/>
        </w:rPr>
      </w:pPr>
      <w:r>
        <w:rPr>
          <w:rFonts w:hint="eastAsia" w:asciiTheme="minorEastAsia" w:hAnsiTheme="minorEastAsia" w:eastAsiaTheme="minorEastAsia" w:cstheme="minorEastAsia"/>
          <w:b w:val="0"/>
          <w:bCs w:val="0"/>
          <w:snapToGrid/>
          <w:spacing w:val="0"/>
          <w:kern w:val="21"/>
          <w:sz w:val="28"/>
          <w:szCs w:val="28"/>
          <w:highlight w:val="none"/>
        </w:rPr>
        <w:t>采购代理机构：北京中盛宇工程管理有限公司</w:t>
      </w:r>
    </w:p>
    <w:p w14:paraId="407981F8">
      <w:pPr>
        <w:keepNext w:val="0"/>
        <w:keepLines w:val="0"/>
        <w:pageBreakBefore w:val="0"/>
        <w:widowControl w:val="0"/>
        <w:tabs>
          <w:tab w:val="left" w:pos="3240"/>
          <w:tab w:val="left" w:pos="3420"/>
        </w:tabs>
        <w:kinsoku/>
        <w:wordWrap w:val="0"/>
        <w:overflowPunct/>
        <w:topLinePunct/>
        <w:autoSpaceDE/>
        <w:autoSpaceDN/>
        <w:bidi w:val="0"/>
        <w:spacing w:line="360" w:lineRule="auto"/>
        <w:ind w:left="2826" w:hanging="1884" w:hangingChars="785"/>
        <w:jc w:val="left"/>
        <w:outlineLvl w:val="9"/>
        <w:rPr>
          <w:rFonts w:hint="eastAsia" w:asciiTheme="minorEastAsia" w:hAnsiTheme="minorEastAsia" w:eastAsiaTheme="minorEastAsia" w:cstheme="minorEastAsia"/>
          <w:b w:val="0"/>
          <w:bCs w:val="0"/>
          <w:snapToGrid/>
          <w:spacing w:val="0"/>
          <w:kern w:val="21"/>
          <w:sz w:val="24"/>
          <w:szCs w:val="24"/>
          <w:highlight w:val="none"/>
        </w:rPr>
      </w:pPr>
    </w:p>
    <w:p w14:paraId="36330ADD">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sectPr>
          <w:headerReference r:id="rId3" w:type="default"/>
          <w:headerReference r:id="rId4" w:type="even"/>
          <w:pgSz w:w="11906" w:h="16838"/>
          <w:pgMar w:top="1440" w:right="1080" w:bottom="1440" w:left="1080" w:header="851" w:footer="850" w:gutter="0"/>
          <w:pgNumType w:fmt="decimal"/>
          <w:cols w:space="720" w:num="1"/>
          <w:docGrid w:linePitch="312" w:charSpace="0"/>
        </w:sectPr>
      </w:pPr>
    </w:p>
    <w:p w14:paraId="65871850">
      <w:pPr>
        <w:rPr>
          <w:rFonts w:hint="eastAsia" w:asciiTheme="minorEastAsia" w:hAnsiTheme="minorEastAsia" w:eastAsiaTheme="minorEastAsia" w:cstheme="minorEastAsia"/>
          <w:b w:val="0"/>
          <w:bCs w:val="0"/>
          <w:snapToGrid/>
          <w:spacing w:val="0"/>
          <w:kern w:val="21"/>
          <w:sz w:val="24"/>
          <w:szCs w:val="24"/>
          <w:highlight w:val="none"/>
        </w:rPr>
      </w:pPr>
      <w:bookmarkStart w:id="0" w:name="_Toc16724"/>
      <w:bookmarkStart w:id="1" w:name="_Toc12015"/>
      <w:r>
        <w:rPr>
          <w:rFonts w:hint="eastAsia" w:asciiTheme="minorEastAsia" w:hAnsiTheme="minorEastAsia" w:eastAsiaTheme="minorEastAsia" w:cstheme="minorEastAsia"/>
          <w:b w:val="0"/>
          <w:bCs w:val="0"/>
          <w:snapToGrid/>
          <w:spacing w:val="0"/>
          <w:kern w:val="21"/>
          <w:sz w:val="24"/>
          <w:szCs w:val="24"/>
          <w:highlight w:val="none"/>
        </w:rPr>
        <w:br w:type="page"/>
      </w:r>
    </w:p>
    <w:p w14:paraId="2CA12740">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目      录</w:t>
      </w:r>
      <w:bookmarkEnd w:id="0"/>
      <w:bookmarkEnd w:id="1"/>
    </w:p>
    <w:p w14:paraId="03403A73">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2847AB10">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TOC \o "1-1" \h \z \u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_Toc24016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第一章   采购邀请</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_Toc24016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1</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0711EFCE">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_Toc18744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第二章   供应商须知</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_Toc18744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6</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0BE8453C">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_Toc9780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第三章   评审方法和评审标准</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_Toc9780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21</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506A4843">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_Toc12440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第四章   采购需求</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_Toc12440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34</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06EDE4B9">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_Toc28821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第五章   合同草案条款</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_Toc28821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43</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11C54918">
      <w:pPr>
        <w:pStyle w:val="17"/>
        <w:keepNext w:val="0"/>
        <w:keepLines w:val="0"/>
        <w:pageBreakBefore w:val="0"/>
        <w:widowControl w:val="0"/>
        <w:tabs>
          <w:tab w:val="right" w:leader="dot" w:pos="9745"/>
          <w:tab w:val="clear" w:pos="1050"/>
          <w:tab w:val="clear" w:pos="8937"/>
        </w:tabs>
        <w:kinsoku/>
        <w:wordWrap w:val="0"/>
        <w:overflowPunct/>
        <w:topLinePunct/>
        <w:autoSpaceDE/>
        <w:autoSpaceDN/>
        <w:bidi w:val="0"/>
        <w:spacing w:line="360" w:lineRule="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begin"/>
      </w:r>
      <w:r>
        <w:rPr>
          <w:rFonts w:hint="eastAsia" w:asciiTheme="minorEastAsia" w:hAnsiTheme="minorEastAsia" w:eastAsiaTheme="minorEastAsia" w:cstheme="minorEastAsia"/>
          <w:b w:val="0"/>
          <w:bCs w:val="0"/>
          <w:snapToGrid/>
          <w:spacing w:val="0"/>
          <w:kern w:val="21"/>
          <w:sz w:val="24"/>
          <w:szCs w:val="24"/>
          <w:highlight w:val="none"/>
        </w:rPr>
        <w:instrText xml:space="preserve"> HYPERLINK \l _Toc2446 </w:instrText>
      </w:r>
      <w:r>
        <w:rPr>
          <w:rFonts w:hint="eastAsia" w:asciiTheme="minorEastAsia" w:hAnsiTheme="minorEastAsia" w:eastAsiaTheme="minorEastAsia" w:cstheme="minorEastAsia"/>
          <w:b w:val="0"/>
          <w:bCs w:val="0"/>
          <w:snapToGrid/>
          <w:spacing w:val="0"/>
          <w:kern w:val="21"/>
          <w:sz w:val="24"/>
          <w:szCs w:val="24"/>
          <w:highlight w:val="none"/>
        </w:rPr>
        <w:fldChar w:fldCharType="separate"/>
      </w:r>
      <w:r>
        <w:rPr>
          <w:rFonts w:hint="eastAsia" w:asciiTheme="minorEastAsia" w:hAnsiTheme="minorEastAsia" w:eastAsiaTheme="minorEastAsia" w:cstheme="minorEastAsia"/>
          <w:b w:val="0"/>
          <w:bCs w:val="0"/>
          <w:snapToGrid/>
          <w:spacing w:val="0"/>
          <w:kern w:val="21"/>
          <w:sz w:val="24"/>
          <w:szCs w:val="24"/>
          <w:highlight w:val="none"/>
        </w:rPr>
        <w:t>第六章   响应文件格式</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_Toc2446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53</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5BB7977D">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rPr>
      </w:pPr>
      <w:r>
        <w:rPr>
          <w:rFonts w:hint="eastAsia" w:asciiTheme="minorEastAsia" w:hAnsiTheme="minorEastAsia" w:eastAsiaTheme="minorEastAsia" w:cstheme="minorEastAsia"/>
          <w:b w:val="0"/>
          <w:bCs w:val="0"/>
          <w:snapToGrid/>
          <w:spacing w:val="0"/>
          <w:kern w:val="21"/>
          <w:sz w:val="24"/>
          <w:szCs w:val="24"/>
          <w:highlight w:val="none"/>
        </w:rPr>
        <w:fldChar w:fldCharType="end"/>
      </w:r>
    </w:p>
    <w:p w14:paraId="554842F2">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rPr>
        <w:t>注：采购文件条款中以“■”形式标记的内容适用于本项目，以“□”形式标记的内容不适用于本项目。</w:t>
      </w:r>
    </w:p>
    <w:p w14:paraId="79DD48DA">
      <w:pPr>
        <w:pStyle w:val="17"/>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7B78585E">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sectPr>
          <w:headerReference r:id="rId6" w:type="first"/>
          <w:footerReference r:id="rId8" w:type="first"/>
          <w:headerReference r:id="rId5" w:type="default"/>
          <w:footerReference r:id="rId7" w:type="default"/>
          <w:pgSz w:w="11905" w:h="16838"/>
          <w:pgMar w:top="1440" w:right="1080" w:bottom="1440" w:left="1080" w:header="851" w:footer="850" w:gutter="0"/>
          <w:pgNumType w:fmt="decimal" w:start="1"/>
          <w:cols w:space="0" w:num="1"/>
          <w:rtlGutter w:val="0"/>
          <w:docGrid w:linePitch="462" w:charSpace="0"/>
        </w:sectPr>
      </w:pPr>
    </w:p>
    <w:p w14:paraId="7FABA6D7">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bCs/>
          <w:snapToGrid/>
          <w:spacing w:val="0"/>
          <w:kern w:val="21"/>
          <w:sz w:val="24"/>
          <w:szCs w:val="24"/>
          <w:highlight w:val="none"/>
        </w:rPr>
      </w:pPr>
      <w:bookmarkStart w:id="2" w:name="_Toc24016"/>
      <w:r>
        <w:rPr>
          <w:rFonts w:hint="eastAsia" w:asciiTheme="minorEastAsia" w:hAnsiTheme="minorEastAsia" w:eastAsiaTheme="minorEastAsia" w:cstheme="minorEastAsia"/>
          <w:b/>
          <w:bCs/>
          <w:snapToGrid/>
          <w:spacing w:val="0"/>
          <w:kern w:val="21"/>
          <w:sz w:val="24"/>
          <w:szCs w:val="24"/>
          <w:highlight w:val="none"/>
        </w:rPr>
        <w:t>第一章   采购邀请</w:t>
      </w:r>
      <w:bookmarkEnd w:id="2"/>
      <w:bookmarkStart w:id="3" w:name="_Toc28359002"/>
      <w:bookmarkStart w:id="4" w:name="_Toc35393790"/>
      <w:bookmarkStart w:id="5" w:name="_Toc28359079"/>
      <w:bookmarkStart w:id="6" w:name="_Toc35393621"/>
      <w:bookmarkStart w:id="7" w:name="_Hlk24379207"/>
    </w:p>
    <w:p w14:paraId="1C8BE80E">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一、项目基本情况</w:t>
      </w:r>
      <w:bookmarkEnd w:id="3"/>
      <w:bookmarkEnd w:id="4"/>
      <w:bookmarkEnd w:id="5"/>
      <w:bookmarkEnd w:id="6"/>
    </w:p>
    <w:p w14:paraId="0BF08CAA">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rPr>
        <w:t>1.项目编号：11011326210200028625-XM001</w:t>
      </w:r>
    </w:p>
    <w:p w14:paraId="196DE2AC">
      <w:pPr>
        <w:keepNext w:val="0"/>
        <w:keepLines w:val="0"/>
        <w:pageBreakBefore w:val="0"/>
        <w:widowControl w:val="0"/>
        <w:shd w:val="clear"/>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2.项目名称：</w:t>
      </w:r>
      <w:r>
        <w:rPr>
          <w:rFonts w:hint="eastAsia" w:asciiTheme="minorEastAsia" w:hAnsiTheme="minorEastAsia" w:eastAsiaTheme="minorEastAsia" w:cstheme="minorEastAsia"/>
          <w:b w:val="0"/>
          <w:bCs w:val="0"/>
          <w:snapToGrid/>
          <w:spacing w:val="0"/>
          <w:kern w:val="21"/>
          <w:sz w:val="24"/>
          <w:szCs w:val="24"/>
          <w:highlight w:val="none"/>
          <w:lang w:eastAsia="zh-CN"/>
        </w:rPr>
        <w:t>环境建设第三方检查</w:t>
      </w:r>
    </w:p>
    <w:p w14:paraId="0ADB651D">
      <w:pPr>
        <w:keepNext w:val="0"/>
        <w:keepLines w:val="0"/>
        <w:pageBreakBefore w:val="0"/>
        <w:widowControl w:val="0"/>
        <w:shd w:val="clear"/>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3.采购方式：竞争性磋商</w:t>
      </w:r>
    </w:p>
    <w:bookmarkEnd w:id="7"/>
    <w:p w14:paraId="730BA425">
      <w:pPr>
        <w:keepNext w:val="0"/>
        <w:keepLines w:val="0"/>
        <w:pageBreakBefore w:val="0"/>
        <w:widowControl w:val="0"/>
        <w:shd w:val="clear"/>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4.项目预算金额：270.5万元、项目最高限价（如有）：270.5万元</w:t>
      </w:r>
    </w:p>
    <w:p w14:paraId="250D56A6">
      <w:pPr>
        <w:keepNext w:val="0"/>
        <w:keepLines w:val="0"/>
        <w:pageBreakBefore w:val="0"/>
        <w:widowControl w:val="0"/>
        <w:shd w:val="clear"/>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5.采购需求：</w:t>
      </w:r>
    </w:p>
    <w:tbl>
      <w:tblPr>
        <w:tblStyle w:val="24"/>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447"/>
        <w:gridCol w:w="1662"/>
        <w:gridCol w:w="1477"/>
        <w:gridCol w:w="4256"/>
      </w:tblGrid>
      <w:tr w14:paraId="03AC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8" w:type="dxa"/>
            <w:vAlign w:val="center"/>
          </w:tcPr>
          <w:p w14:paraId="103952B2">
            <w:pPr>
              <w:pStyle w:val="30"/>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2"/>
                <w:szCs w:val="22"/>
                <w:highlight w:val="none"/>
                <w:u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包号</w:t>
            </w:r>
          </w:p>
        </w:tc>
        <w:tc>
          <w:tcPr>
            <w:tcW w:w="1447" w:type="dxa"/>
            <w:vAlign w:val="center"/>
          </w:tcPr>
          <w:p w14:paraId="6938E77E">
            <w:pPr>
              <w:pStyle w:val="30"/>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2"/>
                <w:szCs w:val="22"/>
                <w:highlight w:val="none"/>
                <w:lang w:eastAsia="zh-CN"/>
              </w:rPr>
            </w:pP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标的名称</w:t>
            </w:r>
          </w:p>
        </w:tc>
        <w:tc>
          <w:tcPr>
            <w:tcW w:w="1662" w:type="dxa"/>
            <w:vAlign w:val="center"/>
          </w:tcPr>
          <w:p w14:paraId="7BC11295">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u w:val="none"/>
              </w:rPr>
              <w:t>预算金额</w:t>
            </w: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及最高限价（万元）</w:t>
            </w:r>
          </w:p>
        </w:tc>
        <w:tc>
          <w:tcPr>
            <w:tcW w:w="1477" w:type="dxa"/>
            <w:vAlign w:val="center"/>
          </w:tcPr>
          <w:p w14:paraId="3EFCC0D1">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rPr>
            </w:pPr>
            <w:r>
              <w:rPr>
                <w:rFonts w:hint="eastAsia" w:asciiTheme="minorEastAsia" w:hAnsiTheme="minorEastAsia" w:eastAsiaTheme="minorEastAsia" w:cstheme="minorEastAsia"/>
                <w:b w:val="0"/>
                <w:bCs w:val="0"/>
                <w:snapToGrid/>
                <w:spacing w:val="0"/>
                <w:kern w:val="21"/>
                <w:sz w:val="22"/>
                <w:szCs w:val="22"/>
                <w:highlight w:val="none"/>
                <w:u w:val="none"/>
              </w:rPr>
              <w:t>服务地点</w:t>
            </w:r>
          </w:p>
        </w:tc>
        <w:tc>
          <w:tcPr>
            <w:tcW w:w="4256" w:type="dxa"/>
            <w:shd w:val="clear" w:color="auto" w:fill="auto"/>
            <w:vAlign w:val="center"/>
          </w:tcPr>
          <w:p w14:paraId="68FEBB9B">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rPr>
            </w:pPr>
            <w:r>
              <w:rPr>
                <w:rFonts w:hint="eastAsia" w:asciiTheme="minorEastAsia" w:hAnsiTheme="minorEastAsia" w:eastAsiaTheme="minorEastAsia" w:cstheme="minorEastAsia"/>
                <w:b w:val="0"/>
                <w:bCs w:val="0"/>
                <w:snapToGrid/>
                <w:spacing w:val="0"/>
                <w:kern w:val="21"/>
                <w:sz w:val="22"/>
                <w:szCs w:val="22"/>
                <w:highlight w:val="none"/>
                <w:u w:val="none"/>
              </w:rPr>
              <w:t>简要技术需求或服务要求</w:t>
            </w:r>
          </w:p>
        </w:tc>
      </w:tr>
      <w:tr w14:paraId="2990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6" w:hRule="atLeast"/>
          <w:jc w:val="center"/>
        </w:trPr>
        <w:tc>
          <w:tcPr>
            <w:tcW w:w="728" w:type="dxa"/>
            <w:vAlign w:val="center"/>
          </w:tcPr>
          <w:p w14:paraId="7193C740">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01</w:t>
            </w:r>
          </w:p>
        </w:tc>
        <w:tc>
          <w:tcPr>
            <w:tcW w:w="1447" w:type="dxa"/>
            <w:vAlign w:val="center"/>
          </w:tcPr>
          <w:p w14:paraId="2CF4A3B4">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lang w:eastAsia="zh-CN"/>
              </w:rPr>
            </w:pPr>
            <w:r>
              <w:rPr>
                <w:rFonts w:hint="eastAsia" w:asciiTheme="minorEastAsia" w:hAnsiTheme="minorEastAsia" w:eastAsiaTheme="minorEastAsia" w:cstheme="minorEastAsia"/>
                <w:b w:val="0"/>
                <w:bCs w:val="0"/>
                <w:snapToGrid/>
                <w:spacing w:val="0"/>
                <w:kern w:val="21"/>
                <w:sz w:val="22"/>
                <w:szCs w:val="22"/>
                <w:highlight w:val="none"/>
                <w:u w:val="none"/>
                <w:lang w:eastAsia="zh-CN"/>
              </w:rPr>
              <w:t>环境建设第三方检查</w:t>
            </w:r>
          </w:p>
        </w:tc>
        <w:tc>
          <w:tcPr>
            <w:tcW w:w="1662" w:type="dxa"/>
            <w:vAlign w:val="center"/>
          </w:tcPr>
          <w:p w14:paraId="7C174A69">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rPr>
            </w:pPr>
            <w:r>
              <w:rPr>
                <w:rFonts w:hint="eastAsia" w:asciiTheme="minorEastAsia" w:hAnsiTheme="minorEastAsia" w:eastAsiaTheme="minorEastAsia" w:cstheme="minorEastAsia"/>
                <w:b w:val="0"/>
                <w:bCs w:val="0"/>
                <w:snapToGrid/>
                <w:spacing w:val="0"/>
                <w:kern w:val="21"/>
                <w:sz w:val="22"/>
                <w:szCs w:val="22"/>
                <w:highlight w:val="none"/>
                <w:u w:val="none"/>
              </w:rPr>
              <w:t>270.5</w:t>
            </w:r>
          </w:p>
        </w:tc>
        <w:tc>
          <w:tcPr>
            <w:tcW w:w="1477" w:type="dxa"/>
            <w:vAlign w:val="center"/>
          </w:tcPr>
          <w:p w14:paraId="57AE0F24">
            <w:pPr>
              <w:keepNext w:val="0"/>
              <w:keepLines w:val="0"/>
              <w:pageBreakBefore w:val="0"/>
              <w:widowControl w:val="0"/>
              <w:kinsoku/>
              <w:wordWrap w:val="0"/>
              <w:overflowPunct/>
              <w:topLinePunct/>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lang w:eastAsia="zh-CN"/>
              </w:rPr>
            </w:pPr>
            <w:r>
              <w:rPr>
                <w:rFonts w:hint="eastAsia" w:ascii="Times New Roman" w:hAnsi="Times New Roman" w:eastAsia="宋体" w:cs="Times New Roman"/>
                <w:color w:val="auto"/>
                <w:sz w:val="22"/>
                <w:szCs w:val="28"/>
                <w:lang w:val="en-US" w:eastAsia="zh-CN"/>
              </w:rPr>
              <w:t>顺义区全域范围</w:t>
            </w:r>
          </w:p>
        </w:tc>
        <w:tc>
          <w:tcPr>
            <w:tcW w:w="4256" w:type="dxa"/>
            <w:shd w:val="clear" w:color="auto" w:fill="auto"/>
            <w:vAlign w:val="center"/>
          </w:tcPr>
          <w:p w14:paraId="057BAE94">
            <w:pPr>
              <w:keepNext w:val="0"/>
              <w:keepLines w:val="0"/>
              <w:pageBreakBefore w:val="0"/>
              <w:widowControl w:val="0"/>
              <w:kinsoku/>
              <w:wordWrap w:val="0"/>
              <w:overflowPunct/>
              <w:topLinePunct/>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u w:val="none"/>
              </w:rPr>
            </w:pPr>
            <w:r>
              <w:rPr>
                <w:rFonts w:hint="eastAsia" w:ascii="Times New Roman" w:hAnsi="Times New Roman" w:eastAsia="宋体" w:cs="Times New Roman"/>
                <w:color w:val="auto"/>
                <w:sz w:val="22"/>
                <w:szCs w:val="28"/>
                <w:lang w:val="en-US" w:eastAsia="zh-CN"/>
              </w:rPr>
              <w:t>聘请一家供应商，对顺义区全域范围内环境进行全面覆盖检查、反馈问题到责任主体部门、形成检查台账、问题台账、易发问题台账等基础信息表，每月更新一次。同时，根据检查数据形成最终的月度报告。（具体内容详见“采购需求”）</w:t>
            </w:r>
          </w:p>
        </w:tc>
      </w:tr>
    </w:tbl>
    <w:p w14:paraId="21DF0927">
      <w:pPr>
        <w:keepNext w:val="0"/>
        <w:keepLines w:val="0"/>
        <w:pageBreakBefore w:val="0"/>
        <w:widowControl w:val="0"/>
        <w:shd w:val="clear"/>
        <w:tabs>
          <w:tab w:val="left" w:pos="3150"/>
        </w:tabs>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val="zh-CN" w:eastAsia="zh-CN"/>
        </w:rPr>
      </w:pPr>
      <w:r>
        <w:rPr>
          <w:rFonts w:hint="eastAsia" w:asciiTheme="minorEastAsia" w:hAnsiTheme="minorEastAsia" w:eastAsiaTheme="minorEastAsia" w:cstheme="minorEastAsia"/>
          <w:b w:val="0"/>
          <w:bCs w:val="0"/>
          <w:snapToGrid/>
          <w:spacing w:val="0"/>
          <w:kern w:val="21"/>
          <w:sz w:val="24"/>
          <w:szCs w:val="24"/>
          <w:highlight w:val="none"/>
        </w:rPr>
        <w:t>6.合同履行期限：</w:t>
      </w:r>
      <w:r>
        <w:rPr>
          <w:rFonts w:hint="eastAsia" w:asciiTheme="minorEastAsia" w:hAnsiTheme="minorEastAsia" w:eastAsiaTheme="minorEastAsia" w:cstheme="minorEastAsia"/>
          <w:b w:val="0"/>
          <w:bCs w:val="0"/>
          <w:snapToGrid/>
          <w:spacing w:val="0"/>
          <w:kern w:val="21"/>
          <w:sz w:val="24"/>
          <w:szCs w:val="24"/>
          <w:highlight w:val="none"/>
          <w:lang w:eastAsia="zh-CN"/>
        </w:rPr>
        <w:t>自合同签订之日起1年（12个月），具体以合同约定时间为准；</w:t>
      </w:r>
    </w:p>
    <w:p w14:paraId="1A4F9B07">
      <w:pPr>
        <w:keepNext w:val="0"/>
        <w:keepLines w:val="0"/>
        <w:pageBreakBefore w:val="0"/>
        <w:widowControl w:val="0"/>
        <w:shd w:val="clear"/>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7.本项目是否接受联合体：</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 xml:space="preserve">是  </w:t>
      </w: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否。</w:t>
      </w:r>
    </w:p>
    <w:p w14:paraId="32C5CFC5">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bookmarkStart w:id="8" w:name="_Toc35393791"/>
      <w:bookmarkStart w:id="9" w:name="_Toc28359080"/>
      <w:bookmarkStart w:id="10" w:name="_Toc28359003"/>
      <w:bookmarkStart w:id="11" w:name="_Toc35393622"/>
      <w:r>
        <w:rPr>
          <w:rFonts w:hint="eastAsia" w:asciiTheme="minorEastAsia" w:hAnsiTheme="minorEastAsia" w:eastAsiaTheme="minorEastAsia" w:cstheme="minorEastAsia"/>
          <w:b w:val="0"/>
          <w:bCs w:val="0"/>
          <w:snapToGrid/>
          <w:spacing w:val="0"/>
          <w:kern w:val="21"/>
          <w:sz w:val="24"/>
          <w:szCs w:val="24"/>
          <w:highlight w:val="none"/>
        </w:rPr>
        <w:t>二、申请人的资格要求（须同时满足）</w:t>
      </w:r>
      <w:bookmarkEnd w:id="8"/>
      <w:bookmarkEnd w:id="9"/>
      <w:bookmarkEnd w:id="10"/>
      <w:bookmarkEnd w:id="11"/>
    </w:p>
    <w:p w14:paraId="64F7C5CF">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1.满足《中华人民共和国政府采购法》第二十二条规定；</w:t>
      </w:r>
    </w:p>
    <w:p w14:paraId="656D489C">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bookmarkStart w:id="12" w:name="_Toc28359081"/>
      <w:bookmarkStart w:id="13" w:name="_Toc28359004"/>
      <w:r>
        <w:rPr>
          <w:rFonts w:hint="eastAsia" w:asciiTheme="minorEastAsia" w:hAnsiTheme="minorEastAsia" w:eastAsiaTheme="minorEastAsia" w:cstheme="minorEastAsia"/>
          <w:b w:val="0"/>
          <w:bCs w:val="0"/>
          <w:snapToGrid/>
          <w:spacing w:val="0"/>
          <w:kern w:val="21"/>
          <w:sz w:val="24"/>
          <w:szCs w:val="24"/>
          <w:highlight w:val="none"/>
        </w:rPr>
        <w:t>2.落实政府采购政策需满足的资格要求：</w:t>
      </w:r>
    </w:p>
    <w:p w14:paraId="13FD33A9">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2.1中小企业政策</w:t>
      </w:r>
    </w:p>
    <w:p w14:paraId="2563C092">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本项目不专门面向中小企业预留采购份额。</w:t>
      </w:r>
    </w:p>
    <w:p w14:paraId="4939818A">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 xml:space="preserve">本项目专门面向  </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中</w:t>
      </w:r>
      <w:r>
        <w:rPr>
          <w:rFonts w:hint="eastAsia" w:asciiTheme="minorEastAsia" w:hAnsiTheme="minorEastAsia" w:eastAsiaTheme="minorEastAsia" w:cstheme="minorEastAsia"/>
          <w:b w:val="0"/>
          <w:bCs w:val="0"/>
          <w:snapToGrid/>
          <w:color w:val="auto"/>
          <w:spacing w:val="0"/>
          <w:kern w:val="21"/>
          <w:sz w:val="24"/>
          <w:szCs w:val="24"/>
          <w:highlight w:val="none"/>
        </w:rPr>
        <w:t>小</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 xml:space="preserve"> </w:t>
      </w:r>
      <w:r>
        <w:rPr>
          <w:rFonts w:hint="eastAsia" w:asciiTheme="minorEastAsia" w:hAnsiTheme="minorEastAsia" w:eastAsiaTheme="minorEastAsia" w:cstheme="minorEastAsia"/>
          <w:b w:val="0"/>
          <w:bCs w:val="0"/>
          <w:snapToGrid/>
          <w:color w:val="auto"/>
          <w:spacing w:val="0"/>
          <w:kern w:val="21"/>
          <w:sz w:val="24"/>
          <w:szCs w:val="24"/>
          <w:highlight w:val="none"/>
        </w:rPr>
        <w:t xml:space="preserve"> </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color w:val="auto"/>
          <w:spacing w:val="0"/>
          <w:kern w:val="21"/>
          <w:sz w:val="24"/>
          <w:szCs w:val="24"/>
          <w:highlight w:val="none"/>
        </w:rPr>
        <w:t>小微企业  采</w:t>
      </w:r>
      <w:r>
        <w:rPr>
          <w:rFonts w:hint="eastAsia" w:asciiTheme="minorEastAsia" w:hAnsiTheme="minorEastAsia" w:eastAsiaTheme="minorEastAsia" w:cstheme="minorEastAsia"/>
          <w:b w:val="0"/>
          <w:bCs w:val="0"/>
          <w:snapToGrid/>
          <w:spacing w:val="0"/>
          <w:kern w:val="21"/>
          <w:sz w:val="24"/>
          <w:szCs w:val="24"/>
          <w:highlight w:val="none"/>
        </w:rPr>
        <w:t>购。即：提供的货物全部由符合政策要求的中小/小微企业制造、服务全部由符合政策要求的中小/小微企业承接。</w:t>
      </w:r>
    </w:p>
    <w:p w14:paraId="7342AF93">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color w:val="0000FF"/>
          <w:sz w:val="24"/>
          <w:szCs w:val="32"/>
          <w:highlight w:val="none"/>
          <w:u w:val="singl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color w:val="0000FF"/>
          <w:sz w:val="24"/>
          <w:szCs w:val="32"/>
          <w:highlight w:val="none"/>
          <w:u w:val="single"/>
        </w:rPr>
        <w:t>预留中小企业份额形式：要求合同分包。</w:t>
      </w:r>
    </w:p>
    <w:p w14:paraId="7E5EC594">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color w:val="0000FF"/>
          <w:lang w:eastAsia="zh-CN"/>
        </w:rPr>
      </w:pPr>
      <w:r>
        <w:rPr>
          <w:rFonts w:hint="eastAsia" w:ascii="Times New Roman" w:hAnsi="Times New Roman" w:eastAsia="宋体" w:cs="Times New Roman"/>
          <w:color w:val="0000FF"/>
          <w:sz w:val="24"/>
          <w:szCs w:val="32"/>
          <w:highlight w:val="none"/>
          <w:u w:val="single"/>
        </w:rPr>
        <w:t>预留中小企业份额</w:t>
      </w:r>
      <w:r>
        <w:rPr>
          <w:rFonts w:hint="eastAsia" w:ascii="Times New Roman" w:hAnsi="Times New Roman" w:eastAsia="宋体" w:cs="Times New Roman"/>
          <w:color w:val="0000FF"/>
          <w:sz w:val="24"/>
          <w:szCs w:val="32"/>
          <w:highlight w:val="none"/>
          <w:u w:val="single"/>
          <w:lang w:val="en-US" w:eastAsia="zh-CN"/>
        </w:rPr>
        <w:t>270.5</w:t>
      </w:r>
      <w:r>
        <w:rPr>
          <w:rFonts w:hint="eastAsia" w:ascii="Times New Roman" w:hAnsi="Times New Roman" w:eastAsia="宋体" w:cs="Times New Roman"/>
          <w:color w:val="0000FF"/>
          <w:sz w:val="24"/>
          <w:szCs w:val="32"/>
          <w:highlight w:val="none"/>
          <w:u w:val="single"/>
        </w:rPr>
        <w:t>万元，占</w:t>
      </w:r>
      <w:r>
        <w:rPr>
          <w:rFonts w:hint="eastAsia" w:ascii="Times New Roman" w:hAnsi="Times New Roman" w:eastAsia="宋体" w:cs="Times New Roman"/>
          <w:color w:val="0000FF"/>
          <w:sz w:val="24"/>
          <w:szCs w:val="32"/>
          <w:highlight w:val="none"/>
          <w:u w:val="single"/>
          <w:lang w:val="en-US" w:eastAsia="zh-CN"/>
        </w:rPr>
        <w:t>预算</w:t>
      </w:r>
      <w:r>
        <w:rPr>
          <w:rFonts w:hint="eastAsia" w:ascii="Times New Roman" w:hAnsi="Times New Roman" w:eastAsia="宋体" w:cs="Times New Roman"/>
          <w:color w:val="0000FF"/>
          <w:sz w:val="24"/>
          <w:szCs w:val="32"/>
          <w:highlight w:val="none"/>
          <w:u w:val="single"/>
        </w:rPr>
        <w:t>总金额100.00%；其中预留小微企业份额</w:t>
      </w:r>
      <w:r>
        <w:rPr>
          <w:rFonts w:hint="eastAsia" w:ascii="Times New Roman" w:hAnsi="Times New Roman" w:eastAsia="宋体" w:cs="Times New Roman"/>
          <w:color w:val="0000FF"/>
          <w:sz w:val="24"/>
          <w:szCs w:val="32"/>
          <w:highlight w:val="none"/>
          <w:u w:val="single"/>
          <w:lang w:val="en-US" w:eastAsia="zh-CN"/>
        </w:rPr>
        <w:t>75.74</w:t>
      </w:r>
      <w:r>
        <w:rPr>
          <w:rFonts w:hint="eastAsia" w:ascii="Times New Roman" w:hAnsi="Times New Roman" w:eastAsia="宋体" w:cs="Times New Roman"/>
          <w:color w:val="0000FF"/>
          <w:sz w:val="24"/>
          <w:szCs w:val="32"/>
          <w:highlight w:val="none"/>
          <w:u w:val="single"/>
        </w:rPr>
        <w:t>万元，占预留中小企业份额 28.00%。（如供应商为中型企业，小微预留部分必须以合同分包形式向小微企业进行分包，响应文件中必须附中小企业声明函、拟分包情况说明、分包意向协议）。</w:t>
      </w:r>
    </w:p>
    <w:p w14:paraId="37A0DA27">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2.2其它落实政府采购政策的资格要求（如有）：</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rPr>
        <w:t>。</w:t>
      </w:r>
    </w:p>
    <w:p w14:paraId="4E7C9CF4">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i/>
          <w:iCs/>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rPr>
        <w:t>3.本项目的特定资格要求：</w:t>
      </w:r>
    </w:p>
    <w:p w14:paraId="7F8124A1">
      <w:pPr>
        <w:keepNext w:val="0"/>
        <w:keepLines w:val="0"/>
        <w:pageBreakBefore w:val="0"/>
        <w:widowControl w:val="0"/>
        <w:tabs>
          <w:tab w:val="left" w:pos="900"/>
          <w:tab w:val="left" w:pos="1134"/>
          <w:tab w:val="left" w:pos="1589"/>
          <w:tab w:val="left" w:pos="5521"/>
        </w:tabs>
        <w:kinsoku/>
        <w:wordWrap w:val="0"/>
        <w:overflowPunct/>
        <w:topLinePunct/>
        <w:autoSpaceDE/>
        <w:autoSpaceDN/>
        <w:bidi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3.1本项目是否属于政府购买服务：</w:t>
      </w:r>
    </w:p>
    <w:p w14:paraId="0F7E3947">
      <w:pPr>
        <w:keepNext w:val="0"/>
        <w:keepLines w:val="0"/>
        <w:pageBreakBefore w:val="0"/>
        <w:widowControl w:val="0"/>
        <w:tabs>
          <w:tab w:val="left" w:pos="900"/>
          <w:tab w:val="left" w:pos="1134"/>
          <w:tab w:val="left" w:pos="1589"/>
          <w:tab w:val="left" w:pos="5521"/>
        </w:tabs>
        <w:kinsoku/>
        <w:wordWrap w:val="0"/>
        <w:overflowPunct/>
        <w:topLinePunct/>
        <w:autoSpaceDE/>
        <w:autoSpaceDN/>
        <w:bidi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否</w:t>
      </w:r>
    </w:p>
    <w:p w14:paraId="4DC6491F">
      <w:pPr>
        <w:keepNext w:val="0"/>
        <w:keepLines w:val="0"/>
        <w:pageBreakBefore w:val="0"/>
        <w:widowControl w:val="0"/>
        <w:tabs>
          <w:tab w:val="left" w:pos="900"/>
          <w:tab w:val="left" w:pos="1134"/>
          <w:tab w:val="left" w:pos="1589"/>
          <w:tab w:val="left" w:pos="5521"/>
        </w:tabs>
        <w:kinsoku/>
        <w:wordWrap w:val="0"/>
        <w:overflowPunct/>
        <w:topLinePunct/>
        <w:autoSpaceDE/>
        <w:autoSpaceDN/>
        <w:bidi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是，公益一类事业单位、使用事业编制且由财政拨款保障的群团组织，不得作为承接主体；</w:t>
      </w:r>
    </w:p>
    <w:p w14:paraId="08015070">
      <w:pPr>
        <w:keepNext w:val="0"/>
        <w:keepLines w:val="0"/>
        <w:pageBreakBefore w:val="0"/>
        <w:widowControl w:val="0"/>
        <w:tabs>
          <w:tab w:val="left" w:pos="900"/>
          <w:tab w:val="left" w:pos="1134"/>
          <w:tab w:val="left" w:pos="1589"/>
          <w:tab w:val="left" w:pos="5521"/>
        </w:tabs>
        <w:kinsoku/>
        <w:wordWrap w:val="0"/>
        <w:overflowPunct/>
        <w:topLinePunct/>
        <w:autoSpaceDE/>
        <w:autoSpaceDN/>
        <w:bidi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rPr>
        <w:t>3.2其他特定资格要求：</w:t>
      </w:r>
      <w:bookmarkEnd w:id="12"/>
      <w:bookmarkEnd w:id="13"/>
      <w:bookmarkStart w:id="14" w:name="_Toc35393623"/>
      <w:bookmarkStart w:id="15" w:name="_Toc35393792"/>
      <w:r>
        <w:rPr>
          <w:rFonts w:hint="eastAsia" w:asciiTheme="minorEastAsia" w:hAnsiTheme="minorEastAsia" w:eastAsiaTheme="minorEastAsia" w:cstheme="minorEastAsia"/>
          <w:b w:val="0"/>
          <w:bCs w:val="0"/>
          <w:snapToGrid/>
          <w:spacing w:val="0"/>
          <w:kern w:val="21"/>
          <w:sz w:val="24"/>
          <w:szCs w:val="24"/>
          <w:highlight w:val="none"/>
          <w:lang w:val="en-US" w:eastAsia="zh-CN"/>
        </w:rPr>
        <w:t>/</w:t>
      </w:r>
    </w:p>
    <w:p w14:paraId="1F903B6F">
      <w:pPr>
        <w:pStyle w:val="35"/>
        <w:keepNext w:val="0"/>
        <w:keepLines w:val="0"/>
        <w:pageBreakBefore w:val="0"/>
        <w:widowControl w:val="0"/>
        <w:kinsoku/>
        <w:wordWrap w:val="0"/>
        <w:overflowPunct/>
        <w:topLinePunct/>
        <w:autoSpaceDE/>
        <w:autoSpaceDN/>
        <w:bidi w:val="0"/>
        <w:spacing w:line="360" w:lineRule="auto"/>
        <w:ind w:left="410" w:hanging="41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三、获取采购文件</w:t>
      </w:r>
      <w:bookmarkEnd w:id="14"/>
      <w:bookmarkEnd w:id="15"/>
    </w:p>
    <w:p w14:paraId="121F3FCC">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1.时间：</w:t>
      </w:r>
      <w:r>
        <w:rPr>
          <w:rFonts w:hint="eastAsia" w:asciiTheme="minorEastAsia" w:hAnsiTheme="minorEastAsia" w:eastAsiaTheme="minorEastAsia" w:cstheme="minorEastAsia"/>
          <w:b w:val="0"/>
          <w:bCs w:val="0"/>
          <w:snapToGrid/>
          <w:spacing w:val="0"/>
          <w:kern w:val="21"/>
          <w:sz w:val="24"/>
          <w:szCs w:val="24"/>
          <w:highlight w:val="none"/>
          <w:u w:val="single"/>
        </w:rPr>
        <w:t>202</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6</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10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20 </w:t>
      </w:r>
      <w:r>
        <w:rPr>
          <w:rFonts w:hint="eastAsia" w:asciiTheme="minorEastAsia" w:hAnsiTheme="minorEastAsia" w:eastAsiaTheme="minorEastAsia" w:cstheme="minorEastAsia"/>
          <w:b w:val="0"/>
          <w:bCs w:val="0"/>
          <w:snapToGrid/>
          <w:spacing w:val="0"/>
          <w:kern w:val="21"/>
          <w:sz w:val="24"/>
          <w:szCs w:val="24"/>
          <w:highlight w:val="none"/>
          <w:lang w:bidi="ar"/>
        </w:rPr>
        <w:t>日至</w:t>
      </w:r>
      <w:r>
        <w:rPr>
          <w:rFonts w:hint="eastAsia" w:asciiTheme="minorEastAsia" w:hAnsiTheme="minorEastAsia" w:eastAsiaTheme="minorEastAsia" w:cstheme="minorEastAsia"/>
          <w:b w:val="0"/>
          <w:bCs w:val="0"/>
          <w:snapToGrid/>
          <w:spacing w:val="0"/>
          <w:kern w:val="21"/>
          <w:sz w:val="24"/>
          <w:szCs w:val="24"/>
          <w:highlight w:val="none"/>
          <w:u w:val="single"/>
        </w:rPr>
        <w:t>202</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6</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10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26 </w:t>
      </w:r>
      <w:r>
        <w:rPr>
          <w:rFonts w:hint="eastAsia" w:asciiTheme="minorEastAsia" w:hAnsiTheme="minorEastAsia" w:eastAsiaTheme="minorEastAsia" w:cstheme="minorEastAsia"/>
          <w:b w:val="0"/>
          <w:bCs w:val="0"/>
          <w:snapToGrid/>
          <w:spacing w:val="0"/>
          <w:kern w:val="21"/>
          <w:sz w:val="24"/>
          <w:szCs w:val="24"/>
          <w:highlight w:val="none"/>
          <w:lang w:bidi="ar"/>
        </w:rPr>
        <w:t>日，每天上午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09</w:t>
      </w:r>
      <w:r>
        <w:rPr>
          <w:rFonts w:hint="eastAsia" w:asciiTheme="minorEastAsia" w:hAnsiTheme="minorEastAsia" w:eastAsiaTheme="minorEastAsia" w:cstheme="minorEastAsia"/>
          <w:b w:val="0"/>
          <w:bCs w:val="0"/>
          <w:snapToGrid/>
          <w:spacing w:val="0"/>
          <w:kern w:val="21"/>
          <w:sz w:val="24"/>
          <w:szCs w:val="24"/>
          <w:highlight w:val="none"/>
          <w:u w:val="single"/>
          <w:lang w:eastAsia="zh-CN"/>
        </w:rPr>
        <w:t>：</w:t>
      </w:r>
      <w:r>
        <w:rPr>
          <w:rFonts w:hint="eastAsia" w:asciiTheme="minorEastAsia" w:hAnsiTheme="minorEastAsia" w:eastAsiaTheme="minorEastAsia" w:cstheme="minorEastAsia"/>
          <w:b w:val="0"/>
          <w:bCs w:val="0"/>
          <w:snapToGrid/>
          <w:spacing w:val="0"/>
          <w:kern w:val="21"/>
          <w:sz w:val="24"/>
          <w:szCs w:val="24"/>
          <w:highlight w:val="none"/>
          <w:u w:val="single"/>
        </w:rPr>
        <w:t>00</w:t>
      </w:r>
      <w:r>
        <w:rPr>
          <w:rFonts w:hint="eastAsia" w:asciiTheme="minorEastAsia" w:hAnsiTheme="minorEastAsia" w:eastAsiaTheme="minorEastAsia" w:cstheme="minorEastAsia"/>
          <w:b w:val="0"/>
          <w:bCs w:val="0"/>
          <w:snapToGrid/>
          <w:spacing w:val="0"/>
          <w:kern w:val="21"/>
          <w:sz w:val="24"/>
          <w:szCs w:val="24"/>
          <w:highlight w:val="none"/>
          <w:lang w:bidi="ar"/>
        </w:rPr>
        <w:t>至</w:t>
      </w:r>
      <w:r>
        <w:rPr>
          <w:rFonts w:hint="eastAsia" w:asciiTheme="minorEastAsia" w:hAnsiTheme="minorEastAsia" w:eastAsiaTheme="minorEastAsia" w:cstheme="minorEastAsia"/>
          <w:b w:val="0"/>
          <w:bCs w:val="0"/>
          <w:snapToGrid/>
          <w:spacing w:val="0"/>
          <w:kern w:val="21"/>
          <w:sz w:val="24"/>
          <w:szCs w:val="24"/>
          <w:highlight w:val="none"/>
          <w:u w:val="single"/>
        </w:rPr>
        <w:t>12</w:t>
      </w:r>
      <w:r>
        <w:rPr>
          <w:rFonts w:hint="eastAsia" w:asciiTheme="minorEastAsia" w:hAnsiTheme="minorEastAsia" w:eastAsiaTheme="minorEastAsia" w:cstheme="minorEastAsia"/>
          <w:b w:val="0"/>
          <w:bCs w:val="0"/>
          <w:snapToGrid/>
          <w:spacing w:val="0"/>
          <w:kern w:val="21"/>
          <w:sz w:val="24"/>
          <w:szCs w:val="24"/>
          <w:highlight w:val="none"/>
          <w:u w:val="single"/>
          <w:lang w:eastAsia="zh-CN"/>
        </w:rPr>
        <w:t>：</w:t>
      </w:r>
      <w:r>
        <w:rPr>
          <w:rFonts w:hint="eastAsia" w:asciiTheme="minorEastAsia" w:hAnsiTheme="minorEastAsia" w:eastAsiaTheme="minorEastAsia" w:cstheme="minorEastAsia"/>
          <w:b w:val="0"/>
          <w:bCs w:val="0"/>
          <w:snapToGrid/>
          <w:spacing w:val="0"/>
          <w:kern w:val="21"/>
          <w:sz w:val="24"/>
          <w:szCs w:val="24"/>
          <w:highlight w:val="none"/>
          <w:u w:val="single"/>
        </w:rPr>
        <w:t>00</w:t>
      </w:r>
      <w:r>
        <w:rPr>
          <w:rFonts w:hint="eastAsia" w:asciiTheme="minorEastAsia" w:hAnsiTheme="minorEastAsia" w:eastAsiaTheme="minorEastAsia" w:cstheme="minorEastAsia"/>
          <w:b w:val="0"/>
          <w:bCs w:val="0"/>
          <w:snapToGrid/>
          <w:spacing w:val="0"/>
          <w:kern w:val="21"/>
          <w:sz w:val="24"/>
          <w:szCs w:val="24"/>
          <w:highlight w:val="none"/>
          <w:lang w:bidi="ar"/>
        </w:rPr>
        <w:t>，下午</w:t>
      </w:r>
      <w:r>
        <w:rPr>
          <w:rFonts w:hint="eastAsia" w:asciiTheme="minorEastAsia" w:hAnsiTheme="minorEastAsia" w:eastAsiaTheme="minorEastAsia" w:cstheme="minorEastAsia"/>
          <w:b w:val="0"/>
          <w:bCs w:val="0"/>
          <w:snapToGrid/>
          <w:spacing w:val="0"/>
          <w:kern w:val="21"/>
          <w:sz w:val="24"/>
          <w:szCs w:val="24"/>
          <w:highlight w:val="none"/>
          <w:u w:val="single"/>
        </w:rPr>
        <w:t>12</w:t>
      </w:r>
      <w:r>
        <w:rPr>
          <w:rFonts w:hint="eastAsia" w:asciiTheme="minorEastAsia" w:hAnsiTheme="minorEastAsia" w:eastAsiaTheme="minorEastAsia" w:cstheme="minorEastAsia"/>
          <w:b w:val="0"/>
          <w:bCs w:val="0"/>
          <w:snapToGrid/>
          <w:spacing w:val="0"/>
          <w:kern w:val="21"/>
          <w:sz w:val="24"/>
          <w:szCs w:val="24"/>
          <w:highlight w:val="none"/>
          <w:u w:val="single"/>
          <w:lang w:eastAsia="zh-CN"/>
        </w:rPr>
        <w:t>：</w:t>
      </w:r>
      <w:r>
        <w:rPr>
          <w:rFonts w:hint="eastAsia" w:asciiTheme="minorEastAsia" w:hAnsiTheme="minorEastAsia" w:eastAsiaTheme="minorEastAsia" w:cstheme="minorEastAsia"/>
          <w:b w:val="0"/>
          <w:bCs w:val="0"/>
          <w:snapToGrid/>
          <w:spacing w:val="0"/>
          <w:kern w:val="21"/>
          <w:sz w:val="24"/>
          <w:szCs w:val="24"/>
          <w:highlight w:val="none"/>
          <w:u w:val="single"/>
        </w:rPr>
        <w:t>00</w:t>
      </w:r>
      <w:r>
        <w:rPr>
          <w:rFonts w:hint="eastAsia" w:asciiTheme="minorEastAsia" w:hAnsiTheme="minorEastAsia" w:eastAsiaTheme="minorEastAsia" w:cstheme="minorEastAsia"/>
          <w:b w:val="0"/>
          <w:bCs w:val="0"/>
          <w:snapToGrid/>
          <w:spacing w:val="0"/>
          <w:kern w:val="21"/>
          <w:sz w:val="24"/>
          <w:szCs w:val="24"/>
          <w:highlight w:val="none"/>
          <w:lang w:bidi="ar"/>
        </w:rPr>
        <w:t>至</w:t>
      </w:r>
      <w:r>
        <w:rPr>
          <w:rFonts w:hint="eastAsia" w:asciiTheme="minorEastAsia" w:hAnsiTheme="minorEastAsia" w:eastAsiaTheme="minorEastAsia" w:cstheme="minorEastAsia"/>
          <w:b w:val="0"/>
          <w:bCs w:val="0"/>
          <w:snapToGrid/>
          <w:spacing w:val="0"/>
          <w:kern w:val="21"/>
          <w:sz w:val="24"/>
          <w:szCs w:val="24"/>
          <w:highlight w:val="none"/>
          <w:u w:val="single"/>
        </w:rPr>
        <w:t>17</w:t>
      </w:r>
      <w:r>
        <w:rPr>
          <w:rFonts w:hint="eastAsia" w:asciiTheme="minorEastAsia" w:hAnsiTheme="minorEastAsia" w:eastAsiaTheme="minorEastAsia" w:cstheme="minorEastAsia"/>
          <w:b w:val="0"/>
          <w:bCs w:val="0"/>
          <w:snapToGrid/>
          <w:spacing w:val="0"/>
          <w:kern w:val="21"/>
          <w:sz w:val="24"/>
          <w:szCs w:val="24"/>
          <w:highlight w:val="none"/>
          <w:u w:val="single"/>
          <w:lang w:eastAsia="zh-CN"/>
        </w:rPr>
        <w:t>：</w:t>
      </w:r>
      <w:r>
        <w:rPr>
          <w:rFonts w:hint="eastAsia" w:asciiTheme="minorEastAsia" w:hAnsiTheme="minorEastAsia" w:eastAsiaTheme="minorEastAsia" w:cstheme="minorEastAsia"/>
          <w:b w:val="0"/>
          <w:bCs w:val="0"/>
          <w:snapToGrid/>
          <w:spacing w:val="0"/>
          <w:kern w:val="21"/>
          <w:sz w:val="24"/>
          <w:szCs w:val="24"/>
          <w:highlight w:val="none"/>
          <w:u w:val="single"/>
        </w:rPr>
        <w:t>00</w:t>
      </w:r>
      <w:r>
        <w:rPr>
          <w:rFonts w:hint="eastAsia" w:asciiTheme="minorEastAsia" w:hAnsiTheme="minorEastAsia" w:eastAsiaTheme="minorEastAsia" w:cstheme="minorEastAsia"/>
          <w:b w:val="0"/>
          <w:bCs w:val="0"/>
          <w:snapToGrid/>
          <w:spacing w:val="0"/>
          <w:kern w:val="21"/>
          <w:sz w:val="24"/>
          <w:szCs w:val="24"/>
          <w:highlight w:val="none"/>
          <w:lang w:bidi="ar"/>
        </w:rPr>
        <w:t>（北京时间）。</w:t>
      </w:r>
    </w:p>
    <w:p w14:paraId="00594C8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2.地点：北京市政府采购电子交易平台（http</w:t>
      </w:r>
      <w:r>
        <w:rPr>
          <w:rFonts w:hint="eastAsia" w:asciiTheme="minorEastAsia" w:hAnsiTheme="minorEastAsia" w:eastAsiaTheme="minorEastAsia" w:cstheme="minorEastAsia"/>
          <w:b w:val="0"/>
          <w:bCs w:val="0"/>
          <w:snapToGrid/>
          <w:spacing w:val="0"/>
          <w:kern w:val="21"/>
          <w:sz w:val="24"/>
          <w:szCs w:val="24"/>
          <w:highlight w:val="none"/>
          <w:lang w:eastAsia="zh-CN" w:bidi="ar"/>
        </w:rPr>
        <w:t>：</w:t>
      </w:r>
      <w:r>
        <w:rPr>
          <w:rFonts w:hint="eastAsia" w:asciiTheme="minorEastAsia" w:hAnsiTheme="minorEastAsia" w:eastAsiaTheme="minorEastAsia" w:cstheme="minorEastAsia"/>
          <w:b w:val="0"/>
          <w:bCs w:val="0"/>
          <w:snapToGrid/>
          <w:spacing w:val="0"/>
          <w:kern w:val="21"/>
          <w:sz w:val="24"/>
          <w:szCs w:val="24"/>
          <w:highlight w:val="none"/>
          <w:lang w:bidi="ar"/>
        </w:rPr>
        <w:t>//zbcg-bjzc.zhongcy.com/bjczj-portal-site/index.html#/home）</w:t>
      </w:r>
    </w:p>
    <w:p w14:paraId="1347960E">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3.方式：供应商使用CA数字证书或电子营业执照登录北京市政府采购电子交易平</w:t>
      </w:r>
    </w:p>
    <w:p w14:paraId="6478C21E">
      <w:pPr>
        <w:keepNext w:val="0"/>
        <w:keepLines w:val="0"/>
        <w:pageBreakBefore w:val="0"/>
        <w:widowControl w:val="0"/>
        <w:kinsoku/>
        <w:wordWrap w:val="0"/>
        <w:overflowPunct/>
        <w:topLinePunct/>
        <w:autoSpaceDE/>
        <w:autoSpaceDN/>
        <w:bidi w:val="0"/>
        <w:adjustRightInd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台（http</w:t>
      </w:r>
      <w:r>
        <w:rPr>
          <w:rFonts w:hint="eastAsia" w:asciiTheme="minorEastAsia" w:hAnsiTheme="minorEastAsia" w:eastAsiaTheme="minorEastAsia" w:cstheme="minorEastAsia"/>
          <w:b w:val="0"/>
          <w:bCs w:val="0"/>
          <w:snapToGrid/>
          <w:spacing w:val="0"/>
          <w:kern w:val="21"/>
          <w:sz w:val="24"/>
          <w:szCs w:val="24"/>
          <w:highlight w:val="none"/>
          <w:lang w:eastAsia="zh-CN" w:bidi="ar"/>
        </w:rPr>
        <w:t>：</w:t>
      </w:r>
      <w:r>
        <w:rPr>
          <w:rFonts w:hint="eastAsia" w:asciiTheme="minorEastAsia" w:hAnsiTheme="minorEastAsia" w:eastAsiaTheme="minorEastAsia" w:cstheme="minorEastAsia"/>
          <w:b w:val="0"/>
          <w:bCs w:val="0"/>
          <w:snapToGrid/>
          <w:spacing w:val="0"/>
          <w:kern w:val="21"/>
          <w:sz w:val="24"/>
          <w:szCs w:val="24"/>
          <w:highlight w:val="none"/>
          <w:lang w:bidi="ar"/>
        </w:rPr>
        <w:t>//zbcg-bjzc.zhongcy.com/bjczj-portal-site/index.html#/home）获取电子版竞争性磋商文件。</w:t>
      </w:r>
    </w:p>
    <w:p w14:paraId="0CB9B81C">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4.售价：0元。</w:t>
      </w:r>
    </w:p>
    <w:p w14:paraId="60C28414">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bookmarkStart w:id="16" w:name="_Toc28359005"/>
      <w:bookmarkStart w:id="17" w:name="_Toc28359082"/>
      <w:bookmarkStart w:id="18" w:name="_Toc35393793"/>
      <w:bookmarkStart w:id="19" w:name="_Toc35393624"/>
      <w:r>
        <w:rPr>
          <w:rFonts w:hint="eastAsia" w:asciiTheme="minorEastAsia" w:hAnsiTheme="minorEastAsia" w:eastAsiaTheme="minorEastAsia" w:cstheme="minorEastAsia"/>
          <w:b w:val="0"/>
          <w:bCs w:val="0"/>
          <w:snapToGrid/>
          <w:spacing w:val="0"/>
          <w:kern w:val="21"/>
          <w:sz w:val="24"/>
          <w:szCs w:val="24"/>
          <w:highlight w:val="none"/>
        </w:rPr>
        <w:t>四、</w:t>
      </w:r>
      <w:bookmarkEnd w:id="16"/>
      <w:bookmarkEnd w:id="17"/>
      <w:bookmarkEnd w:id="18"/>
      <w:bookmarkEnd w:id="19"/>
      <w:r>
        <w:rPr>
          <w:rFonts w:hint="eastAsia" w:asciiTheme="minorEastAsia" w:hAnsiTheme="minorEastAsia" w:eastAsiaTheme="minorEastAsia" w:cstheme="minorEastAsia"/>
          <w:b w:val="0"/>
          <w:bCs w:val="0"/>
          <w:snapToGrid/>
          <w:spacing w:val="0"/>
          <w:kern w:val="21"/>
          <w:sz w:val="24"/>
          <w:szCs w:val="24"/>
          <w:highlight w:val="none"/>
        </w:rPr>
        <w:t>响应文件提交</w:t>
      </w:r>
    </w:p>
    <w:p w14:paraId="6CC58485">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lang w:bidi="ar"/>
        </w:rPr>
        <w:t>截止时间：</w:t>
      </w:r>
      <w:r>
        <w:rPr>
          <w:rFonts w:hint="eastAsia" w:asciiTheme="minorEastAsia" w:hAnsiTheme="minorEastAsia" w:eastAsiaTheme="minorEastAsia" w:cstheme="minorEastAsia"/>
          <w:b w:val="0"/>
          <w:bCs w:val="0"/>
          <w:snapToGrid/>
          <w:spacing w:val="0"/>
          <w:kern w:val="21"/>
          <w:sz w:val="24"/>
          <w:szCs w:val="24"/>
          <w:highlight w:val="none"/>
          <w:u w:val="single"/>
        </w:rPr>
        <w:t>202</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6</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10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30 </w:t>
      </w:r>
      <w:r>
        <w:rPr>
          <w:rFonts w:hint="eastAsia" w:asciiTheme="minorEastAsia" w:hAnsiTheme="minorEastAsia" w:eastAsiaTheme="minorEastAsia" w:cstheme="minorEastAsia"/>
          <w:b w:val="0"/>
          <w:bCs w:val="0"/>
          <w:snapToGrid/>
          <w:spacing w:val="0"/>
          <w:kern w:val="21"/>
          <w:sz w:val="24"/>
          <w:szCs w:val="24"/>
          <w:highlight w:val="none"/>
          <w:lang w:bidi="ar"/>
        </w:rPr>
        <w:t>日</w:t>
      </w:r>
      <w:r>
        <w:rPr>
          <w:rFonts w:hint="eastAsia" w:asciiTheme="minorEastAsia" w:hAnsiTheme="minorEastAsia" w:eastAsiaTheme="minorEastAsia" w:cstheme="minorEastAsia"/>
          <w:b w:val="0"/>
          <w:bCs w:val="0"/>
          <w:snapToGrid/>
          <w:spacing w:val="0"/>
          <w:kern w:val="21"/>
          <w:sz w:val="24"/>
          <w:szCs w:val="24"/>
          <w:highlight w:val="none"/>
          <w:u w:val="single"/>
          <w:lang w:bidi="ar"/>
        </w:rPr>
        <w:t>09</w:t>
      </w:r>
      <w:r>
        <w:rPr>
          <w:rFonts w:hint="eastAsia" w:asciiTheme="minorEastAsia" w:hAnsiTheme="minorEastAsia" w:eastAsiaTheme="minorEastAsia" w:cstheme="minorEastAsia"/>
          <w:b w:val="0"/>
          <w:bCs w:val="0"/>
          <w:snapToGrid/>
          <w:spacing w:val="0"/>
          <w:kern w:val="21"/>
          <w:sz w:val="24"/>
          <w:szCs w:val="24"/>
          <w:highlight w:val="none"/>
          <w:lang w:bidi="ar"/>
        </w:rPr>
        <w:t>点</w:t>
      </w:r>
      <w:r>
        <w:rPr>
          <w:rFonts w:hint="eastAsia" w:asciiTheme="minorEastAsia" w:hAnsiTheme="minorEastAsia" w:eastAsiaTheme="minorEastAsia" w:cstheme="minorEastAsia"/>
          <w:b w:val="0"/>
          <w:bCs w:val="0"/>
          <w:snapToGrid/>
          <w:spacing w:val="0"/>
          <w:kern w:val="21"/>
          <w:sz w:val="24"/>
          <w:szCs w:val="24"/>
          <w:highlight w:val="none"/>
          <w:u w:val="single"/>
          <w:lang w:bidi="ar"/>
        </w:rPr>
        <w:t>30</w:t>
      </w:r>
      <w:r>
        <w:rPr>
          <w:rFonts w:hint="eastAsia" w:asciiTheme="minorEastAsia" w:hAnsiTheme="minorEastAsia" w:eastAsiaTheme="minorEastAsia" w:cstheme="minorEastAsia"/>
          <w:b w:val="0"/>
          <w:bCs w:val="0"/>
          <w:snapToGrid/>
          <w:spacing w:val="0"/>
          <w:kern w:val="21"/>
          <w:sz w:val="24"/>
          <w:szCs w:val="24"/>
          <w:highlight w:val="none"/>
          <w:lang w:bidi="ar"/>
        </w:rPr>
        <w:t>分（北京时间）</w:t>
      </w:r>
      <w:r>
        <w:rPr>
          <w:rFonts w:hint="eastAsia" w:asciiTheme="minorEastAsia" w:hAnsiTheme="minorEastAsia" w:eastAsiaTheme="minorEastAsia" w:cstheme="minorEastAsia"/>
          <w:b w:val="0"/>
          <w:bCs w:val="0"/>
          <w:iCs/>
          <w:snapToGrid/>
          <w:spacing w:val="0"/>
          <w:kern w:val="21"/>
          <w:sz w:val="24"/>
          <w:szCs w:val="24"/>
          <w:highlight w:val="none"/>
          <w:lang w:bidi="ar"/>
        </w:rPr>
        <w:t>。</w:t>
      </w:r>
    </w:p>
    <w:p w14:paraId="57E8DE48">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地点：北京市政府采购电子交易平台（http</w:t>
      </w:r>
      <w:r>
        <w:rPr>
          <w:rFonts w:hint="eastAsia" w:asciiTheme="minorEastAsia" w:hAnsiTheme="minorEastAsia" w:eastAsiaTheme="minorEastAsia" w:cstheme="minorEastAsia"/>
          <w:b w:val="0"/>
          <w:bCs w:val="0"/>
          <w:snapToGrid/>
          <w:spacing w:val="0"/>
          <w:kern w:val="21"/>
          <w:sz w:val="24"/>
          <w:szCs w:val="24"/>
          <w:highlight w:val="none"/>
          <w:lang w:eastAsia="zh-CN" w:bidi="ar"/>
        </w:rPr>
        <w:t>：</w:t>
      </w:r>
      <w:r>
        <w:rPr>
          <w:rFonts w:hint="eastAsia" w:asciiTheme="minorEastAsia" w:hAnsiTheme="minorEastAsia" w:eastAsiaTheme="minorEastAsia" w:cstheme="minorEastAsia"/>
          <w:b w:val="0"/>
          <w:bCs w:val="0"/>
          <w:snapToGrid/>
          <w:spacing w:val="0"/>
          <w:kern w:val="21"/>
          <w:sz w:val="24"/>
          <w:szCs w:val="24"/>
          <w:highlight w:val="none"/>
          <w:lang w:bidi="ar"/>
        </w:rPr>
        <w:t>//zbcg-bjzc.zhongcy.com/bjczj-portal-site/#/home）</w:t>
      </w:r>
    </w:p>
    <w:p w14:paraId="19D60BE4">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五、开启</w:t>
      </w:r>
    </w:p>
    <w:p w14:paraId="209DEE57">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lang w:bidi="ar"/>
        </w:rPr>
        <w:t>时间：</w:t>
      </w:r>
      <w:r>
        <w:rPr>
          <w:rFonts w:hint="eastAsia" w:asciiTheme="minorEastAsia" w:hAnsiTheme="minorEastAsia" w:eastAsiaTheme="minorEastAsia" w:cstheme="minorEastAsia"/>
          <w:b w:val="0"/>
          <w:bCs w:val="0"/>
          <w:snapToGrid/>
          <w:spacing w:val="0"/>
          <w:kern w:val="21"/>
          <w:sz w:val="24"/>
          <w:szCs w:val="24"/>
          <w:highlight w:val="none"/>
          <w:u w:val="single"/>
        </w:rPr>
        <w:t>202</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6</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10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bidi="ar"/>
        </w:rPr>
        <w:t xml:space="preserve"> 30 </w:t>
      </w:r>
      <w:r>
        <w:rPr>
          <w:rFonts w:hint="eastAsia" w:asciiTheme="minorEastAsia" w:hAnsiTheme="minorEastAsia" w:eastAsiaTheme="minorEastAsia" w:cstheme="minorEastAsia"/>
          <w:b w:val="0"/>
          <w:bCs w:val="0"/>
          <w:snapToGrid/>
          <w:spacing w:val="0"/>
          <w:kern w:val="21"/>
          <w:sz w:val="24"/>
          <w:szCs w:val="24"/>
          <w:highlight w:val="none"/>
          <w:lang w:bidi="ar"/>
        </w:rPr>
        <w:t>日</w:t>
      </w:r>
      <w:r>
        <w:rPr>
          <w:rFonts w:hint="eastAsia" w:asciiTheme="minorEastAsia" w:hAnsiTheme="minorEastAsia" w:eastAsiaTheme="minorEastAsia" w:cstheme="minorEastAsia"/>
          <w:b w:val="0"/>
          <w:bCs w:val="0"/>
          <w:snapToGrid/>
          <w:spacing w:val="0"/>
          <w:kern w:val="21"/>
          <w:sz w:val="24"/>
          <w:szCs w:val="24"/>
          <w:highlight w:val="none"/>
          <w:u w:val="single"/>
          <w:lang w:bidi="ar"/>
        </w:rPr>
        <w:t>09</w:t>
      </w:r>
      <w:r>
        <w:rPr>
          <w:rFonts w:hint="eastAsia" w:asciiTheme="minorEastAsia" w:hAnsiTheme="minorEastAsia" w:eastAsiaTheme="minorEastAsia" w:cstheme="minorEastAsia"/>
          <w:b w:val="0"/>
          <w:bCs w:val="0"/>
          <w:snapToGrid/>
          <w:spacing w:val="0"/>
          <w:kern w:val="21"/>
          <w:sz w:val="24"/>
          <w:szCs w:val="24"/>
          <w:highlight w:val="none"/>
          <w:lang w:bidi="ar"/>
        </w:rPr>
        <w:t>点</w:t>
      </w:r>
      <w:r>
        <w:rPr>
          <w:rFonts w:hint="eastAsia" w:asciiTheme="minorEastAsia" w:hAnsiTheme="minorEastAsia" w:eastAsiaTheme="minorEastAsia" w:cstheme="minorEastAsia"/>
          <w:b w:val="0"/>
          <w:bCs w:val="0"/>
          <w:snapToGrid/>
          <w:spacing w:val="0"/>
          <w:kern w:val="21"/>
          <w:sz w:val="24"/>
          <w:szCs w:val="24"/>
          <w:highlight w:val="none"/>
          <w:u w:val="single"/>
          <w:lang w:bidi="ar"/>
        </w:rPr>
        <w:t>30</w:t>
      </w:r>
      <w:r>
        <w:rPr>
          <w:rFonts w:hint="eastAsia" w:asciiTheme="minorEastAsia" w:hAnsiTheme="minorEastAsia" w:eastAsiaTheme="minorEastAsia" w:cstheme="minorEastAsia"/>
          <w:b w:val="0"/>
          <w:bCs w:val="0"/>
          <w:snapToGrid/>
          <w:spacing w:val="0"/>
          <w:kern w:val="21"/>
          <w:sz w:val="24"/>
          <w:szCs w:val="24"/>
          <w:highlight w:val="none"/>
          <w:lang w:bidi="ar"/>
        </w:rPr>
        <w:t>分（北京时间）</w:t>
      </w:r>
      <w:r>
        <w:rPr>
          <w:rFonts w:hint="eastAsia" w:asciiTheme="minorEastAsia" w:hAnsiTheme="minorEastAsia" w:eastAsiaTheme="minorEastAsia" w:cstheme="minorEastAsia"/>
          <w:b w:val="0"/>
          <w:bCs w:val="0"/>
          <w:iCs/>
          <w:snapToGrid/>
          <w:spacing w:val="0"/>
          <w:kern w:val="21"/>
          <w:sz w:val="24"/>
          <w:szCs w:val="24"/>
          <w:highlight w:val="none"/>
          <w:lang w:bidi="ar"/>
        </w:rPr>
        <w:t>。</w:t>
      </w:r>
    </w:p>
    <w:p w14:paraId="76505143">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地点：北京市政府采购电子交易平台（http</w:t>
      </w:r>
      <w:r>
        <w:rPr>
          <w:rFonts w:hint="eastAsia" w:asciiTheme="minorEastAsia" w:hAnsiTheme="minorEastAsia" w:eastAsiaTheme="minorEastAsia" w:cstheme="minorEastAsia"/>
          <w:b w:val="0"/>
          <w:bCs w:val="0"/>
          <w:snapToGrid/>
          <w:spacing w:val="0"/>
          <w:kern w:val="21"/>
          <w:sz w:val="24"/>
          <w:szCs w:val="24"/>
          <w:highlight w:val="none"/>
          <w:lang w:eastAsia="zh-CN" w:bidi="ar"/>
        </w:rPr>
        <w:t>：</w:t>
      </w:r>
      <w:r>
        <w:rPr>
          <w:rFonts w:hint="eastAsia" w:asciiTheme="minorEastAsia" w:hAnsiTheme="minorEastAsia" w:eastAsiaTheme="minorEastAsia" w:cstheme="minorEastAsia"/>
          <w:b w:val="0"/>
          <w:bCs w:val="0"/>
          <w:snapToGrid/>
          <w:spacing w:val="0"/>
          <w:kern w:val="21"/>
          <w:sz w:val="24"/>
          <w:szCs w:val="24"/>
          <w:highlight w:val="none"/>
          <w:lang w:bidi="ar"/>
        </w:rPr>
        <w:t>//zbcg-bjzc.zhongcy.com/bjczj-portal-site/#/home）</w:t>
      </w:r>
    </w:p>
    <w:p w14:paraId="06D72B7E">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bookmarkStart w:id="20" w:name="_Toc28359084"/>
      <w:bookmarkStart w:id="21" w:name="_Toc35393625"/>
      <w:bookmarkStart w:id="22" w:name="_Toc35393794"/>
      <w:bookmarkStart w:id="23" w:name="_Toc28359007"/>
      <w:r>
        <w:rPr>
          <w:rFonts w:hint="eastAsia" w:asciiTheme="minorEastAsia" w:hAnsiTheme="minorEastAsia" w:eastAsiaTheme="minorEastAsia" w:cstheme="minorEastAsia"/>
          <w:b w:val="0"/>
          <w:bCs w:val="0"/>
          <w:snapToGrid/>
          <w:spacing w:val="0"/>
          <w:kern w:val="21"/>
          <w:sz w:val="24"/>
          <w:szCs w:val="24"/>
          <w:highlight w:val="none"/>
        </w:rPr>
        <w:t>六、公告期限</w:t>
      </w:r>
      <w:bookmarkEnd w:id="20"/>
      <w:bookmarkEnd w:id="21"/>
      <w:bookmarkEnd w:id="22"/>
      <w:bookmarkEnd w:id="23"/>
    </w:p>
    <w:p w14:paraId="72D55943">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自本公告发布之日起</w:t>
      </w:r>
      <w:r>
        <w:rPr>
          <w:rFonts w:hint="eastAsia" w:asciiTheme="minorEastAsia" w:hAnsiTheme="minorEastAsia" w:eastAsiaTheme="minorEastAsia" w:cstheme="minorEastAsia"/>
          <w:b w:val="0"/>
          <w:bCs w:val="0"/>
          <w:snapToGrid/>
          <w:spacing w:val="0"/>
          <w:kern w:val="21"/>
          <w:sz w:val="24"/>
          <w:szCs w:val="24"/>
          <w:highlight w:val="none"/>
          <w:lang w:val="en-US" w:eastAsia="zh-CN"/>
        </w:rPr>
        <w:t>3</w:t>
      </w:r>
      <w:r>
        <w:rPr>
          <w:rFonts w:hint="eastAsia" w:asciiTheme="minorEastAsia" w:hAnsiTheme="minorEastAsia" w:eastAsiaTheme="minorEastAsia" w:cstheme="minorEastAsia"/>
          <w:b w:val="0"/>
          <w:bCs w:val="0"/>
          <w:snapToGrid/>
          <w:spacing w:val="0"/>
          <w:kern w:val="21"/>
          <w:sz w:val="24"/>
          <w:szCs w:val="24"/>
          <w:highlight w:val="none"/>
        </w:rPr>
        <w:t>个工作日。</w:t>
      </w:r>
    </w:p>
    <w:p w14:paraId="4FD99C75">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bookmarkStart w:id="24" w:name="_Toc35393626"/>
      <w:bookmarkStart w:id="25" w:name="_Toc35393795"/>
      <w:r>
        <w:rPr>
          <w:rFonts w:hint="eastAsia" w:asciiTheme="minorEastAsia" w:hAnsiTheme="minorEastAsia" w:eastAsiaTheme="minorEastAsia" w:cstheme="minorEastAsia"/>
          <w:b w:val="0"/>
          <w:bCs w:val="0"/>
          <w:snapToGrid/>
          <w:spacing w:val="0"/>
          <w:kern w:val="21"/>
          <w:sz w:val="24"/>
          <w:szCs w:val="24"/>
          <w:highlight w:val="none"/>
        </w:rPr>
        <w:t>七、其他补充事宜</w:t>
      </w:r>
      <w:bookmarkEnd w:id="24"/>
      <w:bookmarkEnd w:id="25"/>
    </w:p>
    <w:p w14:paraId="1DB85B0B">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1.本项目需要落实的政府采购政策：</w:t>
      </w:r>
    </w:p>
    <w:p w14:paraId="31E199FB">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1）执行《财政部发展改革委关于印发《节能产品政府采购品目清单》的通知》（财库[2019]19号）；</w:t>
      </w:r>
    </w:p>
    <w:p w14:paraId="3342F72D">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2）执行《财政部生态环境部关于印发《环境标志产品政府采购品目清单》的通知（财库[2019]18号）；</w:t>
      </w:r>
    </w:p>
    <w:p w14:paraId="54642F7A">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3）执行财政部、工业和信息化部关于印发《政府采购促进中小企业发展管理办法》的通知财库〔2020〕46号；</w:t>
      </w:r>
    </w:p>
    <w:p w14:paraId="28CB3875">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4）执行《财政部、司法部关于政府采购支持监狱企业发展有关问题的通知》（财库[2014]68号）；</w:t>
      </w:r>
    </w:p>
    <w:p w14:paraId="6941185D">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5</w:t>
      </w:r>
      <w:r>
        <w:rPr>
          <w:rFonts w:hint="eastAsia" w:asciiTheme="minorEastAsia" w:hAnsiTheme="minorEastAsia" w:eastAsiaTheme="minorEastAsia" w:cstheme="minorEastAsia"/>
          <w:b w:val="0"/>
          <w:bCs w:val="0"/>
          <w:snapToGrid/>
          <w:spacing w:val="0"/>
          <w:kern w:val="21"/>
          <w:sz w:val="24"/>
          <w:szCs w:val="24"/>
          <w:highlight w:val="none"/>
        </w:rPr>
        <w:t>）执行《关于促进残疾人就业政府采购政策的通知》（财库〔2017〕141号）；</w:t>
      </w:r>
    </w:p>
    <w:p w14:paraId="78E2C6A4">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6</w:t>
      </w:r>
      <w:r>
        <w:rPr>
          <w:rFonts w:hint="eastAsia" w:asciiTheme="minorEastAsia" w:hAnsiTheme="minorEastAsia" w:eastAsiaTheme="minorEastAsia" w:cstheme="minorEastAsia"/>
          <w:b w:val="0"/>
          <w:bCs w:val="0"/>
          <w:snapToGrid/>
          <w:spacing w:val="0"/>
          <w:kern w:val="21"/>
          <w:sz w:val="24"/>
          <w:szCs w:val="24"/>
          <w:highlight w:val="none"/>
        </w:rPr>
        <w:t>）执行《财政部关于在政府采购活动中查询及使用信用记录有关问题的通知》（财库[2016]125号）等相关政策。</w:t>
      </w:r>
    </w:p>
    <w:p w14:paraId="28C17427">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7</w:t>
      </w:r>
      <w:r>
        <w:rPr>
          <w:rFonts w:hint="eastAsia" w:asciiTheme="minorEastAsia" w:hAnsiTheme="minorEastAsia" w:eastAsiaTheme="minorEastAsia" w:cstheme="minorEastAsia"/>
          <w:b w:val="0"/>
          <w:bCs w:val="0"/>
          <w:snapToGrid/>
          <w:spacing w:val="0"/>
          <w:kern w:val="21"/>
          <w:sz w:val="24"/>
          <w:szCs w:val="24"/>
          <w:highlight w:val="none"/>
        </w:rPr>
        <w:t>）执行《北京市财政局关于落实好政府采购支持中小企业发展的通知》（京财〔2022〕1143号）。</w:t>
      </w:r>
    </w:p>
    <w:p w14:paraId="5B3D104E">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8</w:t>
      </w:r>
      <w:r>
        <w:rPr>
          <w:rFonts w:hint="eastAsia" w:asciiTheme="minorEastAsia" w:hAnsiTheme="minorEastAsia" w:eastAsiaTheme="minorEastAsia" w:cstheme="minorEastAsia"/>
          <w:b w:val="0"/>
          <w:bCs w:val="0"/>
          <w:snapToGrid/>
          <w:spacing w:val="0"/>
          <w:kern w:val="21"/>
          <w:sz w:val="24"/>
          <w:szCs w:val="24"/>
          <w:highlight w:val="none"/>
        </w:rPr>
        <w:t>）执行《关于进一步加大政府采购支持中小企业力度的通知》（财库〔2022〕19号）。</w:t>
      </w:r>
    </w:p>
    <w:p w14:paraId="3F7DCA3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2735544">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CA数字证书服务热线</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010-58511086</w:t>
      </w:r>
    </w:p>
    <w:p w14:paraId="41D09F7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电子营业执照服务热线</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400-699-7000</w:t>
      </w:r>
    </w:p>
    <w:p w14:paraId="74EE8CF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 xml:space="preserve">技术支持服务热线  </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bidi="ar"/>
        </w:rPr>
        <w:t xml:space="preserve"> 010-86483801</w:t>
      </w:r>
    </w:p>
    <w:p w14:paraId="43BDD7A5">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2.1办理 CA 数字证书或电子营业执照</w:t>
      </w:r>
    </w:p>
    <w:p w14:paraId="4DCC0D4B">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供应商登录北京市政府采购电子交易平台查阅 “用户指南”—“操作指南”—“市场主体CA办理操作流程指引”/“电子营业执照使用指南”，按照程序要求办理。</w:t>
      </w:r>
    </w:p>
    <w:p w14:paraId="246B0A47">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2.2注册</w:t>
      </w:r>
    </w:p>
    <w:p w14:paraId="3230E09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供应商登录北京市政府采购电子交易平台“用户指南”—“操作指南”—“市场主体注册入库操作流程指引”进行自助注册绑定。</w:t>
      </w:r>
    </w:p>
    <w:p w14:paraId="2ACD9E49">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2.3驱动、客户端下载</w:t>
      </w:r>
    </w:p>
    <w:p w14:paraId="2CA1E06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供应商登录北京市政府采购电子交易平台“用户指南”—“工具下载”—“招标采购系统文件驱动安装包”下载相关驱动。</w:t>
      </w:r>
    </w:p>
    <w:p w14:paraId="7A46C06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供应商登录北京市政府采购电子交易平台“用户指南”—“工具下载”—“投标文件编制工具”下载相关客户端。</w:t>
      </w:r>
    </w:p>
    <w:p w14:paraId="4E26DBB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2.4获取电子竞争性磋商文件</w:t>
      </w:r>
    </w:p>
    <w:p w14:paraId="598A14D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供应商使用CA数字证书或电子营业执照登录北京市政府采购电子交易平台获取电子竞争性磋商文件。</w:t>
      </w:r>
    </w:p>
    <w:p w14:paraId="6F03E24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6BE5EE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2.5编制电子响应文件</w:t>
      </w:r>
    </w:p>
    <w:p w14:paraId="4A01C64B">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036CC1EB">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val="zh-TW" w:bidi="ar"/>
        </w:rPr>
      </w:pPr>
      <w:r>
        <w:rPr>
          <w:rFonts w:hint="eastAsia" w:asciiTheme="minorEastAsia" w:hAnsiTheme="minorEastAsia" w:eastAsiaTheme="minorEastAsia" w:cstheme="minorEastAsia"/>
          <w:b w:val="0"/>
          <w:bCs w:val="0"/>
          <w:snapToGrid/>
          <w:spacing w:val="0"/>
          <w:kern w:val="21"/>
          <w:sz w:val="24"/>
          <w:szCs w:val="24"/>
          <w:highlight w:val="none"/>
          <w:lang w:bidi="ar"/>
        </w:rPr>
        <w:t>2</w:t>
      </w:r>
      <w:r>
        <w:rPr>
          <w:rFonts w:hint="eastAsia" w:asciiTheme="minorEastAsia" w:hAnsiTheme="minorEastAsia" w:eastAsiaTheme="minorEastAsia" w:cstheme="minorEastAsia"/>
          <w:b w:val="0"/>
          <w:bCs w:val="0"/>
          <w:snapToGrid/>
          <w:spacing w:val="0"/>
          <w:kern w:val="21"/>
          <w:sz w:val="24"/>
          <w:szCs w:val="24"/>
          <w:highlight w:val="none"/>
          <w:lang w:val="zh-TW" w:eastAsia="zh-TW" w:bidi="ar"/>
        </w:rPr>
        <w:t>.6</w:t>
      </w:r>
      <w:r>
        <w:rPr>
          <w:rFonts w:hint="eastAsia" w:asciiTheme="minorEastAsia" w:hAnsiTheme="minorEastAsia" w:eastAsiaTheme="minorEastAsia" w:cstheme="minorEastAsia"/>
          <w:b w:val="0"/>
          <w:bCs w:val="0"/>
          <w:snapToGrid/>
          <w:spacing w:val="0"/>
          <w:kern w:val="21"/>
          <w:sz w:val="24"/>
          <w:szCs w:val="24"/>
          <w:highlight w:val="none"/>
          <w:lang w:val="zh-TW" w:bidi="ar"/>
        </w:rPr>
        <w:t>递交电子响应文件</w:t>
      </w:r>
    </w:p>
    <w:p w14:paraId="054462E4">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供应商应于</w:t>
      </w:r>
      <w:r>
        <w:rPr>
          <w:rFonts w:hint="eastAsia" w:asciiTheme="minorEastAsia" w:hAnsiTheme="minorEastAsia" w:eastAsiaTheme="minorEastAsia" w:cstheme="minorEastAsia"/>
          <w:b w:val="0"/>
          <w:bCs w:val="0"/>
          <w:snapToGrid/>
          <w:spacing w:val="0"/>
          <w:kern w:val="21"/>
          <w:sz w:val="24"/>
          <w:szCs w:val="24"/>
          <w:highlight w:val="none"/>
        </w:rPr>
        <w:t>响应文件提交</w:t>
      </w:r>
      <w:r>
        <w:rPr>
          <w:rFonts w:hint="eastAsia" w:asciiTheme="minorEastAsia" w:hAnsiTheme="minorEastAsia" w:eastAsiaTheme="minorEastAsia" w:cstheme="minorEastAsia"/>
          <w:b w:val="0"/>
          <w:bCs w:val="0"/>
          <w:snapToGrid/>
          <w:spacing w:val="0"/>
          <w:kern w:val="21"/>
          <w:sz w:val="24"/>
          <w:szCs w:val="24"/>
          <w:highlight w:val="none"/>
          <w:lang w:bidi="ar"/>
        </w:rPr>
        <w:t>截止时间前在平台提交电子响应文件，上传电子响应文件过程中请保持与互联网的连接畅通。</w:t>
      </w:r>
    </w:p>
    <w:p w14:paraId="1EE0A9DA">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eastAsia="zh-TW"/>
        </w:rPr>
      </w:pPr>
      <w:r>
        <w:rPr>
          <w:rFonts w:hint="eastAsia" w:asciiTheme="minorEastAsia" w:hAnsiTheme="minorEastAsia" w:eastAsiaTheme="minorEastAsia" w:cstheme="minorEastAsia"/>
          <w:b w:val="0"/>
          <w:bCs w:val="0"/>
          <w:snapToGrid/>
          <w:spacing w:val="0"/>
          <w:kern w:val="21"/>
          <w:sz w:val="24"/>
          <w:szCs w:val="24"/>
          <w:highlight w:val="none"/>
          <w:lang w:bidi="ar"/>
        </w:rPr>
        <w:t>2</w:t>
      </w:r>
      <w:r>
        <w:rPr>
          <w:rFonts w:hint="eastAsia" w:asciiTheme="minorEastAsia" w:hAnsiTheme="minorEastAsia" w:eastAsiaTheme="minorEastAsia" w:cstheme="minorEastAsia"/>
          <w:b w:val="0"/>
          <w:bCs w:val="0"/>
          <w:snapToGrid/>
          <w:spacing w:val="0"/>
          <w:kern w:val="21"/>
          <w:sz w:val="24"/>
          <w:szCs w:val="24"/>
          <w:highlight w:val="none"/>
          <w:lang w:val="zh-TW" w:bidi="ar"/>
        </w:rPr>
        <w:t>.</w:t>
      </w:r>
      <w:r>
        <w:rPr>
          <w:rFonts w:hint="eastAsia" w:asciiTheme="minorEastAsia" w:hAnsiTheme="minorEastAsia" w:eastAsiaTheme="minorEastAsia" w:cstheme="minorEastAsia"/>
          <w:b w:val="0"/>
          <w:bCs w:val="0"/>
          <w:snapToGrid/>
          <w:spacing w:val="0"/>
          <w:kern w:val="21"/>
          <w:sz w:val="24"/>
          <w:szCs w:val="24"/>
          <w:highlight w:val="none"/>
          <w:lang w:val="zh-TW" w:eastAsia="zh-TW" w:bidi="ar"/>
        </w:rPr>
        <w:t>7</w:t>
      </w:r>
      <w:r>
        <w:rPr>
          <w:rFonts w:hint="eastAsia" w:asciiTheme="minorEastAsia" w:hAnsiTheme="minorEastAsia" w:eastAsiaTheme="minorEastAsia" w:cstheme="minorEastAsia"/>
          <w:b w:val="0"/>
          <w:bCs w:val="0"/>
          <w:snapToGrid/>
          <w:spacing w:val="0"/>
          <w:kern w:val="21"/>
          <w:sz w:val="24"/>
          <w:szCs w:val="24"/>
          <w:highlight w:val="none"/>
          <w:lang w:val="zh-TW" w:bidi="ar"/>
        </w:rPr>
        <w:t>开启响应文件</w:t>
      </w:r>
    </w:p>
    <w:p w14:paraId="1438CC8C">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rPr>
        <w:t>供应商于</w:t>
      </w:r>
      <w:r>
        <w:rPr>
          <w:rFonts w:hint="eastAsia" w:asciiTheme="minorEastAsia" w:hAnsiTheme="minorEastAsia" w:eastAsiaTheme="minorEastAsia" w:cstheme="minorEastAsia"/>
          <w:b w:val="0"/>
          <w:bCs w:val="0"/>
          <w:snapToGrid/>
          <w:spacing w:val="0"/>
          <w:kern w:val="21"/>
          <w:sz w:val="24"/>
          <w:szCs w:val="24"/>
          <w:highlight w:val="none"/>
          <w:lang w:val="zh-TW" w:eastAsia="zh-CN" w:bidi="ar"/>
        </w:rPr>
        <w:t>竞争性磋商</w:t>
      </w:r>
      <w:r>
        <w:rPr>
          <w:rFonts w:hint="eastAsia" w:asciiTheme="minorEastAsia" w:hAnsiTheme="minorEastAsia" w:eastAsiaTheme="minorEastAsia" w:cstheme="minorEastAsia"/>
          <w:b w:val="0"/>
          <w:bCs w:val="0"/>
          <w:snapToGrid/>
          <w:spacing w:val="0"/>
          <w:kern w:val="21"/>
          <w:sz w:val="24"/>
          <w:szCs w:val="24"/>
          <w:highlight w:val="none"/>
          <w:lang w:val="zh-TW" w:bidi="ar"/>
        </w:rPr>
        <w:t>规定的开启时间、在开启地点使用</w:t>
      </w:r>
      <w:r>
        <w:rPr>
          <w:rFonts w:hint="eastAsia" w:asciiTheme="minorEastAsia" w:hAnsiTheme="minorEastAsia" w:eastAsiaTheme="minorEastAsia" w:cstheme="minorEastAsia"/>
          <w:b w:val="0"/>
          <w:bCs w:val="0"/>
          <w:snapToGrid/>
          <w:spacing w:val="0"/>
          <w:kern w:val="21"/>
          <w:sz w:val="24"/>
          <w:szCs w:val="24"/>
          <w:highlight w:val="none"/>
          <w:lang w:bidi="ar"/>
        </w:rPr>
        <w:t>CA数字证书或电子营业执照</w:t>
      </w:r>
      <w:r>
        <w:rPr>
          <w:rFonts w:hint="eastAsia" w:asciiTheme="minorEastAsia" w:hAnsiTheme="minorEastAsia" w:eastAsiaTheme="minorEastAsia" w:cstheme="minorEastAsia"/>
          <w:b w:val="0"/>
          <w:bCs w:val="0"/>
          <w:snapToGrid/>
          <w:spacing w:val="0"/>
          <w:kern w:val="21"/>
          <w:sz w:val="24"/>
          <w:szCs w:val="24"/>
          <w:highlight w:val="none"/>
          <w:lang w:val="zh-TW" w:bidi="ar"/>
        </w:rPr>
        <w:t>登录</w:t>
      </w:r>
      <w:r>
        <w:rPr>
          <w:rFonts w:hint="eastAsia" w:asciiTheme="minorEastAsia" w:hAnsiTheme="minorEastAsia" w:eastAsiaTheme="minorEastAsia" w:cstheme="minorEastAsia"/>
          <w:b w:val="0"/>
          <w:bCs w:val="0"/>
          <w:snapToGrid/>
          <w:spacing w:val="0"/>
          <w:kern w:val="21"/>
          <w:sz w:val="24"/>
          <w:szCs w:val="24"/>
          <w:highlight w:val="none"/>
          <w:lang w:bidi="ar"/>
        </w:rPr>
        <w:t>北京市政府采购电子交易平台解密并开启响应文件。如因供应商问题，解密不成功，则响应无效。</w:t>
      </w:r>
    </w:p>
    <w:p w14:paraId="0D7B1BC8">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bookmarkStart w:id="26" w:name="_Toc35393627"/>
      <w:bookmarkStart w:id="27" w:name="_Toc28359008"/>
      <w:bookmarkStart w:id="28" w:name="_Toc28359085"/>
      <w:bookmarkStart w:id="29" w:name="_Toc35393796"/>
      <w:r>
        <w:rPr>
          <w:rFonts w:hint="eastAsia" w:asciiTheme="minorEastAsia" w:hAnsiTheme="minorEastAsia" w:eastAsiaTheme="minorEastAsia" w:cstheme="minorEastAsia"/>
          <w:b w:val="0"/>
          <w:bCs w:val="0"/>
          <w:snapToGrid/>
          <w:spacing w:val="0"/>
          <w:kern w:val="21"/>
          <w:sz w:val="24"/>
          <w:szCs w:val="24"/>
          <w:highlight w:val="none"/>
        </w:rPr>
        <w:t>3</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评</w:t>
      </w:r>
      <w:r>
        <w:rPr>
          <w:rFonts w:hint="eastAsia" w:asciiTheme="minorEastAsia" w:hAnsiTheme="minorEastAsia" w:eastAsiaTheme="minorEastAsia" w:cstheme="minorEastAsia"/>
          <w:b w:val="0"/>
          <w:bCs w:val="0"/>
          <w:snapToGrid/>
          <w:spacing w:val="0"/>
          <w:kern w:val="21"/>
          <w:sz w:val="24"/>
          <w:szCs w:val="24"/>
          <w:highlight w:val="none"/>
          <w:lang w:val="en-US" w:eastAsia="zh-CN"/>
        </w:rPr>
        <w:t>审</w:t>
      </w:r>
      <w:r>
        <w:rPr>
          <w:rFonts w:hint="eastAsia" w:asciiTheme="minorEastAsia" w:hAnsiTheme="minorEastAsia" w:eastAsiaTheme="minorEastAsia" w:cstheme="minorEastAsia"/>
          <w:b w:val="0"/>
          <w:bCs w:val="0"/>
          <w:snapToGrid/>
          <w:spacing w:val="0"/>
          <w:kern w:val="21"/>
          <w:sz w:val="24"/>
          <w:szCs w:val="24"/>
          <w:highlight w:val="none"/>
        </w:rPr>
        <w:t>方法：综合评分法，具体详见</w:t>
      </w:r>
      <w:r>
        <w:rPr>
          <w:rFonts w:hint="eastAsia" w:asciiTheme="minorEastAsia" w:hAnsiTheme="minorEastAsia" w:eastAsiaTheme="minorEastAsia" w:cstheme="minorEastAsia"/>
          <w:b w:val="0"/>
          <w:bCs w:val="0"/>
          <w:snapToGrid/>
          <w:spacing w:val="0"/>
          <w:kern w:val="21"/>
          <w:sz w:val="24"/>
          <w:szCs w:val="24"/>
          <w:highlight w:val="none"/>
          <w:lang w:eastAsia="zh-CN"/>
        </w:rPr>
        <w:t>竞争性磋商</w:t>
      </w:r>
      <w:r>
        <w:rPr>
          <w:rFonts w:hint="eastAsia" w:asciiTheme="minorEastAsia" w:hAnsiTheme="minorEastAsia" w:eastAsiaTheme="minorEastAsia" w:cstheme="minorEastAsia"/>
          <w:b w:val="0"/>
          <w:bCs w:val="0"/>
          <w:snapToGrid/>
          <w:spacing w:val="0"/>
          <w:kern w:val="21"/>
          <w:sz w:val="24"/>
          <w:szCs w:val="24"/>
          <w:highlight w:val="none"/>
        </w:rPr>
        <w:t>。</w:t>
      </w:r>
    </w:p>
    <w:p w14:paraId="4685770C">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公告媒体：本公告在中国政府采购网、北京市政府采购网上发布。</w:t>
      </w:r>
    </w:p>
    <w:p w14:paraId="5DF428DC">
      <w:pPr>
        <w:keepNext w:val="0"/>
        <w:keepLines w:val="0"/>
        <w:pageBreakBefore w:val="0"/>
        <w:widowControl w:val="0"/>
        <w:kinsoku/>
        <w:wordWrap w:val="0"/>
        <w:overflowPunct/>
        <w:topLinePunct/>
        <w:autoSpaceDE/>
        <w:autoSpaceDN/>
        <w:bidi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5</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成交</w:t>
      </w:r>
      <w:r>
        <w:rPr>
          <w:rFonts w:hint="eastAsia" w:asciiTheme="minorEastAsia" w:hAnsiTheme="minorEastAsia" w:eastAsiaTheme="minorEastAsia" w:cstheme="minorEastAsia"/>
          <w:b w:val="0"/>
          <w:bCs w:val="0"/>
          <w:snapToGrid/>
          <w:spacing w:val="0"/>
          <w:kern w:val="21"/>
          <w:sz w:val="24"/>
          <w:szCs w:val="24"/>
          <w:highlight w:val="none"/>
          <w:lang w:val="en-US" w:eastAsia="zh-CN"/>
        </w:rPr>
        <w:t>供应商</w:t>
      </w:r>
      <w:r>
        <w:rPr>
          <w:rFonts w:hint="eastAsia" w:asciiTheme="minorEastAsia" w:hAnsiTheme="minorEastAsia" w:eastAsiaTheme="minorEastAsia" w:cstheme="minorEastAsia"/>
          <w:b w:val="0"/>
          <w:bCs w:val="0"/>
          <w:snapToGrid/>
          <w:spacing w:val="0"/>
          <w:kern w:val="21"/>
          <w:sz w:val="24"/>
          <w:szCs w:val="24"/>
          <w:highlight w:val="none"/>
        </w:rPr>
        <w:t>在领取成交通知书的当日，需提供加盖单位公章的纸质版响应文件2份及2份最后报价一览表和最后分项报价表。（响应文件必须与上传电子交易平台的电子文件内容保持一致）</w:t>
      </w:r>
    </w:p>
    <w:p w14:paraId="583A0773">
      <w:pPr>
        <w:keepNext w:val="0"/>
        <w:keepLines w:val="0"/>
        <w:pageBreakBefore w:val="0"/>
        <w:widowControl w:val="0"/>
        <w:kinsoku/>
        <w:wordWrap w:val="0"/>
        <w:overflowPunct/>
        <w:topLinePunct/>
        <w:autoSpaceDE/>
        <w:autoSpaceDN/>
        <w:bidi w:val="0"/>
        <w:spacing w:before="0"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八、对本项目提出询问，请按以下方式联系。</w:t>
      </w:r>
      <w:bookmarkEnd w:id="26"/>
      <w:bookmarkEnd w:id="27"/>
      <w:bookmarkEnd w:id="28"/>
      <w:bookmarkEnd w:id="29"/>
    </w:p>
    <w:p w14:paraId="20731433">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1.采购人信息</w:t>
      </w:r>
    </w:p>
    <w:p w14:paraId="0862184C">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eastAsia="zh-CN" w:bidi="ar"/>
        </w:rPr>
      </w:pPr>
      <w:bookmarkStart w:id="30" w:name="_Toc28359086"/>
      <w:bookmarkStart w:id="31" w:name="_Toc28359009"/>
      <w:r>
        <w:rPr>
          <w:rFonts w:hint="eastAsia" w:asciiTheme="minorEastAsia" w:hAnsiTheme="minorEastAsia" w:eastAsiaTheme="minorEastAsia" w:cstheme="minorEastAsia"/>
          <w:b w:val="0"/>
          <w:bCs w:val="0"/>
          <w:snapToGrid/>
          <w:spacing w:val="0"/>
          <w:kern w:val="21"/>
          <w:sz w:val="24"/>
          <w:szCs w:val="24"/>
          <w:highlight w:val="none"/>
          <w:lang w:bidi="ar"/>
        </w:rPr>
        <w:t>名    称：</w:t>
      </w:r>
      <w:r>
        <w:rPr>
          <w:rFonts w:hint="eastAsia" w:asciiTheme="minorEastAsia" w:hAnsiTheme="minorEastAsia" w:eastAsiaTheme="minorEastAsia" w:cstheme="minorEastAsia"/>
          <w:b w:val="0"/>
          <w:bCs w:val="0"/>
          <w:snapToGrid/>
          <w:spacing w:val="0"/>
          <w:kern w:val="21"/>
          <w:sz w:val="24"/>
          <w:szCs w:val="24"/>
          <w:highlight w:val="none"/>
          <w:lang w:eastAsia="zh-CN" w:bidi="ar"/>
        </w:rPr>
        <w:t>北京市顺义区城市管理委员会</w:t>
      </w:r>
    </w:p>
    <w:p w14:paraId="73FBD2B3">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yellow"/>
          <w:lang w:val="en-US" w:eastAsia="zh-CN" w:bidi="ar"/>
        </w:rPr>
      </w:pPr>
      <w:r>
        <w:rPr>
          <w:rFonts w:hint="eastAsia" w:asciiTheme="minorEastAsia" w:hAnsiTheme="minorEastAsia" w:eastAsiaTheme="minorEastAsia" w:cstheme="minorEastAsia"/>
          <w:b w:val="0"/>
          <w:bCs w:val="0"/>
          <w:snapToGrid/>
          <w:spacing w:val="0"/>
          <w:kern w:val="21"/>
          <w:sz w:val="24"/>
          <w:szCs w:val="24"/>
          <w:highlight w:val="none"/>
          <w:lang w:eastAsia="zh-CN" w:bidi="ar"/>
        </w:rPr>
        <w:t xml:space="preserve">地 </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 xml:space="preserve">   </w:t>
      </w:r>
      <w:r>
        <w:rPr>
          <w:rFonts w:hint="eastAsia" w:asciiTheme="minorEastAsia" w:hAnsiTheme="minorEastAsia" w:eastAsiaTheme="minorEastAsia" w:cstheme="minorEastAsia"/>
          <w:b w:val="0"/>
          <w:bCs w:val="0"/>
          <w:snapToGrid/>
          <w:spacing w:val="0"/>
          <w:kern w:val="21"/>
          <w:sz w:val="24"/>
          <w:szCs w:val="24"/>
          <w:highlight w:val="none"/>
          <w:lang w:eastAsia="zh-CN" w:bidi="ar"/>
        </w:rPr>
        <w:t>址：北京市顺义区复兴东街3号院</w:t>
      </w:r>
    </w:p>
    <w:p w14:paraId="67B7C287">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default" w:asciiTheme="minorEastAsia" w:hAnsiTheme="minorEastAsia" w:eastAsiaTheme="minorEastAsia" w:cstheme="minorEastAsia"/>
          <w:b w:val="0"/>
          <w:bCs w:val="0"/>
          <w:snapToGrid/>
          <w:spacing w:val="0"/>
          <w:kern w:val="21"/>
          <w:sz w:val="24"/>
          <w:szCs w:val="24"/>
          <w:highlight w:val="yellow"/>
          <w:lang w:val="en-US" w:eastAsia="zh-CN" w:bidi="ar"/>
        </w:rPr>
      </w:pPr>
      <w:r>
        <w:rPr>
          <w:rFonts w:hint="eastAsia" w:asciiTheme="minorEastAsia" w:hAnsiTheme="minorEastAsia" w:eastAsiaTheme="minorEastAsia" w:cstheme="minorEastAsia"/>
          <w:sz w:val="24"/>
          <w:szCs w:val="24"/>
          <w:highlight w:val="none"/>
          <w:lang w:eastAsia="zh-CN"/>
        </w:rPr>
        <w:t>联系方式：赵琦</w:t>
      </w:r>
      <w:r>
        <w:rPr>
          <w:rFonts w:hint="eastAsia" w:asciiTheme="minorEastAsia" w:hAnsiTheme="minorEastAsia" w:eastAsiaTheme="minorEastAsia" w:cstheme="minorEastAsia"/>
          <w:sz w:val="24"/>
          <w:szCs w:val="24"/>
          <w:highlight w:val="none"/>
          <w:lang w:val="en-US" w:eastAsia="zh-CN"/>
        </w:rPr>
        <w:t>/010-81492898</w:t>
      </w:r>
    </w:p>
    <w:p w14:paraId="59D0DDC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2.采购代理机构信息</w:t>
      </w:r>
      <w:bookmarkEnd w:id="30"/>
      <w:bookmarkEnd w:id="31"/>
    </w:p>
    <w:p w14:paraId="65FF550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bookmarkStart w:id="32" w:name="_Toc28359010"/>
      <w:bookmarkStart w:id="33" w:name="_Toc28359087"/>
      <w:r>
        <w:rPr>
          <w:rFonts w:hint="eastAsia" w:asciiTheme="minorEastAsia" w:hAnsiTheme="minorEastAsia" w:eastAsiaTheme="minorEastAsia" w:cstheme="minorEastAsia"/>
          <w:b w:val="0"/>
          <w:bCs w:val="0"/>
          <w:snapToGrid/>
          <w:spacing w:val="0"/>
          <w:kern w:val="21"/>
          <w:sz w:val="24"/>
          <w:szCs w:val="24"/>
          <w:highlight w:val="none"/>
          <w:lang w:bidi="ar"/>
        </w:rPr>
        <w:t>名    称：北京中盛宇工程管理有限公司</w:t>
      </w:r>
    </w:p>
    <w:p w14:paraId="69941C4B">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地    址：北京市顺义区双丰街道顺安南路12号一区26号楼北侧三层</w:t>
      </w:r>
    </w:p>
    <w:p w14:paraId="282B981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联系方式：</w:t>
      </w:r>
      <w:r>
        <w:rPr>
          <w:rFonts w:hint="eastAsia" w:asciiTheme="minorEastAsia" w:hAnsiTheme="minorEastAsia" w:eastAsiaTheme="minorEastAsia" w:cstheme="minorEastAsia"/>
          <w:b w:val="0"/>
          <w:bCs w:val="0"/>
          <w:snapToGrid/>
          <w:spacing w:val="0"/>
          <w:kern w:val="21"/>
          <w:sz w:val="24"/>
          <w:szCs w:val="24"/>
          <w:highlight w:val="none"/>
          <w:lang w:eastAsia="zh-CN" w:bidi="ar"/>
        </w:rPr>
        <w:t>王欣艳</w:t>
      </w:r>
      <w:r>
        <w:rPr>
          <w:rFonts w:hint="eastAsia" w:asciiTheme="minorEastAsia" w:hAnsiTheme="minorEastAsia" w:eastAsiaTheme="minorEastAsia" w:cstheme="minorEastAsia"/>
          <w:b w:val="0"/>
          <w:bCs w:val="0"/>
          <w:snapToGrid/>
          <w:spacing w:val="0"/>
          <w:kern w:val="21"/>
          <w:sz w:val="24"/>
          <w:szCs w:val="24"/>
          <w:highlight w:val="none"/>
          <w:lang w:bidi="ar"/>
        </w:rPr>
        <w:t>/</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010-</w:t>
      </w:r>
      <w:r>
        <w:rPr>
          <w:rFonts w:hint="eastAsia" w:asciiTheme="minorEastAsia" w:hAnsiTheme="minorEastAsia" w:eastAsiaTheme="minorEastAsia" w:cstheme="minorEastAsia"/>
          <w:b w:val="0"/>
          <w:bCs w:val="0"/>
          <w:snapToGrid/>
          <w:spacing w:val="0"/>
          <w:kern w:val="21"/>
          <w:sz w:val="24"/>
          <w:szCs w:val="24"/>
          <w:highlight w:val="none"/>
          <w:lang w:bidi="ar"/>
        </w:rPr>
        <w:t>69415773</w:t>
      </w:r>
    </w:p>
    <w:p w14:paraId="0FA88B7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lang w:bidi="ar"/>
        </w:rPr>
        <w:t>3.项目联系方式</w:t>
      </w:r>
      <w:bookmarkEnd w:id="32"/>
      <w:bookmarkEnd w:id="33"/>
    </w:p>
    <w:p w14:paraId="381F717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lang w:eastAsia="zh-CN" w:bidi="ar"/>
        </w:rPr>
      </w:pPr>
      <w:r>
        <w:rPr>
          <w:rFonts w:hint="eastAsia" w:asciiTheme="minorEastAsia" w:hAnsiTheme="minorEastAsia" w:eastAsiaTheme="minorEastAsia" w:cstheme="minorEastAsia"/>
          <w:b w:val="0"/>
          <w:bCs w:val="0"/>
          <w:snapToGrid/>
          <w:spacing w:val="0"/>
          <w:kern w:val="21"/>
          <w:sz w:val="24"/>
          <w:szCs w:val="24"/>
          <w:highlight w:val="none"/>
          <w:lang w:bidi="ar"/>
        </w:rPr>
        <w:t>项目联系人：</w:t>
      </w:r>
      <w:r>
        <w:rPr>
          <w:rFonts w:hint="eastAsia" w:asciiTheme="minorEastAsia" w:hAnsiTheme="minorEastAsia" w:eastAsiaTheme="minorEastAsia" w:cstheme="minorEastAsia"/>
          <w:b w:val="0"/>
          <w:bCs w:val="0"/>
          <w:snapToGrid/>
          <w:spacing w:val="0"/>
          <w:kern w:val="21"/>
          <w:sz w:val="24"/>
          <w:szCs w:val="24"/>
          <w:highlight w:val="none"/>
          <w:lang w:eastAsia="zh-CN" w:bidi="ar"/>
        </w:rPr>
        <w:t>王欣艳</w:t>
      </w:r>
    </w:p>
    <w:p w14:paraId="17230EF3">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bidi="ar"/>
        </w:rPr>
        <w:t>电      话：</w:t>
      </w:r>
      <w:r>
        <w:rPr>
          <w:rFonts w:hint="eastAsia" w:asciiTheme="minorEastAsia" w:hAnsiTheme="minorEastAsia" w:eastAsiaTheme="minorEastAsia" w:cstheme="minorEastAsia"/>
          <w:b w:val="0"/>
          <w:bCs w:val="0"/>
          <w:snapToGrid/>
          <w:spacing w:val="0"/>
          <w:kern w:val="21"/>
          <w:sz w:val="24"/>
          <w:szCs w:val="24"/>
          <w:highlight w:val="none"/>
          <w:lang w:val="en-US" w:eastAsia="zh-CN" w:bidi="ar"/>
        </w:rPr>
        <w:t>010-</w:t>
      </w:r>
      <w:r>
        <w:rPr>
          <w:rFonts w:hint="eastAsia" w:asciiTheme="minorEastAsia" w:hAnsiTheme="minorEastAsia" w:eastAsiaTheme="minorEastAsia" w:cstheme="minorEastAsia"/>
          <w:b w:val="0"/>
          <w:bCs w:val="0"/>
          <w:snapToGrid/>
          <w:spacing w:val="0"/>
          <w:kern w:val="21"/>
          <w:sz w:val="24"/>
          <w:szCs w:val="24"/>
          <w:highlight w:val="none"/>
          <w:lang w:bidi="ar"/>
        </w:rPr>
        <w:t>69415773</w:t>
      </w:r>
    </w:p>
    <w:p w14:paraId="40E83AA3">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bookmarkStart w:id="34" w:name="_Toc150774783"/>
      <w:bookmarkStart w:id="35" w:name="_Toc353825548"/>
      <w:bookmarkStart w:id="36" w:name="_Toc265228423"/>
      <w:bookmarkStart w:id="37" w:name="_Toc127151777"/>
      <w:bookmarkStart w:id="38" w:name="_Toc195842950"/>
      <w:bookmarkStart w:id="39" w:name="_Toc305158854"/>
      <w:bookmarkStart w:id="40" w:name="_Toc18744"/>
      <w:bookmarkStart w:id="41" w:name="_Toc353873938"/>
      <w:bookmarkStart w:id="42" w:name="_Toc305158928"/>
      <w:bookmarkStart w:id="43" w:name="_Toc264969275"/>
      <w:bookmarkStart w:id="44" w:name="_Toc512937850"/>
      <w:bookmarkStart w:id="45" w:name="_Toc226965856"/>
      <w:bookmarkStart w:id="46" w:name="_Toc127161488"/>
      <w:r>
        <w:rPr>
          <w:rFonts w:hint="eastAsia" w:asciiTheme="minorEastAsia" w:hAnsiTheme="minorEastAsia" w:eastAsiaTheme="minorEastAsia" w:cstheme="minorEastAsia"/>
          <w:b/>
          <w:bCs/>
          <w:snapToGrid/>
          <w:spacing w:val="0"/>
          <w:kern w:val="21"/>
          <w:sz w:val="24"/>
          <w:szCs w:val="24"/>
          <w:highlight w:val="none"/>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3DC36023">
      <w:pPr>
        <w:keepNext w:val="0"/>
        <w:keepLines w:val="0"/>
        <w:pageBreakBefore w:val="0"/>
        <w:widowControl w:val="0"/>
        <w:tabs>
          <w:tab w:val="center" w:pos="4592"/>
          <w:tab w:val="left" w:pos="7860"/>
        </w:tabs>
        <w:kinsoku/>
        <w:wordWrap w:val="0"/>
        <w:overflowPunct/>
        <w:topLinePunct/>
        <w:autoSpaceDE/>
        <w:autoSpaceDN/>
        <w:bidi w:val="0"/>
        <w:spacing w:before="0"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bookmarkStart w:id="47" w:name="_Toc150509270"/>
      <w:bookmarkStart w:id="48" w:name="_Toc226965709"/>
      <w:bookmarkStart w:id="49" w:name="_Toc127161433"/>
      <w:bookmarkStart w:id="50" w:name="_Toc151193907"/>
      <w:bookmarkStart w:id="51" w:name="_Toc150480757"/>
      <w:bookmarkStart w:id="52" w:name="_Toc195842884"/>
      <w:bookmarkStart w:id="53" w:name="_Toc149720812"/>
      <w:bookmarkStart w:id="54" w:name="_Toc150774724"/>
      <w:bookmarkStart w:id="55" w:name="_Toc151193761"/>
      <w:bookmarkStart w:id="56" w:name="_Toc151193833"/>
      <w:bookmarkStart w:id="57" w:name="_Toc151193689"/>
      <w:bookmarkStart w:id="58" w:name="_Toc151193617"/>
      <w:bookmarkStart w:id="59" w:name="_Toc520356144"/>
      <w:bookmarkStart w:id="60" w:name="_Toc164351613"/>
      <w:bookmarkStart w:id="61" w:name="_Toc151190146"/>
      <w:bookmarkStart w:id="62" w:name="_Toc127151720"/>
      <w:bookmarkStart w:id="63" w:name="_Toc164608633"/>
      <w:bookmarkStart w:id="64" w:name="_Toc164229360"/>
      <w:bookmarkStart w:id="65" w:name="_Toc142311021"/>
      <w:bookmarkStart w:id="66" w:name="_Toc164229214"/>
      <w:bookmarkStart w:id="67" w:name="_Toc226337215"/>
      <w:bookmarkStart w:id="68" w:name="_Toc226309763"/>
      <w:bookmarkStart w:id="69" w:name="_Toc127151519"/>
      <w:bookmarkStart w:id="70" w:name="_Toc164608788"/>
      <w:bookmarkStart w:id="71" w:name="_Toc226965792"/>
      <w:bookmarkStart w:id="72" w:name="_Toc150774619"/>
      <w:r>
        <w:rPr>
          <w:rFonts w:hint="eastAsia" w:asciiTheme="minorEastAsia" w:hAnsiTheme="minorEastAsia" w:eastAsiaTheme="minorEastAsia" w:cstheme="minorEastAsia"/>
          <w:b w:val="0"/>
          <w:bCs w:val="0"/>
          <w:snapToGrid/>
          <w:spacing w:val="0"/>
          <w:kern w:val="21"/>
          <w:sz w:val="24"/>
          <w:szCs w:val="24"/>
          <w:highlight w:val="none"/>
        </w:rPr>
        <w:t>供应商须知资料表</w:t>
      </w:r>
    </w:p>
    <w:p w14:paraId="40D43E3E">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本表是对供应商须知的具体补充和修改，如有矛盾，均以本资料表为准。</w:t>
      </w:r>
    </w:p>
    <w:tbl>
      <w:tblPr>
        <w:tblStyle w:val="23"/>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451"/>
        <w:gridCol w:w="7341"/>
      </w:tblGrid>
      <w:tr w14:paraId="4C6A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88" w:type="dxa"/>
            <w:vAlign w:val="center"/>
          </w:tcPr>
          <w:p w14:paraId="6DD4266D">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条款号</w:t>
            </w:r>
          </w:p>
        </w:tc>
        <w:tc>
          <w:tcPr>
            <w:tcW w:w="1451" w:type="dxa"/>
            <w:vAlign w:val="center"/>
          </w:tcPr>
          <w:p w14:paraId="459E24CC">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条目</w:t>
            </w:r>
          </w:p>
        </w:tc>
        <w:tc>
          <w:tcPr>
            <w:tcW w:w="7341" w:type="dxa"/>
            <w:vAlign w:val="center"/>
          </w:tcPr>
          <w:p w14:paraId="5F22788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内容</w:t>
            </w:r>
          </w:p>
        </w:tc>
      </w:tr>
      <w:tr w14:paraId="202A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4952966B">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2.2</w:t>
            </w:r>
          </w:p>
        </w:tc>
        <w:tc>
          <w:tcPr>
            <w:tcW w:w="1451" w:type="dxa"/>
            <w:vAlign w:val="center"/>
          </w:tcPr>
          <w:p w14:paraId="6768159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项目属性</w:t>
            </w:r>
          </w:p>
        </w:tc>
        <w:tc>
          <w:tcPr>
            <w:tcW w:w="7341" w:type="dxa"/>
            <w:vAlign w:val="center"/>
          </w:tcPr>
          <w:p w14:paraId="0377D4CA">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项目属性：</w:t>
            </w:r>
          </w:p>
          <w:p w14:paraId="66B399B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服务</w:t>
            </w:r>
          </w:p>
          <w:p w14:paraId="258EAD66">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□货物</w:t>
            </w:r>
          </w:p>
          <w:p w14:paraId="2427C484">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rPr>
              <w:t>□工程</w:t>
            </w:r>
          </w:p>
        </w:tc>
      </w:tr>
      <w:tr w14:paraId="1AAA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4EF32BAA">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2.3</w:t>
            </w:r>
          </w:p>
        </w:tc>
        <w:tc>
          <w:tcPr>
            <w:tcW w:w="1451" w:type="dxa"/>
            <w:vAlign w:val="center"/>
          </w:tcPr>
          <w:p w14:paraId="0076CD13">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科研仪器设备</w:t>
            </w:r>
          </w:p>
        </w:tc>
        <w:tc>
          <w:tcPr>
            <w:tcW w:w="7341" w:type="dxa"/>
            <w:vAlign w:val="center"/>
          </w:tcPr>
          <w:p w14:paraId="19F37565">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是否属于科研仪器设备采购项目：</w:t>
            </w:r>
          </w:p>
          <w:p w14:paraId="0C1BA717">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□是</w:t>
            </w:r>
          </w:p>
          <w:p w14:paraId="3899A14A">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否</w:t>
            </w:r>
          </w:p>
        </w:tc>
      </w:tr>
      <w:tr w14:paraId="19BB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Merge w:val="restart"/>
            <w:vAlign w:val="center"/>
          </w:tcPr>
          <w:p w14:paraId="3F809666">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3.1</w:t>
            </w:r>
          </w:p>
        </w:tc>
        <w:tc>
          <w:tcPr>
            <w:tcW w:w="1451" w:type="dxa"/>
            <w:vAlign w:val="center"/>
          </w:tcPr>
          <w:p w14:paraId="62760E1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现场考察</w:t>
            </w:r>
          </w:p>
        </w:tc>
        <w:tc>
          <w:tcPr>
            <w:tcW w:w="7341" w:type="dxa"/>
            <w:vAlign w:val="center"/>
          </w:tcPr>
          <w:p w14:paraId="0B69D24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不组织</w:t>
            </w:r>
          </w:p>
          <w:p w14:paraId="586511B3">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□组织，考察时间：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日</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分</w:t>
            </w:r>
          </w:p>
          <w:p w14:paraId="32019DE5">
            <w:pPr>
              <w:pStyle w:val="14"/>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考察地点：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rPr>
              <w:t>。</w:t>
            </w:r>
          </w:p>
        </w:tc>
      </w:tr>
      <w:tr w14:paraId="4FE6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Merge w:val="continue"/>
            <w:vAlign w:val="center"/>
          </w:tcPr>
          <w:p w14:paraId="2B027335">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451" w:type="dxa"/>
            <w:vAlign w:val="center"/>
          </w:tcPr>
          <w:p w14:paraId="7D13135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磋商前答疑会</w:t>
            </w:r>
          </w:p>
        </w:tc>
        <w:tc>
          <w:tcPr>
            <w:tcW w:w="7341" w:type="dxa"/>
            <w:vAlign w:val="center"/>
          </w:tcPr>
          <w:p w14:paraId="3E3A702E">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不召开</w:t>
            </w:r>
          </w:p>
          <w:p w14:paraId="2722C51C">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□召开，召开时间：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日</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bidi="ar"/>
              </w:rPr>
              <w:t>分</w:t>
            </w:r>
          </w:p>
          <w:p w14:paraId="26E89AA4">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召开地点：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rPr>
              <w:t>。</w:t>
            </w:r>
          </w:p>
        </w:tc>
      </w:tr>
      <w:tr w14:paraId="35E7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jc w:val="center"/>
        </w:trPr>
        <w:tc>
          <w:tcPr>
            <w:tcW w:w="988" w:type="dxa"/>
            <w:vAlign w:val="center"/>
          </w:tcPr>
          <w:p w14:paraId="44ACF9E4">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w:t>
            </w:r>
            <w:r>
              <w:rPr>
                <w:rFonts w:hint="eastAsia" w:asciiTheme="minorEastAsia" w:hAnsiTheme="minorEastAsia" w:eastAsiaTheme="minorEastAsia" w:cstheme="minorEastAsia"/>
                <w:b w:val="0"/>
                <w:bCs w:val="0"/>
                <w:snapToGrid/>
                <w:spacing w:val="0"/>
                <w:kern w:val="21"/>
                <w:sz w:val="24"/>
                <w:szCs w:val="24"/>
                <w:highlight w:val="none"/>
                <w:lang w:val="en-US" w:eastAsia="zh-CN"/>
              </w:rPr>
              <w:t>3</w:t>
            </w:r>
            <w:r>
              <w:rPr>
                <w:rFonts w:hint="eastAsia" w:asciiTheme="minorEastAsia" w:hAnsiTheme="minorEastAsia" w:eastAsiaTheme="minorEastAsia" w:cstheme="minorEastAsia"/>
                <w:b w:val="0"/>
                <w:bCs w:val="0"/>
                <w:snapToGrid/>
                <w:spacing w:val="0"/>
                <w:kern w:val="21"/>
                <w:sz w:val="24"/>
                <w:szCs w:val="24"/>
                <w:highlight w:val="none"/>
              </w:rPr>
              <w:t>.5</w:t>
            </w:r>
          </w:p>
        </w:tc>
        <w:tc>
          <w:tcPr>
            <w:tcW w:w="1451" w:type="dxa"/>
            <w:vAlign w:val="center"/>
          </w:tcPr>
          <w:p w14:paraId="62E25AE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标的所属行业</w:t>
            </w:r>
          </w:p>
        </w:tc>
        <w:tc>
          <w:tcPr>
            <w:tcW w:w="7341" w:type="dxa"/>
            <w:vAlign w:val="center"/>
          </w:tcPr>
          <w:p w14:paraId="1ADCA0CB">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本项目采购标的对应的中小企业划分标准所属行业：</w:t>
            </w:r>
          </w:p>
          <w:tbl>
            <w:tblPr>
              <w:tblStyle w:val="23"/>
              <w:tblW w:w="7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2900"/>
              <w:gridCol w:w="3361"/>
            </w:tblGrid>
            <w:tr w14:paraId="777A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3" w:type="dxa"/>
                  <w:tcBorders>
                    <w:top w:val="single" w:color="auto" w:sz="4" w:space="0"/>
                    <w:left w:val="single" w:color="auto" w:sz="4" w:space="0"/>
                    <w:bottom w:val="single" w:color="auto" w:sz="4" w:space="0"/>
                    <w:right w:val="single" w:color="auto" w:sz="4" w:space="0"/>
                  </w:tcBorders>
                  <w:vAlign w:val="center"/>
                </w:tcPr>
                <w:p w14:paraId="0E9ABC78">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包号</w:t>
                  </w:r>
                </w:p>
              </w:tc>
              <w:tc>
                <w:tcPr>
                  <w:tcW w:w="2900" w:type="dxa"/>
                  <w:tcBorders>
                    <w:top w:val="single" w:color="auto" w:sz="4" w:space="0"/>
                    <w:left w:val="single" w:color="auto" w:sz="4" w:space="0"/>
                    <w:bottom w:val="single" w:color="auto" w:sz="4" w:space="0"/>
                    <w:right w:val="single" w:color="auto" w:sz="4" w:space="0"/>
                  </w:tcBorders>
                  <w:vAlign w:val="center"/>
                </w:tcPr>
                <w:p w14:paraId="422953A3">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标的名称</w:t>
                  </w:r>
                </w:p>
              </w:tc>
              <w:tc>
                <w:tcPr>
                  <w:tcW w:w="3361" w:type="dxa"/>
                  <w:tcBorders>
                    <w:top w:val="single" w:color="auto" w:sz="4" w:space="0"/>
                    <w:left w:val="single" w:color="auto" w:sz="4" w:space="0"/>
                    <w:bottom w:val="single" w:color="auto" w:sz="4" w:space="0"/>
                    <w:right w:val="single" w:color="auto" w:sz="4" w:space="0"/>
                  </w:tcBorders>
                  <w:vAlign w:val="center"/>
                </w:tcPr>
                <w:p w14:paraId="7BD1724C">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中小企业划分标准所属行业</w:t>
                  </w:r>
                </w:p>
              </w:tc>
            </w:tr>
            <w:tr w14:paraId="3AE3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3" w:type="dxa"/>
                  <w:tcBorders>
                    <w:top w:val="single" w:color="auto" w:sz="4" w:space="0"/>
                    <w:left w:val="single" w:color="auto" w:sz="4" w:space="0"/>
                    <w:bottom w:val="single" w:color="auto" w:sz="4" w:space="0"/>
                    <w:right w:val="single" w:color="auto" w:sz="4" w:space="0"/>
                  </w:tcBorders>
                  <w:vAlign w:val="center"/>
                </w:tcPr>
                <w:p w14:paraId="34A25D4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01</w:t>
                  </w:r>
                </w:p>
              </w:tc>
              <w:tc>
                <w:tcPr>
                  <w:tcW w:w="2900" w:type="dxa"/>
                  <w:tcBorders>
                    <w:top w:val="single" w:color="auto" w:sz="4" w:space="0"/>
                    <w:left w:val="single" w:color="auto" w:sz="4" w:space="0"/>
                    <w:bottom w:val="single" w:color="auto" w:sz="4" w:space="0"/>
                    <w:right w:val="single" w:color="auto" w:sz="4" w:space="0"/>
                  </w:tcBorders>
                  <w:vAlign w:val="center"/>
                </w:tcPr>
                <w:p w14:paraId="2A1F054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lang w:eastAsia="zh-CN"/>
                    </w:rPr>
                    <w:t>环境建设第三方检查</w:t>
                  </w:r>
                </w:p>
              </w:tc>
              <w:tc>
                <w:tcPr>
                  <w:tcW w:w="3361" w:type="dxa"/>
                  <w:tcBorders>
                    <w:top w:val="single" w:color="auto" w:sz="4" w:space="0"/>
                    <w:left w:val="single" w:color="auto" w:sz="4" w:space="0"/>
                    <w:bottom w:val="single" w:color="auto" w:sz="4" w:space="0"/>
                    <w:right w:val="single" w:color="auto" w:sz="4" w:space="0"/>
                  </w:tcBorders>
                  <w:vAlign w:val="center"/>
                </w:tcPr>
                <w:p w14:paraId="37E5A40A">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其他未列明行业</w:t>
                  </w:r>
                </w:p>
              </w:tc>
            </w:tr>
          </w:tbl>
          <w:p w14:paraId="283BF5A9">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其他未列明行业</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从业人员300人以下的为中小微型企业。其中，从业人员100人及以上的为中型企业；从业人员10人及以上的为小型企业；从业人员10人以下的为微型企业。</w:t>
            </w:r>
          </w:p>
        </w:tc>
      </w:tr>
      <w:tr w14:paraId="4C0D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2F7D15A5">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10.2</w:t>
            </w:r>
          </w:p>
        </w:tc>
        <w:tc>
          <w:tcPr>
            <w:tcW w:w="1451" w:type="dxa"/>
            <w:vAlign w:val="center"/>
          </w:tcPr>
          <w:p w14:paraId="6E9455FE">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报价</w:t>
            </w:r>
          </w:p>
        </w:tc>
        <w:tc>
          <w:tcPr>
            <w:tcW w:w="7341" w:type="dxa"/>
            <w:vAlign w:val="center"/>
          </w:tcPr>
          <w:p w14:paraId="0D64F3F0">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报价的特殊规定：</w:t>
            </w:r>
          </w:p>
          <w:p w14:paraId="241C9E9B">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无</w:t>
            </w:r>
          </w:p>
          <w:p w14:paraId="794CE0D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□有，具体情形：</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rPr>
              <w:t>。。</w:t>
            </w:r>
          </w:p>
        </w:tc>
      </w:tr>
      <w:tr w14:paraId="0938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4B9E9046">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11.1</w:t>
            </w:r>
          </w:p>
        </w:tc>
        <w:tc>
          <w:tcPr>
            <w:tcW w:w="1451" w:type="dxa"/>
            <w:vMerge w:val="restart"/>
            <w:vAlign w:val="center"/>
          </w:tcPr>
          <w:p w14:paraId="5EC8FCF9">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磋商保证金</w:t>
            </w:r>
          </w:p>
        </w:tc>
        <w:tc>
          <w:tcPr>
            <w:tcW w:w="7341" w:type="dxa"/>
            <w:vAlign w:val="center"/>
          </w:tcPr>
          <w:p w14:paraId="687F1FA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本项目（</w:t>
            </w:r>
            <w:r>
              <w:rPr>
                <w:rFonts w:hint="eastAsia" w:asciiTheme="minorEastAsia" w:hAnsiTheme="minorEastAsia" w:eastAsiaTheme="minorEastAsia" w:cstheme="minorEastAsia"/>
                <w:b w:val="0"/>
                <w:bCs w:val="0"/>
                <w:snapToGrid/>
                <w:spacing w:val="0"/>
                <w:kern w:val="21"/>
                <w:sz w:val="24"/>
                <w:szCs w:val="24"/>
                <w:highlight w:val="none"/>
              </w:rPr>
              <w:t>□</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收取 ■不收取）磋商保证金</w:t>
            </w:r>
          </w:p>
          <w:p w14:paraId="3D7A1311">
            <w:pPr>
              <w:keepNext w:val="0"/>
              <w:keepLines w:val="0"/>
              <w:pageBreakBefore w:val="0"/>
              <w:widowControl w:val="0"/>
              <w:shd w:val="clear"/>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auto"/>
                <w:spacing w:val="0"/>
                <w:kern w:val="21"/>
                <w:sz w:val="24"/>
                <w:szCs w:val="24"/>
                <w:highlight w:val="none"/>
              </w:rPr>
              <w:t>磋商保证金金额</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（人民币）</w:t>
            </w:r>
            <w:r>
              <w:rPr>
                <w:rFonts w:hint="eastAsia" w:asciiTheme="minorEastAsia" w:hAnsiTheme="minorEastAsia" w:eastAsiaTheme="minorEastAsia" w:cstheme="minorEastAsia"/>
                <w:b w:val="0"/>
                <w:bCs w:val="0"/>
                <w:snapToGrid/>
                <w:color w:val="auto"/>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lang w:eastAsia="zh-CN"/>
              </w:rPr>
              <w:t>；</w:t>
            </w:r>
          </w:p>
          <w:p w14:paraId="137390FA">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rPr>
            </w:pPr>
            <w:r>
              <w:rPr>
                <w:rFonts w:hint="eastAsia" w:asciiTheme="minorEastAsia" w:hAnsiTheme="minorEastAsia" w:eastAsiaTheme="minorEastAsia" w:cstheme="minorEastAsia"/>
                <w:b w:val="0"/>
                <w:bCs w:val="0"/>
                <w:snapToGrid/>
                <w:color w:val="auto"/>
                <w:spacing w:val="0"/>
                <w:kern w:val="21"/>
                <w:sz w:val="24"/>
                <w:szCs w:val="24"/>
                <w:highlight w:val="none"/>
                <w:lang w:eastAsia="zh-CN"/>
              </w:rPr>
              <w:t>磋商</w:t>
            </w:r>
            <w:r>
              <w:rPr>
                <w:rFonts w:hint="eastAsia" w:asciiTheme="minorEastAsia" w:hAnsiTheme="minorEastAsia" w:eastAsiaTheme="minorEastAsia" w:cstheme="minorEastAsia"/>
                <w:b w:val="0"/>
                <w:bCs w:val="0"/>
                <w:snapToGrid/>
                <w:color w:val="auto"/>
                <w:spacing w:val="0"/>
                <w:kern w:val="21"/>
                <w:sz w:val="24"/>
                <w:szCs w:val="24"/>
                <w:highlight w:val="none"/>
              </w:rPr>
              <w:t>保证金递交截止</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时间</w:t>
            </w:r>
            <w:r>
              <w:rPr>
                <w:rFonts w:hint="eastAsia" w:asciiTheme="minorEastAsia" w:hAnsiTheme="minorEastAsia" w:eastAsiaTheme="minorEastAsia" w:cstheme="minorEastAsia"/>
                <w:b w:val="0"/>
                <w:bCs w:val="0"/>
                <w:snapToGrid/>
                <w:color w:val="auto"/>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rPr>
              <w:t>；</w:t>
            </w:r>
          </w:p>
          <w:p w14:paraId="28CDB24E">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rPr>
            </w:pPr>
            <w:r>
              <w:rPr>
                <w:rFonts w:hint="eastAsia" w:asciiTheme="minorEastAsia" w:hAnsiTheme="minorEastAsia" w:eastAsiaTheme="minorEastAsia" w:cstheme="minorEastAsia"/>
                <w:b w:val="0"/>
                <w:bCs w:val="0"/>
                <w:snapToGrid/>
                <w:color w:val="auto"/>
                <w:spacing w:val="0"/>
                <w:kern w:val="21"/>
                <w:sz w:val="24"/>
                <w:szCs w:val="24"/>
                <w:highlight w:val="none"/>
              </w:rPr>
              <w:t>有效期：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rPr>
              <w:t>；</w:t>
            </w:r>
          </w:p>
          <w:p w14:paraId="6E5796AD">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rPr>
            </w:pPr>
            <w:r>
              <w:rPr>
                <w:rFonts w:hint="eastAsia" w:asciiTheme="minorEastAsia" w:hAnsiTheme="minorEastAsia" w:eastAsiaTheme="minorEastAsia" w:cstheme="minorEastAsia"/>
                <w:b w:val="0"/>
                <w:bCs w:val="0"/>
                <w:snapToGrid/>
                <w:color w:val="auto"/>
                <w:spacing w:val="0"/>
                <w:kern w:val="21"/>
                <w:sz w:val="24"/>
                <w:szCs w:val="24"/>
                <w:highlight w:val="none"/>
                <w:lang w:eastAsia="zh-CN"/>
              </w:rPr>
              <w:t>磋商</w:t>
            </w:r>
            <w:r>
              <w:rPr>
                <w:rFonts w:hint="eastAsia" w:asciiTheme="minorEastAsia" w:hAnsiTheme="minorEastAsia" w:eastAsiaTheme="minorEastAsia" w:cstheme="minorEastAsia"/>
                <w:b w:val="0"/>
                <w:bCs w:val="0"/>
                <w:snapToGrid/>
                <w:color w:val="auto"/>
                <w:spacing w:val="0"/>
                <w:kern w:val="21"/>
                <w:sz w:val="24"/>
                <w:szCs w:val="24"/>
                <w:highlight w:val="none"/>
              </w:rPr>
              <w:t>保证金形式：</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rPr>
              <w:t>；</w:t>
            </w:r>
          </w:p>
          <w:p w14:paraId="3D7BDFAD">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账户名称：</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w:t>
            </w:r>
          </w:p>
          <w:p w14:paraId="2CFFC8FC">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银行账号：</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w:t>
            </w:r>
          </w:p>
          <w:p w14:paraId="739A3987">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开户行：</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color w:val="auto"/>
                <w:spacing w:val="0"/>
                <w:kern w:val="21"/>
                <w:sz w:val="24"/>
                <w:szCs w:val="24"/>
                <w:highlight w:val="none"/>
                <w:lang w:val="en-US" w:eastAsia="zh-CN"/>
              </w:rPr>
              <w:t>；</w:t>
            </w:r>
          </w:p>
        </w:tc>
      </w:tr>
      <w:tr w14:paraId="6FDD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5F8F07EA">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11.</w:t>
            </w:r>
            <w:r>
              <w:rPr>
                <w:rFonts w:hint="eastAsia" w:asciiTheme="minorEastAsia" w:hAnsiTheme="minorEastAsia" w:eastAsiaTheme="minorEastAsia" w:cstheme="minorEastAsia"/>
                <w:b w:val="0"/>
                <w:bCs w:val="0"/>
                <w:snapToGrid/>
                <w:spacing w:val="0"/>
                <w:kern w:val="21"/>
                <w:sz w:val="24"/>
                <w:szCs w:val="24"/>
                <w:highlight w:val="none"/>
                <w:lang w:val="en-US" w:eastAsia="zh-CN"/>
              </w:rPr>
              <w:t>8</w:t>
            </w:r>
            <w:r>
              <w:rPr>
                <w:rFonts w:hint="eastAsia" w:asciiTheme="minorEastAsia" w:hAnsiTheme="minorEastAsia" w:eastAsiaTheme="minorEastAsia" w:cstheme="minorEastAsia"/>
                <w:b w:val="0"/>
                <w:bCs w:val="0"/>
                <w:snapToGrid/>
                <w:spacing w:val="0"/>
                <w:kern w:val="21"/>
                <w:sz w:val="24"/>
                <w:szCs w:val="24"/>
                <w:highlight w:val="none"/>
              </w:rPr>
              <w:t>.5</w:t>
            </w:r>
          </w:p>
        </w:tc>
        <w:tc>
          <w:tcPr>
            <w:tcW w:w="1451" w:type="dxa"/>
            <w:vMerge w:val="continue"/>
            <w:vAlign w:val="center"/>
          </w:tcPr>
          <w:p w14:paraId="5E260679">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7341" w:type="dxa"/>
            <w:vAlign w:val="center"/>
          </w:tcPr>
          <w:p w14:paraId="5489C595">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磋商保证金不予退还的其他情形：</w:t>
            </w:r>
          </w:p>
          <w:p w14:paraId="7645A38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无</w:t>
            </w:r>
          </w:p>
          <w:p w14:paraId="64C4B5A2">
            <w:pPr>
              <w:pStyle w:val="14"/>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□有，具体情形：</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r>
              <w:rPr>
                <w:rFonts w:hint="eastAsia" w:asciiTheme="minorEastAsia" w:hAnsiTheme="minorEastAsia" w:eastAsiaTheme="minorEastAsia" w:cstheme="minorEastAsia"/>
                <w:b w:val="0"/>
                <w:bCs w:val="0"/>
                <w:snapToGrid/>
                <w:spacing w:val="0"/>
                <w:kern w:val="21"/>
                <w:sz w:val="24"/>
                <w:szCs w:val="24"/>
                <w:highlight w:val="none"/>
              </w:rPr>
              <w:t>。</w:t>
            </w:r>
          </w:p>
        </w:tc>
      </w:tr>
      <w:tr w14:paraId="5159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4C783489">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12.1</w:t>
            </w:r>
          </w:p>
        </w:tc>
        <w:tc>
          <w:tcPr>
            <w:tcW w:w="1451" w:type="dxa"/>
            <w:vAlign w:val="center"/>
          </w:tcPr>
          <w:p w14:paraId="4DAD16C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响应有效期</w:t>
            </w:r>
          </w:p>
        </w:tc>
        <w:tc>
          <w:tcPr>
            <w:tcW w:w="7341" w:type="dxa"/>
            <w:vAlign w:val="center"/>
          </w:tcPr>
          <w:p w14:paraId="4F88304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自提交响应文件的截止之日起算</w:t>
            </w:r>
            <w:r>
              <w:rPr>
                <w:rFonts w:hint="eastAsia" w:asciiTheme="minorEastAsia" w:hAnsiTheme="minorEastAsia" w:eastAsiaTheme="minorEastAsia" w:cstheme="minorEastAsia"/>
                <w:b w:val="0"/>
                <w:bCs w:val="0"/>
                <w:snapToGrid/>
                <w:spacing w:val="0"/>
                <w:kern w:val="21"/>
                <w:sz w:val="24"/>
                <w:szCs w:val="24"/>
                <w:highlight w:val="none"/>
                <w:u w:val="single"/>
              </w:rPr>
              <w:t>90</w:t>
            </w:r>
            <w:r>
              <w:rPr>
                <w:rFonts w:hint="eastAsia" w:asciiTheme="minorEastAsia" w:hAnsiTheme="minorEastAsia" w:eastAsiaTheme="minorEastAsia" w:cstheme="minorEastAsia"/>
                <w:b w:val="0"/>
                <w:bCs w:val="0"/>
                <w:snapToGrid/>
                <w:spacing w:val="0"/>
                <w:kern w:val="21"/>
                <w:sz w:val="24"/>
                <w:szCs w:val="24"/>
                <w:highlight w:val="none"/>
              </w:rPr>
              <w:t>日历天。</w:t>
            </w:r>
          </w:p>
        </w:tc>
      </w:tr>
      <w:tr w14:paraId="3F0B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4C33ECDA">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17.2</w:t>
            </w:r>
          </w:p>
        </w:tc>
        <w:tc>
          <w:tcPr>
            <w:tcW w:w="1451" w:type="dxa"/>
            <w:vAlign w:val="center"/>
          </w:tcPr>
          <w:p w14:paraId="7426599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解密时间</w:t>
            </w:r>
          </w:p>
        </w:tc>
        <w:tc>
          <w:tcPr>
            <w:tcW w:w="7341" w:type="dxa"/>
            <w:vAlign w:val="center"/>
          </w:tcPr>
          <w:p w14:paraId="16CAC56B">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解密时间：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30</w:t>
            </w:r>
            <w:r>
              <w:rPr>
                <w:rFonts w:hint="eastAsia" w:asciiTheme="minorEastAsia" w:hAnsiTheme="minorEastAsia" w:eastAsiaTheme="minorEastAsia" w:cstheme="minorEastAsia"/>
                <w:b w:val="0"/>
                <w:bCs w:val="0"/>
                <w:snapToGrid/>
                <w:spacing w:val="0"/>
                <w:kern w:val="21"/>
                <w:sz w:val="24"/>
                <w:szCs w:val="24"/>
                <w:highlight w:val="none"/>
              </w:rPr>
              <w:t>分钟</w:t>
            </w:r>
            <w:r>
              <w:rPr>
                <w:rFonts w:hint="eastAsia" w:asciiTheme="minorEastAsia" w:hAnsiTheme="minorEastAsia" w:eastAsiaTheme="minorEastAsia" w:cstheme="minorEastAsia"/>
                <w:b w:val="0"/>
                <w:bCs w:val="0"/>
                <w:snapToGrid/>
                <w:spacing w:val="0"/>
                <w:kern w:val="21"/>
                <w:sz w:val="24"/>
                <w:szCs w:val="24"/>
                <w:highlight w:val="none"/>
                <w:lang w:eastAsia="zh-CN"/>
              </w:rPr>
              <w:t>；</w:t>
            </w:r>
          </w:p>
        </w:tc>
      </w:tr>
      <w:tr w14:paraId="0AFD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0240EC39">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20.1</w:t>
            </w:r>
          </w:p>
        </w:tc>
        <w:tc>
          <w:tcPr>
            <w:tcW w:w="1451" w:type="dxa"/>
            <w:vAlign w:val="center"/>
          </w:tcPr>
          <w:p w14:paraId="5D33B480">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成交供应商的确认</w:t>
            </w:r>
          </w:p>
        </w:tc>
        <w:tc>
          <w:tcPr>
            <w:tcW w:w="7341" w:type="dxa"/>
            <w:vAlign w:val="center"/>
          </w:tcPr>
          <w:p w14:paraId="18A030DF">
            <w:pPr>
              <w:pStyle w:val="14"/>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采购人是否</w:t>
            </w:r>
            <w:r>
              <w:rPr>
                <w:rFonts w:hint="eastAsia" w:asciiTheme="minorEastAsia" w:hAnsiTheme="minorEastAsia" w:eastAsiaTheme="minorEastAsia" w:cstheme="minorEastAsia"/>
                <w:b w:val="0"/>
                <w:bCs w:val="0"/>
                <w:snapToGrid/>
                <w:color w:val="000000"/>
                <w:spacing w:val="0"/>
                <w:kern w:val="21"/>
                <w:sz w:val="24"/>
                <w:szCs w:val="24"/>
                <w:highlight w:val="none"/>
              </w:rPr>
              <w:t>授权磋商小组直接确定成交供应商</w:t>
            </w:r>
            <w:r>
              <w:rPr>
                <w:rFonts w:hint="eastAsia" w:asciiTheme="minorEastAsia" w:hAnsiTheme="minorEastAsia" w:eastAsiaTheme="minorEastAsia" w:cstheme="minorEastAsia"/>
                <w:b w:val="0"/>
                <w:bCs w:val="0"/>
                <w:snapToGrid/>
                <w:spacing w:val="0"/>
                <w:kern w:val="21"/>
                <w:sz w:val="24"/>
                <w:szCs w:val="24"/>
                <w:highlight w:val="none"/>
              </w:rPr>
              <w:t>：</w:t>
            </w:r>
          </w:p>
          <w:p w14:paraId="45B5FE12">
            <w:pPr>
              <w:pStyle w:val="14"/>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■否</w:t>
            </w:r>
          </w:p>
          <w:p w14:paraId="2480A1AB">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□是</w:t>
            </w:r>
          </w:p>
          <w:p w14:paraId="2851F75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rPr>
              <w:t>成交候选人并列的，按照以下方式确定成交供应商：</w:t>
            </w:r>
            <w:r>
              <w:rPr>
                <w:rFonts w:hint="eastAsia" w:asciiTheme="minorEastAsia" w:hAnsiTheme="minorEastAsia" w:eastAsiaTheme="minorEastAsia" w:cstheme="minorEastAsia"/>
                <w:b w:val="0"/>
                <w:bCs w:val="0"/>
                <w:snapToGrid/>
                <w:spacing w:val="0"/>
                <w:kern w:val="21"/>
                <w:sz w:val="24"/>
                <w:szCs w:val="24"/>
                <w:highlight w:val="none"/>
                <w:u w:val="single"/>
              </w:rPr>
              <w:t>按照最后报价由低到高的顺序推荐。评审得分且最后报价相同的，按照技术指标优劣顺序推荐。</w:t>
            </w:r>
          </w:p>
        </w:tc>
      </w:tr>
      <w:tr w14:paraId="6392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691CFD24">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23.5</w:t>
            </w:r>
          </w:p>
        </w:tc>
        <w:tc>
          <w:tcPr>
            <w:tcW w:w="1451" w:type="dxa"/>
            <w:vAlign w:val="center"/>
          </w:tcPr>
          <w:p w14:paraId="2CB4D9D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分包</w:t>
            </w:r>
          </w:p>
        </w:tc>
        <w:tc>
          <w:tcPr>
            <w:tcW w:w="7341" w:type="dxa"/>
            <w:vAlign w:val="center"/>
          </w:tcPr>
          <w:p w14:paraId="524AC663">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本项目是否允许分包：</w:t>
            </w:r>
          </w:p>
          <w:p w14:paraId="70B708C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p w14:paraId="26781CB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u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rPr>
              <w:t>允许，具体要求：</w:t>
            </w:r>
          </w:p>
          <w:p w14:paraId="2F733826">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（1）可以分包履行的具体内容：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lang w:val="en-US" w:eastAsia="zh-CN"/>
              </w:rPr>
              <w:t>分包内容由投标人自行决定</w:t>
            </w:r>
          </w:p>
          <w:p w14:paraId="059F873C">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FF"/>
                <w:spacing w:val="0"/>
                <w:kern w:val="21"/>
                <w:sz w:val="24"/>
                <w:szCs w:val="24"/>
                <w:highlight w:val="none"/>
              </w:rPr>
            </w:pPr>
            <w:r>
              <w:rPr>
                <w:rFonts w:hint="eastAsia" w:asciiTheme="minorEastAsia" w:hAnsiTheme="minorEastAsia" w:eastAsiaTheme="minorEastAsia" w:cstheme="minorEastAsia"/>
                <w:b w:val="0"/>
                <w:bCs w:val="0"/>
                <w:snapToGrid/>
                <w:color w:val="0000FF"/>
                <w:spacing w:val="0"/>
                <w:kern w:val="21"/>
                <w:sz w:val="24"/>
                <w:szCs w:val="24"/>
                <w:highlight w:val="none"/>
              </w:rPr>
              <w:t>（2）允许分包的金额或者比例：</w:t>
            </w:r>
            <w:r>
              <w:rPr>
                <w:rFonts w:hint="eastAsia" w:asciiTheme="minorEastAsia" w:hAnsiTheme="minorEastAsia" w:eastAsiaTheme="minorEastAsia" w:cstheme="minorEastAsia"/>
                <w:b w:val="0"/>
                <w:bCs w:val="0"/>
                <w:snapToGrid/>
                <w:color w:val="0000FF"/>
                <w:spacing w:val="0"/>
                <w:kern w:val="21"/>
                <w:sz w:val="24"/>
                <w:szCs w:val="24"/>
                <w:highlight w:val="none"/>
                <w:u w:val="single"/>
                <w:lang w:val="en-US" w:eastAsia="zh-CN"/>
              </w:rPr>
              <w:t xml:space="preserve"> </w:t>
            </w:r>
            <w:r>
              <w:rPr>
                <w:rFonts w:hint="eastAsia" w:ascii="Times New Roman" w:hAnsi="Times New Roman" w:eastAsia="宋体" w:cs="Times New Roman"/>
                <w:color w:val="0000FF"/>
                <w:sz w:val="24"/>
                <w:szCs w:val="32"/>
                <w:highlight w:val="none"/>
                <w:u w:val="single"/>
                <w:lang w:val="en-US" w:eastAsia="zh-CN"/>
              </w:rPr>
              <w:t>供应商如为</w:t>
            </w:r>
            <w:r>
              <w:rPr>
                <w:rFonts w:hint="eastAsia" w:asciiTheme="minorEastAsia" w:hAnsiTheme="minorEastAsia" w:eastAsiaTheme="minorEastAsia" w:cstheme="minorEastAsia"/>
                <w:color w:val="0000FF"/>
                <w:sz w:val="24"/>
                <w:szCs w:val="24"/>
                <w:highlight w:val="none"/>
                <w:u w:val="single"/>
                <w:lang w:val="en-US" w:eastAsia="zh-CN"/>
              </w:rPr>
              <w:t>中型企业的，必须向小微企业分包，分包金额不低于</w:t>
            </w:r>
            <w:r>
              <w:rPr>
                <w:rFonts w:hint="eastAsia" w:ascii="Times New Roman" w:hAnsi="Times New Roman" w:eastAsia="宋体" w:cs="Times New Roman"/>
                <w:color w:val="0000FF"/>
                <w:sz w:val="24"/>
                <w:szCs w:val="32"/>
                <w:highlight w:val="none"/>
                <w:u w:val="single"/>
                <w:lang w:val="en-US" w:eastAsia="zh-CN"/>
              </w:rPr>
              <w:t>75.74</w:t>
            </w:r>
            <w:r>
              <w:rPr>
                <w:rFonts w:hint="eastAsia" w:ascii="Times New Roman" w:hAnsi="Times New Roman" w:eastAsia="宋体" w:cs="Times New Roman"/>
                <w:color w:val="0000FF"/>
                <w:sz w:val="24"/>
                <w:szCs w:val="32"/>
                <w:highlight w:val="none"/>
                <w:u w:val="single"/>
              </w:rPr>
              <w:t>万元。</w:t>
            </w:r>
          </w:p>
          <w:p w14:paraId="1F2F2425">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rPr>
              <w:t>（3）其他要求：</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  </w:t>
            </w:r>
          </w:p>
        </w:tc>
      </w:tr>
      <w:tr w14:paraId="615B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331BC225">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23.6</w:t>
            </w:r>
          </w:p>
        </w:tc>
        <w:tc>
          <w:tcPr>
            <w:tcW w:w="1451" w:type="dxa"/>
            <w:vAlign w:val="center"/>
          </w:tcPr>
          <w:p w14:paraId="64C71C75">
            <w:pPr>
              <w:keepNext w:val="0"/>
              <w:keepLines w:val="0"/>
              <w:pageBreakBefore w:val="0"/>
              <w:widowControl w:val="0"/>
              <w:suppressLineNumbers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bidi="ar"/>
              </w:rPr>
              <w:t>政采贷</w:t>
            </w:r>
          </w:p>
        </w:tc>
        <w:tc>
          <w:tcPr>
            <w:tcW w:w="7341" w:type="dxa"/>
            <w:vAlign w:val="center"/>
          </w:tcPr>
          <w:p w14:paraId="078AE207">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962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28FD239F">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24.1.1</w:t>
            </w:r>
          </w:p>
        </w:tc>
        <w:tc>
          <w:tcPr>
            <w:tcW w:w="1451" w:type="dxa"/>
            <w:vAlign w:val="center"/>
          </w:tcPr>
          <w:p w14:paraId="2B0E6D8A">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询问</w:t>
            </w:r>
          </w:p>
        </w:tc>
        <w:tc>
          <w:tcPr>
            <w:tcW w:w="7341" w:type="dxa"/>
            <w:vAlign w:val="center"/>
          </w:tcPr>
          <w:p w14:paraId="5CFEDB61">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询问送达形式：</w:t>
            </w:r>
            <w:r>
              <w:rPr>
                <w:rFonts w:hint="eastAsia" w:asciiTheme="minorEastAsia" w:hAnsiTheme="minorEastAsia" w:eastAsiaTheme="minorEastAsia" w:cstheme="minorEastAsia"/>
                <w:b w:val="0"/>
                <w:bCs w:val="0"/>
                <w:snapToGrid/>
                <w:spacing w:val="0"/>
                <w:kern w:val="21"/>
                <w:sz w:val="24"/>
                <w:szCs w:val="24"/>
                <w:highlight w:val="none"/>
                <w:u w:val="single"/>
              </w:rPr>
              <w:t>纸质</w:t>
            </w:r>
            <w:r>
              <w:rPr>
                <w:rFonts w:hint="eastAsia" w:asciiTheme="minorEastAsia" w:hAnsiTheme="minorEastAsia" w:eastAsiaTheme="minorEastAsia" w:cstheme="minorEastAsia"/>
                <w:b w:val="0"/>
                <w:bCs w:val="0"/>
                <w:snapToGrid/>
                <w:spacing w:val="0"/>
                <w:kern w:val="21"/>
                <w:sz w:val="24"/>
                <w:szCs w:val="24"/>
                <w:highlight w:val="none"/>
                <w:lang w:eastAsia="zh-CN"/>
              </w:rPr>
              <w:t>；</w:t>
            </w:r>
          </w:p>
        </w:tc>
      </w:tr>
      <w:tr w14:paraId="2C4D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3143709B">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24.3</w:t>
            </w:r>
          </w:p>
        </w:tc>
        <w:tc>
          <w:tcPr>
            <w:tcW w:w="1451" w:type="dxa"/>
            <w:vAlign w:val="center"/>
          </w:tcPr>
          <w:p w14:paraId="3589EB5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联系方式</w:t>
            </w:r>
          </w:p>
        </w:tc>
        <w:tc>
          <w:tcPr>
            <w:tcW w:w="7341" w:type="dxa"/>
            <w:vAlign w:val="center"/>
          </w:tcPr>
          <w:p w14:paraId="7B79130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接收询问和质疑的联系方式</w:t>
            </w:r>
          </w:p>
          <w:p w14:paraId="4D153363">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联系部门：</w:t>
            </w:r>
            <w:r>
              <w:rPr>
                <w:rFonts w:hint="eastAsia" w:asciiTheme="minorEastAsia" w:hAnsiTheme="minorEastAsia" w:eastAsiaTheme="minorEastAsia" w:cstheme="minorEastAsia"/>
                <w:b w:val="0"/>
                <w:bCs w:val="0"/>
                <w:snapToGrid/>
                <w:spacing w:val="0"/>
                <w:kern w:val="21"/>
                <w:sz w:val="24"/>
                <w:szCs w:val="24"/>
                <w:highlight w:val="none"/>
                <w:u w:val="single"/>
              </w:rPr>
              <w:t>北京中盛宇工程管理有限公司-招标部</w:t>
            </w:r>
            <w:r>
              <w:rPr>
                <w:rFonts w:hint="eastAsia" w:asciiTheme="minorEastAsia" w:hAnsiTheme="minorEastAsia" w:eastAsiaTheme="minorEastAsia" w:cstheme="minorEastAsia"/>
                <w:b w:val="0"/>
                <w:bCs w:val="0"/>
                <w:snapToGrid/>
                <w:spacing w:val="0"/>
                <w:kern w:val="21"/>
                <w:sz w:val="24"/>
                <w:szCs w:val="24"/>
                <w:highlight w:val="none"/>
              </w:rPr>
              <w:t>；</w:t>
            </w:r>
          </w:p>
          <w:p w14:paraId="64B37A2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联系电话：</w:t>
            </w:r>
            <w:r>
              <w:rPr>
                <w:rFonts w:hint="eastAsia" w:asciiTheme="minorEastAsia" w:hAnsiTheme="minorEastAsia" w:eastAsiaTheme="minorEastAsia" w:cstheme="minorEastAsia"/>
                <w:b w:val="0"/>
                <w:bCs w:val="0"/>
                <w:snapToGrid/>
                <w:spacing w:val="0"/>
                <w:kern w:val="21"/>
                <w:sz w:val="24"/>
                <w:szCs w:val="24"/>
                <w:highlight w:val="none"/>
                <w:u w:val="single"/>
                <w:lang w:eastAsia="zh-CN"/>
              </w:rPr>
              <w:t>王欣艳</w:t>
            </w:r>
            <w:r>
              <w:rPr>
                <w:rFonts w:hint="eastAsia" w:asciiTheme="minorEastAsia" w:hAnsiTheme="minorEastAsia" w:eastAsiaTheme="minorEastAsia" w:cstheme="minorEastAsia"/>
                <w:b w:val="0"/>
                <w:bCs w:val="0"/>
                <w:snapToGrid/>
                <w:spacing w:val="0"/>
                <w:kern w:val="21"/>
                <w:sz w:val="24"/>
                <w:szCs w:val="24"/>
                <w:highlight w:val="none"/>
                <w:u w:val="single"/>
              </w:rPr>
              <w:t>/69415773</w:t>
            </w:r>
            <w:r>
              <w:rPr>
                <w:rFonts w:hint="eastAsia" w:asciiTheme="minorEastAsia" w:hAnsiTheme="minorEastAsia" w:eastAsiaTheme="minorEastAsia" w:cstheme="minorEastAsia"/>
                <w:b w:val="0"/>
                <w:bCs w:val="0"/>
                <w:snapToGrid/>
                <w:spacing w:val="0"/>
                <w:kern w:val="21"/>
                <w:sz w:val="24"/>
                <w:szCs w:val="24"/>
                <w:highlight w:val="none"/>
              </w:rPr>
              <w:t>；</w:t>
            </w:r>
          </w:p>
          <w:p w14:paraId="14DA148E">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通讯地址：</w:t>
            </w:r>
            <w:r>
              <w:rPr>
                <w:rFonts w:hint="eastAsia" w:asciiTheme="minorEastAsia" w:hAnsiTheme="minorEastAsia" w:eastAsiaTheme="minorEastAsia" w:cstheme="minorEastAsia"/>
                <w:b w:val="0"/>
                <w:bCs w:val="0"/>
                <w:snapToGrid/>
                <w:spacing w:val="0"/>
                <w:kern w:val="21"/>
                <w:sz w:val="24"/>
                <w:szCs w:val="24"/>
                <w:highlight w:val="none"/>
                <w:u w:val="single"/>
              </w:rPr>
              <w:t>北京市顺义区双丰街道顺安南路12号一区26号楼北侧三层</w:t>
            </w:r>
            <w:r>
              <w:rPr>
                <w:rFonts w:hint="eastAsia" w:asciiTheme="minorEastAsia" w:hAnsiTheme="minorEastAsia" w:eastAsiaTheme="minorEastAsia" w:cstheme="minorEastAsia"/>
                <w:b w:val="0"/>
                <w:bCs w:val="0"/>
                <w:snapToGrid/>
                <w:spacing w:val="0"/>
                <w:kern w:val="21"/>
                <w:sz w:val="24"/>
                <w:szCs w:val="24"/>
                <w:highlight w:val="none"/>
              </w:rPr>
              <w:t>。</w:t>
            </w:r>
          </w:p>
        </w:tc>
      </w:tr>
      <w:tr w14:paraId="0908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Align w:val="center"/>
          </w:tcPr>
          <w:p w14:paraId="69DA32B9">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25</w:t>
            </w:r>
          </w:p>
        </w:tc>
        <w:tc>
          <w:tcPr>
            <w:tcW w:w="1451" w:type="dxa"/>
            <w:vAlign w:val="center"/>
          </w:tcPr>
          <w:p w14:paraId="728CD6AC">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代理费</w:t>
            </w:r>
          </w:p>
        </w:tc>
        <w:tc>
          <w:tcPr>
            <w:tcW w:w="7341" w:type="dxa"/>
            <w:vAlign w:val="center"/>
          </w:tcPr>
          <w:p w14:paraId="321C0307">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收费对象：</w:t>
            </w:r>
          </w:p>
          <w:p w14:paraId="64B0BE58">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采购人</w:t>
            </w:r>
          </w:p>
          <w:p w14:paraId="30652045">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■成交供应商</w:t>
            </w:r>
          </w:p>
          <w:p w14:paraId="7E216011">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u w:val="singl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采购代理服务费：</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参照发改价格【2015】299号文及下表收费标准，采用差额定率累进法计算，招标代理服务费收费按照成交金额为基数计取，在标准收费基础上，下浮40%。</w:t>
            </w:r>
          </w:p>
          <w:p w14:paraId="187E5B6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支付时间：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在成交供应商领取成交通知书当日一次性支付全部招标代理服务费。</w:t>
            </w:r>
          </w:p>
          <w:tbl>
            <w:tblPr>
              <w:tblStyle w:val="23"/>
              <w:tblW w:w="7027"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882"/>
              <w:gridCol w:w="3145"/>
            </w:tblGrid>
            <w:tr w14:paraId="6BBBB1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Header/>
                <w:tblCellSpacing w:w="0" w:type="dxa"/>
                <w:jc w:val="center"/>
              </w:trPr>
              <w:tc>
                <w:tcPr>
                  <w:tcW w:w="3882" w:type="dxa"/>
                  <w:tcBorders>
                    <w:top w:val="outset" w:color="auto" w:sz="6" w:space="0"/>
                    <w:left w:val="outset" w:color="auto" w:sz="6" w:space="0"/>
                    <w:bottom w:val="outset" w:color="auto" w:sz="6" w:space="0"/>
                    <w:right w:val="outset" w:color="auto" w:sz="6" w:space="0"/>
                    <w:tl2br w:val="outset" w:color="auto" w:sz="6" w:space="0"/>
                  </w:tcBorders>
                  <w:noWrap w:val="0"/>
                  <w:vAlign w:val="center"/>
                </w:tcPr>
                <w:p w14:paraId="624EFB4E">
                  <w:pPr>
                    <w:keepNext w:val="0"/>
                    <w:keepLines w:val="0"/>
                    <w:pageBreakBefore w:val="0"/>
                    <w:widowControl w:val="0"/>
                    <w:kinsoku/>
                    <w:wordWrap w:val="0"/>
                    <w:overflowPunct/>
                    <w:topLinePunct/>
                    <w:autoSpaceDE/>
                    <w:autoSpaceDN/>
                    <w:bidi w:val="0"/>
                    <w:spacing w:line="360" w:lineRule="auto"/>
                    <w:jc w:val="right"/>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服务类型</w:t>
                  </w:r>
                </w:p>
                <w:p w14:paraId="026B647E">
                  <w:pPr>
                    <w:keepNext w:val="0"/>
                    <w:keepLines w:val="0"/>
                    <w:pageBreakBefore w:val="0"/>
                    <w:widowControl w:val="0"/>
                    <w:kinsoku/>
                    <w:wordWrap w:val="0"/>
                    <w:overflowPunct/>
                    <w:topLinePunct/>
                    <w:autoSpaceDE/>
                    <w:autoSpaceDN/>
                    <w:bidi w:val="0"/>
                    <w:spacing w:line="360" w:lineRule="auto"/>
                    <w:ind w:firstLine="240" w:firstLineChars="100"/>
                    <w:jc w:val="left"/>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中标金额</w:t>
                  </w:r>
                </w:p>
                <w:p w14:paraId="1336938F">
                  <w:pPr>
                    <w:keepNext w:val="0"/>
                    <w:keepLines w:val="0"/>
                    <w:pageBreakBefore w:val="0"/>
                    <w:widowControl w:val="0"/>
                    <w:kinsoku/>
                    <w:wordWrap w:val="0"/>
                    <w:overflowPunct/>
                    <w:topLinePunct/>
                    <w:autoSpaceDE/>
                    <w:autoSpaceDN/>
                    <w:bidi w:val="0"/>
                    <w:spacing w:line="360" w:lineRule="auto"/>
                    <w:ind w:firstLine="240" w:firstLineChars="100"/>
                    <w:jc w:val="left"/>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（万元）</w:t>
                  </w:r>
                </w:p>
              </w:tc>
              <w:tc>
                <w:tcPr>
                  <w:tcW w:w="3145" w:type="dxa"/>
                  <w:tcBorders>
                    <w:top w:val="outset" w:color="auto" w:sz="6" w:space="0"/>
                    <w:left w:val="outset" w:color="auto" w:sz="6" w:space="0"/>
                    <w:bottom w:val="outset" w:color="auto" w:sz="6" w:space="0"/>
                    <w:right w:val="outset" w:color="auto" w:sz="6" w:space="0"/>
                  </w:tcBorders>
                  <w:noWrap w:val="0"/>
                  <w:vAlign w:val="center"/>
                </w:tcPr>
                <w:p w14:paraId="7B131DB0">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服务招标</w:t>
                  </w:r>
                </w:p>
              </w:tc>
            </w:tr>
            <w:tr w14:paraId="2FB162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882" w:type="dxa"/>
                  <w:tcBorders>
                    <w:top w:val="outset" w:color="auto" w:sz="6" w:space="0"/>
                    <w:left w:val="outset" w:color="auto" w:sz="6" w:space="0"/>
                    <w:bottom w:val="outset" w:color="auto" w:sz="6" w:space="0"/>
                    <w:right w:val="outset" w:color="auto" w:sz="6" w:space="0"/>
                  </w:tcBorders>
                  <w:noWrap w:val="0"/>
                  <w:vAlign w:val="center"/>
                </w:tcPr>
                <w:p w14:paraId="32EF6B66">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100以下</w:t>
                  </w:r>
                </w:p>
              </w:tc>
              <w:tc>
                <w:tcPr>
                  <w:tcW w:w="3145" w:type="dxa"/>
                  <w:tcBorders>
                    <w:top w:val="outset" w:color="auto" w:sz="6" w:space="0"/>
                    <w:left w:val="outset" w:color="auto" w:sz="6" w:space="0"/>
                    <w:bottom w:val="outset" w:color="auto" w:sz="6" w:space="0"/>
                    <w:right w:val="outset" w:color="auto" w:sz="6" w:space="0"/>
                  </w:tcBorders>
                  <w:noWrap w:val="0"/>
                  <w:vAlign w:val="center"/>
                </w:tcPr>
                <w:p w14:paraId="5245D27D">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1.5％</w:t>
                  </w:r>
                </w:p>
              </w:tc>
            </w:tr>
            <w:tr w14:paraId="38FB51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882" w:type="dxa"/>
                  <w:tcBorders>
                    <w:top w:val="outset" w:color="auto" w:sz="6" w:space="0"/>
                    <w:left w:val="outset" w:color="auto" w:sz="6" w:space="0"/>
                    <w:bottom w:val="outset" w:color="auto" w:sz="6" w:space="0"/>
                    <w:right w:val="outset" w:color="auto" w:sz="6" w:space="0"/>
                  </w:tcBorders>
                  <w:noWrap w:val="0"/>
                  <w:vAlign w:val="center"/>
                </w:tcPr>
                <w:p w14:paraId="3CC7BFC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100—500</w:t>
                  </w:r>
                </w:p>
              </w:tc>
              <w:tc>
                <w:tcPr>
                  <w:tcW w:w="3145" w:type="dxa"/>
                  <w:tcBorders>
                    <w:top w:val="outset" w:color="auto" w:sz="6" w:space="0"/>
                    <w:left w:val="outset" w:color="auto" w:sz="6" w:space="0"/>
                    <w:bottom w:val="outset" w:color="auto" w:sz="6" w:space="0"/>
                    <w:right w:val="outset" w:color="auto" w:sz="6" w:space="0"/>
                  </w:tcBorders>
                  <w:noWrap w:val="0"/>
                  <w:vAlign w:val="center"/>
                </w:tcPr>
                <w:p w14:paraId="5279BBB9">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0.8％</w:t>
                  </w:r>
                </w:p>
              </w:tc>
            </w:tr>
            <w:tr w14:paraId="5041007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 w:hRule="atLeast"/>
                <w:tblCellSpacing w:w="0" w:type="dxa"/>
                <w:jc w:val="center"/>
              </w:trPr>
              <w:tc>
                <w:tcPr>
                  <w:tcW w:w="3882" w:type="dxa"/>
                  <w:tcBorders>
                    <w:top w:val="outset" w:color="auto" w:sz="6" w:space="0"/>
                    <w:left w:val="outset" w:color="auto" w:sz="6" w:space="0"/>
                    <w:bottom w:val="outset" w:color="auto" w:sz="6" w:space="0"/>
                    <w:right w:val="outset" w:color="auto" w:sz="6" w:space="0"/>
                  </w:tcBorders>
                  <w:noWrap w:val="0"/>
                  <w:vAlign w:val="center"/>
                </w:tcPr>
                <w:p w14:paraId="0F9D242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500—1000</w:t>
                  </w:r>
                </w:p>
              </w:tc>
              <w:tc>
                <w:tcPr>
                  <w:tcW w:w="3145" w:type="dxa"/>
                  <w:tcBorders>
                    <w:top w:val="outset" w:color="auto" w:sz="6" w:space="0"/>
                    <w:left w:val="outset" w:color="auto" w:sz="6" w:space="0"/>
                    <w:bottom w:val="outset" w:color="auto" w:sz="6" w:space="0"/>
                    <w:right w:val="outset" w:color="auto" w:sz="6" w:space="0"/>
                  </w:tcBorders>
                  <w:noWrap w:val="0"/>
                  <w:vAlign w:val="center"/>
                </w:tcPr>
                <w:p w14:paraId="2DA39462">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zh-CN"/>
                    </w:rPr>
                  </w:pPr>
                  <w:r>
                    <w:rPr>
                      <w:rFonts w:hint="eastAsia" w:asciiTheme="minorEastAsia" w:hAnsiTheme="minorEastAsia" w:eastAsiaTheme="minorEastAsia" w:cstheme="minorEastAsia"/>
                      <w:b w:val="0"/>
                      <w:bCs w:val="0"/>
                      <w:snapToGrid/>
                      <w:spacing w:val="0"/>
                      <w:kern w:val="21"/>
                      <w:sz w:val="24"/>
                      <w:szCs w:val="24"/>
                      <w:highlight w:val="none"/>
                      <w:lang w:val="zh-CN"/>
                    </w:rPr>
                    <w:t>0.45％</w:t>
                  </w:r>
                </w:p>
              </w:tc>
            </w:tr>
          </w:tbl>
          <w:p w14:paraId="0EBACF2D">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p>
        </w:tc>
      </w:tr>
      <w:tr w14:paraId="23E0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Merge w:val="restart"/>
            <w:vAlign w:val="center"/>
          </w:tcPr>
          <w:p w14:paraId="3FC65930">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26</w:t>
            </w:r>
          </w:p>
        </w:tc>
        <w:tc>
          <w:tcPr>
            <w:tcW w:w="1451" w:type="dxa"/>
            <w:shd w:val="clear" w:color="auto" w:fill="auto"/>
            <w:vAlign w:val="center"/>
          </w:tcPr>
          <w:p w14:paraId="03DD668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bidi="ar-SA"/>
              </w:rPr>
            </w:pPr>
            <w:r>
              <w:rPr>
                <w:rFonts w:hint="eastAsia" w:asciiTheme="minorEastAsia" w:hAnsiTheme="minorEastAsia" w:eastAsiaTheme="minorEastAsia" w:cstheme="minorEastAsia"/>
                <w:b w:val="0"/>
                <w:bCs w:val="0"/>
                <w:snapToGrid/>
                <w:spacing w:val="0"/>
                <w:kern w:val="21"/>
                <w:sz w:val="24"/>
                <w:szCs w:val="24"/>
                <w:highlight w:val="none"/>
              </w:rPr>
              <w:t>其他要求</w:t>
            </w:r>
          </w:p>
        </w:tc>
        <w:tc>
          <w:tcPr>
            <w:tcW w:w="7341" w:type="dxa"/>
            <w:shd w:val="clear" w:color="auto" w:fill="auto"/>
            <w:vAlign w:val="center"/>
          </w:tcPr>
          <w:p w14:paraId="65D8E302">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bidi="ar-SA"/>
              </w:rPr>
            </w:pPr>
            <w:r>
              <w:rPr>
                <w:rFonts w:hint="eastAsia" w:asciiTheme="minorEastAsia" w:hAnsiTheme="minorEastAsia" w:eastAsiaTheme="minorEastAsia" w:cstheme="minorEastAsia"/>
                <w:b w:val="0"/>
                <w:bCs w:val="0"/>
                <w:snapToGrid/>
                <w:spacing w:val="0"/>
                <w:kern w:val="21"/>
                <w:sz w:val="24"/>
                <w:szCs w:val="24"/>
                <w:highlight w:val="none"/>
              </w:rPr>
              <w:t>成交</w:t>
            </w:r>
            <w:r>
              <w:rPr>
                <w:rFonts w:hint="eastAsia" w:asciiTheme="minorEastAsia" w:hAnsiTheme="minorEastAsia" w:eastAsiaTheme="minorEastAsia" w:cstheme="minorEastAsia"/>
                <w:b w:val="0"/>
                <w:bCs w:val="0"/>
                <w:snapToGrid/>
                <w:spacing w:val="0"/>
                <w:kern w:val="21"/>
                <w:sz w:val="24"/>
                <w:szCs w:val="24"/>
                <w:highlight w:val="none"/>
                <w:lang w:val="en-US" w:eastAsia="zh-CN"/>
              </w:rPr>
              <w:t>供应商</w:t>
            </w:r>
            <w:r>
              <w:rPr>
                <w:rFonts w:hint="eastAsia" w:asciiTheme="minorEastAsia" w:hAnsiTheme="minorEastAsia" w:eastAsiaTheme="minorEastAsia" w:cstheme="minorEastAsia"/>
                <w:b w:val="0"/>
                <w:bCs w:val="0"/>
                <w:snapToGrid/>
                <w:spacing w:val="0"/>
                <w:kern w:val="21"/>
                <w:sz w:val="24"/>
                <w:szCs w:val="24"/>
                <w:highlight w:val="none"/>
              </w:rPr>
              <w:t>在领取成交通知书的当日，需提供加盖单位公章的纸质版响应文件2份及2份最后报价一览表和最后分项报价表。（响应文件必须与上传电子交易平台的电子文件内容保持一致）</w:t>
            </w:r>
          </w:p>
        </w:tc>
      </w:tr>
      <w:tr w14:paraId="6D16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8" w:type="dxa"/>
            <w:vMerge w:val="continue"/>
            <w:shd w:val="clear" w:color="auto" w:fill="auto"/>
            <w:vAlign w:val="center"/>
          </w:tcPr>
          <w:p w14:paraId="187FC07E">
            <w:pPr>
              <w:pStyle w:val="14"/>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451" w:type="dxa"/>
            <w:shd w:val="clear" w:color="auto" w:fill="auto"/>
            <w:vAlign w:val="center"/>
          </w:tcPr>
          <w:p w14:paraId="168FCEAA">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磋商会方式</w:t>
            </w:r>
          </w:p>
        </w:tc>
        <w:tc>
          <w:tcPr>
            <w:tcW w:w="7341" w:type="dxa"/>
            <w:shd w:val="clear" w:color="auto" w:fill="auto"/>
            <w:vAlign w:val="center"/>
          </w:tcPr>
          <w:p w14:paraId="6F7EF7CA">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bidi="ar"/>
              </w:rPr>
            </w:pPr>
            <w:r>
              <w:rPr>
                <w:rFonts w:hint="eastAsia" w:asciiTheme="minorEastAsia" w:hAnsiTheme="minorEastAsia" w:eastAsiaTheme="minorEastAsia" w:cstheme="minorEastAsia"/>
                <w:b w:val="0"/>
                <w:bCs w:val="0"/>
                <w:snapToGrid/>
                <w:spacing w:val="0"/>
                <w:kern w:val="21"/>
                <w:sz w:val="24"/>
                <w:szCs w:val="24"/>
                <w:highlight w:val="none"/>
              </w:rPr>
              <w:t>1.本项目采用远程磋商方式；参与本项目的供应商无需到场；供应商于</w:t>
            </w:r>
            <w:r>
              <w:rPr>
                <w:rFonts w:hint="eastAsia" w:asciiTheme="minorEastAsia" w:hAnsiTheme="minorEastAsia" w:eastAsiaTheme="minorEastAsia" w:cstheme="minorEastAsia"/>
                <w:b w:val="0"/>
                <w:bCs w:val="0"/>
                <w:snapToGrid/>
                <w:spacing w:val="0"/>
                <w:kern w:val="21"/>
                <w:sz w:val="24"/>
                <w:szCs w:val="24"/>
                <w:highlight w:val="none"/>
                <w:lang w:val="zh-TW" w:eastAsia="zh-CN" w:bidi="ar"/>
              </w:rPr>
              <w:t>竞争性磋商</w:t>
            </w:r>
            <w:r>
              <w:rPr>
                <w:rFonts w:hint="eastAsia" w:asciiTheme="minorEastAsia" w:hAnsiTheme="minorEastAsia" w:eastAsiaTheme="minorEastAsia" w:cstheme="minorEastAsia"/>
                <w:b w:val="0"/>
                <w:bCs w:val="0"/>
                <w:snapToGrid/>
                <w:spacing w:val="0"/>
                <w:kern w:val="21"/>
                <w:sz w:val="24"/>
                <w:szCs w:val="24"/>
                <w:highlight w:val="none"/>
                <w:lang w:val="zh-TW" w:bidi="ar"/>
              </w:rPr>
              <w:t>规定的开启时间使用</w:t>
            </w:r>
            <w:r>
              <w:rPr>
                <w:rFonts w:hint="eastAsia" w:asciiTheme="minorEastAsia" w:hAnsiTheme="minorEastAsia" w:eastAsiaTheme="minorEastAsia" w:cstheme="minorEastAsia"/>
                <w:b w:val="0"/>
                <w:bCs w:val="0"/>
                <w:snapToGrid/>
                <w:spacing w:val="0"/>
                <w:kern w:val="21"/>
                <w:sz w:val="24"/>
                <w:szCs w:val="24"/>
                <w:highlight w:val="none"/>
                <w:lang w:bidi="ar"/>
              </w:rPr>
              <w:t>CA认证证书</w:t>
            </w:r>
            <w:r>
              <w:rPr>
                <w:rFonts w:hint="eastAsia" w:asciiTheme="minorEastAsia" w:hAnsiTheme="minorEastAsia" w:eastAsiaTheme="minorEastAsia" w:cstheme="minorEastAsia"/>
                <w:b w:val="0"/>
                <w:bCs w:val="0"/>
                <w:snapToGrid/>
                <w:spacing w:val="0"/>
                <w:kern w:val="21"/>
                <w:sz w:val="24"/>
                <w:szCs w:val="24"/>
                <w:highlight w:val="none"/>
                <w:lang w:val="zh-TW" w:bidi="ar"/>
              </w:rPr>
              <w:t>登录</w:t>
            </w:r>
            <w:r>
              <w:rPr>
                <w:rFonts w:hint="eastAsia" w:asciiTheme="minorEastAsia" w:hAnsiTheme="minorEastAsia" w:eastAsiaTheme="minorEastAsia" w:cstheme="minorEastAsia"/>
                <w:b w:val="0"/>
                <w:bCs w:val="0"/>
                <w:snapToGrid/>
                <w:spacing w:val="0"/>
                <w:kern w:val="21"/>
                <w:sz w:val="24"/>
                <w:szCs w:val="24"/>
                <w:highlight w:val="none"/>
                <w:lang w:bidi="ar"/>
              </w:rPr>
              <w:t>北京市政府采购电子交易平台解密并开启响应文件。如因供应商问题，解密不成功，则响应无效。</w:t>
            </w:r>
          </w:p>
          <w:p w14:paraId="41BE79C8">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2.响应人应在规定的时间内对响应文件进行解密，因非系统原因导致的解密失败，视为投标无效。</w:t>
            </w:r>
          </w:p>
          <w:p w14:paraId="729964F0">
            <w:pPr>
              <w:pStyle w:val="15"/>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3.待磋商小组下达最终报价指令后，供应商应在规定时间内在评标系统中上传最终报价</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rPr>
              <w:t>未按照磋商小组规定的时间、逾期提交最后报价的</w:t>
            </w:r>
            <w:r>
              <w:rPr>
                <w:rFonts w:hint="eastAsia" w:asciiTheme="minorEastAsia" w:hAnsiTheme="minorEastAsia" w:eastAsiaTheme="minorEastAsia" w:cstheme="minorEastAsia"/>
                <w:b w:val="0"/>
                <w:bCs w:val="0"/>
                <w:snapToGrid/>
                <w:spacing w:val="0"/>
                <w:kern w:val="21"/>
                <w:sz w:val="24"/>
                <w:szCs w:val="24"/>
              </w:rPr>
              <w:t>响应文件无效</w:t>
            </w:r>
            <w:r>
              <w:rPr>
                <w:rFonts w:hint="eastAsia" w:asciiTheme="minorEastAsia" w:hAnsiTheme="minorEastAsia" w:eastAsiaTheme="minorEastAsia" w:cstheme="minorEastAsia"/>
                <w:b w:val="0"/>
                <w:bCs w:val="0"/>
                <w:snapToGrid/>
                <w:spacing w:val="0"/>
                <w:kern w:val="21"/>
                <w:sz w:val="24"/>
                <w:szCs w:val="24"/>
                <w:highlight w:val="none"/>
              </w:rPr>
              <w:t>。</w:t>
            </w:r>
          </w:p>
        </w:tc>
      </w:tr>
    </w:tbl>
    <w:p w14:paraId="6979F100">
      <w:pPr>
        <w:keepNext w:val="0"/>
        <w:keepLines w:val="0"/>
        <w:pageBreakBefore w:val="0"/>
        <w:widowControl w:val="0"/>
        <w:tabs>
          <w:tab w:val="left" w:pos="5580"/>
        </w:tabs>
        <w:kinsoku/>
        <w:wordWrap w:val="0"/>
        <w:overflowPunct/>
        <w:topLinePunct/>
        <w:autoSpaceDE/>
        <w:autoSpaceDN/>
        <w:bidi w:val="0"/>
        <w:adjustRightInd w:val="0"/>
        <w:spacing w:line="360" w:lineRule="auto"/>
        <w:jc w:val="distribute"/>
        <w:outlineLvl w:val="9"/>
        <w:rPr>
          <w:rFonts w:hint="eastAsia" w:asciiTheme="minorEastAsia" w:hAnsiTheme="minorEastAsia" w:eastAsiaTheme="minorEastAsia" w:cstheme="minorEastAsia"/>
          <w:b w:val="0"/>
          <w:bCs w:val="0"/>
          <w:snapToGrid/>
          <w:spacing w:val="0"/>
          <w:kern w:val="21"/>
          <w:sz w:val="20"/>
          <w:szCs w:val="20"/>
          <w:highlight w:val="none"/>
        </w:rPr>
        <w:sectPr>
          <w:footerReference r:id="rId11" w:type="first"/>
          <w:footerReference r:id="rId9" w:type="default"/>
          <w:footerReference r:id="rId10" w:type="even"/>
          <w:pgSz w:w="11905" w:h="16838"/>
          <w:pgMar w:top="1440" w:right="1080" w:bottom="1440" w:left="1080" w:header="851" w:footer="850" w:gutter="0"/>
          <w:pgNumType w:fmt="decimal" w:start="1"/>
          <w:cols w:space="0" w:num="1"/>
          <w:titlePg/>
          <w:rtlGutter w:val="0"/>
          <w:docGrid w:linePitch="462" w:charSpace="0"/>
        </w:sectPr>
      </w:pPr>
    </w:p>
    <w:p w14:paraId="197E2D9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供应商须知</w:t>
      </w:r>
    </w:p>
    <w:p w14:paraId="194B241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73" w:name="_Toc226337214"/>
      <w:bookmarkStart w:id="74" w:name="_Toc264969208"/>
      <w:bookmarkStart w:id="75" w:name="_Toc195842883"/>
      <w:bookmarkStart w:id="76" w:name="_Toc226965791"/>
      <w:bookmarkStart w:id="77" w:name="_Toc150509269"/>
      <w:bookmarkStart w:id="78" w:name="_Toc150774618"/>
      <w:bookmarkStart w:id="79" w:name="_Toc151193760"/>
      <w:bookmarkStart w:id="80" w:name="_Toc150480756"/>
      <w:bookmarkStart w:id="81" w:name="_Toc226965708"/>
      <w:bookmarkStart w:id="82" w:name="_Toc151193688"/>
      <w:bookmarkStart w:id="83" w:name="_Toc142311020"/>
      <w:bookmarkStart w:id="84" w:name="_Toc151190145"/>
      <w:bookmarkStart w:id="85" w:name="_Toc151193906"/>
      <w:bookmarkStart w:id="86" w:name="_Toc151193832"/>
      <w:bookmarkStart w:id="87" w:name="_Toc305158786"/>
      <w:bookmarkStart w:id="88" w:name="_Toc265228356"/>
      <w:bookmarkStart w:id="89" w:name="_Toc127151518"/>
      <w:bookmarkStart w:id="90" w:name="_Toc520356143"/>
      <w:bookmarkStart w:id="91" w:name="_Toc150774723"/>
      <w:bookmarkStart w:id="92" w:name="_Toc151193616"/>
      <w:bookmarkStart w:id="93" w:name="_Toc226309762"/>
      <w:bookmarkStart w:id="94" w:name="_Toc30515886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3AB3DCF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95" w:name="_Toc265228357"/>
      <w:bookmarkStart w:id="96" w:name="_Toc264969209"/>
      <w:bookmarkStart w:id="97" w:name="_Toc305158787"/>
      <w:bookmarkStart w:id="98" w:name="_Toc305158861"/>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1采购人、采购代理机构、供应商</w:t>
      </w:r>
      <w:bookmarkEnd w:id="95"/>
      <w:bookmarkEnd w:id="96"/>
      <w:bookmarkEnd w:id="97"/>
      <w:bookmarkEnd w:id="98"/>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、联合体</w:t>
      </w:r>
    </w:p>
    <w:p w14:paraId="5BF5BA8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1.1采购人、采购代理机构：指依法进行政府采购的国家机关、事业单位、团体组织，及其委托的采购代理机构。本项目采购人、采购代理机构见第一章《采购邀请》。</w:t>
      </w:r>
    </w:p>
    <w:p w14:paraId="153EC81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1.2供应商（也称“申请人”）：指向采购人提供货物、工程或者服务的法人、其他组织或者自然人。</w:t>
      </w:r>
    </w:p>
    <w:p w14:paraId="0DDF0A0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1.3联合体：指两个以上的自然人、法人或者其他组织组成一个联合体，以一个供应商的身份共同参加政府采购。</w:t>
      </w:r>
    </w:p>
    <w:p w14:paraId="65F1450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99" w:name="_Toc226337216"/>
      <w:bookmarkStart w:id="100" w:name="_Toc226965793"/>
      <w:bookmarkStart w:id="101" w:name="_Toc151190147"/>
      <w:bookmarkStart w:id="102" w:name="_Toc127151721"/>
      <w:bookmarkStart w:id="103" w:name="_Toc226309764"/>
      <w:bookmarkStart w:id="104" w:name="_Toc164608789"/>
      <w:bookmarkStart w:id="105" w:name="_Toc151193618"/>
      <w:bookmarkStart w:id="106" w:name="_Toc195842885"/>
      <w:bookmarkStart w:id="107" w:name="_Toc151193690"/>
      <w:bookmarkStart w:id="108" w:name="_Toc127161434"/>
      <w:bookmarkStart w:id="109" w:name="_Toc142311022"/>
      <w:bookmarkStart w:id="110" w:name="_Toc264969210"/>
      <w:bookmarkStart w:id="111" w:name="_Toc150509271"/>
      <w:bookmarkStart w:id="112" w:name="_Toc150774725"/>
      <w:bookmarkStart w:id="113" w:name="_Toc151193762"/>
      <w:bookmarkStart w:id="114" w:name="_Toc164351614"/>
      <w:bookmarkStart w:id="115" w:name="_Toc305158862"/>
      <w:bookmarkStart w:id="116" w:name="_Toc149720813"/>
      <w:bookmarkStart w:id="117" w:name="_Toc150480758"/>
      <w:bookmarkStart w:id="118" w:name="_Toc226965710"/>
      <w:bookmarkStart w:id="119" w:name="_Toc305158788"/>
      <w:bookmarkStart w:id="120" w:name="_Toc151193908"/>
      <w:bookmarkStart w:id="121" w:name="_Toc150774620"/>
      <w:bookmarkStart w:id="122" w:name="_Toc151193834"/>
      <w:bookmarkStart w:id="123" w:name="_Toc265228358"/>
      <w:bookmarkStart w:id="124" w:name="_Toc164608634"/>
      <w:bookmarkStart w:id="125" w:name="_Toc164229361"/>
      <w:bookmarkStart w:id="126" w:name="_Toc164229215"/>
      <w:bookmarkStart w:id="127" w:name="_Toc12715152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、项目属性、科研仪器设备采购</w:t>
      </w:r>
    </w:p>
    <w:p w14:paraId="302C669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2.1资金来源为财政性资金和/或本项目采购中无法与财政性资金分割的非财政性资金。</w:t>
      </w:r>
    </w:p>
    <w:p w14:paraId="3E15F87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2.2项目属性见《供应商须知资料表》。</w:t>
      </w:r>
    </w:p>
    <w:p w14:paraId="08B24DE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2.3是否属于科研仪器设备采购见《供应商须知资料表》。</w:t>
      </w:r>
    </w:p>
    <w:p w14:paraId="542A7E0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3现场考察、磋商前答疑会</w:t>
      </w:r>
    </w:p>
    <w:p w14:paraId="4A073AA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3.1若《供应商须知资料表》中规定了组织现场考察、召开磋商前答疑会，则供应商应按要求在规定的时间和地点参加。</w:t>
      </w:r>
      <w:bookmarkStart w:id="128" w:name="_Toc226337218"/>
      <w:bookmarkStart w:id="129" w:name="_Toc226965712"/>
      <w:bookmarkStart w:id="130" w:name="_Toc151190149"/>
      <w:bookmarkStart w:id="131" w:name="_Toc150509273"/>
      <w:bookmarkStart w:id="132" w:name="_Toc151193910"/>
      <w:bookmarkStart w:id="133" w:name="_Toc151193620"/>
      <w:bookmarkStart w:id="134" w:name="_Toc305158790"/>
      <w:bookmarkStart w:id="135" w:name="_Toc150480760"/>
      <w:bookmarkStart w:id="136" w:name="_Toc151193692"/>
      <w:bookmarkStart w:id="137" w:name="_Toc127151522"/>
      <w:bookmarkStart w:id="138" w:name="_Toc226965795"/>
      <w:bookmarkStart w:id="139" w:name="_Toc151193836"/>
      <w:bookmarkStart w:id="140" w:name="_Toc142311024"/>
      <w:bookmarkStart w:id="141" w:name="_Toc195842887"/>
      <w:bookmarkStart w:id="142" w:name="_Toc151193764"/>
      <w:bookmarkStart w:id="143" w:name="_Toc520356146"/>
      <w:bookmarkStart w:id="144" w:name="_Toc265228360"/>
      <w:bookmarkStart w:id="145" w:name="_Toc264969212"/>
      <w:bookmarkStart w:id="146" w:name="_Toc150774727"/>
      <w:bookmarkStart w:id="147" w:name="_Toc226309766"/>
      <w:bookmarkStart w:id="148" w:name="_Toc150774622"/>
      <w:bookmarkStart w:id="149" w:name="_Toc305158864"/>
    </w:p>
    <w:p w14:paraId="0590C30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3.2由于未参加现场考察或磋商前答疑会而导致对项目实际情况不了解，影响响应文件编制、报价准确性、综合因素响应不全面等问题的，由供应商自行承担不利评审后果。</w:t>
      </w:r>
    </w:p>
    <w:p w14:paraId="0E1A558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4政府采购政策（包括但不限于下列具体政策要求）</w:t>
      </w:r>
    </w:p>
    <w:p w14:paraId="0C5154E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4.1采购本国货物、工程和服务</w:t>
      </w:r>
    </w:p>
    <w:p w14:paraId="4678923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4.1.1政府采购应当采购本国货物、工程和服务。但有《中华人民共和国政府采购法》第十条规定情形的除外。</w:t>
      </w:r>
    </w:p>
    <w:p w14:paraId="0B01404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4.1.2本项目如接受非本国货物、工程、服务参与响应，则具体要求见第四章《采购需求》。</w:t>
      </w:r>
    </w:p>
    <w:p w14:paraId="2DFC9E8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4.1.3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D53DB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4.2本国产品</w:t>
      </w:r>
    </w:p>
    <w:p w14:paraId="767042C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418942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4.3中小企业、监狱企业及残疾人福利性单位</w:t>
      </w:r>
    </w:p>
    <w:p w14:paraId="69E488B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4.3.1中小企业定义：</w:t>
      </w:r>
    </w:p>
    <w:p w14:paraId="3F699CD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2015〕309号)等国务院批准的中小企业划分标准执行。</w:t>
      </w:r>
    </w:p>
    <w:p w14:paraId="43F9AA7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4.3.1.2供应商提供的货物、工程或者服务符合下列情形的，享受中小企业扶持政策：</w:t>
      </w:r>
    </w:p>
    <w:p w14:paraId="493754D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（1）在货物采购项目中，货物由中小企业制造，即货物由中小企业生产且使用该中小企业商号或者注册商标；</w:t>
      </w:r>
    </w:p>
    <w:p w14:paraId="70CF588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（2）在工程采购项目中，工程由中小企业承建，即工程施工单位为中小企业；</w:t>
      </w:r>
    </w:p>
    <w:p w14:paraId="0C3A9C7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（3）在服务采购项目中，服务由中小企业承接，即提供服务的人员为中小企业依照《中华人民共和国劳动合同法》订立劳动合同的从业人员。</w:t>
      </w:r>
    </w:p>
    <w:p w14:paraId="6ACBCA2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4.3.1.3在货物采购项目中，供应商提供的货物既有中小企业制造货物，也有大型企业制造货物的，不享受中小企业扶持政策。</w:t>
      </w:r>
    </w:p>
    <w:p w14:paraId="063975E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4.3.1.4以联合体形式参加政府采购活动，联合体各方均为中小企业的，联合体视同中小企业。其中，联合体各方均为小微企业的，联合体视同小微企业。</w:t>
      </w:r>
    </w:p>
    <w:p w14:paraId="0E96C34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4.3.2在政府采购活动中，监狱企业视同小型、微型企业，享受预留份额、评审中价格扣除等政府采购促进中小企业发展的政府采购政策。监狱 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273688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4.3.3在政府采购活动中，残疾人福利性单位视同小型、微型企业，享受预留份额、评审中价格扣除等促进中小企业发展的政府采购政策。残疾 人福利性单位定义：享受政府采购支持政策的残疾人福利性单位应当同时满足以下条件：</w:t>
      </w:r>
    </w:p>
    <w:p w14:paraId="0FFEC2E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4.3.3.1安置的残疾人占本单位在职职工人数的比例不低于25%（含25%），并且安置的残疾人人数不少于10 人（含10人）；</w:t>
      </w:r>
    </w:p>
    <w:p w14:paraId="3604917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4.3.3.2依法与安置的每位残疾人签订了一年以上（含一年）的劳动合同或服务协议；</w:t>
      </w:r>
    </w:p>
    <w:p w14:paraId="6F587FB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4.3.3.3为安置的每位残疾人按月足额缴纳了基本养老保险、基本医疗保险、失业保险、工伤保险和生育保险等社会保险费；</w:t>
      </w:r>
    </w:p>
    <w:p w14:paraId="75D6CE5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4.3.3.4通过银行等金融机构向安置的每位残疾人，按月支付了不低于单位所在区县适用的经省级人民政府批准的月最低工资标准的工资；</w:t>
      </w:r>
    </w:p>
    <w:p w14:paraId="3D52BD4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4.3.3.5提供本单位制造的货物、承担的工程或者服务（以下简称产品），或者提供其他残疾人福利性单位制造的货物（不包括使用非残疾人福利性单位注册商标的货物）；</w:t>
      </w:r>
    </w:p>
    <w:p w14:paraId="095E148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6551F9C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4.3.4本项目是否专门面向中小企业预留采购份额见第一章《采购邀请》。</w:t>
      </w:r>
    </w:p>
    <w:p w14:paraId="3413B17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4.3.5采购标的对应的中小企业划分标准所属行业见《供应商须知资料表》。</w:t>
      </w:r>
    </w:p>
    <w:p w14:paraId="0B54250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4.3.6小微企业价格评审优惠的政策调整：见第三章《评审方法和评审标准》。</w:t>
      </w:r>
    </w:p>
    <w:p w14:paraId="525705D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4.4政府采购节能产品、环境标志产品</w:t>
      </w:r>
    </w:p>
    <w:p w14:paraId="303FBFD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66812A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2262BF0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4.4.3如本项目采购产品属于实施政府强制采购品目清单范围的节能产品，则供应商所报产品必须获得国家确定的认证机构出具的、处于有效期之内的节能产品认证证书，否则响应无效；</w:t>
      </w:r>
    </w:p>
    <w:p w14:paraId="1E910EF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4.4.4非政府强制采购的节能产品或环境标志产品，依据品目清单和认证证书实施政府优先采购。优先采购的具体规定见第三章《评审方法和评审标准》（如涉及）。</w:t>
      </w:r>
    </w:p>
    <w:p w14:paraId="5C2C8F1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4.5正版软件</w:t>
      </w:r>
    </w:p>
    <w:p w14:paraId="11B8CA5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4.5.1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7322D75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4.6网络安全专用产品</w:t>
      </w:r>
    </w:p>
    <w:p w14:paraId="32EF30F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4.6.1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A3BF9B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4.7推广使用低挥发性有机化合物（VOCs）</w:t>
      </w:r>
    </w:p>
    <w:p w14:paraId="068422C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4.7.1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含量限制标准（具体标准见第四章《采购需求》），否则响应无效；属于推荐性标准的，优先采购，具体见第三章《评审方法和评审标准》。</w:t>
      </w:r>
    </w:p>
    <w:p w14:paraId="2738EE5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4.8采购需求标准</w:t>
      </w:r>
    </w:p>
    <w:p w14:paraId="2A51977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4.8.1商品包装、快递包装政府采购需求标准（试行）</w:t>
      </w:r>
    </w:p>
    <w:p w14:paraId="414352B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为助力打好污染防治攻坚战， 推广使用绿色包装，根据财政部关于印发《商品包装政府采购需求标准（试行）》、《快递包装政府采购需求标准（试行）》的通知（财办库〔2020〕123号），本项目如涉及商品包装和快递包装的，则其具体要求见第四章《采购需求》。</w:t>
      </w:r>
    </w:p>
    <w:p w14:paraId="52054E4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4.8.2其他政府采购需求标准</w:t>
      </w:r>
    </w:p>
    <w:p w14:paraId="3ABE977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为贯彻落实《深化政府采购制度改革方案》有关要求，推动政府采购需求标准建设，财政部门会同有关部门制定发布的其他政府采购需求标准，本项目如涉及，则具体要求见第四章《采购需求》。</w:t>
      </w:r>
    </w:p>
    <w:p w14:paraId="0346706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5响应费用</w:t>
      </w:r>
    </w:p>
    <w:p w14:paraId="20D24D8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5.1供应商应自行承担所有与准备和参加磋商有关的费用，无论磋商的结果如何，采购人或采购代理机构在任何情况下均无承担这些费用的义务和责任。</w:t>
      </w:r>
    </w:p>
    <w:p w14:paraId="41B4F5A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150" w:name="_1.8_计量单位"/>
      <w:bookmarkEnd w:id="15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二   竞争性磋商文件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3D0444D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151" w:name="_Toc151193621"/>
      <w:bookmarkStart w:id="152" w:name="_Toc265228361"/>
      <w:bookmarkStart w:id="153" w:name="_Toc226337219"/>
      <w:bookmarkStart w:id="154" w:name="_Toc264969213"/>
      <w:bookmarkStart w:id="155" w:name="_Toc150480761"/>
      <w:bookmarkStart w:id="156" w:name="_Toc151193693"/>
      <w:bookmarkStart w:id="157" w:name="_Toc151190150"/>
      <w:bookmarkStart w:id="158" w:name="_Toc150774728"/>
      <w:bookmarkStart w:id="159" w:name="_Toc150509274"/>
      <w:bookmarkStart w:id="160" w:name="_Toc226965796"/>
      <w:bookmarkStart w:id="161" w:name="_Toc226965713"/>
      <w:bookmarkStart w:id="162" w:name="_Toc520356147"/>
      <w:bookmarkStart w:id="163" w:name="_Toc151193837"/>
      <w:bookmarkStart w:id="164" w:name="_Toc164229364"/>
      <w:bookmarkStart w:id="165" w:name="_Toc164351617"/>
      <w:bookmarkStart w:id="166" w:name="_Toc164608637"/>
      <w:bookmarkStart w:id="167" w:name="_Toc142311025"/>
      <w:bookmarkStart w:id="168" w:name="_Toc305158791"/>
      <w:bookmarkStart w:id="169" w:name="_Toc164229218"/>
      <w:bookmarkStart w:id="170" w:name="_Toc127151523"/>
      <w:bookmarkStart w:id="171" w:name="_Toc195842888"/>
      <w:bookmarkStart w:id="172" w:name="_Toc149720816"/>
      <w:bookmarkStart w:id="173" w:name="_Toc127161437"/>
      <w:bookmarkStart w:id="174" w:name="_Toc150774623"/>
      <w:bookmarkStart w:id="175" w:name="_Toc151193765"/>
      <w:bookmarkStart w:id="176" w:name="_Toc127151724"/>
      <w:bookmarkStart w:id="177" w:name="_Toc151193911"/>
      <w:bookmarkStart w:id="178" w:name="_Toc226309767"/>
      <w:bookmarkStart w:id="179" w:name="_Toc164608792"/>
      <w:bookmarkStart w:id="180" w:name="_Toc305158865"/>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成</w:t>
      </w:r>
    </w:p>
    <w:p w14:paraId="7424D93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6.1竞争性磋商文件包括以下部分：</w:t>
      </w:r>
    </w:p>
    <w:p w14:paraId="101A09F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第一章   采购邀请</w:t>
      </w:r>
    </w:p>
    <w:p w14:paraId="5501B22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第二章   供应商须知</w:t>
      </w:r>
    </w:p>
    <w:p w14:paraId="5C76DEE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第三章   评审方法和评审标准</w:t>
      </w:r>
    </w:p>
    <w:p w14:paraId="5174939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第四章   采购需求</w:t>
      </w:r>
    </w:p>
    <w:p w14:paraId="094DAE2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第五章   合同草案条款</w:t>
      </w:r>
    </w:p>
    <w:p w14:paraId="5D71FF8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第六章   响应文件格式</w:t>
      </w:r>
    </w:p>
    <w:p w14:paraId="6CD566B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6.2供应商应认真阅读竞争性磋商文件的全部内容。供应商应按照竞争性磋商文件要求提交响应文件并保证所提供的全部资料的真实性，并对竞争性磋商文件做出实质性响应，否则响应无效。</w:t>
      </w:r>
    </w:p>
    <w:p w14:paraId="0E7F406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7对竞争性磋商文件的澄清或修改</w:t>
      </w:r>
    </w:p>
    <w:p w14:paraId="49F19F2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7.1采购人或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36B5CDE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7.2上述书面通知，按照获取竞争性磋商文件的潜在供应商提供的联系方式发出，因提供的信息有误导致通知延迟或无法通知的，采购人或采购代理机构不承担责任。</w:t>
      </w:r>
    </w:p>
    <w:p w14:paraId="7435A30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7.3澄清或者修改的内容为竞争性磋商文件的组成部分，并对所有获取竞争性磋商文件的潜在供应商具有约束力。澄清或者修改的内容可能影响响应文件编制的，将在提交首次响应文件截止之日3个工作日前，以书面形式通知所有获取磋商文件的供应商；不足上述时间的，将顺延提交首次响应文件截止时间。</w:t>
      </w:r>
      <w:bookmarkStart w:id="181" w:name="_Toc516367020"/>
      <w:bookmarkStart w:id="182" w:name="_Toc151193914"/>
      <w:bookmarkStart w:id="183" w:name="_Toc226965799"/>
      <w:bookmarkStart w:id="184" w:name="_Toc151193624"/>
      <w:bookmarkStart w:id="185" w:name="_Toc226965716"/>
      <w:bookmarkStart w:id="186" w:name="_Toc151193840"/>
      <w:bookmarkStart w:id="187" w:name="_Toc127151526"/>
      <w:bookmarkStart w:id="188" w:name="_Toc305158868"/>
      <w:bookmarkStart w:id="189" w:name="_Toc150774626"/>
      <w:bookmarkStart w:id="190" w:name="_Toc305158794"/>
      <w:bookmarkStart w:id="191" w:name="_Toc265228364"/>
      <w:bookmarkStart w:id="192" w:name="_Toc226309770"/>
      <w:bookmarkStart w:id="193" w:name="_Toc520356150"/>
      <w:bookmarkStart w:id="194" w:name="_Toc142311028"/>
      <w:bookmarkStart w:id="195" w:name="_Toc264969216"/>
      <w:bookmarkStart w:id="196" w:name="_Toc151190153"/>
      <w:bookmarkStart w:id="197" w:name="_Toc195842891"/>
      <w:bookmarkStart w:id="198" w:name="_Toc226337222"/>
      <w:bookmarkStart w:id="199" w:name="_Toc150480764"/>
      <w:bookmarkStart w:id="200" w:name="_Toc150509277"/>
      <w:bookmarkStart w:id="201" w:name="_Toc151193696"/>
      <w:bookmarkStart w:id="202" w:name="_Toc151193768"/>
      <w:bookmarkStart w:id="203" w:name="_Toc150774731"/>
    </w:p>
    <w:p w14:paraId="5DEFCB2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三   响应文件</w:t>
      </w:r>
      <w:bookmarkEnd w:id="181"/>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10F4A4D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204" w:name="_Toc226309771"/>
      <w:bookmarkStart w:id="205" w:name="_Toc305158869"/>
      <w:bookmarkStart w:id="206" w:name="_Toc164608641"/>
      <w:bookmarkStart w:id="207" w:name="_Toc151193915"/>
      <w:bookmarkStart w:id="208" w:name="_Toc164608796"/>
      <w:bookmarkStart w:id="209" w:name="_Toc164351621"/>
      <w:bookmarkStart w:id="210" w:name="_Toc151193769"/>
      <w:bookmarkStart w:id="211" w:name="_Toc151193625"/>
      <w:bookmarkStart w:id="212" w:name="_Toc264969217"/>
      <w:bookmarkStart w:id="213" w:name="_Toc164229368"/>
      <w:bookmarkStart w:id="214" w:name="_Toc226965717"/>
      <w:bookmarkStart w:id="215" w:name="_Toc149720820"/>
      <w:bookmarkStart w:id="216" w:name="_Toc150509278"/>
      <w:bookmarkStart w:id="217" w:name="_Toc226965800"/>
      <w:bookmarkStart w:id="218" w:name="_Toc305158795"/>
      <w:bookmarkStart w:id="219" w:name="_Toc265228365"/>
      <w:bookmarkStart w:id="220" w:name="_Toc127151527"/>
      <w:bookmarkStart w:id="221" w:name="_Toc142311029"/>
      <w:bookmarkStart w:id="222" w:name="_Toc516367021"/>
      <w:bookmarkStart w:id="223" w:name="_Toc127161441"/>
      <w:bookmarkStart w:id="224" w:name="_Toc150480765"/>
      <w:bookmarkStart w:id="225" w:name="_Toc151193841"/>
      <w:bookmarkStart w:id="226" w:name="_Toc151190154"/>
      <w:bookmarkStart w:id="227" w:name="_Toc226337223"/>
      <w:bookmarkStart w:id="228" w:name="_Toc150774732"/>
      <w:bookmarkStart w:id="229" w:name="_Toc164229222"/>
      <w:bookmarkStart w:id="230" w:name="_Toc151193697"/>
      <w:bookmarkStart w:id="231" w:name="_Toc195842892"/>
      <w:bookmarkStart w:id="232" w:name="_Toc150774627"/>
      <w:bookmarkStart w:id="233" w:name="_Toc520356151"/>
      <w:bookmarkStart w:id="234" w:name="_Toc127151728"/>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8响应范围、竞争性磋商文件中计量单位的使用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及磋商语言</w:t>
      </w:r>
    </w:p>
    <w:p w14:paraId="099406B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8.1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无效响应。</w:t>
      </w:r>
    </w:p>
    <w:p w14:paraId="14D8FC9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8.2除竞争性磋商文件有特殊要求外，本项目磋商所使用的计量单位，应采用中华人民共和国法定计量单位。</w:t>
      </w:r>
    </w:p>
    <w:p w14:paraId="6453D3A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8.3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0B67BCB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235" w:name="_Ref467306195"/>
      <w:bookmarkStart w:id="236" w:name="_Toc516367022"/>
      <w:bookmarkStart w:id="237" w:name="_Ref467306676"/>
      <w:bookmarkStart w:id="238" w:name="_Toc151193770"/>
      <w:bookmarkStart w:id="239" w:name="_Toc164351622"/>
      <w:bookmarkStart w:id="240" w:name="_Toc151193916"/>
      <w:bookmarkStart w:id="241" w:name="_Toc151193842"/>
      <w:bookmarkStart w:id="242" w:name="_Toc195842893"/>
      <w:bookmarkStart w:id="243" w:name="_Toc226337224"/>
      <w:bookmarkStart w:id="244" w:name="_Toc264969218"/>
      <w:bookmarkStart w:id="245" w:name="_Toc164229223"/>
      <w:bookmarkStart w:id="246" w:name="_Toc265228366"/>
      <w:bookmarkStart w:id="247" w:name="_Toc305158870"/>
      <w:bookmarkStart w:id="248" w:name="_Toc151193626"/>
      <w:bookmarkStart w:id="249" w:name="_Toc305158796"/>
      <w:bookmarkStart w:id="250" w:name="_Toc127161442"/>
      <w:bookmarkStart w:id="251" w:name="_Toc151190155"/>
      <w:bookmarkStart w:id="252" w:name="_Toc164608797"/>
      <w:bookmarkStart w:id="253" w:name="_Toc151193698"/>
      <w:bookmarkStart w:id="254" w:name="_Toc150774628"/>
      <w:bookmarkStart w:id="255" w:name="_Toc164608642"/>
      <w:bookmarkStart w:id="256" w:name="_Toc142311030"/>
      <w:bookmarkStart w:id="257" w:name="_Toc520356152"/>
      <w:bookmarkStart w:id="258" w:name="_Toc127151729"/>
      <w:bookmarkStart w:id="259" w:name="_Toc149720821"/>
      <w:bookmarkStart w:id="260" w:name="_Toc150774733"/>
      <w:bookmarkStart w:id="261" w:name="_Toc150480766"/>
      <w:bookmarkStart w:id="262" w:name="_Toc164229369"/>
      <w:bookmarkStart w:id="263" w:name="_Toc127151528"/>
      <w:bookmarkStart w:id="264" w:name="_Toc226965718"/>
      <w:bookmarkStart w:id="265" w:name="_Toc226309772"/>
      <w:bookmarkStart w:id="266" w:name="_Toc226965801"/>
      <w:bookmarkStart w:id="267" w:name="_Toc150509279"/>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9响应文件</w:t>
      </w:r>
      <w:bookmarkEnd w:id="235"/>
      <w:bookmarkEnd w:id="236"/>
      <w:bookmarkEnd w:id="237"/>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24FD86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268" w:name="_Ref467052588"/>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9.1供应商应当按照竞争性磋商文件的要求编制响应文件，并对其提交的响应文件的真实性、合法性承担法律责任。响应文件的部分格式要求，见第六章《响应文件格式》。</w:t>
      </w:r>
    </w:p>
    <w:p w14:paraId="06EE60C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9.2对于竞争性磋商文件中标记了“实质性格式”文件的，供应商不得改变格式中给定的文字所表达的含义，不得删减格式中的实质性内容，不得自行添加与格式中给定的文字内容相矛盾的内容，不得对应当填写的空格不填写或不实质性响应，否则响应无效。未标记“实质性格式”的文件和竞争性磋商文件未提供格式的内容，可由供应商自行编写。</w:t>
      </w:r>
    </w:p>
    <w:p w14:paraId="3288EB3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9.3第三章《评审方法和评审标准》中涉及的证明文件。</w:t>
      </w:r>
    </w:p>
    <w:p w14:paraId="523160F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9.4对照第四章《采购需求》，说明所提供货物和服务已对第四章《采购需求》做出了响应，或申明与第四章《采购需求》的偏差和例外。如第四章《采购需求》中要求提供证明文件的，供应商应当按具体要求提供证明文件。</w:t>
      </w:r>
    </w:p>
    <w:p w14:paraId="40621F8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9.5供应商认为应附的其他材料。</w:t>
      </w:r>
      <w:bookmarkEnd w:id="268"/>
    </w:p>
    <w:p w14:paraId="508E93F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269" w:name="_Toc164608644"/>
      <w:bookmarkStart w:id="270" w:name="_Toc151193772"/>
      <w:bookmarkStart w:id="271" w:name="_Toc151193844"/>
      <w:bookmarkStart w:id="272" w:name="_Toc151193700"/>
      <w:bookmarkStart w:id="273" w:name="_Toc127151530"/>
      <w:bookmarkStart w:id="274" w:name="_Toc164229371"/>
      <w:bookmarkStart w:id="275" w:name="_Toc150774630"/>
      <w:bookmarkStart w:id="276" w:name="_Toc151190157"/>
      <w:bookmarkStart w:id="277" w:name="_Toc127151731"/>
      <w:bookmarkStart w:id="278" w:name="_Toc142311032"/>
      <w:bookmarkStart w:id="279" w:name="_Toc150509281"/>
      <w:bookmarkStart w:id="280" w:name="_Toc151193628"/>
      <w:bookmarkStart w:id="281" w:name="_Toc164351624"/>
      <w:bookmarkStart w:id="282" w:name="_Toc164608799"/>
      <w:bookmarkStart w:id="283" w:name="_Toc195842895"/>
      <w:bookmarkStart w:id="284" w:name="_Toc150774735"/>
      <w:bookmarkStart w:id="285" w:name="_Toc149720823"/>
      <w:bookmarkStart w:id="286" w:name="_Toc150480768"/>
      <w:bookmarkStart w:id="287" w:name="_Toc127161444"/>
      <w:bookmarkStart w:id="288" w:name="_Toc164229225"/>
      <w:bookmarkStart w:id="289" w:name="_Toc520356155"/>
      <w:bookmarkStart w:id="290" w:name="_Toc151193918"/>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0E2ADC1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10.1所有响应均以人民币为计价货币。</w:t>
      </w:r>
    </w:p>
    <w:p w14:paraId="32171AD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10.2供应商的报价应包括为完成本项目所发生的一切费用和税费，采购人将不再支付报价以外的任何费用。供应商的报价应包括但不限于下列内容，《供应商须知资料表》中有特殊规定的，从其规定。</w:t>
      </w:r>
    </w:p>
    <w:p w14:paraId="52E0866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10.2.1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C40137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10.2.2按照竞争性磋商文件要求完成本项目的全部相关费用。</w:t>
      </w:r>
    </w:p>
    <w:p w14:paraId="6879A9C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10.3采购人不得向供应商索要或者接受其给予的赠品、回扣或者与采购无关的其他商品、服务。</w:t>
      </w:r>
    </w:p>
    <w:p w14:paraId="2FB15EF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10.4供应商不能提供任何有选择性或可调整的最后报价（竞争性磋商文件另有规定的除外），否则其响应无效。</w:t>
      </w:r>
    </w:p>
    <w:p w14:paraId="396E9EC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11磋商保证金</w:t>
      </w:r>
    </w:p>
    <w:p w14:paraId="14316D2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11.1供应商应按《供应商须知资料表》中规定的金额及要求交纳磋商保证金。供应商自愿超额缴纳磋商保证金的，响应文件不做无效处理。</w:t>
      </w:r>
    </w:p>
    <w:p w14:paraId="4A3FB3F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11.2交纳磋商保证金可采用的形式：政府采购法律法规接受的支票、汇票、本票、网上银行支付或者金融机构、担保机构出具的保函等非现金形式。</w:t>
      </w:r>
    </w:p>
    <w:p w14:paraId="3D13638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11.3磋商保证金到账（保函提交）截止时间同首次响应文件提交截止时间。以支票、汇票、本票、网上银行支付等形式提交磋商保证金的，应在首次响应文件提交截止时间前到账；以金融机构、担保机构出具的保函等形式提交磋商保证金的，应在首次响应文件提交截止时间前将原件提交至采购代理机构；由于到账时间晚于首次响应文件提交截止时间的，或者票据错误、印鉴不清等原因导致不能到账的，其响应无效；以电子保函形式提交磋商保证金的，应在首次响应文件提交截止时间前通过北京市政府采购电子交易平台完成电子保函在线办理。未按上述要求缴纳保证金的，其响应无效。</w:t>
      </w:r>
    </w:p>
    <w:p w14:paraId="530DB82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11.4供应商除需在响应文件中提供“磋商保证金凭证/交款单据电子件”，还需在首次响应文件提交截止时间前，通过电子交易平台上传“磋商保证金凭证/交款单据电子件”。</w:t>
      </w:r>
    </w:p>
    <w:p w14:paraId="59EA4C5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11.5磋商保证金有效期同响应有效期。</w:t>
      </w:r>
    </w:p>
    <w:p w14:paraId="38567A1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11.6供应商为联合体的，可以由联合体中的一方或者多方共同交纳磋商保证金，其交纳的保证金对联合体各方均具有约束力。</w:t>
      </w:r>
    </w:p>
    <w:p w14:paraId="0436CEA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11.7采购人、采购代理机构将及时退还供应商的保证金，采用银行保函、担保机构担保函等形式递交的保证金，经供应商同意后采购人、采购代理机构可以不再退还，但因供应商自身原因导致无法及时退还的除外：</w:t>
      </w:r>
    </w:p>
    <w:p w14:paraId="2B52F80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11.7.1已提交响应文件的供应商，在提交最后报价之前，可以根据磋商情况退出磋商。采购人、采购代理机构将退还退出磋商的供应商的磋商保证金；</w:t>
      </w:r>
    </w:p>
    <w:p w14:paraId="4246C27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11.7.2成交供应商的磋商保证金，在采购合同签订后5个工作日内退还成交供应商；</w:t>
      </w:r>
    </w:p>
    <w:p w14:paraId="6B3E45E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11.7.3未成交供应商的磋商保证金，在成交通知书发出后5个工作日内退还。</w:t>
      </w:r>
    </w:p>
    <w:p w14:paraId="6FD5839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11.8有下列情形之一的，采购人或采购代理机构不予退还磋商保证金：</w:t>
      </w:r>
    </w:p>
    <w:p w14:paraId="7DBD37E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11.8.1供应商在响应文件提交截止时间后撤回响应文件的；</w:t>
      </w:r>
    </w:p>
    <w:p w14:paraId="2A88D88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11.8.2供应商在响应文件中提供虚假材料的；</w:t>
      </w:r>
    </w:p>
    <w:p w14:paraId="40C006B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11.8.3除因不可抗力或竞争性磋商认可的情形以外，成交供应商不与采购人签订合同的；</w:t>
      </w:r>
    </w:p>
    <w:p w14:paraId="43174A6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11.8.4供应商与采购人、其他供应商或者采购代理机构恶意串通的；</w:t>
      </w:r>
    </w:p>
    <w:p w14:paraId="5C77A4A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11.8.5《供应商须知资料表》规定的其他情形。</w:t>
      </w:r>
    </w:p>
    <w:p w14:paraId="4724545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12响应有效期</w:t>
      </w:r>
    </w:p>
    <w:p w14:paraId="610BD2B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12.1响应文件应在本竞争性磋商文件《供应商须知资料表》中规定的响应有效期内保持有效，响应有效期少于竞争性磋商文件规定期限的，其响应无效。</w:t>
      </w:r>
    </w:p>
    <w:p w14:paraId="0A47640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291" w:name="_Toc127161447"/>
      <w:bookmarkStart w:id="292" w:name="_Toc151193703"/>
      <w:bookmarkStart w:id="293" w:name="_Toc226965723"/>
      <w:bookmarkStart w:id="294" w:name="_Toc142311035"/>
      <w:bookmarkStart w:id="295" w:name="_Toc164351627"/>
      <w:bookmarkStart w:id="296" w:name="_Toc226337229"/>
      <w:bookmarkStart w:id="297" w:name="_Toc149720826"/>
      <w:bookmarkStart w:id="298" w:name="_Toc164229228"/>
      <w:bookmarkStart w:id="299" w:name="_Toc164608802"/>
      <w:bookmarkStart w:id="300" w:name="_Toc150480771"/>
      <w:bookmarkStart w:id="301" w:name="_Toc151190160"/>
      <w:bookmarkStart w:id="302" w:name="_Toc520356158"/>
      <w:bookmarkStart w:id="303" w:name="_Toc151193775"/>
      <w:bookmarkStart w:id="304" w:name="_Toc127151734"/>
      <w:bookmarkStart w:id="305" w:name="_Toc226309777"/>
      <w:bookmarkStart w:id="306" w:name="_Toc265228371"/>
      <w:bookmarkStart w:id="307" w:name="_Toc127151533"/>
      <w:bookmarkStart w:id="308" w:name="_Toc195842898"/>
      <w:bookmarkStart w:id="309" w:name="_Toc305158801"/>
      <w:bookmarkStart w:id="310" w:name="_Toc264969223"/>
      <w:bookmarkStart w:id="311" w:name="_Toc150774633"/>
      <w:bookmarkStart w:id="312" w:name="_Toc151193631"/>
      <w:bookmarkStart w:id="313" w:name="_Toc305158875"/>
      <w:bookmarkStart w:id="314" w:name="_Toc164608647"/>
      <w:bookmarkStart w:id="315" w:name="_Toc151193847"/>
      <w:bookmarkStart w:id="316" w:name="_Toc151193921"/>
      <w:bookmarkStart w:id="317" w:name="_Toc150774738"/>
      <w:bookmarkStart w:id="318" w:name="_Toc150509284"/>
      <w:bookmarkStart w:id="319" w:name="_Toc226965806"/>
      <w:bookmarkStart w:id="320" w:name="_Toc164229374"/>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13响应文件的签署</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、盖章</w:t>
      </w:r>
    </w:p>
    <w:p w14:paraId="1EB5DA1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321" w:name="_Toc150509285"/>
      <w:bookmarkStart w:id="322" w:name="_Toc265228372"/>
      <w:bookmarkStart w:id="323" w:name="_Toc127151534"/>
      <w:bookmarkStart w:id="324" w:name="_Toc151193848"/>
      <w:bookmarkStart w:id="325" w:name="_Toc150774634"/>
      <w:bookmarkStart w:id="326" w:name="_Toc305158802"/>
      <w:bookmarkStart w:id="327" w:name="_Toc150480772"/>
      <w:bookmarkStart w:id="328" w:name="_Toc226965807"/>
      <w:bookmarkStart w:id="329" w:name="_Toc142311036"/>
      <w:bookmarkStart w:id="330" w:name="_Toc195842899"/>
      <w:bookmarkStart w:id="331" w:name="_Toc151193776"/>
      <w:bookmarkStart w:id="332" w:name="_Toc150774739"/>
      <w:bookmarkStart w:id="333" w:name="_Toc226337230"/>
      <w:bookmarkStart w:id="334" w:name="_Toc520356159"/>
      <w:bookmarkStart w:id="335" w:name="_Toc305158876"/>
      <w:bookmarkStart w:id="336" w:name="_Toc151190161"/>
      <w:bookmarkStart w:id="337" w:name="_Toc226965724"/>
      <w:bookmarkStart w:id="338" w:name="_Toc264969224"/>
      <w:bookmarkStart w:id="339" w:name="_Toc151193632"/>
      <w:bookmarkStart w:id="340" w:name="_Toc226309778"/>
      <w:bookmarkStart w:id="341" w:name="_Toc151193704"/>
      <w:bookmarkStart w:id="342" w:name="_Toc151193922"/>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13.1竞争性磋商文件要求签字的内容（如授权委托书等），可以使用电子签章或使用原件的电子件（电子件指扫描件、照片等形式电子文件）；要求第三方出具的盖章件原件（如联合协议、分包意向协议、制造商授权书原件等），响应文件中应使用原件的电子件。</w:t>
      </w:r>
    </w:p>
    <w:p w14:paraId="5111CC4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13.2竞争性磋商文件要求盖章的内容，一般通过投标文件编制工具加盖电子签章。</w:t>
      </w:r>
    </w:p>
    <w:p w14:paraId="2BA61DC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四   响应文件的提交</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6D6F5E3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343" w:name="_Toc265228373"/>
      <w:bookmarkStart w:id="344" w:name="_Toc151193705"/>
      <w:bookmarkStart w:id="345" w:name="_Toc149720828"/>
      <w:bookmarkStart w:id="346" w:name="_Toc151193777"/>
      <w:bookmarkStart w:id="347" w:name="_Toc127161449"/>
      <w:bookmarkStart w:id="348" w:name="_Toc142311037"/>
      <w:bookmarkStart w:id="349" w:name="_Toc151193633"/>
      <w:bookmarkStart w:id="350" w:name="_Toc164351629"/>
      <w:bookmarkStart w:id="351" w:name="_Toc150774635"/>
      <w:bookmarkStart w:id="352" w:name="_Toc164608804"/>
      <w:bookmarkStart w:id="353" w:name="_Toc127151535"/>
      <w:bookmarkStart w:id="354" w:name="_Toc226965808"/>
      <w:bookmarkStart w:id="355" w:name="_Toc151193849"/>
      <w:bookmarkStart w:id="356" w:name="_Toc226965725"/>
      <w:bookmarkStart w:id="357" w:name="_Toc164608649"/>
      <w:bookmarkStart w:id="358" w:name="_Toc151193923"/>
      <w:bookmarkStart w:id="359" w:name="_Toc150774740"/>
      <w:bookmarkStart w:id="360" w:name="_Toc127151736"/>
      <w:bookmarkStart w:id="361" w:name="_Toc150509286"/>
      <w:bookmarkStart w:id="362" w:name="_Toc520356160"/>
      <w:bookmarkStart w:id="363" w:name="_Toc226337231"/>
      <w:bookmarkStart w:id="364" w:name="_Toc150480773"/>
      <w:bookmarkStart w:id="365" w:name="_Toc195842900"/>
      <w:bookmarkStart w:id="366" w:name="_Toc226309779"/>
      <w:bookmarkStart w:id="367" w:name="_Toc164229230"/>
      <w:bookmarkStart w:id="368" w:name="_Toc305158803"/>
      <w:bookmarkStart w:id="369" w:name="_Toc264969225"/>
      <w:bookmarkStart w:id="370" w:name="_Toc305158877"/>
      <w:bookmarkStart w:id="371" w:name="_Toc164229376"/>
      <w:bookmarkStart w:id="372" w:name="_Toc151190162"/>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14响应文件的</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提交</w:t>
      </w:r>
    </w:p>
    <w:p w14:paraId="6CD1279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14.1本项目使用北京市政府采购电子交易平台。供应商根据竞争性磋商文件及北京市政府采购电子交易平台供应商操作手册要求编制、生成并提交电子响应文件。</w:t>
      </w:r>
    </w:p>
    <w:p w14:paraId="18EDDC3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14.2采购人及采购代理机构拒绝接受通过电子交易平台以外任何形式提交的首次响应文件，磋商保证金除外。</w:t>
      </w:r>
    </w:p>
    <w:p w14:paraId="056EC65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373" w:name="_Toc265228374"/>
      <w:bookmarkStart w:id="374" w:name="_Toc226965809"/>
      <w:bookmarkStart w:id="375" w:name="_Toc150480774"/>
      <w:bookmarkStart w:id="376" w:name="_Toc151193924"/>
      <w:bookmarkStart w:id="377" w:name="_Toc127151737"/>
      <w:bookmarkStart w:id="378" w:name="_Toc151193706"/>
      <w:bookmarkStart w:id="379" w:name="_Toc150509287"/>
      <w:bookmarkStart w:id="380" w:name="_Toc127161450"/>
      <w:bookmarkStart w:id="381" w:name="_Toc305158878"/>
      <w:bookmarkStart w:id="382" w:name="_Toc195842901"/>
      <w:bookmarkStart w:id="383" w:name="_Toc226309780"/>
      <w:bookmarkStart w:id="384" w:name="_Toc226965726"/>
      <w:bookmarkStart w:id="385" w:name="_Toc164608805"/>
      <w:bookmarkStart w:id="386" w:name="_Toc127151536"/>
      <w:bookmarkStart w:id="387" w:name="_Toc142311038"/>
      <w:bookmarkStart w:id="388" w:name="_Toc151193634"/>
      <w:bookmarkStart w:id="389" w:name="_Toc151193850"/>
      <w:bookmarkStart w:id="390" w:name="_Toc164608650"/>
      <w:bookmarkStart w:id="391" w:name="_Toc150774741"/>
      <w:bookmarkStart w:id="392" w:name="_Toc520356161"/>
      <w:bookmarkStart w:id="393" w:name="_Toc149720829"/>
      <w:bookmarkStart w:id="394" w:name="_Toc264969226"/>
      <w:bookmarkStart w:id="395" w:name="_Toc151190163"/>
      <w:bookmarkStart w:id="396" w:name="_Toc226337232"/>
      <w:bookmarkStart w:id="397" w:name="_Toc150774636"/>
      <w:bookmarkStart w:id="398" w:name="_Toc164229231"/>
      <w:bookmarkStart w:id="399" w:name="_Toc305158804"/>
      <w:bookmarkStart w:id="400" w:name="_Toc151193778"/>
      <w:bookmarkStart w:id="401" w:name="_Toc164229377"/>
      <w:bookmarkStart w:id="402" w:name="_Toc164351630"/>
      <w:bookmarkStart w:id="403" w:name="_Toc151193707"/>
      <w:bookmarkStart w:id="404" w:name="_Toc142311039"/>
      <w:bookmarkStart w:id="405" w:name="_Toc150509288"/>
      <w:bookmarkStart w:id="406" w:name="_Toc164229378"/>
      <w:bookmarkStart w:id="407" w:name="_Toc150480775"/>
      <w:bookmarkStart w:id="408" w:name="_Toc226337233"/>
      <w:bookmarkStart w:id="409" w:name="_Toc127151537"/>
      <w:bookmarkStart w:id="410" w:name="_Toc164351631"/>
      <w:bookmarkStart w:id="411" w:name="_Toc305158879"/>
      <w:bookmarkStart w:id="412" w:name="_Toc150774637"/>
      <w:bookmarkStart w:id="413" w:name="_Toc151193925"/>
      <w:bookmarkStart w:id="414" w:name="_Toc164608806"/>
      <w:bookmarkStart w:id="415" w:name="_Toc226965727"/>
      <w:bookmarkStart w:id="416" w:name="_Toc520356162"/>
      <w:bookmarkStart w:id="417" w:name="_Toc151193635"/>
      <w:bookmarkStart w:id="418" w:name="_Toc127161451"/>
      <w:bookmarkStart w:id="419" w:name="_Toc150774742"/>
      <w:bookmarkStart w:id="420" w:name="_Toc127151738"/>
      <w:bookmarkStart w:id="421" w:name="_Toc305158805"/>
      <w:bookmarkStart w:id="422" w:name="_Toc151193851"/>
      <w:bookmarkStart w:id="423" w:name="_Toc149720830"/>
      <w:bookmarkStart w:id="424" w:name="_Toc151190164"/>
      <w:bookmarkStart w:id="425" w:name="_Toc226309781"/>
      <w:bookmarkStart w:id="426" w:name="_Toc164608651"/>
      <w:bookmarkStart w:id="427" w:name="_Toc264969227"/>
      <w:bookmarkStart w:id="428" w:name="_Toc164229232"/>
      <w:bookmarkStart w:id="429" w:name="_Toc151193779"/>
      <w:bookmarkStart w:id="430" w:name="_Toc226965810"/>
      <w:bookmarkStart w:id="431" w:name="_Toc195842902"/>
      <w:bookmarkStart w:id="432" w:name="_Toc265228375"/>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15响应文件提交截止</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时间</w:t>
      </w:r>
    </w:p>
    <w:p w14:paraId="57E711A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15.1供应商应在竞争性磋商文件要求响应文件提交截止时间前，将电子响应文件提交至电子交易平台。</w:t>
      </w:r>
    </w:p>
    <w:p w14:paraId="2DA1896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16响应文件的修改与撤回</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330452D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16.1提交响应文件截止时间前，供应商可以通过电子交易平台对所提交的响应文件进行补充、修改或者撤回。磋商保证金的补充、修改或者撤回无需通过电子交易平台，但应就其补充、修改或者撤回通知采购人或采购代理机构。</w:t>
      </w:r>
    </w:p>
    <w:p w14:paraId="70D4770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16.2供应商对响应文件的补充、修改的内容应当按照竞争性磋商文件要求签署、盖章，作为响应文件的组成部分。补充、修改的内容与响应文件不一致的，以补充、修改的内容为准。</w:t>
      </w:r>
    </w:p>
    <w:p w14:paraId="49458DA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433" w:name="_Toc150480776"/>
      <w:bookmarkStart w:id="434" w:name="_Toc151193926"/>
      <w:bookmarkStart w:id="435" w:name="_Toc226965811"/>
      <w:bookmarkStart w:id="436" w:name="_Toc226965728"/>
      <w:bookmarkStart w:id="437" w:name="_Toc195842903"/>
      <w:bookmarkStart w:id="438" w:name="_Toc226337234"/>
      <w:bookmarkStart w:id="439" w:name="_Toc265228376"/>
      <w:bookmarkStart w:id="440" w:name="_Toc151193636"/>
      <w:bookmarkStart w:id="441" w:name="_Toc151193780"/>
      <w:bookmarkStart w:id="442" w:name="_Toc150509289"/>
      <w:bookmarkStart w:id="443" w:name="_Toc150774638"/>
      <w:bookmarkStart w:id="444" w:name="_Toc142311040"/>
      <w:bookmarkStart w:id="445" w:name="_Toc151190165"/>
      <w:bookmarkStart w:id="446" w:name="_Toc151193708"/>
      <w:bookmarkStart w:id="447" w:name="_Toc151193852"/>
      <w:bookmarkStart w:id="448" w:name="_Toc264969228"/>
      <w:bookmarkStart w:id="449" w:name="_Toc127151538"/>
      <w:bookmarkStart w:id="450" w:name="_Toc520356163"/>
      <w:bookmarkStart w:id="451" w:name="_Toc150774743"/>
      <w:bookmarkStart w:id="452" w:name="_Toc305158806"/>
      <w:bookmarkStart w:id="453" w:name="_Toc226309782"/>
      <w:bookmarkStart w:id="454" w:name="_Toc305158880"/>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 xml:space="preserve">五   </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评审</w:t>
      </w:r>
    </w:p>
    <w:p w14:paraId="087F868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17响应文件的解密与开启</w:t>
      </w:r>
    </w:p>
    <w:p w14:paraId="5333154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17.1采购人或采购代理机构将按竞争性磋商文件的规定，在响应文件提交截止时间的同一时间和竞争性磋商文件预先确定的地点开启响应文件。</w:t>
      </w:r>
    </w:p>
    <w:p w14:paraId="3BF5015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17.2本项目解密使用北京市政府采购电子交易平台。供应商应在《供应商须知资料表》规定的时间内对响应文件进行解密，因非系统原因导致的解密失败，视为无效响应。</w:t>
      </w:r>
    </w:p>
    <w:p w14:paraId="001885F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17.3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6711CB2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17.4供应商不足3家的，不予解密。</w:t>
      </w:r>
    </w:p>
    <w:p w14:paraId="5EDB224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455" w:name="_Toc520356165"/>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17.5本项目不公开报价。</w:t>
      </w:r>
    </w:p>
    <w:bookmarkEnd w:id="455"/>
    <w:p w14:paraId="27F205B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18磋商小组</w:t>
      </w:r>
    </w:p>
    <w:p w14:paraId="0938B16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18.1磋商小组根据政府采购有关规定和本次采购项目的特点进行组建，并负责具体评审事务，独立履行职责。</w:t>
      </w:r>
      <w:bookmarkStart w:id="456" w:name="_Toc520356166"/>
    </w:p>
    <w:p w14:paraId="6DCFF06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18.2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6"/>
      <w:bookmarkStart w:id="457" w:name="_Toc520356169"/>
    </w:p>
    <w:p w14:paraId="35595B3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19评审方法和评审标准</w:t>
      </w:r>
    </w:p>
    <w:p w14:paraId="3B2AE74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19.1见第三章《评审方法和评审标准》。</w:t>
      </w:r>
    </w:p>
    <w:p w14:paraId="216709E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458" w:name="_Toc264969235"/>
      <w:bookmarkStart w:id="459" w:name="_Toc226965735"/>
      <w:bookmarkStart w:id="460" w:name="_Toc226309789"/>
      <w:bookmarkStart w:id="461" w:name="_Toc151193643"/>
      <w:bookmarkStart w:id="462" w:name="_Toc142311047"/>
      <w:bookmarkStart w:id="463" w:name="_Toc151193933"/>
      <w:bookmarkStart w:id="464" w:name="_Toc226337241"/>
      <w:bookmarkStart w:id="465" w:name="_Toc195842910"/>
      <w:bookmarkStart w:id="466" w:name="_Toc150509296"/>
      <w:bookmarkStart w:id="467" w:name="_Toc127151545"/>
      <w:bookmarkStart w:id="468" w:name="_Toc150480783"/>
      <w:bookmarkStart w:id="469" w:name="_Toc151193787"/>
      <w:bookmarkStart w:id="470" w:name="_Toc150774750"/>
      <w:bookmarkStart w:id="471" w:name="_Toc150774645"/>
      <w:bookmarkStart w:id="472" w:name="_Toc151193715"/>
      <w:bookmarkStart w:id="473" w:name="_Toc151190172"/>
      <w:bookmarkStart w:id="474" w:name="_Toc151193859"/>
      <w:bookmarkStart w:id="475" w:name="_Toc226965818"/>
      <w:bookmarkStart w:id="476" w:name="_Toc265228383"/>
      <w:bookmarkStart w:id="477" w:name="_Toc305158887"/>
      <w:bookmarkStart w:id="478" w:name="_Toc305158813"/>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 xml:space="preserve">六   </w:t>
      </w:r>
      <w:bookmarkEnd w:id="457"/>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确定</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成交</w:t>
      </w:r>
    </w:p>
    <w:p w14:paraId="0515482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479" w:name="_Toc305158889"/>
      <w:bookmarkStart w:id="480" w:name="_Toc151193935"/>
      <w:bookmarkStart w:id="481" w:name="_Toc305158815"/>
      <w:bookmarkStart w:id="482" w:name="_Toc195842912"/>
      <w:bookmarkStart w:id="483" w:name="_Toc150774752"/>
      <w:bookmarkStart w:id="484" w:name="_Toc127161461"/>
      <w:bookmarkStart w:id="485" w:name="_Toc127151748"/>
      <w:bookmarkStart w:id="486" w:name="_Toc150480785"/>
      <w:bookmarkStart w:id="487" w:name="_Toc226337243"/>
      <w:bookmarkStart w:id="488" w:name="_Toc264969237"/>
      <w:bookmarkStart w:id="489" w:name="_Toc151193789"/>
      <w:bookmarkStart w:id="490" w:name="_Toc150509298"/>
      <w:bookmarkStart w:id="491" w:name="_Toc226309791"/>
      <w:bookmarkStart w:id="492" w:name="_Toc142311049"/>
      <w:bookmarkStart w:id="493" w:name="_Toc164608661"/>
      <w:bookmarkStart w:id="494" w:name="_Toc149720840"/>
      <w:bookmarkStart w:id="495" w:name="_Toc226965737"/>
      <w:bookmarkStart w:id="496" w:name="_Toc151193645"/>
      <w:bookmarkStart w:id="497" w:name="_Toc151193717"/>
      <w:bookmarkStart w:id="498" w:name="_Toc164229388"/>
      <w:bookmarkStart w:id="499" w:name="_Toc150774647"/>
      <w:bookmarkStart w:id="500" w:name="_Toc164351641"/>
      <w:bookmarkStart w:id="501" w:name="_Toc226965820"/>
      <w:bookmarkStart w:id="502" w:name="_Toc164608816"/>
      <w:bookmarkStart w:id="503" w:name="_Toc164229242"/>
      <w:bookmarkStart w:id="504" w:name="_Toc151190174"/>
      <w:bookmarkStart w:id="505" w:name="_Toc265228385"/>
      <w:bookmarkStart w:id="506" w:name="_Toc127151547"/>
      <w:bookmarkStart w:id="507" w:name="_Toc151193861"/>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20确定成交供应商</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11D5A10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20.1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02774C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508" w:name="_Toc305158817"/>
      <w:bookmarkStart w:id="509" w:name="_Toc305158891"/>
      <w:bookmarkStart w:id="510" w:name="_Toc164229390"/>
      <w:bookmarkStart w:id="511" w:name="_Toc164351643"/>
      <w:bookmarkStart w:id="512" w:name="_Toc226337245"/>
      <w:bookmarkStart w:id="513" w:name="_Toc226309793"/>
      <w:bookmarkStart w:id="514" w:name="_Toc195842914"/>
      <w:bookmarkStart w:id="515" w:name="_Toc150774754"/>
      <w:bookmarkStart w:id="516" w:name="_Toc151193937"/>
      <w:bookmarkStart w:id="517" w:name="_Toc150509300"/>
      <w:bookmarkStart w:id="518" w:name="_Toc150480787"/>
      <w:bookmarkStart w:id="519" w:name="_Toc265228387"/>
      <w:bookmarkStart w:id="520" w:name="_Toc151193647"/>
      <w:bookmarkStart w:id="521" w:name="_Toc226965739"/>
      <w:bookmarkStart w:id="522" w:name="_Toc164229244"/>
      <w:bookmarkStart w:id="523" w:name="_Toc127161463"/>
      <w:bookmarkStart w:id="524" w:name="_Toc127151750"/>
      <w:bookmarkStart w:id="525" w:name="_Toc164608818"/>
      <w:bookmarkStart w:id="526" w:name="_Toc142311051"/>
      <w:bookmarkStart w:id="527" w:name="_Toc151193863"/>
      <w:bookmarkStart w:id="528" w:name="_Toc149720842"/>
      <w:bookmarkStart w:id="529" w:name="_Toc151193791"/>
      <w:bookmarkStart w:id="530" w:name="_Toc151193719"/>
      <w:bookmarkStart w:id="531" w:name="_Toc151190176"/>
      <w:bookmarkStart w:id="532" w:name="_Toc127151549"/>
      <w:bookmarkStart w:id="533" w:name="_Toc164608663"/>
      <w:bookmarkStart w:id="534" w:name="_Toc226965822"/>
      <w:bookmarkStart w:id="535" w:name="_Toc264969239"/>
      <w:bookmarkStart w:id="536" w:name="_Toc150774649"/>
      <w:bookmarkStart w:id="537" w:name="_Ref467307090"/>
      <w:bookmarkStart w:id="538" w:name="_Toc520356176"/>
      <w:bookmarkStart w:id="539" w:name="_Ref467306425"/>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21成交公告与成交通知书</w:t>
      </w:r>
      <w:bookmarkEnd w:id="508"/>
      <w:bookmarkEnd w:id="509"/>
    </w:p>
    <w:p w14:paraId="7C50BF4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21.1采购人或采购代理机构将在成交供应商确定后2个工作日内，在中国政府采购网、北京市政府采购网公告成交结果，同时向成交供应商发出成交通知书，成交公告期限为1个工作日。</w:t>
      </w:r>
    </w:p>
    <w:p w14:paraId="270DDCF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21.2成交通知书对采购人和成交供应商均具有法律效力。成交通知书发出后，采购人改变成交结果的，或者成交供应商放弃成交项目的， 应当依法承担法律责任。</w:t>
      </w:r>
    </w:p>
    <w:p w14:paraId="5B15572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22终止</w:t>
      </w:r>
    </w:p>
    <w:p w14:paraId="3D2BC7F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22.1出现下列情形之一的，采购人或采购代理机构将终止竞争性磋商采购活动，发布项目终止公告并说明原因，重新开展采购活动：</w:t>
      </w:r>
    </w:p>
    <w:p w14:paraId="33E42C2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22.1.1因情况变化，不再符合规定的竞争性磋商采购方式适用情形的；</w:t>
      </w:r>
    </w:p>
    <w:p w14:paraId="386871E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22.1.2出现影响采购公正的违法、违规行为的；</w:t>
      </w:r>
    </w:p>
    <w:p w14:paraId="155571B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22.1.3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14:paraId="2374950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540" w:name="_Toc127151751"/>
      <w:bookmarkStart w:id="541" w:name="_Toc226965740"/>
      <w:bookmarkStart w:id="542" w:name="_Toc195842915"/>
      <w:bookmarkStart w:id="543" w:name="_Toc151193792"/>
      <w:bookmarkStart w:id="544" w:name="_Toc151190177"/>
      <w:bookmarkStart w:id="545" w:name="_Ref467306978"/>
      <w:bookmarkStart w:id="546" w:name="_Toc151193648"/>
      <w:bookmarkStart w:id="547" w:name="_Toc151193720"/>
      <w:bookmarkStart w:id="548" w:name="_Toc264969240"/>
      <w:bookmarkStart w:id="549" w:name="_Toc150774650"/>
      <w:bookmarkStart w:id="550" w:name="_Toc151193938"/>
      <w:bookmarkStart w:id="551" w:name="_Toc127161464"/>
      <w:bookmarkStart w:id="552" w:name="_Toc305158818"/>
      <w:bookmarkStart w:id="553" w:name="_Ref467306377"/>
      <w:bookmarkStart w:id="554" w:name="_Toc265228388"/>
      <w:bookmarkStart w:id="555" w:name="_Toc226965823"/>
      <w:bookmarkStart w:id="556" w:name="_Toc305158892"/>
      <w:bookmarkStart w:id="557" w:name="_Ref467307204"/>
      <w:bookmarkStart w:id="558" w:name="_Toc127151550"/>
      <w:bookmarkStart w:id="559" w:name="_Toc164351644"/>
      <w:bookmarkStart w:id="560" w:name="_Toc226337246"/>
      <w:bookmarkStart w:id="561" w:name="_Toc142311052"/>
      <w:bookmarkStart w:id="562" w:name="_Toc164229391"/>
      <w:bookmarkStart w:id="563" w:name="_Toc520356175"/>
      <w:bookmarkStart w:id="564" w:name="_Toc226309794"/>
      <w:bookmarkStart w:id="565" w:name="_Toc164229245"/>
      <w:bookmarkStart w:id="566" w:name="_Toc150774755"/>
      <w:bookmarkStart w:id="567" w:name="_Toc150480788"/>
      <w:bookmarkStart w:id="568" w:name="_Toc164608664"/>
      <w:bookmarkStart w:id="569" w:name="_Toc150509301"/>
      <w:bookmarkStart w:id="570" w:name="_Toc151193864"/>
      <w:bookmarkStart w:id="571" w:name="_Toc164608819"/>
      <w:bookmarkStart w:id="572" w:name="_Toc149720843"/>
      <w:bookmarkStart w:id="573" w:name="_Ref467307062"/>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23签订合同</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181461B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23.1采购人与成交供应商将在成交通知书发出之日起30日内，按照竞争性磋商确定的合同文本以及采购标的、规格型号、采购金额、采购数量、技术和服务要求等事项签订政府采购合同。</w:t>
      </w:r>
    </w:p>
    <w:p w14:paraId="58BCECF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23.2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5EB84A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23.3联合体获得成交资格的，联合体各方应当共同与采购人签订合同，就成交项目向采购人承担连带责任。</w:t>
      </w:r>
    </w:p>
    <w:p w14:paraId="603E760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23.4政府采购合同不能转包。</w:t>
      </w:r>
    </w:p>
    <w:p w14:paraId="4D9A8CF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23.5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否则响应无效。成交供应商就采购项目和分包项目向采购人负责，分包供应商就分包项目承担责任。</w:t>
      </w:r>
    </w:p>
    <w:p w14:paraId="04F01C6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23.6“政采贷”融资指引：详见《供应商须知资料表》。</w:t>
      </w:r>
    </w:p>
    <w:bookmarkEnd w:id="537"/>
    <w:bookmarkEnd w:id="538"/>
    <w:bookmarkEnd w:id="539"/>
    <w:p w14:paraId="412246E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24询问与质疑</w:t>
      </w:r>
    </w:p>
    <w:p w14:paraId="34CA882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24.1询问</w:t>
      </w:r>
    </w:p>
    <w:p w14:paraId="04D63B2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24.1.1供应商对政府采购活动事项有疑问的，可依法向采购人或采购代理机构提出询问，提出形式见《供应商须知资料表》。</w:t>
      </w:r>
    </w:p>
    <w:p w14:paraId="65D6D3D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24.1.2采购人或采购代理机构对供应商依法提出的询问，在3个工作日内作出答复，但答复的内容不得涉及商业秘密。</w:t>
      </w:r>
    </w:p>
    <w:p w14:paraId="61A5E75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24.2质疑</w:t>
      </w:r>
    </w:p>
    <w:p w14:paraId="2E90780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24.2.1供应商认为竞争性磋商文件、采购过程、成交结果使自己的权益受到损害的，可以在知道或者应知其权益受到损害之日起7个工作日内，由供应商派授权代表以书面形式向采购人、采购代理机构提出质疑。采购人、采购代理机构在收到质疑函后7个工作日内作出答复。</w:t>
      </w:r>
    </w:p>
    <w:p w14:paraId="729D42F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24.2.2质疑函须使用财政部制定的范本文件。供应商为自然人的，质疑函应当由本人签字；供应商为法人或者其他组织的，质疑函应当由法定代表人、主要负责人，或者其授权代表签字或者盖章，并加盖公章。</w:t>
      </w:r>
    </w:p>
    <w:p w14:paraId="2A5B21A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24.2.3供应商委托代理人进行质疑的，应当随质疑函同时提交供应商签署的  授权委托书。授权委托书应当载明代理人的姓名或者名称、代理事项、具体权限、期限和相关事项。供应商为自然人的，应当由本人签字； 供应商为法人或者其他组织的，应当由法定代表人、主要负责人签字或者盖章，并加盖公章。</w:t>
      </w:r>
    </w:p>
    <w:p w14:paraId="6E249D9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24.2.4供应商应在法定质疑期内一次性提出针对同一采购程序环节的质疑，法定质疑期内针对同一采购程序环节再次提出的质疑，采购人、采购代理机构有权不予答复。</w:t>
      </w:r>
    </w:p>
    <w:p w14:paraId="7795EB3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24.3接收询问和质疑的联系部门、联系电话和通讯地址见《供应商须知资料表》。</w:t>
      </w:r>
    </w:p>
    <w:p w14:paraId="66E7A5C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25代理费</w:t>
      </w:r>
    </w:p>
    <w:p w14:paraId="066D333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25.1收费对象、收费标准及缴纳时间见《供应商须知资料表》。由成交供应商支付的，成交供应商须一次性向采购代理机构缴纳代理费，报价应包含代理费用。</w:t>
      </w:r>
    </w:p>
    <w:p w14:paraId="59D5F9D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574" w:name="_Toc353873934"/>
      <w:bookmarkStart w:id="575" w:name="_Toc305158896"/>
      <w:bookmarkStart w:id="576" w:name="_Toc150774759"/>
      <w:bookmarkStart w:id="577" w:name="_Toc150480792"/>
      <w:bookmarkStart w:id="578" w:name="_Toc265228392"/>
      <w:bookmarkStart w:id="579" w:name="_Toc264969244"/>
      <w:bookmarkStart w:id="580" w:name="_Toc142311056"/>
      <w:bookmarkStart w:id="581" w:name="_Toc305158822"/>
      <w:bookmarkStart w:id="582" w:name="_Toc353873664"/>
      <w:bookmarkStart w:id="583" w:name="_Toc226337250"/>
      <w:bookmarkStart w:id="584" w:name="_Toc353825544"/>
      <w:bookmarkStart w:id="585" w:name="_Toc127151554"/>
      <w:bookmarkStart w:id="586" w:name="_Toc226965827"/>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26其他要求</w:t>
      </w:r>
    </w:p>
    <w:p w14:paraId="69F2636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见《供应商须知资料表》。</w:t>
      </w:r>
    </w:p>
    <w:p w14:paraId="7A9A3477">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bookmarkStart w:id="587" w:name="_Toc9780"/>
      <w:r>
        <w:rPr>
          <w:rFonts w:hint="eastAsia" w:asciiTheme="minorEastAsia" w:hAnsiTheme="minorEastAsia" w:eastAsiaTheme="minorEastAsia" w:cstheme="minorEastAsia"/>
          <w:b/>
          <w:bCs/>
          <w:snapToGrid/>
          <w:spacing w:val="0"/>
          <w:kern w:val="21"/>
          <w:sz w:val="24"/>
          <w:szCs w:val="24"/>
          <w:highlight w:val="none"/>
        </w:rPr>
        <w:t xml:space="preserve">第三章   </w:t>
      </w:r>
      <w:bookmarkEnd w:id="574"/>
      <w:bookmarkEnd w:id="575"/>
      <w:bookmarkEnd w:id="576"/>
      <w:bookmarkEnd w:id="577"/>
      <w:bookmarkEnd w:id="578"/>
      <w:bookmarkEnd w:id="579"/>
      <w:bookmarkEnd w:id="580"/>
      <w:bookmarkEnd w:id="581"/>
      <w:bookmarkEnd w:id="582"/>
      <w:bookmarkEnd w:id="583"/>
      <w:bookmarkEnd w:id="584"/>
      <w:bookmarkEnd w:id="585"/>
      <w:bookmarkEnd w:id="586"/>
      <w:r>
        <w:rPr>
          <w:rFonts w:hint="eastAsia" w:asciiTheme="minorEastAsia" w:hAnsiTheme="minorEastAsia" w:eastAsiaTheme="minorEastAsia" w:cstheme="minorEastAsia"/>
          <w:b/>
          <w:bCs/>
          <w:snapToGrid/>
          <w:spacing w:val="0"/>
          <w:kern w:val="21"/>
          <w:sz w:val="24"/>
          <w:szCs w:val="24"/>
          <w:highlight w:val="none"/>
        </w:rPr>
        <w:t>评审方法和评审标准</w:t>
      </w:r>
      <w:bookmarkEnd w:id="587"/>
      <w:bookmarkStart w:id="588" w:name="_Toc487900382"/>
    </w:p>
    <w:p w14:paraId="32C773E8">
      <w:pPr>
        <w:keepNext w:val="0"/>
        <w:keepLines w:val="0"/>
        <w:pageBreakBefore w:val="0"/>
        <w:widowControl w:val="0"/>
        <w:kinsoku/>
        <w:wordWrap w:val="0"/>
        <w:overflowPunct/>
        <w:topLinePunct/>
        <w:autoSpaceDE/>
        <w:autoSpaceDN/>
        <w:bidi w:val="0"/>
        <w:spacing w:before="0" w:line="360" w:lineRule="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kern w:val="21"/>
          <w:sz w:val="24"/>
          <w:szCs w:val="24"/>
          <w:highlight w:val="none"/>
        </w:rPr>
        <w:t>一、</w:t>
      </w:r>
      <w:r>
        <w:rPr>
          <w:rFonts w:hint="eastAsia" w:asciiTheme="minorEastAsia" w:hAnsiTheme="minorEastAsia" w:eastAsiaTheme="minorEastAsia" w:cstheme="minorEastAsia"/>
          <w:b w:val="0"/>
          <w:bCs w:val="0"/>
          <w:snapToGrid/>
          <w:spacing w:val="0"/>
          <w:kern w:val="21"/>
          <w:sz w:val="24"/>
          <w:szCs w:val="24"/>
        </w:rPr>
        <w:t>评审程序和方法</w:t>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88"/>
    <w:p w14:paraId="545E8D5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589" w:name="_Toc150774641"/>
      <w:bookmarkStart w:id="590" w:name="_Toc265228379"/>
      <w:bookmarkStart w:id="591" w:name="_Toc164351635"/>
      <w:bookmarkStart w:id="592" w:name="_Toc127151541"/>
      <w:bookmarkStart w:id="593" w:name="_Toc164229382"/>
      <w:bookmarkStart w:id="594" w:name="_Toc149720834"/>
      <w:bookmarkStart w:id="595" w:name="_Toc226309785"/>
      <w:bookmarkStart w:id="596" w:name="_Toc127151742"/>
      <w:bookmarkStart w:id="597" w:name="_Toc151193639"/>
      <w:bookmarkStart w:id="598" w:name="_Toc150509292"/>
      <w:bookmarkStart w:id="599" w:name="_Toc150480779"/>
      <w:bookmarkStart w:id="600" w:name="_Toc151193855"/>
      <w:bookmarkStart w:id="601" w:name="_Toc164608655"/>
      <w:bookmarkStart w:id="602" w:name="_Toc151190168"/>
      <w:bookmarkStart w:id="603" w:name="_Toc305158883"/>
      <w:bookmarkStart w:id="604" w:name="_Toc226965731"/>
      <w:bookmarkStart w:id="605" w:name="_Toc226965814"/>
      <w:bookmarkStart w:id="606" w:name="_Toc151193711"/>
      <w:bookmarkStart w:id="607" w:name="_Toc164229236"/>
      <w:bookmarkStart w:id="608" w:name="_Toc127161455"/>
      <w:bookmarkStart w:id="609" w:name="_Toc195842906"/>
      <w:bookmarkStart w:id="610" w:name="_Toc151193783"/>
      <w:bookmarkStart w:id="611" w:name="_Toc150774746"/>
      <w:bookmarkStart w:id="612" w:name="_Toc142311043"/>
      <w:bookmarkStart w:id="613" w:name="_Toc264969231"/>
      <w:bookmarkStart w:id="614" w:name="_Toc164608810"/>
      <w:bookmarkStart w:id="615" w:name="_Toc226337237"/>
      <w:bookmarkStart w:id="616" w:name="_Toc305158809"/>
      <w:bookmarkStart w:id="617" w:name="_Toc151193929"/>
      <w:bookmarkStart w:id="618" w:name="_Toc353873941"/>
      <w:bookmarkStart w:id="619" w:name="_Toc353825551"/>
      <w:bookmarkStart w:id="620" w:name="_Toc305158823"/>
      <w:bookmarkStart w:id="621" w:name="_Toc265228393"/>
      <w:bookmarkStart w:id="622" w:name="_Toc353873935"/>
      <w:bookmarkStart w:id="623" w:name="_Toc226965828"/>
      <w:bookmarkStart w:id="624" w:name="_Toc127151555"/>
      <w:bookmarkStart w:id="625" w:name="_Toc353825545"/>
      <w:bookmarkStart w:id="626" w:name="_Toc226337251"/>
      <w:bookmarkStart w:id="627" w:name="_Toc305158897"/>
      <w:bookmarkStart w:id="628" w:name="_Toc142311057"/>
      <w:bookmarkStart w:id="629" w:name="_Toc150774760"/>
      <w:bookmarkStart w:id="630" w:name="_Toc195842920"/>
      <w:bookmarkStart w:id="631" w:name="_Toc353873665"/>
      <w:bookmarkStart w:id="632" w:name="_Toc264969245"/>
      <w:bookmarkStart w:id="633" w:name="_Toc150480793"/>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1响应文件的</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资格审查和符合性审查</w:t>
      </w:r>
    </w:p>
    <w:p w14:paraId="27A2CC2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磋商小组将根据《资格审查要求》和《符合性审查要求》中规定的内容，对供应商进行检查，并形成检查结果。供应商《响应文件》有任何一项不符合《资格审查要求》和《符合性审查要求》要求的，视为未实质性响应竞争性磋商。未实质性响应竞争性磋商的响应文件按无效响应处理，磋商小组应当告知提交响应文件的供应商。</w:t>
      </w:r>
    </w:p>
    <w:p w14:paraId="39ADFA4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1.2《资格审查要求》中对格式有要求的，除竞争性磋商文件另有规定外，均为“实质性格式”文件。</w:t>
      </w:r>
    </w:p>
    <w:p w14:paraId="350C528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jc w:val="center"/>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资格性检查要求</w:t>
      </w:r>
    </w:p>
    <w:tbl>
      <w:tblPr>
        <w:tblStyle w:val="23"/>
        <w:tblW w:w="9765"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772"/>
        <w:gridCol w:w="5688"/>
        <w:gridCol w:w="1454"/>
      </w:tblGrid>
      <w:tr w14:paraId="257F0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blHeader/>
        </w:trPr>
        <w:tc>
          <w:tcPr>
            <w:tcW w:w="851" w:type="dxa"/>
            <w:vAlign w:val="center"/>
          </w:tcPr>
          <w:p w14:paraId="7419C59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bookmarkStart w:id="634" w:name="_Hlt487972895"/>
            <w:bookmarkEnd w:id="634"/>
            <w:r>
              <w:rPr>
                <w:rFonts w:hint="eastAsia" w:asciiTheme="minorEastAsia" w:hAnsiTheme="minorEastAsia" w:eastAsiaTheme="minorEastAsia" w:cstheme="minorEastAsia"/>
                <w:b w:val="0"/>
                <w:bCs w:val="0"/>
                <w:snapToGrid/>
                <w:spacing w:val="0"/>
                <w:kern w:val="21"/>
                <w:sz w:val="22"/>
                <w:szCs w:val="22"/>
                <w:highlight w:val="none"/>
              </w:rPr>
              <w:t>序号</w:t>
            </w:r>
          </w:p>
        </w:tc>
        <w:tc>
          <w:tcPr>
            <w:tcW w:w="1772" w:type="dxa"/>
            <w:vAlign w:val="center"/>
          </w:tcPr>
          <w:p w14:paraId="420AA0DB">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检查因素</w:t>
            </w:r>
          </w:p>
        </w:tc>
        <w:tc>
          <w:tcPr>
            <w:tcW w:w="5688" w:type="dxa"/>
            <w:vAlign w:val="center"/>
          </w:tcPr>
          <w:p w14:paraId="4D277FA9">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检查内容</w:t>
            </w:r>
          </w:p>
        </w:tc>
        <w:tc>
          <w:tcPr>
            <w:tcW w:w="1454" w:type="dxa"/>
            <w:vAlign w:val="center"/>
          </w:tcPr>
          <w:p w14:paraId="17C37D06">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格式要求</w:t>
            </w:r>
          </w:p>
        </w:tc>
      </w:tr>
      <w:tr w14:paraId="27AEE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28413DB7">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1</w:t>
            </w:r>
          </w:p>
        </w:tc>
        <w:tc>
          <w:tcPr>
            <w:tcW w:w="1772" w:type="dxa"/>
            <w:vAlign w:val="center"/>
          </w:tcPr>
          <w:p w14:paraId="7305FCC5">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rPr>
              <w:t>满足《中华人民共和国政府采购法》第二十二条规定</w:t>
            </w:r>
          </w:p>
        </w:tc>
        <w:tc>
          <w:tcPr>
            <w:tcW w:w="5688" w:type="dxa"/>
            <w:vAlign w:val="center"/>
          </w:tcPr>
          <w:p w14:paraId="6ADF67F6">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具体规定见第一章《采购邀请》</w:t>
            </w:r>
          </w:p>
        </w:tc>
        <w:tc>
          <w:tcPr>
            <w:tcW w:w="1454" w:type="dxa"/>
            <w:vAlign w:val="center"/>
          </w:tcPr>
          <w:p w14:paraId="217D4D4D">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p>
        </w:tc>
      </w:tr>
      <w:tr w14:paraId="69F6E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49" w:hRule="atLeast"/>
        </w:trPr>
        <w:tc>
          <w:tcPr>
            <w:tcW w:w="851" w:type="dxa"/>
            <w:vAlign w:val="center"/>
          </w:tcPr>
          <w:p w14:paraId="333DF82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1-1</w:t>
            </w:r>
          </w:p>
        </w:tc>
        <w:tc>
          <w:tcPr>
            <w:tcW w:w="1772" w:type="dxa"/>
            <w:vAlign w:val="center"/>
          </w:tcPr>
          <w:p w14:paraId="2785B81E">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营业执照等证明文件</w:t>
            </w:r>
          </w:p>
        </w:tc>
        <w:tc>
          <w:tcPr>
            <w:tcW w:w="5688" w:type="dxa"/>
            <w:vAlign w:val="center"/>
          </w:tcPr>
          <w:p w14:paraId="67D79617">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供应商为企业（包括合伙企业）的，应提供有效的“营业执照”；</w:t>
            </w:r>
          </w:p>
          <w:p w14:paraId="18E3034A">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供应商为事业单位的，应提供有效的“事业单位法人证书”；</w:t>
            </w:r>
          </w:p>
          <w:p w14:paraId="10933C2A">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供应商是非企业机构的，应提供有效的“执业许可证”、“登记证书”等证明文件；</w:t>
            </w:r>
          </w:p>
          <w:p w14:paraId="4A1CE1F3">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供应商是个体工商户的，应提供有效的“个体工商户营业执照”；</w:t>
            </w:r>
          </w:p>
          <w:p w14:paraId="5C9B2CDF">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供应商是自然人的，应提供有效的自然人身份证明。</w:t>
            </w:r>
          </w:p>
          <w:p w14:paraId="1C1A2736">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rPr>
              <w:t>分支机构参加响应的，应提供该分支机构或其所属法人/其他组织的相应证明文件；同时还应提供其所属法人/其他组织出具的授权其参与本项目的授权书（格式自拟，须加</w:t>
            </w:r>
            <w:r>
              <w:rPr>
                <w:rFonts w:hint="eastAsia" w:asciiTheme="minorEastAsia" w:hAnsiTheme="minorEastAsia" w:eastAsiaTheme="minorEastAsia" w:cstheme="minorEastAsia"/>
                <w:b w:val="0"/>
                <w:bCs w:val="0"/>
                <w:snapToGrid/>
                <w:spacing w:val="0"/>
                <w:kern w:val="21"/>
                <w:sz w:val="22"/>
                <w:szCs w:val="22"/>
              </w:rPr>
              <w:t>盖其所属法人/其他组织的公章）；对于</w:t>
            </w:r>
            <w:r>
              <w:rPr>
                <w:rFonts w:hint="eastAsia" w:asciiTheme="minorEastAsia" w:hAnsiTheme="minorEastAsia" w:eastAsiaTheme="minorEastAsia" w:cstheme="minorEastAsia"/>
                <w:b w:val="0"/>
                <w:bCs w:val="0"/>
                <w:iCs/>
                <w:snapToGrid/>
                <w:spacing w:val="0"/>
                <w:kern w:val="21"/>
                <w:sz w:val="22"/>
                <w:szCs w:val="22"/>
              </w:rPr>
              <w:t>银行、保险、石油石化、电力、电信等行业的分支机构，可以提供上述</w:t>
            </w:r>
            <w:r>
              <w:rPr>
                <w:rFonts w:hint="eastAsia" w:asciiTheme="minorEastAsia" w:hAnsiTheme="minorEastAsia" w:eastAsiaTheme="minorEastAsia" w:cstheme="minorEastAsia"/>
                <w:b w:val="0"/>
                <w:bCs w:val="0"/>
                <w:snapToGrid/>
                <w:spacing w:val="0"/>
                <w:kern w:val="21"/>
                <w:sz w:val="22"/>
                <w:szCs w:val="22"/>
              </w:rPr>
              <w:t>授权，也</w:t>
            </w:r>
            <w:r>
              <w:rPr>
                <w:rFonts w:hint="eastAsia" w:asciiTheme="minorEastAsia" w:hAnsiTheme="minorEastAsia" w:eastAsiaTheme="minorEastAsia" w:cstheme="minorEastAsia"/>
                <w:b w:val="0"/>
                <w:bCs w:val="0"/>
                <w:snapToGrid/>
                <w:color w:val="000000"/>
                <w:spacing w:val="0"/>
                <w:kern w:val="21"/>
                <w:sz w:val="22"/>
                <w:szCs w:val="22"/>
              </w:rPr>
              <w:t>可以提供其所属法人/其他组织的有关文件或制度等能够证明授权其独立开展业务的证明材料。</w:t>
            </w:r>
          </w:p>
        </w:tc>
        <w:tc>
          <w:tcPr>
            <w:tcW w:w="1454" w:type="dxa"/>
            <w:vAlign w:val="center"/>
          </w:tcPr>
          <w:p w14:paraId="3AFECB7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eastAsia="zh-CN"/>
              </w:rPr>
            </w:pPr>
            <w:r>
              <w:rPr>
                <w:rFonts w:hint="eastAsia" w:asciiTheme="minorEastAsia" w:hAnsiTheme="minorEastAsia" w:eastAsiaTheme="minorEastAsia" w:cstheme="minorEastAsia"/>
                <w:b w:val="0"/>
                <w:bCs w:val="0"/>
                <w:snapToGrid/>
                <w:spacing w:val="0"/>
                <w:kern w:val="21"/>
                <w:sz w:val="22"/>
                <w:szCs w:val="22"/>
                <w:highlight w:val="none"/>
                <w:lang w:eastAsia="zh-CN"/>
              </w:rPr>
              <w:t>提供证明文件的</w:t>
            </w:r>
            <w:r>
              <w:rPr>
                <w:rFonts w:hint="eastAsia" w:asciiTheme="minorEastAsia" w:hAnsiTheme="minorEastAsia" w:eastAsiaTheme="minorEastAsia" w:cstheme="minorEastAsia"/>
                <w:b w:val="0"/>
                <w:bCs w:val="0"/>
                <w:snapToGrid/>
                <w:spacing w:val="0"/>
                <w:kern w:val="21"/>
                <w:sz w:val="22"/>
                <w:szCs w:val="22"/>
                <w:highlight w:val="none"/>
                <w:lang w:val="en-US" w:eastAsia="zh-CN"/>
              </w:rPr>
              <w:t>电子件或电子执照</w:t>
            </w:r>
            <w:r>
              <w:rPr>
                <w:rFonts w:hint="eastAsia" w:asciiTheme="minorEastAsia" w:hAnsiTheme="minorEastAsia" w:eastAsiaTheme="minorEastAsia" w:cstheme="minorEastAsia"/>
                <w:b w:val="0"/>
                <w:bCs w:val="0"/>
                <w:snapToGrid/>
                <w:spacing w:val="0"/>
                <w:kern w:val="21"/>
                <w:sz w:val="22"/>
                <w:szCs w:val="22"/>
                <w:highlight w:val="none"/>
                <w:lang w:eastAsia="zh-CN"/>
              </w:rPr>
              <w:t>并加盖单位公章</w:t>
            </w:r>
          </w:p>
        </w:tc>
      </w:tr>
      <w:tr w14:paraId="2671D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5F7618CF">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1-2</w:t>
            </w:r>
          </w:p>
        </w:tc>
        <w:tc>
          <w:tcPr>
            <w:tcW w:w="1772" w:type="dxa"/>
            <w:vAlign w:val="center"/>
          </w:tcPr>
          <w:p w14:paraId="0CF279C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供应商资格声明书</w:t>
            </w:r>
          </w:p>
        </w:tc>
        <w:tc>
          <w:tcPr>
            <w:tcW w:w="5688" w:type="dxa"/>
            <w:vAlign w:val="center"/>
          </w:tcPr>
          <w:p w14:paraId="35D9EC74">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提供了符合竞争性磋商文件要求的《供应商资格声明书》。</w:t>
            </w:r>
          </w:p>
        </w:tc>
        <w:tc>
          <w:tcPr>
            <w:tcW w:w="1454" w:type="dxa"/>
            <w:vAlign w:val="center"/>
          </w:tcPr>
          <w:p w14:paraId="6A6EE734">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格式见《响应文件格式》</w:t>
            </w:r>
          </w:p>
        </w:tc>
      </w:tr>
      <w:tr w14:paraId="2EFE7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6714A37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1-3</w:t>
            </w:r>
          </w:p>
        </w:tc>
        <w:tc>
          <w:tcPr>
            <w:tcW w:w="1772" w:type="dxa"/>
            <w:vAlign w:val="center"/>
          </w:tcPr>
          <w:p w14:paraId="1A8D08AD">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供应商信用记录</w:t>
            </w:r>
          </w:p>
        </w:tc>
        <w:tc>
          <w:tcPr>
            <w:tcW w:w="5688" w:type="dxa"/>
            <w:vAlign w:val="center"/>
          </w:tcPr>
          <w:p w14:paraId="73AE66EE">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查询渠道：信用中国网站和中国政府采购网（www.creditchina.gov.cn、www.ccgp.gov.cn）；</w:t>
            </w:r>
          </w:p>
          <w:p w14:paraId="6F20D3A1">
            <w:pPr>
              <w:keepNext w:val="0"/>
              <w:keepLines w:val="0"/>
              <w:pageBreakBefore w:val="0"/>
              <w:widowControl w:val="0"/>
              <w:tabs>
                <w:tab w:val="left" w:pos="900"/>
                <w:tab w:val="left" w:pos="19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截止时点：</w:t>
            </w:r>
            <w:r>
              <w:rPr>
                <w:rFonts w:hint="eastAsia" w:asciiTheme="minorEastAsia" w:hAnsiTheme="minorEastAsia" w:eastAsiaTheme="minorEastAsia" w:cstheme="minorEastAsia"/>
                <w:b w:val="0"/>
                <w:bCs w:val="0"/>
                <w:snapToGrid/>
                <w:color w:val="000000"/>
                <w:spacing w:val="0"/>
                <w:kern w:val="21"/>
                <w:sz w:val="22"/>
                <w:szCs w:val="22"/>
              </w:rPr>
              <w:t>首次响应文件提交截止时间以后</w:t>
            </w:r>
            <w:r>
              <w:rPr>
                <w:rFonts w:hint="eastAsia" w:asciiTheme="minorEastAsia" w:hAnsiTheme="minorEastAsia" w:eastAsiaTheme="minorEastAsia" w:cstheme="minorEastAsia"/>
                <w:b w:val="0"/>
                <w:bCs w:val="0"/>
                <w:snapToGrid/>
                <w:spacing w:val="0"/>
                <w:kern w:val="21"/>
                <w:sz w:val="22"/>
                <w:szCs w:val="22"/>
              </w:rPr>
              <w:t>、资格审查阶段采购人或采购代理机构的实际查询时间；</w:t>
            </w:r>
          </w:p>
          <w:p w14:paraId="03A0E303">
            <w:pPr>
              <w:keepNext w:val="0"/>
              <w:keepLines w:val="0"/>
              <w:pageBreakBefore w:val="0"/>
              <w:widowControl w:val="0"/>
              <w:tabs>
                <w:tab w:val="left" w:pos="900"/>
                <w:tab w:val="left" w:pos="19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信用信息查询记录和证据留存具体方式：查询结果网页打印页作为查询记录和证据，与其他竞争性磋商文件一并保存；</w:t>
            </w:r>
          </w:p>
          <w:p w14:paraId="33FE8571">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rPr>
              <w:t>信用信息的使用原则：经认定的被列入失信被执行人、重大税收违法案件当事人名单、政府采购严重违法失信行为记录名单的供应商，其响应无效。联合体形式磋商的，联合体成员存在不良信用记录，视同联合体存在不良信用记录。</w:t>
            </w:r>
          </w:p>
        </w:tc>
        <w:tc>
          <w:tcPr>
            <w:tcW w:w="1454" w:type="dxa"/>
            <w:vAlign w:val="center"/>
          </w:tcPr>
          <w:p w14:paraId="0D5E9A09">
            <w:pPr>
              <w:keepNext w:val="0"/>
              <w:keepLines w:val="0"/>
              <w:pageBreakBefore w:val="0"/>
              <w:widowControl w:val="0"/>
              <w:tabs>
                <w:tab w:val="left" w:pos="1080"/>
              </w:tabs>
              <w:kinsoku/>
              <w:wordWrap w:val="0"/>
              <w:overflowPunct/>
              <w:topLinePunct/>
              <w:autoSpaceDE/>
              <w:autoSpaceDN/>
              <w:bidi w:val="0"/>
              <w:adjustRightInd/>
              <w:snapToGrid w:val="0"/>
              <w:spacing w:line="420" w:lineRule="exac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无须供应商提供，由采购人或采购代理机构查询。</w:t>
            </w:r>
          </w:p>
        </w:tc>
      </w:tr>
      <w:tr w14:paraId="18A91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43A9917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eastAsia="en-US"/>
              </w:rPr>
            </w:pPr>
            <w:r>
              <w:rPr>
                <w:rFonts w:hint="eastAsia" w:asciiTheme="minorEastAsia" w:hAnsiTheme="minorEastAsia" w:eastAsiaTheme="minorEastAsia" w:cstheme="minorEastAsia"/>
                <w:b w:val="0"/>
                <w:bCs w:val="0"/>
                <w:snapToGrid/>
                <w:spacing w:val="0"/>
                <w:kern w:val="21"/>
                <w:sz w:val="22"/>
                <w:szCs w:val="22"/>
                <w:highlight w:val="none"/>
              </w:rPr>
              <w:t>1-4</w:t>
            </w:r>
          </w:p>
        </w:tc>
        <w:tc>
          <w:tcPr>
            <w:tcW w:w="1772" w:type="dxa"/>
          </w:tcPr>
          <w:p w14:paraId="23EB4CBE">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法律、行政法规规定的其他条件</w:t>
            </w:r>
          </w:p>
        </w:tc>
        <w:tc>
          <w:tcPr>
            <w:tcW w:w="5688" w:type="dxa"/>
            <w:vAlign w:val="center"/>
          </w:tcPr>
          <w:p w14:paraId="5D9AE71D">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法律、行政法规规定的其他条件</w:t>
            </w:r>
          </w:p>
        </w:tc>
        <w:tc>
          <w:tcPr>
            <w:tcW w:w="1454" w:type="dxa"/>
            <w:vAlign w:val="center"/>
          </w:tcPr>
          <w:p w14:paraId="7B6ABC26">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w:t>
            </w:r>
          </w:p>
        </w:tc>
      </w:tr>
      <w:tr w14:paraId="746F1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58CE4D2E">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2</w:t>
            </w:r>
          </w:p>
        </w:tc>
        <w:tc>
          <w:tcPr>
            <w:tcW w:w="1772" w:type="dxa"/>
            <w:vAlign w:val="center"/>
          </w:tcPr>
          <w:p w14:paraId="1B053D9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落实政府采购政策需满足的资格要求</w:t>
            </w:r>
          </w:p>
        </w:tc>
        <w:tc>
          <w:tcPr>
            <w:tcW w:w="5688" w:type="dxa"/>
            <w:vAlign w:val="center"/>
          </w:tcPr>
          <w:p w14:paraId="042C180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具体要求见第一章《采购邀请》</w:t>
            </w:r>
          </w:p>
        </w:tc>
        <w:tc>
          <w:tcPr>
            <w:tcW w:w="1454" w:type="dxa"/>
            <w:vAlign w:val="center"/>
          </w:tcPr>
          <w:p w14:paraId="00D80B0E">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p>
        </w:tc>
      </w:tr>
      <w:tr w14:paraId="69251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13CEC196">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eastAsia="zh-CN"/>
              </w:rPr>
            </w:pPr>
            <w:r>
              <w:rPr>
                <w:rFonts w:hint="eastAsia" w:asciiTheme="minorEastAsia" w:hAnsiTheme="minorEastAsia" w:eastAsiaTheme="minorEastAsia" w:cstheme="minorEastAsia"/>
                <w:b w:val="0"/>
                <w:bCs w:val="0"/>
                <w:snapToGrid/>
                <w:spacing w:val="0"/>
                <w:kern w:val="21"/>
                <w:sz w:val="22"/>
                <w:szCs w:val="22"/>
                <w:highlight w:val="none"/>
              </w:rPr>
              <w:t>2-1</w:t>
            </w:r>
          </w:p>
        </w:tc>
        <w:tc>
          <w:tcPr>
            <w:tcW w:w="1772" w:type="dxa"/>
            <w:shd w:val="clear" w:color="auto" w:fill="auto"/>
            <w:vAlign w:val="center"/>
          </w:tcPr>
          <w:p w14:paraId="279E20F5">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中小企业证明文件</w:t>
            </w:r>
          </w:p>
        </w:tc>
        <w:tc>
          <w:tcPr>
            <w:tcW w:w="5688" w:type="dxa"/>
            <w:shd w:val="clear" w:color="auto" w:fill="auto"/>
            <w:vAlign w:val="center"/>
          </w:tcPr>
          <w:p w14:paraId="658CEB7F">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eastAsiaTheme="minorEastAsia"/>
                <w:sz w:val="22"/>
                <w:szCs w:val="22"/>
              </w:rPr>
              <w:t>具体要求见第一章《采购邀请》</w:t>
            </w:r>
          </w:p>
        </w:tc>
        <w:tc>
          <w:tcPr>
            <w:tcW w:w="1454" w:type="dxa"/>
            <w:shd w:val="clear" w:color="auto" w:fill="auto"/>
            <w:vAlign w:val="center"/>
          </w:tcPr>
          <w:p w14:paraId="2A8C19D8">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p>
        </w:tc>
      </w:tr>
      <w:tr w14:paraId="52845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45F57A3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default" w:asciiTheme="minorEastAsia" w:hAnsiTheme="minorEastAsia" w:eastAsiaTheme="minorEastAsia" w:cstheme="minorEastAsia"/>
                <w:b w:val="0"/>
                <w:bCs w:val="0"/>
                <w:snapToGrid/>
                <w:spacing w:val="0"/>
                <w:kern w:val="21"/>
                <w:sz w:val="22"/>
                <w:szCs w:val="22"/>
                <w:highlight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lang w:val="en-US" w:eastAsia="zh-CN"/>
              </w:rPr>
              <w:t>2-1-1</w:t>
            </w:r>
          </w:p>
        </w:tc>
        <w:tc>
          <w:tcPr>
            <w:tcW w:w="1772" w:type="dxa"/>
            <w:shd w:val="clear" w:color="auto" w:fill="auto"/>
            <w:vAlign w:val="center"/>
          </w:tcPr>
          <w:p w14:paraId="12DE09F9">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中小企业证明文件</w:t>
            </w:r>
          </w:p>
        </w:tc>
        <w:tc>
          <w:tcPr>
            <w:tcW w:w="5688" w:type="dxa"/>
            <w:shd w:val="clear" w:color="auto" w:fill="auto"/>
            <w:vAlign w:val="center"/>
          </w:tcPr>
          <w:p w14:paraId="31902F0F">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当本项目（包）涉及预留份额专门面向中小企业采购，提供如下资料：</w:t>
            </w:r>
          </w:p>
          <w:p w14:paraId="5B212B0F">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1、供应商单独响应的，应提供《中小企业声明函》或《残疾人福利性单位声明函》或由省级以上监狱管理局、戒毒管理局（含新疆生产建设兵团）出具的属于监狱企业的证明文件。</w:t>
            </w:r>
          </w:p>
          <w:p w14:paraId="0D8BA25C">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2、如</w:t>
            </w:r>
            <w:r>
              <w:rPr>
                <w:rFonts w:hint="eastAsia" w:asciiTheme="minorEastAsia" w:hAnsiTheme="minorEastAsia" w:eastAsiaTheme="minorEastAsia" w:cstheme="minorEastAsia"/>
                <w:b w:val="0"/>
                <w:bCs w:val="0"/>
                <w:snapToGrid/>
                <w:spacing w:val="0"/>
                <w:kern w:val="21"/>
                <w:sz w:val="22"/>
                <w:szCs w:val="22"/>
                <w:lang w:eastAsia="zh-CN"/>
              </w:rPr>
              <w:t>竞争性磋商</w:t>
            </w:r>
            <w:r>
              <w:rPr>
                <w:rFonts w:hint="eastAsia" w:asciiTheme="minorEastAsia" w:hAnsiTheme="minorEastAsia" w:eastAsiaTheme="minorEastAsia" w:cstheme="minorEastAsia"/>
                <w:b w:val="0"/>
                <w:bCs w:val="0"/>
                <w:snapToGrid/>
                <w:spacing w:val="0"/>
                <w:kern w:val="21"/>
                <w:sz w:val="22"/>
                <w:szCs w:val="22"/>
              </w:rPr>
              <w:t>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454" w:type="dxa"/>
            <w:shd w:val="clear" w:color="auto" w:fill="auto"/>
            <w:vAlign w:val="center"/>
          </w:tcPr>
          <w:p w14:paraId="41CAE5F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格式见《响应文件格式》</w:t>
            </w:r>
          </w:p>
        </w:tc>
      </w:tr>
      <w:tr w14:paraId="7F62F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0836F68B">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lang w:val="en-US" w:eastAsia="zh-CN"/>
              </w:rPr>
              <w:t>2-1-2</w:t>
            </w:r>
          </w:p>
        </w:tc>
        <w:tc>
          <w:tcPr>
            <w:tcW w:w="1772" w:type="dxa"/>
            <w:shd w:val="clear" w:color="auto" w:fill="auto"/>
            <w:vAlign w:val="center"/>
          </w:tcPr>
          <w:p w14:paraId="658B636C">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拟分包情况说明及分包意向协议</w:t>
            </w:r>
          </w:p>
        </w:tc>
        <w:tc>
          <w:tcPr>
            <w:tcW w:w="5688" w:type="dxa"/>
            <w:shd w:val="clear" w:color="auto" w:fill="auto"/>
            <w:vAlign w:val="center"/>
          </w:tcPr>
          <w:p w14:paraId="07355AF0">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如本项目（包）要求通过分包措施预留部分采购份额面向中小企业采购、且供应商因落实政府采购政策拟进行分包的，必须提供；否则无须提供。</w:t>
            </w:r>
          </w:p>
          <w:p w14:paraId="2CFB455E">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对于预留份额专门面向中小企业采购的项目（包），组成联合体或者接受分包合同的中小企业与联合体内其他企业、分包企业之间不得存在直接控股、管理关系。</w:t>
            </w:r>
          </w:p>
        </w:tc>
        <w:tc>
          <w:tcPr>
            <w:tcW w:w="1454" w:type="dxa"/>
            <w:shd w:val="clear" w:color="auto" w:fill="auto"/>
            <w:vAlign w:val="center"/>
          </w:tcPr>
          <w:p w14:paraId="0344C474">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格式见《响应文件格式》</w:t>
            </w:r>
          </w:p>
        </w:tc>
      </w:tr>
      <w:tr w14:paraId="368CC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365BD44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default" w:asciiTheme="minorEastAsia" w:hAnsiTheme="minorEastAsia" w:eastAsiaTheme="minorEastAsia" w:cstheme="minorEastAsia"/>
                <w:b w:val="0"/>
                <w:bCs w:val="0"/>
                <w:snapToGrid/>
                <w:spacing w:val="0"/>
                <w:kern w:val="21"/>
                <w:sz w:val="22"/>
                <w:szCs w:val="22"/>
                <w:highlight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lang w:val="en-US" w:eastAsia="zh-CN"/>
              </w:rPr>
              <w:t>2-2</w:t>
            </w:r>
          </w:p>
        </w:tc>
        <w:tc>
          <w:tcPr>
            <w:tcW w:w="1772" w:type="dxa"/>
            <w:shd w:val="clear" w:color="auto" w:fill="auto"/>
            <w:vAlign w:val="center"/>
          </w:tcPr>
          <w:p w14:paraId="69E9B6A5">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其它落实政府采购政策的资格要求</w:t>
            </w:r>
          </w:p>
        </w:tc>
        <w:tc>
          <w:tcPr>
            <w:tcW w:w="5688" w:type="dxa"/>
            <w:shd w:val="clear" w:color="auto" w:fill="auto"/>
            <w:vAlign w:val="center"/>
          </w:tcPr>
          <w:p w14:paraId="55BD587A">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如有，见第一章《采购邀请》</w:t>
            </w:r>
          </w:p>
        </w:tc>
        <w:tc>
          <w:tcPr>
            <w:tcW w:w="1454" w:type="dxa"/>
            <w:shd w:val="clear" w:color="auto" w:fill="auto"/>
            <w:vAlign w:val="center"/>
          </w:tcPr>
          <w:p w14:paraId="7339B38B">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val="en-US" w:eastAsia="zh-CN" w:bidi="ar-SA"/>
              </w:rPr>
            </w:pPr>
            <w:r>
              <w:rPr>
                <w:rFonts w:hint="eastAsia" w:asciiTheme="minorEastAsia" w:hAnsiTheme="minorEastAsia" w:eastAsiaTheme="minorEastAsia" w:cstheme="minorEastAsia"/>
                <w:b w:val="0"/>
                <w:bCs w:val="0"/>
                <w:snapToGrid/>
                <w:spacing w:val="0"/>
                <w:kern w:val="21"/>
                <w:sz w:val="22"/>
                <w:szCs w:val="22"/>
              </w:rPr>
              <w:t>提供证明文件的电子件或电子证照</w:t>
            </w:r>
          </w:p>
        </w:tc>
      </w:tr>
      <w:tr w14:paraId="14297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0C898E35">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3</w:t>
            </w:r>
          </w:p>
        </w:tc>
        <w:tc>
          <w:tcPr>
            <w:tcW w:w="1772" w:type="dxa"/>
            <w:vAlign w:val="center"/>
          </w:tcPr>
          <w:p w14:paraId="5ED6906A">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本项目的特定资格要求</w:t>
            </w:r>
          </w:p>
        </w:tc>
        <w:tc>
          <w:tcPr>
            <w:tcW w:w="5688" w:type="dxa"/>
            <w:vAlign w:val="center"/>
          </w:tcPr>
          <w:p w14:paraId="24580428">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eastAsia="zh-CN"/>
              </w:rPr>
            </w:pPr>
            <w:r>
              <w:rPr>
                <w:rFonts w:hint="eastAsia" w:asciiTheme="minorEastAsia" w:hAnsiTheme="minorEastAsia" w:eastAsiaTheme="minorEastAsia" w:cstheme="minorEastAsia"/>
                <w:b w:val="0"/>
                <w:bCs w:val="0"/>
                <w:snapToGrid/>
                <w:spacing w:val="0"/>
                <w:kern w:val="21"/>
                <w:sz w:val="22"/>
                <w:szCs w:val="22"/>
                <w:highlight w:val="none"/>
                <w:lang w:eastAsia="en-US"/>
              </w:rPr>
              <w:t>如有，见第一章《采购邀请》</w:t>
            </w:r>
          </w:p>
        </w:tc>
        <w:tc>
          <w:tcPr>
            <w:tcW w:w="1454" w:type="dxa"/>
            <w:vAlign w:val="center"/>
          </w:tcPr>
          <w:p w14:paraId="6580AF8D">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p>
        </w:tc>
      </w:tr>
      <w:tr w14:paraId="6AD79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677EC222">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imes New Roman" w:hAnsi="Times New Roman" w:cs="Times New Roman" w:eastAsiaTheme="minorEastAsia"/>
                <w:kern w:val="2"/>
                <w:sz w:val="24"/>
                <w:szCs w:val="24"/>
                <w:lang w:val="en-US" w:eastAsia="zh-CN" w:bidi="ar-SA"/>
              </w:rPr>
            </w:pPr>
            <w:r>
              <w:rPr>
                <w:rFonts w:hint="eastAsia" w:asciiTheme="minorEastAsia" w:hAnsiTheme="minorEastAsia" w:eastAsiaTheme="minorEastAsia" w:cstheme="minorEastAsia"/>
                <w:b w:val="0"/>
                <w:bCs w:val="0"/>
                <w:snapToGrid/>
                <w:spacing w:val="0"/>
                <w:kern w:val="21"/>
                <w:sz w:val="22"/>
                <w:szCs w:val="22"/>
                <w:highlight w:val="none"/>
              </w:rPr>
              <w:t>3-1</w:t>
            </w:r>
          </w:p>
        </w:tc>
        <w:tc>
          <w:tcPr>
            <w:tcW w:w="1772" w:type="dxa"/>
            <w:shd w:val="clear" w:color="auto" w:fill="auto"/>
            <w:vAlign w:val="center"/>
          </w:tcPr>
          <w:p w14:paraId="6B40AE1C">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本项目对于联合体的要求</w:t>
            </w:r>
            <w:r>
              <w:rPr>
                <w:rFonts w:hint="eastAsia" w:asciiTheme="minorEastAsia" w:hAnsiTheme="minorEastAsia" w:eastAsiaTheme="minorEastAsia" w:cstheme="minorEastAsia"/>
                <w:b w:val="0"/>
                <w:bCs w:val="0"/>
                <w:snapToGrid/>
                <w:spacing w:val="0"/>
                <w:kern w:val="21"/>
                <w:sz w:val="22"/>
                <w:szCs w:val="22"/>
                <w:lang w:eastAsia="zh-CN"/>
              </w:rPr>
              <w:t>（</w:t>
            </w:r>
            <w:r>
              <w:rPr>
                <w:rFonts w:hint="eastAsia" w:asciiTheme="minorEastAsia" w:hAnsiTheme="minorEastAsia" w:eastAsiaTheme="minorEastAsia" w:cstheme="minorEastAsia"/>
                <w:b w:val="0"/>
                <w:bCs w:val="0"/>
                <w:snapToGrid/>
                <w:spacing w:val="0"/>
                <w:kern w:val="21"/>
                <w:sz w:val="22"/>
                <w:szCs w:val="22"/>
                <w:lang w:val="en-US" w:eastAsia="zh-CN"/>
              </w:rPr>
              <w:t>本项目不适用</w:t>
            </w:r>
            <w:r>
              <w:rPr>
                <w:rFonts w:hint="eastAsia" w:asciiTheme="minorEastAsia" w:hAnsiTheme="minorEastAsia" w:eastAsiaTheme="minorEastAsia" w:cstheme="minorEastAsia"/>
                <w:b w:val="0"/>
                <w:bCs w:val="0"/>
                <w:snapToGrid/>
                <w:spacing w:val="0"/>
                <w:kern w:val="21"/>
                <w:sz w:val="22"/>
                <w:szCs w:val="22"/>
                <w:lang w:eastAsia="zh-CN"/>
              </w:rPr>
              <w:t>）</w:t>
            </w:r>
          </w:p>
        </w:tc>
        <w:tc>
          <w:tcPr>
            <w:tcW w:w="5688" w:type="dxa"/>
            <w:shd w:val="clear" w:color="auto" w:fill="auto"/>
            <w:vAlign w:val="center"/>
          </w:tcPr>
          <w:p w14:paraId="76310F5B">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790525A5">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2、联合体各成员单位均须提供本表中序号1-1、1-2的证明文件。联合体各成员单位均应满足本表3-2项规定。</w:t>
            </w:r>
          </w:p>
          <w:p w14:paraId="234027F8">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3、本表序号3-3项规定的其他特定资格要求中的每一小项要求，联合体各方中至少应当有一方符合本表中其他资格要求并提供证明文件。</w:t>
            </w:r>
          </w:p>
          <w:p w14:paraId="0712AC15">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4、联合体中有同类资质的供应商按照联合体分工承担相同工作的，应当按照资质等级较低的供应商确定资质等级。</w:t>
            </w:r>
          </w:p>
          <w:p w14:paraId="2FDB6E25">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5、以联合体形式参加政府采购活动的，联合体各方不得再单独参加或者与其他供应商另外组成联合体参加同一合同项下的政府采购活动。</w:t>
            </w:r>
          </w:p>
          <w:p w14:paraId="5917A324">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6、若联合体中任一成员单位中途退出，则该联合体的响应无效。</w:t>
            </w:r>
          </w:p>
          <w:p w14:paraId="20CC6762">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en-US"/>
              </w:rPr>
            </w:pPr>
            <w:r>
              <w:rPr>
                <w:rFonts w:hint="eastAsia" w:asciiTheme="minorEastAsia" w:hAnsiTheme="minorEastAsia" w:eastAsiaTheme="minorEastAsia" w:cstheme="minorEastAsia"/>
                <w:b w:val="0"/>
                <w:bCs w:val="0"/>
                <w:snapToGrid/>
                <w:spacing w:val="0"/>
                <w:kern w:val="21"/>
                <w:sz w:val="22"/>
                <w:szCs w:val="22"/>
              </w:rPr>
              <w:t xml:space="preserve">7、本项目不接受联合体响应时，供应商不得为联合体。 </w:t>
            </w:r>
          </w:p>
        </w:tc>
        <w:tc>
          <w:tcPr>
            <w:tcW w:w="1454" w:type="dxa"/>
            <w:shd w:val="clear" w:color="auto" w:fill="auto"/>
            <w:vAlign w:val="center"/>
          </w:tcPr>
          <w:p w14:paraId="7FAE0DB7">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rPr>
            </w:pPr>
            <w:r>
              <w:rPr>
                <w:rFonts w:hint="eastAsia" w:asciiTheme="minorEastAsia" w:hAnsiTheme="minorEastAsia" w:eastAsiaTheme="minorEastAsia" w:cstheme="minorEastAsia"/>
                <w:b w:val="0"/>
                <w:bCs w:val="0"/>
                <w:snapToGrid/>
                <w:spacing w:val="0"/>
                <w:kern w:val="21"/>
                <w:sz w:val="22"/>
                <w:szCs w:val="22"/>
              </w:rPr>
              <w:t>提供《联合协议》原件的电子件</w:t>
            </w:r>
          </w:p>
          <w:p w14:paraId="2AEC10A8">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格式见《响应文件格式》</w:t>
            </w:r>
          </w:p>
        </w:tc>
      </w:tr>
      <w:tr w14:paraId="64EB6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shd w:val="clear" w:color="auto" w:fill="auto"/>
            <w:vAlign w:val="center"/>
          </w:tcPr>
          <w:p w14:paraId="17FAB1A0">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ascii="Times New Roman" w:hAnsi="Times New Roman" w:cs="Times New Roman" w:eastAsiaTheme="minorEastAsia"/>
                <w:kern w:val="2"/>
                <w:sz w:val="24"/>
                <w:szCs w:val="24"/>
                <w:lang w:val="en-US" w:eastAsia="zh-CN" w:bidi="ar-SA"/>
              </w:rPr>
            </w:pPr>
            <w:r>
              <w:rPr>
                <w:rFonts w:hint="eastAsia" w:asciiTheme="minorEastAsia" w:hAnsiTheme="minorEastAsia" w:eastAsiaTheme="minorEastAsia" w:cstheme="minorEastAsia"/>
                <w:b w:val="0"/>
                <w:bCs w:val="0"/>
                <w:snapToGrid/>
                <w:spacing w:val="0"/>
                <w:kern w:val="21"/>
                <w:sz w:val="22"/>
                <w:szCs w:val="22"/>
                <w:highlight w:val="none"/>
              </w:rPr>
              <w:t>3-2</w:t>
            </w:r>
          </w:p>
        </w:tc>
        <w:tc>
          <w:tcPr>
            <w:tcW w:w="1772" w:type="dxa"/>
            <w:shd w:val="clear" w:color="auto" w:fill="auto"/>
            <w:vAlign w:val="center"/>
          </w:tcPr>
          <w:p w14:paraId="50FDAF44">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政府购买服务承接主体的要求</w:t>
            </w:r>
          </w:p>
        </w:tc>
        <w:tc>
          <w:tcPr>
            <w:tcW w:w="5688" w:type="dxa"/>
            <w:shd w:val="clear" w:color="auto" w:fill="auto"/>
            <w:vAlign w:val="center"/>
          </w:tcPr>
          <w:p w14:paraId="24FAC71E">
            <w:pPr>
              <w:keepNext w:val="0"/>
              <w:keepLines w:val="0"/>
              <w:pageBreakBefore w:val="0"/>
              <w:widowControl w:val="0"/>
              <w:tabs>
                <w:tab w:val="left" w:pos="1080"/>
              </w:tabs>
              <w:kinsoku/>
              <w:wordWrap w:val="0"/>
              <w:overflowPunct/>
              <w:topLinePunct/>
              <w:autoSpaceDE/>
              <w:autoSpaceDN/>
              <w:bidi w:val="0"/>
              <w:adjustRightInd/>
              <w:snapToGrid w:val="0"/>
              <w:spacing w:line="380" w:lineRule="exac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如本项目属于政府购买服务，供应商不属于公益一类事业单位、使用事业编制且由财政拨款保障的群团组织。</w:t>
            </w:r>
          </w:p>
        </w:tc>
        <w:tc>
          <w:tcPr>
            <w:tcW w:w="1454" w:type="dxa"/>
            <w:shd w:val="clear" w:color="auto" w:fill="auto"/>
            <w:vAlign w:val="center"/>
          </w:tcPr>
          <w:p w14:paraId="20DF4478">
            <w:pPr>
              <w:keepNext w:val="0"/>
              <w:keepLines w:val="0"/>
              <w:pageBreakBefore w:val="0"/>
              <w:widowControl w:val="0"/>
              <w:tabs>
                <w:tab w:val="left" w:pos="1080"/>
              </w:tabs>
              <w:kinsoku/>
              <w:wordWrap w:val="0"/>
              <w:overflowPunct/>
              <w:topLinePunct/>
              <w:autoSpaceDE/>
              <w:autoSpaceDN/>
              <w:bidi w:val="0"/>
              <w:adjustRightInd/>
              <w:snapToGrid w:val="0"/>
              <w:spacing w:line="38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lang w:val="en-US" w:eastAsia="zh-CN"/>
              </w:rPr>
            </w:pPr>
            <w:r>
              <w:rPr>
                <w:rFonts w:hint="eastAsia" w:asciiTheme="minorEastAsia" w:hAnsiTheme="minorEastAsia" w:eastAsiaTheme="minorEastAsia" w:cstheme="minorEastAsia"/>
                <w:b w:val="0"/>
                <w:bCs w:val="0"/>
                <w:snapToGrid/>
                <w:spacing w:val="0"/>
                <w:kern w:val="21"/>
                <w:sz w:val="22"/>
                <w:szCs w:val="22"/>
              </w:rPr>
              <w:t>格式见《响应文件格式》“1-2 供应商资格声明书”</w:t>
            </w:r>
          </w:p>
        </w:tc>
      </w:tr>
      <w:tr w14:paraId="3D777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851" w:type="dxa"/>
            <w:vAlign w:val="center"/>
          </w:tcPr>
          <w:p w14:paraId="7470BC0C">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lang w:val="en-US" w:eastAsia="zh-CN"/>
              </w:rPr>
              <w:t>4</w:t>
            </w:r>
          </w:p>
        </w:tc>
        <w:tc>
          <w:tcPr>
            <w:tcW w:w="1772" w:type="dxa"/>
            <w:shd w:val="clear" w:color="auto" w:fill="auto"/>
            <w:vAlign w:val="center"/>
          </w:tcPr>
          <w:p w14:paraId="0F994874">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center"/>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rPr>
              <w:t>获取</w:t>
            </w:r>
            <w:r>
              <w:rPr>
                <w:rFonts w:hint="eastAsia" w:asciiTheme="minorEastAsia" w:hAnsiTheme="minorEastAsia" w:eastAsiaTheme="minorEastAsia" w:cstheme="minorEastAsia"/>
                <w:b w:val="0"/>
                <w:bCs w:val="0"/>
                <w:snapToGrid/>
                <w:spacing w:val="0"/>
                <w:kern w:val="21"/>
                <w:sz w:val="22"/>
                <w:szCs w:val="22"/>
                <w:highlight w:val="none"/>
                <w:lang w:eastAsia="zh-CN"/>
              </w:rPr>
              <w:t>竞争性磋商</w:t>
            </w:r>
          </w:p>
        </w:tc>
        <w:tc>
          <w:tcPr>
            <w:tcW w:w="5688" w:type="dxa"/>
            <w:shd w:val="clear" w:color="auto" w:fill="auto"/>
            <w:vAlign w:val="center"/>
          </w:tcPr>
          <w:p w14:paraId="1AFEA019">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在规定期限内通过北京市政府采购电子交易平台获取所参与包的</w:t>
            </w:r>
            <w:r>
              <w:rPr>
                <w:rFonts w:hint="eastAsia" w:asciiTheme="minorEastAsia" w:hAnsiTheme="minorEastAsia" w:eastAsiaTheme="minorEastAsia" w:cstheme="minorEastAsia"/>
                <w:b w:val="0"/>
                <w:bCs w:val="0"/>
                <w:snapToGrid/>
                <w:spacing w:val="0"/>
                <w:kern w:val="21"/>
                <w:sz w:val="22"/>
                <w:szCs w:val="22"/>
                <w:highlight w:val="none"/>
                <w:lang w:eastAsia="zh-CN"/>
              </w:rPr>
              <w:t>竞争性磋商</w:t>
            </w:r>
            <w:r>
              <w:rPr>
                <w:rFonts w:hint="eastAsia" w:asciiTheme="minorEastAsia" w:hAnsiTheme="minorEastAsia" w:eastAsiaTheme="minorEastAsia" w:cstheme="minorEastAsia"/>
                <w:b w:val="0"/>
                <w:bCs w:val="0"/>
                <w:snapToGrid/>
                <w:spacing w:val="0"/>
                <w:kern w:val="21"/>
                <w:sz w:val="22"/>
                <w:szCs w:val="22"/>
                <w:highlight w:val="none"/>
              </w:rPr>
              <w:t>。</w:t>
            </w:r>
          </w:p>
          <w:p w14:paraId="7820FB59">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val="en-US" w:eastAsia="zh-CN"/>
              </w:rPr>
            </w:pPr>
            <w:r>
              <w:rPr>
                <w:rFonts w:hint="eastAsia" w:asciiTheme="minorEastAsia" w:hAnsiTheme="minorEastAsia" w:eastAsiaTheme="minorEastAsia" w:cstheme="minorEastAsia"/>
                <w:b w:val="0"/>
                <w:bCs w:val="0"/>
                <w:snapToGrid/>
                <w:spacing w:val="0"/>
                <w:kern w:val="21"/>
                <w:sz w:val="22"/>
                <w:szCs w:val="22"/>
                <w:highlight w:val="none"/>
              </w:rPr>
              <w:t>注：如本项目接受联合体，且供应商为联合体时，联合体中任一成员获取文件即视为满足要求。</w:t>
            </w:r>
          </w:p>
        </w:tc>
        <w:tc>
          <w:tcPr>
            <w:tcW w:w="1454" w:type="dxa"/>
            <w:shd w:val="clear" w:color="auto" w:fill="auto"/>
            <w:vAlign w:val="center"/>
          </w:tcPr>
          <w:p w14:paraId="7EBD2C31">
            <w:pPr>
              <w:keepNext w:val="0"/>
              <w:keepLines w:val="0"/>
              <w:pageBreakBefore w:val="0"/>
              <w:widowControl w:val="0"/>
              <w:tabs>
                <w:tab w:val="left" w:pos="1080"/>
              </w:tabs>
              <w:kinsoku/>
              <w:wordWrap w:val="0"/>
              <w:overflowPunct/>
              <w:topLinePunct/>
              <w:autoSpaceDE/>
              <w:autoSpaceDN/>
              <w:bidi w:val="0"/>
              <w:adjustRightInd/>
              <w:snapToGrid w:val="0"/>
              <w:spacing w:line="420" w:lineRule="exact"/>
              <w:jc w:val="left"/>
              <w:textAlignment w:val="auto"/>
              <w:outlineLvl w:val="9"/>
              <w:rPr>
                <w:rFonts w:hint="eastAsia" w:asciiTheme="minorEastAsia" w:hAnsiTheme="minorEastAsia" w:eastAsiaTheme="minorEastAsia" w:cstheme="minorEastAsia"/>
                <w:b w:val="0"/>
                <w:bCs w:val="0"/>
                <w:snapToGrid/>
                <w:spacing w:val="0"/>
                <w:kern w:val="21"/>
                <w:sz w:val="22"/>
                <w:szCs w:val="22"/>
                <w:highlight w:val="none"/>
                <w:lang w:val="en-US" w:eastAsia="zh-CN"/>
              </w:rPr>
            </w:pPr>
          </w:p>
        </w:tc>
      </w:tr>
    </w:tbl>
    <w:p w14:paraId="4F09876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1F8C9EA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1.3《符合性审查要求》见下表：</w:t>
      </w:r>
    </w:p>
    <w:p w14:paraId="32B22776">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符合性审查要求</w:t>
      </w:r>
    </w:p>
    <w:tbl>
      <w:tblPr>
        <w:tblStyle w:val="23"/>
        <w:tblW w:w="9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7"/>
        <w:gridCol w:w="2469"/>
        <w:gridCol w:w="4641"/>
        <w:gridCol w:w="1868"/>
      </w:tblGrid>
      <w:tr w14:paraId="15AA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03ABC46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序号</w:t>
            </w:r>
          </w:p>
        </w:tc>
        <w:tc>
          <w:tcPr>
            <w:tcW w:w="2469" w:type="dxa"/>
            <w:shd w:val="clear" w:color="auto" w:fill="auto"/>
            <w:vAlign w:val="center"/>
          </w:tcPr>
          <w:p w14:paraId="3FB1C02D">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检查因素</w:t>
            </w:r>
          </w:p>
        </w:tc>
        <w:tc>
          <w:tcPr>
            <w:tcW w:w="4641" w:type="dxa"/>
            <w:shd w:val="clear" w:color="auto" w:fill="auto"/>
            <w:vAlign w:val="center"/>
          </w:tcPr>
          <w:p w14:paraId="6DE325A0">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检查内容</w:t>
            </w:r>
          </w:p>
        </w:tc>
        <w:tc>
          <w:tcPr>
            <w:tcW w:w="1868" w:type="dxa"/>
            <w:shd w:val="clear" w:color="auto" w:fill="auto"/>
            <w:vAlign w:val="center"/>
          </w:tcPr>
          <w:p w14:paraId="254210C9">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是否允许澄清、说明或者更正</w:t>
            </w:r>
          </w:p>
        </w:tc>
      </w:tr>
      <w:tr w14:paraId="1BC4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9" w:hRule="atLeast"/>
          <w:jc w:val="center"/>
        </w:trPr>
        <w:tc>
          <w:tcPr>
            <w:tcW w:w="797" w:type="dxa"/>
            <w:shd w:val="clear" w:color="auto" w:fill="auto"/>
            <w:vAlign w:val="center"/>
          </w:tcPr>
          <w:p w14:paraId="5EE76E7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w:t>
            </w:r>
          </w:p>
        </w:tc>
        <w:tc>
          <w:tcPr>
            <w:tcW w:w="2469" w:type="dxa"/>
            <w:shd w:val="clear" w:color="auto" w:fill="auto"/>
            <w:vAlign w:val="center"/>
          </w:tcPr>
          <w:p w14:paraId="2581B28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响应文件的签署</w:t>
            </w:r>
          </w:p>
        </w:tc>
        <w:tc>
          <w:tcPr>
            <w:tcW w:w="4641" w:type="dxa"/>
            <w:shd w:val="clear" w:color="auto" w:fill="auto"/>
            <w:vAlign w:val="center"/>
          </w:tcPr>
          <w:p w14:paraId="6B212059">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响应文件的签字或盖章或签章符合竞争性磋商文件要求；</w:t>
            </w:r>
          </w:p>
        </w:tc>
        <w:tc>
          <w:tcPr>
            <w:tcW w:w="1868" w:type="dxa"/>
            <w:shd w:val="clear" w:color="auto" w:fill="auto"/>
            <w:vAlign w:val="center"/>
          </w:tcPr>
          <w:p w14:paraId="3BF22AC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4BA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2C711D1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w:t>
            </w:r>
          </w:p>
        </w:tc>
        <w:tc>
          <w:tcPr>
            <w:tcW w:w="2469" w:type="dxa"/>
            <w:shd w:val="clear" w:color="auto" w:fill="auto"/>
            <w:vAlign w:val="center"/>
          </w:tcPr>
          <w:p w14:paraId="5C34706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响应文件格式</w:t>
            </w:r>
          </w:p>
        </w:tc>
        <w:tc>
          <w:tcPr>
            <w:tcW w:w="4641" w:type="dxa"/>
            <w:shd w:val="clear" w:color="auto" w:fill="auto"/>
            <w:vAlign w:val="center"/>
          </w:tcPr>
          <w:p w14:paraId="78040645">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响应文件按规定的格式填写；</w:t>
            </w:r>
          </w:p>
        </w:tc>
        <w:tc>
          <w:tcPr>
            <w:tcW w:w="1868" w:type="dxa"/>
            <w:shd w:val="clear" w:color="auto" w:fill="auto"/>
            <w:vAlign w:val="center"/>
          </w:tcPr>
          <w:p w14:paraId="1ACE4121">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7DCB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7FDA2A6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w:t>
            </w:r>
          </w:p>
        </w:tc>
        <w:tc>
          <w:tcPr>
            <w:tcW w:w="2469" w:type="dxa"/>
            <w:shd w:val="clear" w:color="auto" w:fill="auto"/>
            <w:vAlign w:val="center"/>
          </w:tcPr>
          <w:p w14:paraId="0C982AF1">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响应文件编制</w:t>
            </w:r>
          </w:p>
        </w:tc>
        <w:tc>
          <w:tcPr>
            <w:tcW w:w="4641" w:type="dxa"/>
            <w:shd w:val="clear" w:color="auto" w:fill="auto"/>
            <w:vAlign w:val="center"/>
          </w:tcPr>
          <w:p w14:paraId="059FBEE1">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响应文件未有内容不全或关键字迹模糊、无法辨认情况；</w:t>
            </w:r>
          </w:p>
        </w:tc>
        <w:tc>
          <w:tcPr>
            <w:tcW w:w="1868" w:type="dxa"/>
            <w:shd w:val="clear" w:color="auto" w:fill="auto"/>
            <w:vAlign w:val="center"/>
          </w:tcPr>
          <w:p w14:paraId="73DF9406">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7AE8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797" w:type="dxa"/>
            <w:shd w:val="clear" w:color="auto" w:fill="auto"/>
            <w:vAlign w:val="center"/>
          </w:tcPr>
          <w:p w14:paraId="34BD1A82">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w:t>
            </w:r>
          </w:p>
        </w:tc>
        <w:tc>
          <w:tcPr>
            <w:tcW w:w="2469" w:type="dxa"/>
            <w:shd w:val="clear" w:color="auto" w:fill="auto"/>
            <w:vAlign w:val="center"/>
          </w:tcPr>
          <w:p w14:paraId="6B29DAC0">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响应文件内容及报价唯一</w:t>
            </w:r>
          </w:p>
        </w:tc>
        <w:tc>
          <w:tcPr>
            <w:tcW w:w="4641" w:type="dxa"/>
            <w:shd w:val="clear" w:color="auto" w:fill="auto"/>
            <w:vAlign w:val="center"/>
          </w:tcPr>
          <w:p w14:paraId="65844108">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供应商未递交两份或多份内容不同的响应文件</w:t>
            </w:r>
            <w:r>
              <w:rPr>
                <w:rFonts w:hint="eastAsia" w:asciiTheme="minorEastAsia" w:hAnsiTheme="minorEastAsia" w:eastAsiaTheme="minorEastAsia" w:cstheme="minorEastAsia"/>
                <w:b w:val="0"/>
                <w:bCs w:val="0"/>
                <w:snapToGrid/>
                <w:spacing w:val="0"/>
                <w:kern w:val="21"/>
                <w:sz w:val="24"/>
                <w:szCs w:val="24"/>
                <w:highlight w:val="none"/>
                <w:lang w:eastAsia="zh-CN"/>
              </w:rPr>
              <w:t>；</w:t>
            </w:r>
          </w:p>
          <w:p w14:paraId="4A6BD883">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响应</w:t>
            </w:r>
            <w:r>
              <w:rPr>
                <w:rFonts w:hint="eastAsia" w:asciiTheme="minorEastAsia" w:hAnsiTheme="minorEastAsia" w:eastAsiaTheme="minorEastAsia" w:cstheme="minorEastAsia"/>
                <w:b w:val="0"/>
                <w:bCs w:val="0"/>
                <w:snapToGrid/>
                <w:spacing w:val="0"/>
                <w:kern w:val="21"/>
                <w:sz w:val="24"/>
                <w:szCs w:val="24"/>
                <w:highlight w:val="none"/>
              </w:rPr>
              <w:t>文件未出现可选择性或可调整的报价（</w:t>
            </w:r>
            <w:r>
              <w:rPr>
                <w:rFonts w:hint="eastAsia" w:asciiTheme="minorEastAsia" w:hAnsiTheme="minorEastAsia" w:eastAsiaTheme="minorEastAsia" w:cstheme="minorEastAsia"/>
                <w:b w:val="0"/>
                <w:bCs w:val="0"/>
                <w:snapToGrid/>
                <w:spacing w:val="0"/>
                <w:kern w:val="21"/>
                <w:sz w:val="24"/>
                <w:szCs w:val="24"/>
                <w:highlight w:val="none"/>
                <w:lang w:val="en-US" w:eastAsia="zh-CN"/>
              </w:rPr>
              <w:t>竞争性磋商</w:t>
            </w:r>
            <w:r>
              <w:rPr>
                <w:rFonts w:hint="eastAsia" w:asciiTheme="minorEastAsia" w:hAnsiTheme="minorEastAsia" w:eastAsiaTheme="minorEastAsia" w:cstheme="minorEastAsia"/>
                <w:b w:val="0"/>
                <w:bCs w:val="0"/>
                <w:snapToGrid/>
                <w:spacing w:val="0"/>
                <w:kern w:val="21"/>
                <w:sz w:val="24"/>
                <w:szCs w:val="24"/>
                <w:highlight w:val="none"/>
              </w:rPr>
              <w:t>另有规定的除外）；</w:t>
            </w:r>
          </w:p>
        </w:tc>
        <w:tc>
          <w:tcPr>
            <w:tcW w:w="1868" w:type="dxa"/>
            <w:shd w:val="clear" w:color="auto" w:fill="auto"/>
            <w:vAlign w:val="center"/>
          </w:tcPr>
          <w:p w14:paraId="73B487E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1F3F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6F1755A0">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5</w:t>
            </w:r>
          </w:p>
        </w:tc>
        <w:tc>
          <w:tcPr>
            <w:tcW w:w="2469" w:type="dxa"/>
            <w:shd w:val="clear" w:color="auto" w:fill="auto"/>
            <w:vAlign w:val="center"/>
          </w:tcPr>
          <w:p w14:paraId="7680A4D8">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无串通行为</w:t>
            </w:r>
          </w:p>
        </w:tc>
        <w:tc>
          <w:tcPr>
            <w:tcW w:w="4641" w:type="dxa"/>
            <w:shd w:val="clear" w:color="auto" w:fill="auto"/>
            <w:vAlign w:val="center"/>
          </w:tcPr>
          <w:p w14:paraId="1745F79A">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1.供应商未以他人的名义投标、串通投标、以行贿手段谋取成交或者以其他弄虚作假方式投标；</w:t>
            </w:r>
          </w:p>
          <w:p w14:paraId="78C1163F">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2.不同供应商的响应文件未出现由同一单位或者个人编制的；</w:t>
            </w:r>
          </w:p>
          <w:p w14:paraId="039C435B">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3.不同供应商未委托同一单位或者个人办理投标事宜的；</w:t>
            </w:r>
          </w:p>
          <w:p w14:paraId="7DA1A797">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4.不同供应商的响应文件载明的项目管理机构成员未出现同一人的；</w:t>
            </w:r>
          </w:p>
          <w:p w14:paraId="5AACD91F">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5.不同供应商的响应文件无异常一致或者磋商报价呈规律性差异；</w:t>
            </w:r>
          </w:p>
        </w:tc>
        <w:tc>
          <w:tcPr>
            <w:tcW w:w="1868" w:type="dxa"/>
            <w:shd w:val="clear" w:color="auto" w:fill="auto"/>
            <w:vAlign w:val="center"/>
          </w:tcPr>
          <w:p w14:paraId="5D7F8BC6">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3AB0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265F989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6</w:t>
            </w:r>
          </w:p>
        </w:tc>
        <w:tc>
          <w:tcPr>
            <w:tcW w:w="2469" w:type="dxa"/>
            <w:shd w:val="clear" w:color="auto" w:fill="auto"/>
            <w:vAlign w:val="center"/>
          </w:tcPr>
          <w:p w14:paraId="3450444B">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供应商名称</w:t>
            </w:r>
          </w:p>
        </w:tc>
        <w:tc>
          <w:tcPr>
            <w:tcW w:w="4641" w:type="dxa"/>
            <w:shd w:val="clear" w:color="auto" w:fill="auto"/>
            <w:vAlign w:val="center"/>
          </w:tcPr>
          <w:p w14:paraId="1CB17453">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供应商名称与法人登记证书或法人营业执照一致；</w:t>
            </w:r>
          </w:p>
        </w:tc>
        <w:tc>
          <w:tcPr>
            <w:tcW w:w="1868" w:type="dxa"/>
            <w:shd w:val="clear" w:color="auto" w:fill="auto"/>
            <w:vAlign w:val="center"/>
          </w:tcPr>
          <w:p w14:paraId="227982FF">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71D9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3BF85CBB">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7</w:t>
            </w:r>
          </w:p>
        </w:tc>
        <w:tc>
          <w:tcPr>
            <w:tcW w:w="2469" w:type="dxa"/>
            <w:shd w:val="clear" w:color="auto" w:fill="auto"/>
            <w:vAlign w:val="center"/>
          </w:tcPr>
          <w:p w14:paraId="5A30EB7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响应文件澄清</w:t>
            </w:r>
          </w:p>
        </w:tc>
        <w:tc>
          <w:tcPr>
            <w:tcW w:w="4641" w:type="dxa"/>
            <w:shd w:val="clear" w:color="auto" w:fill="auto"/>
            <w:vAlign w:val="center"/>
          </w:tcPr>
          <w:p w14:paraId="51E71B76">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对评审委员会提出的质疑能够合理解释或提供证明材料，根据评委会建议进行修正；（如有）</w:t>
            </w:r>
          </w:p>
        </w:tc>
        <w:tc>
          <w:tcPr>
            <w:tcW w:w="1868" w:type="dxa"/>
            <w:shd w:val="clear" w:color="auto" w:fill="auto"/>
            <w:vAlign w:val="center"/>
          </w:tcPr>
          <w:p w14:paraId="110D68C2">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6EFD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664B08AF">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8</w:t>
            </w:r>
          </w:p>
        </w:tc>
        <w:tc>
          <w:tcPr>
            <w:tcW w:w="2469" w:type="dxa"/>
            <w:shd w:val="clear" w:color="auto" w:fill="auto"/>
            <w:vAlign w:val="center"/>
          </w:tcPr>
          <w:p w14:paraId="659AA7F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磋商有效期</w:t>
            </w:r>
          </w:p>
        </w:tc>
        <w:tc>
          <w:tcPr>
            <w:tcW w:w="4641" w:type="dxa"/>
            <w:shd w:val="clear" w:color="auto" w:fill="auto"/>
            <w:vAlign w:val="center"/>
          </w:tcPr>
          <w:p w14:paraId="7891FE61">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磋商有效期满足竞争性磋商文件要求；</w:t>
            </w:r>
          </w:p>
        </w:tc>
        <w:tc>
          <w:tcPr>
            <w:tcW w:w="1868" w:type="dxa"/>
            <w:shd w:val="clear" w:color="auto" w:fill="auto"/>
            <w:vAlign w:val="center"/>
          </w:tcPr>
          <w:p w14:paraId="07F07C89">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09D5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0FB68E9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9</w:t>
            </w:r>
          </w:p>
        </w:tc>
        <w:tc>
          <w:tcPr>
            <w:tcW w:w="2469" w:type="dxa"/>
            <w:shd w:val="clear" w:color="auto" w:fill="auto"/>
            <w:vAlign w:val="center"/>
          </w:tcPr>
          <w:p w14:paraId="757A1BF1">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实质性响应竞争性磋商文件</w:t>
            </w:r>
          </w:p>
        </w:tc>
        <w:tc>
          <w:tcPr>
            <w:tcW w:w="4641" w:type="dxa"/>
            <w:shd w:val="clear" w:color="auto" w:fill="auto"/>
            <w:vAlign w:val="center"/>
          </w:tcPr>
          <w:p w14:paraId="38D94A32">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1.响应文件未含有采购人不能接受的附加条件；</w:t>
            </w:r>
          </w:p>
          <w:p w14:paraId="603039AD">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2.未出现法律、法规和竞争性磋商文件规定的其他无效情形；</w:t>
            </w:r>
          </w:p>
          <w:p w14:paraId="18B46903">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3.不存在其他未实质性响应竞争性磋商文件要求的；</w:t>
            </w:r>
          </w:p>
          <w:p w14:paraId="01E18CC9">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w:t>
            </w:r>
            <w:r>
              <w:rPr>
                <w:rFonts w:hint="eastAsia" w:asciiTheme="minorEastAsia" w:hAnsiTheme="minorEastAsia" w:eastAsiaTheme="minorEastAsia" w:cstheme="minorEastAsia"/>
                <w:b w:val="0"/>
                <w:bCs w:val="0"/>
                <w:snapToGrid/>
                <w:spacing w:val="0"/>
                <w:kern w:val="21"/>
                <w:sz w:val="24"/>
                <w:szCs w:val="24"/>
                <w:highlight w:val="none"/>
                <w:lang w:val="en-US" w:eastAsia="zh-CN"/>
              </w:rPr>
              <w:t>.</w:t>
            </w:r>
            <w:r>
              <w:rPr>
                <w:rFonts w:hint="eastAsia" w:asciiTheme="minorEastAsia" w:hAnsiTheme="minorEastAsia" w:eastAsiaTheme="minorEastAsia" w:cstheme="minorEastAsia"/>
                <w:b w:val="0"/>
                <w:bCs w:val="0"/>
                <w:snapToGrid/>
                <w:spacing w:val="0"/>
                <w:kern w:val="21"/>
                <w:sz w:val="24"/>
                <w:szCs w:val="24"/>
                <w:highlight w:val="none"/>
              </w:rPr>
              <w:t>满足</w:t>
            </w:r>
            <w:r>
              <w:rPr>
                <w:rFonts w:hint="eastAsia" w:asciiTheme="minorEastAsia" w:hAnsiTheme="minorEastAsia" w:eastAsiaTheme="minorEastAsia" w:cstheme="minorEastAsia"/>
                <w:b w:val="0"/>
                <w:bCs w:val="0"/>
                <w:snapToGrid/>
                <w:spacing w:val="0"/>
                <w:kern w:val="21"/>
                <w:sz w:val="24"/>
                <w:szCs w:val="24"/>
                <w:highlight w:val="none"/>
                <w:lang w:eastAsia="zh-CN"/>
              </w:rPr>
              <w:t>竞争性磋商</w:t>
            </w:r>
            <w:r>
              <w:rPr>
                <w:rFonts w:hint="eastAsia" w:asciiTheme="minorEastAsia" w:hAnsiTheme="minorEastAsia" w:eastAsiaTheme="minorEastAsia" w:cstheme="minorEastAsia"/>
                <w:b w:val="0"/>
                <w:bCs w:val="0"/>
                <w:snapToGrid/>
                <w:spacing w:val="0"/>
                <w:kern w:val="21"/>
                <w:sz w:val="24"/>
                <w:szCs w:val="24"/>
                <w:highlight w:val="none"/>
              </w:rPr>
              <w:t>★号条款的。</w:t>
            </w:r>
          </w:p>
        </w:tc>
        <w:tc>
          <w:tcPr>
            <w:tcW w:w="1868" w:type="dxa"/>
            <w:shd w:val="clear" w:color="auto" w:fill="auto"/>
            <w:vAlign w:val="center"/>
          </w:tcPr>
          <w:p w14:paraId="746D1ABA">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0F71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097D664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10</w:t>
            </w:r>
          </w:p>
        </w:tc>
        <w:tc>
          <w:tcPr>
            <w:tcW w:w="2469" w:type="dxa"/>
            <w:shd w:val="clear" w:color="auto" w:fill="auto"/>
            <w:vAlign w:val="center"/>
          </w:tcPr>
          <w:p w14:paraId="45C3164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磋商报价</w:t>
            </w:r>
          </w:p>
        </w:tc>
        <w:tc>
          <w:tcPr>
            <w:tcW w:w="4641" w:type="dxa"/>
            <w:shd w:val="clear" w:color="auto" w:fill="auto"/>
            <w:vAlign w:val="center"/>
          </w:tcPr>
          <w:p w14:paraId="7AD99C1B">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磋商报价未超出竞争性磋商文件规定的最高限价；</w:t>
            </w:r>
          </w:p>
        </w:tc>
        <w:tc>
          <w:tcPr>
            <w:tcW w:w="1868" w:type="dxa"/>
            <w:shd w:val="clear" w:color="auto" w:fill="auto"/>
            <w:vAlign w:val="center"/>
          </w:tcPr>
          <w:p w14:paraId="2257B4FA">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r w14:paraId="4560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jc w:val="center"/>
        </w:trPr>
        <w:tc>
          <w:tcPr>
            <w:tcW w:w="797" w:type="dxa"/>
            <w:shd w:val="clear" w:color="auto" w:fill="auto"/>
            <w:vAlign w:val="center"/>
          </w:tcPr>
          <w:p w14:paraId="3BAC152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11</w:t>
            </w:r>
          </w:p>
        </w:tc>
        <w:tc>
          <w:tcPr>
            <w:tcW w:w="2469" w:type="dxa"/>
            <w:shd w:val="clear" w:color="auto" w:fill="auto"/>
            <w:vAlign w:val="center"/>
          </w:tcPr>
          <w:p w14:paraId="2CC4BF61">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招标代理服务费承诺书</w:t>
            </w:r>
          </w:p>
        </w:tc>
        <w:tc>
          <w:tcPr>
            <w:tcW w:w="4641" w:type="dxa"/>
            <w:shd w:val="clear" w:color="auto" w:fill="auto"/>
            <w:vAlign w:val="center"/>
          </w:tcPr>
          <w:p w14:paraId="021A4F67">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提供有效的招标代理服务费承诺书</w:t>
            </w:r>
          </w:p>
        </w:tc>
        <w:tc>
          <w:tcPr>
            <w:tcW w:w="1868" w:type="dxa"/>
            <w:shd w:val="clear" w:color="auto" w:fill="auto"/>
            <w:vAlign w:val="center"/>
          </w:tcPr>
          <w:p w14:paraId="765759DF">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不允许</w:t>
            </w:r>
          </w:p>
        </w:tc>
      </w:tr>
    </w:tbl>
    <w:p w14:paraId="11A8EB2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2磋商、响应文件有关事项的澄清、说明或者更正和最后报价</w:t>
      </w:r>
    </w:p>
    <w:p w14:paraId="6D245A1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2.1磋商小组所有成员应当集中与单一供应商分别进行磋商，并给予所有参加磋商的供应商平等的磋商机会。</w:t>
      </w:r>
    </w:p>
    <w:p w14:paraId="4CE1975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2.2在磋商过程中，磋商小组可以根据竞争性磋商和磋商情况实质性变动采购需求中的技术、服务要求以及合同草案条款，但不得变动竞争性磋商中的其他内容。实质性变动的内容，须经采购人代表确认。</w:t>
      </w:r>
    </w:p>
    <w:p w14:paraId="348AC0E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2.3对竞争性磋商作出的实质性变动是竞争性磋商的有效组成部分，磋商小组应当及时以书面形式同时通知所有参加磋商的供应商。</w:t>
      </w:r>
    </w:p>
    <w:p w14:paraId="4543AF3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2.4供应商应当按照竞争性磋商的变动情况和磋商小组的要求重新提交响应文件，并由其法定代表人（若供应商为事业单位或其他组织或分支机构，可为单位负责人）或授权代表签字或者加盖公章。由授权代表签字的，应当附授权委托书。供应商为自然人的，应当由本人签字并附身份证明。</w:t>
      </w:r>
    </w:p>
    <w:p w14:paraId="570D4B7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2.5响应文件的澄清、说明或者更正：</w:t>
      </w:r>
    </w:p>
    <w:p w14:paraId="668658C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2.5.1磋商小组在对响应文件的有效性、完整性和响应程度进行审查时，可以要求供应商对响应文件中含义不明确、同类问题表述不一致或者有明显文字和计算错误的内容等作出必要的澄清、说明或者更正。</w:t>
      </w:r>
    </w:p>
    <w:p w14:paraId="43267FC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2.5.2磋商小组对响应文件进行审查，如发现供应商提交的响应文件存在不满足《符合性审查要求》的内容，如属于表中“不允许”澄清、说明或者更正的内容，则供应商响应文件按无效处理；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无效处理。</w:t>
      </w:r>
    </w:p>
    <w:p w14:paraId="27E2AC0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2.5.3供应商的澄清、说明或者更正不得超出响应文件的范围或者改变响应文件的实质性内容。磋商小组要求供应商澄清、说明或者更正响应文件应当以书面形式作出。供应商的澄清、说明或者更正应当由法定代表人（若供应商为事业单位或其他组织或分支机构，可为单位负责人）或其授权代表签字或者加盖公章。由授权代表签字的，应当附授权委托书。供应商为自然人的，应当由本人签字并附身份证明。澄清、说明或者更正文件将作为响应文件内容的一部分。</w:t>
      </w:r>
    </w:p>
    <w:p w14:paraId="0A0ACA6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635" w:name="_Hlk220085436"/>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2.6异常低价处理</w:t>
      </w:r>
    </w:p>
    <w:p w14:paraId="2405CB1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2.6.1政府采购评审中出现下列情形之一的，评审委员会应当启动异常低价投标（响应）审查程序：</w:t>
      </w:r>
    </w:p>
    <w:p w14:paraId="316684E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（1）投标（响应）报价低于全部通过符合性审查供应商投标（响应）报价平均值50%的，即投标（响应）报价&lt;全部通过符合性审查供应商投标（响应）报价平均值×50%；</w:t>
      </w:r>
    </w:p>
    <w:p w14:paraId="33BF9D9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（2）投标（响应）报价低于通过符合性审查的次低报价供应商投标（响应）报价50%的，即投标（响应）报价&lt;通过符合性审查的次低报价供应商投标（响应）报价×50%；</w:t>
      </w:r>
    </w:p>
    <w:p w14:paraId="2A7D708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（3）投标（响应）报价低于采购项目最高限价45%的，即投标（响应）报价&lt;采购项目最高限价×45%；未设定最高限价的采购项目，以采购项目预算金额作为最高限价；</w:t>
      </w:r>
    </w:p>
    <w:p w14:paraId="1B25674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（4）评审委员会基于专业判断，认为供应商报价过低，有可能影响产品质量或者不能诚信履约的其他情形。</w:t>
      </w:r>
    </w:p>
    <w:p w14:paraId="292259F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42E012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88B5CD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bookmarkStart w:id="636" w:name="_Hlk190337965"/>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2.6.4上述投标（响应）报价指按照本章3.2修正后的报价</w:t>
      </w:r>
      <w:bookmarkEnd w:id="636"/>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w:t>
      </w:r>
      <w:bookmarkEnd w:id="635"/>
    </w:p>
    <w:p w14:paraId="111D431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2.7磋商结束后，磋商小组将要求所有实质性响应的供应商在规定时间内提交最后报价。最后报价时间为磋商小组指定的时间，具体时间根据磋商进度另行通知，接到通知后供应商应将最后报价填报至系统，未按照磋商小组规定的时间、逾期提交最后报价的响应文件无效。</w:t>
      </w:r>
    </w:p>
    <w:p w14:paraId="669B5D7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2.8竞争性磋商能够详细列明采购标的的技术、服务要求的，磋商结束后，磋商小组应当要求所有实质性响应的供应商在规定时间内提交最后报价，提交最后报价的供应商不得少于3家。竞争性磋商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0408443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2.9最后报价是供应商响应文件的有效组成部分。</w:t>
      </w:r>
    </w:p>
    <w:p w14:paraId="770AF1F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2.10已提交响应文件的供应商，在提交最后报价之前，可以根据磋商情况退出磋商。</w:t>
      </w:r>
    </w:p>
    <w:p w14:paraId="092035D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3最后报价的算术修正及政策调整</w:t>
      </w:r>
    </w:p>
    <w:p w14:paraId="1F4E98C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3.1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响应无效。</w:t>
      </w:r>
    </w:p>
    <w:p w14:paraId="12B77DD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3.2最后报价出现前后不一致的，按照下列规定修正：</w:t>
      </w:r>
    </w:p>
    <w:p w14:paraId="70467A9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3.2.1竞争性磋商文件对于报价修正是否另有规定：</w:t>
      </w:r>
    </w:p>
    <w:p w14:paraId="232053A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□有，具体规定为：</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  </w:t>
      </w:r>
    </w:p>
    <w:p w14:paraId="6A5DD80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■无，按下述3.2.2-3.2.6项规定修正。</w:t>
      </w:r>
    </w:p>
    <w:p w14:paraId="4C64674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3.2.2大写金额和小写金额不一致的，以大写金额为准；</w:t>
      </w:r>
    </w:p>
    <w:p w14:paraId="208111B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3.2.3单价金额小数点或者百分比有明显错位的，以总价为准，并修改单价；</w:t>
      </w:r>
    </w:p>
    <w:p w14:paraId="3B88B9B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3.2.4总价金额与按单价汇总金额不一致的，以单价金额计算结果为准。</w:t>
      </w:r>
    </w:p>
    <w:p w14:paraId="30682BF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3.2.5同时出现两种以上不一致的，按照前款规定的顺序修正。</w:t>
      </w:r>
    </w:p>
    <w:p w14:paraId="56B6A57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3.2.6修正后的报价经供应商书面确认后产生约束力，供应商不确认的，其响应无效。</w:t>
      </w:r>
    </w:p>
    <w:p w14:paraId="6AC91D2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3.3落实政府采购政策的价格调整：只有符合第二章《供应商须知》4.3条规定情形的，可以享受中小企业扶持政策，用扣除后的价格参加评审；否则，评审时价格不予扣除。</w:t>
      </w:r>
    </w:p>
    <w:p w14:paraId="634C7D8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bCs/>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3.3.1</w:t>
      </w:r>
      <w:r>
        <w:rPr>
          <w:rFonts w:hint="eastAsia" w:asciiTheme="minorEastAsia" w:hAnsiTheme="minorEastAsia" w:eastAsiaTheme="minorEastAsia" w:cstheme="minorEastAsia"/>
          <w:b/>
          <w:bCs/>
          <w:snapToGrid/>
          <w:spacing w:val="0"/>
          <w:w w:val="100"/>
          <w:kern w:val="21"/>
          <w:sz w:val="24"/>
          <w:szCs w:val="24"/>
          <w:highlight w:val="none"/>
          <w:shd w:val="clear" w:color="auto" w:fill="FFFFFF"/>
          <w:lang w:val="en-US" w:eastAsia="zh-CN" w:bidi="ar-SA"/>
        </w:rPr>
        <w:t>对于未预留份额专门面向中小企业采购的采购项目，以及预留份额项目中的非预留部分采购包，对小微企业报价给予</w:t>
      </w:r>
      <w:r>
        <w:rPr>
          <w:rFonts w:hint="eastAsia" w:asciiTheme="minorEastAsia" w:hAnsiTheme="minorEastAsia" w:eastAsiaTheme="minorEastAsia" w:cstheme="minorEastAsia"/>
          <w:b/>
          <w:bCs/>
          <w:snapToGrid/>
          <w:spacing w:val="0"/>
          <w:w w:val="100"/>
          <w:kern w:val="21"/>
          <w:sz w:val="24"/>
          <w:szCs w:val="24"/>
          <w:highlight w:val="none"/>
          <w:u w:val="single"/>
          <w:shd w:val="clear" w:color="auto" w:fill="FFFFFF"/>
          <w:lang w:val="en-US" w:eastAsia="zh-CN" w:bidi="ar-SA"/>
        </w:rPr>
        <w:t xml:space="preserve"> 10 </w:t>
      </w:r>
      <w:r>
        <w:rPr>
          <w:rFonts w:hint="eastAsia" w:asciiTheme="minorEastAsia" w:hAnsiTheme="minorEastAsia" w:eastAsiaTheme="minorEastAsia" w:cstheme="minorEastAsia"/>
          <w:b/>
          <w:bCs/>
          <w:snapToGrid/>
          <w:spacing w:val="0"/>
          <w:w w:val="100"/>
          <w:kern w:val="21"/>
          <w:sz w:val="24"/>
          <w:szCs w:val="24"/>
          <w:highlight w:val="none"/>
          <w:shd w:val="clear" w:color="auto" w:fill="FFFFFF"/>
          <w:lang w:val="en-US" w:eastAsia="zh-CN" w:bidi="ar-SA"/>
        </w:rPr>
        <w:t>%的扣除，用扣除后的价格参加评审。</w:t>
      </w:r>
    </w:p>
    <w:p w14:paraId="4AD7B59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%的扣除，用扣除后的价格参加评审。</w:t>
      </w:r>
    </w:p>
    <w:p w14:paraId="0ECF923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3.3.3组成联合体或者接受分包的小微企业与联合体内其他企业、分包企业之间存在直接控股、管理关系的，不享受价格扣除优惠政策。</w:t>
      </w:r>
    </w:p>
    <w:p w14:paraId="7D2EE43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3.3.4价格扣除比例对小型企业和微型企业同等对待，不作区分。</w:t>
      </w:r>
    </w:p>
    <w:p w14:paraId="62CEEC8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3.3.5中小企业参加政府采购活动，应当按照竞争性磋商文件给定的格式出具《中小企业声明函》，否则不得享受相关中小企业扶持政策。</w:t>
      </w:r>
    </w:p>
    <w:p w14:paraId="510116B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3.3.6监狱企业提供了由省级以上监狱管理局（北京市含教育矫治局）、戒毒管理局（含新疆生产建设兵团）出具的属于监狱企业的证明文件的，视同小微企业。</w:t>
      </w:r>
    </w:p>
    <w:p w14:paraId="56FE54B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3.3.7残疾人福利性单位按竞争性磋商文件要求提供了《残疾人福利性单位声明函》（见附件）的，视同小微企业。</w:t>
      </w:r>
    </w:p>
    <w:p w14:paraId="1B40B5A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3.3.8若供应商同时属于小型或微型企业、监狱企业、残疾人福利性单位中的两种及以上，将不重复享受小微企业价格扣减的优惠政策。</w:t>
      </w:r>
    </w:p>
    <w:p w14:paraId="1DF0662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3.4支持本国产品政府采购的价格调整：只有符合第二章《供应商须知》4.2条规定情形的，可以享受本国产品支持政策，用扣除后的价格参加评审；否则，评审时价格不予扣除。</w:t>
      </w:r>
    </w:p>
    <w:p w14:paraId="7D32FC5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3.4.1本项目既有本国产品又有非本国产品参与竞争的，依法对本国产品给予价格评审优惠，对本国产品的报价给予20%的价格扣除，用扣除后的价格参与评审。</w:t>
      </w:r>
    </w:p>
    <w:p w14:paraId="538DF97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3.4.2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7B724B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3.5供应商提供本国产品参加政府采购活动的，应当按照采购文件给定的格式出具《关于符合本国产品标准的声明函》或提供财政部会同有关部门规定的有关证明文件，否则视为非本国产品。</w:t>
      </w:r>
    </w:p>
    <w:p w14:paraId="3029215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4磋商环节及提交最后报价后如出现以下情况的，供应商的响应文件无效：</w:t>
      </w:r>
    </w:p>
    <w:p w14:paraId="0D68018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4.1供应商对实质性变动不予确认的；</w:t>
      </w:r>
    </w:p>
    <w:p w14:paraId="70A62B7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4.2不满足竞争性磋商★号条款或竞争性磋商技术指标超出竞争性磋商《采购需求》中主要技术参数允许偏差的最大范围的（如有）；</w:t>
      </w:r>
    </w:p>
    <w:p w14:paraId="1B098F2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4.3未按照磋商小组规定的时间、逾期提交最后报价的；</w:t>
      </w:r>
    </w:p>
    <w:p w14:paraId="5830B47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4.4如供应商的最后报价超过竞争性磋商文件中规定的项目/采购包预算金额或者项目/采购包最高限价的；</w:t>
      </w:r>
    </w:p>
    <w:p w14:paraId="6FDD96C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4.5响应文件中出现可选择性或可调整的报价的（竞争性磋商文件另有规定的除外）；</w:t>
      </w:r>
    </w:p>
    <w:p w14:paraId="101FB02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4.6最后报价出现前后不一致，供应商对修正后的报价不予确认的；</w:t>
      </w:r>
    </w:p>
    <w:p w14:paraId="1E02774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4.7其他：</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w:t>
      </w:r>
    </w:p>
    <w:p w14:paraId="583683E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4.8</w:t>
      </w:r>
    </w:p>
    <w:bookmarkEnd w:id="618"/>
    <w:bookmarkEnd w:id="619"/>
    <w:p w14:paraId="161C1D0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5评审方法和评审标准</w:t>
      </w:r>
    </w:p>
    <w:p w14:paraId="028B702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5.1本项目采用的评审方法为：本项目的评审采用综合评分法。综合评分法，是指响应文件满足竞争性磋商全部实质性要求且按评审因素的量化指标评审得分最高的供应商为成交候选供应商的评审方法。</w:t>
      </w:r>
    </w:p>
    <w:p w14:paraId="26F2E96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5.2竞争性磋商文件中没有规定的评审标准不得作为评审依据。</w:t>
      </w:r>
    </w:p>
    <w:p w14:paraId="2B74E83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5.3非政府强制采购的节能产品或环境标志产品，依据品目清单和认证证书实施政府优先采购。优先采购的具体规定（如涉及）</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w:t>
      </w:r>
    </w:p>
    <w:p w14:paraId="7497D97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6确定</w:t>
      </w:r>
      <w:bookmarkStart w:id="637" w:name="_Toc520356170"/>
      <w:bookmarkStart w:id="638" w:name="_Toc164351640"/>
      <w:bookmarkStart w:id="639" w:name="_Toc142311048"/>
      <w:bookmarkStart w:id="640" w:name="_Toc151193716"/>
      <w:bookmarkStart w:id="641" w:name="_Toc127151546"/>
      <w:bookmarkStart w:id="642" w:name="_Toc127151747"/>
      <w:bookmarkStart w:id="643" w:name="_Toc164608660"/>
      <w:bookmarkStart w:id="644" w:name="_Toc151193788"/>
      <w:bookmarkStart w:id="645" w:name="_Toc226965736"/>
      <w:bookmarkStart w:id="646" w:name="_Ref467307010"/>
      <w:bookmarkStart w:id="647" w:name="_Toc150509297"/>
      <w:bookmarkStart w:id="648" w:name="_Toc195842911"/>
      <w:bookmarkStart w:id="649" w:name="_Toc151193860"/>
      <w:bookmarkStart w:id="650" w:name="_Toc164608815"/>
      <w:bookmarkStart w:id="651" w:name="_Toc151193934"/>
      <w:bookmarkStart w:id="652" w:name="_Toc127161460"/>
      <w:bookmarkStart w:id="653" w:name="_Toc226309790"/>
      <w:bookmarkStart w:id="654" w:name="_Toc150480784"/>
      <w:bookmarkStart w:id="655" w:name="_Toc164229241"/>
      <w:bookmarkStart w:id="656" w:name="_Toc150774751"/>
      <w:bookmarkStart w:id="657" w:name="_Toc226965819"/>
      <w:bookmarkStart w:id="658" w:name="_Toc305158814"/>
      <w:bookmarkStart w:id="659" w:name="_Toc264969236"/>
      <w:bookmarkStart w:id="660" w:name="_Toc164229387"/>
      <w:bookmarkStart w:id="661" w:name="_Toc149720839"/>
      <w:bookmarkStart w:id="662" w:name="_Toc305158888"/>
      <w:bookmarkStart w:id="663" w:name="_Toc150774646"/>
      <w:bookmarkStart w:id="664" w:name="_Toc151193644"/>
      <w:bookmarkStart w:id="665" w:name="_Toc226337242"/>
      <w:bookmarkStart w:id="666" w:name="_Toc265228384"/>
      <w:bookmarkStart w:id="667" w:name="_Toc151190173"/>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成交候选人名单</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14:paraId="738AA49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6.1磋商小组将根据各供应商的评审排序以及竞争性磋商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p>
    <w:p w14:paraId="1EAD78A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6.2磋商小组根据上述供应商排序，依次推荐排序前</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3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名的供应商为成交候选供应商（若在竞争性磋商允许的情形下提交最后报价的供应商为二家，则依次推荐二名供应商为成交候选供应商），并编写评审报告。</w:t>
      </w:r>
    </w:p>
    <w:p w14:paraId="01D4508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6.3磋商小组要对评分汇总情况进行复核，特别是对排名第一的、报价最低的、响应文件被认定为无效的情形进行重点复核。</w:t>
      </w:r>
    </w:p>
    <w:p w14:paraId="47A38D3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7报告违法行为</w:t>
      </w:r>
    </w:p>
    <w:p w14:paraId="610A66F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left="0"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7.1磋商小组在评审过程中发现供应商有行贿、提供虚假材料或者串通等违法行为时，有向采购人、采购代理机构或者有关部门报告的职责。</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br w:type="page"/>
      </w:r>
    </w:p>
    <w:p w14:paraId="229AC5AC">
      <w:pPr>
        <w:keepNext w:val="0"/>
        <w:keepLines w:val="0"/>
        <w:pageBreakBefore w:val="0"/>
        <w:widowControl w:val="0"/>
        <w:kinsoku/>
        <w:wordWrap w:val="0"/>
        <w:overflowPunct/>
        <w:topLinePunct/>
        <w:autoSpaceDE/>
        <w:autoSpaceDN/>
        <w:bidi w:val="0"/>
        <w:spacing w:before="0"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二、评审标准</w:t>
      </w:r>
    </w:p>
    <w:tbl>
      <w:tblPr>
        <w:tblStyle w:val="23"/>
        <w:tblW w:w="972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065"/>
        <w:gridCol w:w="1344"/>
        <w:gridCol w:w="750"/>
        <w:gridCol w:w="5241"/>
        <w:gridCol w:w="660"/>
      </w:tblGrid>
      <w:tr w14:paraId="560D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noWrap w:val="0"/>
            <w:vAlign w:val="center"/>
          </w:tcPr>
          <w:p w14:paraId="64AD1DC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序号</w:t>
            </w:r>
          </w:p>
        </w:tc>
        <w:tc>
          <w:tcPr>
            <w:tcW w:w="1065" w:type="dxa"/>
            <w:noWrap w:val="0"/>
            <w:vAlign w:val="center"/>
          </w:tcPr>
          <w:p w14:paraId="4A0D5B2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评审项</w:t>
            </w:r>
          </w:p>
        </w:tc>
        <w:tc>
          <w:tcPr>
            <w:tcW w:w="1344" w:type="dxa"/>
            <w:noWrap w:val="0"/>
            <w:vAlign w:val="center"/>
          </w:tcPr>
          <w:p w14:paraId="49F2A4F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评分因素</w:t>
            </w:r>
          </w:p>
        </w:tc>
        <w:tc>
          <w:tcPr>
            <w:tcW w:w="750" w:type="dxa"/>
            <w:noWrap w:val="0"/>
            <w:vAlign w:val="center"/>
          </w:tcPr>
          <w:p w14:paraId="72B57EBA">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分值</w:t>
            </w:r>
          </w:p>
        </w:tc>
        <w:tc>
          <w:tcPr>
            <w:tcW w:w="5241" w:type="dxa"/>
            <w:noWrap w:val="0"/>
            <w:vAlign w:val="center"/>
          </w:tcPr>
          <w:p w14:paraId="4FEC977D">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评分标准</w:t>
            </w:r>
          </w:p>
        </w:tc>
        <w:tc>
          <w:tcPr>
            <w:tcW w:w="660" w:type="dxa"/>
            <w:noWrap w:val="0"/>
            <w:vAlign w:val="center"/>
          </w:tcPr>
          <w:p w14:paraId="75C8518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说明</w:t>
            </w:r>
          </w:p>
        </w:tc>
      </w:tr>
      <w:tr w14:paraId="4A1B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restart"/>
            <w:noWrap w:val="0"/>
            <w:vAlign w:val="center"/>
          </w:tcPr>
          <w:p w14:paraId="7506965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1</w:t>
            </w:r>
          </w:p>
        </w:tc>
        <w:tc>
          <w:tcPr>
            <w:tcW w:w="1065" w:type="dxa"/>
            <w:vMerge w:val="restart"/>
            <w:noWrap w:val="0"/>
            <w:vAlign w:val="center"/>
          </w:tcPr>
          <w:p w14:paraId="55678F92">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宋体" w:hAnsi="宋体" w:cs="宋体"/>
                <w:b/>
                <w:bCs/>
                <w:sz w:val="21"/>
                <w:szCs w:val="21"/>
              </w:rPr>
              <w:t>商务部分（</w:t>
            </w:r>
            <w:r>
              <w:rPr>
                <w:rFonts w:hint="eastAsia" w:ascii="宋体" w:hAnsi="宋体" w:cs="宋体"/>
                <w:b/>
                <w:bCs/>
                <w:sz w:val="21"/>
                <w:szCs w:val="21"/>
                <w:lang w:val="en-US" w:eastAsia="zh-CN"/>
              </w:rPr>
              <w:t>15</w:t>
            </w:r>
            <w:r>
              <w:rPr>
                <w:rFonts w:hint="eastAsia" w:ascii="宋体" w:hAnsi="宋体" w:cs="宋体"/>
                <w:b/>
                <w:bCs/>
                <w:sz w:val="21"/>
                <w:szCs w:val="21"/>
              </w:rPr>
              <w:t>分）</w:t>
            </w:r>
          </w:p>
        </w:tc>
        <w:tc>
          <w:tcPr>
            <w:tcW w:w="1344" w:type="dxa"/>
            <w:shd w:val="clear" w:color="auto" w:fill="auto"/>
            <w:noWrap w:val="0"/>
            <w:vAlign w:val="center"/>
          </w:tcPr>
          <w:p w14:paraId="65FF985F">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rPr>
              <w:t>相关业绩</w:t>
            </w:r>
          </w:p>
        </w:tc>
        <w:tc>
          <w:tcPr>
            <w:tcW w:w="750" w:type="dxa"/>
            <w:noWrap w:val="0"/>
            <w:vAlign w:val="center"/>
          </w:tcPr>
          <w:p w14:paraId="08B7B17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default"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9</w:t>
            </w:r>
          </w:p>
        </w:tc>
        <w:tc>
          <w:tcPr>
            <w:tcW w:w="5241" w:type="dxa"/>
            <w:noWrap w:val="0"/>
            <w:vAlign w:val="center"/>
          </w:tcPr>
          <w:p w14:paraId="330A9FD3">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rPr>
              <w:t>近三年</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2023年10月20日至2026年10月19日</w:t>
            </w:r>
            <w:r>
              <w:rPr>
                <w:rFonts w:hint="eastAsia" w:ascii="宋体" w:hAnsi="宋体" w:eastAsia="宋体" w:cs="宋体"/>
                <w:sz w:val="20"/>
                <w:szCs w:val="20"/>
                <w:highlight w:val="none"/>
                <w:lang w:val="en-US" w:eastAsia="zh-CN"/>
              </w:rPr>
              <w:t>，以合同签订时间为准</w:t>
            </w:r>
            <w:r>
              <w:rPr>
                <w:rFonts w:hint="eastAsia" w:ascii="宋体" w:hAnsi="宋体" w:eastAsia="宋体" w:cs="宋体"/>
                <w:sz w:val="20"/>
                <w:szCs w:val="20"/>
                <w:highlight w:val="none"/>
                <w:lang w:eastAsia="zh-CN"/>
              </w:rPr>
              <w:t>）类似项目业绩</w:t>
            </w:r>
            <w:r>
              <w:rPr>
                <w:rFonts w:hint="eastAsia" w:ascii="宋体" w:hAnsi="宋体" w:eastAsia="宋体" w:cs="宋体"/>
                <w:sz w:val="20"/>
                <w:szCs w:val="20"/>
                <w:highlight w:val="none"/>
              </w:rPr>
              <w:t>：每有一个业绩得</w:t>
            </w: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rPr>
              <w:t>分，共</w:t>
            </w:r>
            <w:r>
              <w:rPr>
                <w:rFonts w:hint="eastAsia" w:ascii="宋体" w:hAnsi="宋体" w:cs="宋体"/>
                <w:sz w:val="20"/>
                <w:szCs w:val="20"/>
                <w:highlight w:val="none"/>
                <w:lang w:val="en-US" w:eastAsia="zh-CN"/>
              </w:rPr>
              <w:t>9</w:t>
            </w:r>
            <w:r>
              <w:rPr>
                <w:rFonts w:hint="eastAsia" w:ascii="宋体" w:hAnsi="宋体" w:eastAsia="宋体" w:cs="宋体"/>
                <w:sz w:val="20"/>
                <w:szCs w:val="20"/>
                <w:highlight w:val="none"/>
              </w:rPr>
              <w:t>分（需提供合同首页、服务主要内容页、盖章页等关键页扫描件并加盖公章。）</w:t>
            </w:r>
          </w:p>
        </w:tc>
        <w:tc>
          <w:tcPr>
            <w:tcW w:w="660" w:type="dxa"/>
            <w:noWrap w:val="0"/>
            <w:vAlign w:val="center"/>
          </w:tcPr>
          <w:p w14:paraId="24E0C3E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337A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5F2FF6A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p>
        </w:tc>
        <w:tc>
          <w:tcPr>
            <w:tcW w:w="1065" w:type="dxa"/>
            <w:vMerge w:val="continue"/>
            <w:noWrap w:val="0"/>
            <w:vAlign w:val="center"/>
          </w:tcPr>
          <w:p w14:paraId="42BE19BF">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p>
        </w:tc>
        <w:tc>
          <w:tcPr>
            <w:tcW w:w="1344" w:type="dxa"/>
            <w:shd w:val="clear" w:color="auto" w:fill="auto"/>
            <w:noWrap w:val="0"/>
            <w:vAlign w:val="center"/>
          </w:tcPr>
          <w:p w14:paraId="1647B1E5">
            <w:pPr>
              <w:keepNext w:val="0"/>
              <w:keepLines w:val="0"/>
              <w:pageBreakBefore w:val="0"/>
              <w:kinsoku/>
              <w:wordWrap/>
              <w:overflowPunct/>
              <w:topLinePunct w:val="0"/>
              <w:bidi w:val="0"/>
              <w:spacing w:line="240" w:lineRule="auto"/>
              <w:jc w:val="center"/>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sz w:val="24"/>
                <w:szCs w:val="24"/>
                <w:highlight w:val="none"/>
              </w:rPr>
              <w:t>人员及设备配备</w:t>
            </w:r>
          </w:p>
        </w:tc>
        <w:tc>
          <w:tcPr>
            <w:tcW w:w="750" w:type="dxa"/>
            <w:shd w:val="clear" w:color="auto" w:fill="auto"/>
            <w:noWrap w:val="0"/>
            <w:vAlign w:val="center"/>
          </w:tcPr>
          <w:p w14:paraId="78D334A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default"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6</w:t>
            </w:r>
          </w:p>
        </w:tc>
        <w:tc>
          <w:tcPr>
            <w:tcW w:w="5241" w:type="dxa"/>
            <w:shd w:val="clear" w:color="auto" w:fill="auto"/>
            <w:noWrap w:val="0"/>
            <w:vAlign w:val="center"/>
          </w:tcPr>
          <w:p w14:paraId="1AC68728">
            <w:pPr>
              <w:keepNext w:val="0"/>
              <w:keepLines w:val="0"/>
              <w:pageBreakBefore w:val="0"/>
              <w:kinsoku/>
              <w:wordWrap/>
              <w:overflowPunct/>
              <w:topLinePunct w:val="0"/>
              <w:bidi w:val="0"/>
              <w:spacing w:line="240" w:lineRule="auto"/>
              <w:jc w:val="left"/>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根据</w:t>
            </w:r>
            <w:r>
              <w:rPr>
                <w:rFonts w:hint="eastAsia" w:ascii="宋体" w:hAnsi="宋体" w:cs="宋体"/>
                <w:color w:val="auto"/>
                <w:sz w:val="20"/>
                <w:szCs w:val="20"/>
                <w:highlight w:val="none"/>
                <w:lang w:val="en-US" w:eastAsia="zh-CN"/>
              </w:rPr>
              <w:t>供应商</w:t>
            </w:r>
            <w:r>
              <w:rPr>
                <w:rFonts w:hint="eastAsia" w:ascii="宋体" w:hAnsi="宋体" w:eastAsia="宋体" w:cs="宋体"/>
                <w:color w:val="auto"/>
                <w:sz w:val="20"/>
                <w:szCs w:val="20"/>
                <w:highlight w:val="none"/>
              </w:rPr>
              <w:t>组建团队服务人员情况等进行综合评审</w:t>
            </w:r>
            <w:r>
              <w:rPr>
                <w:rFonts w:hint="eastAsia" w:ascii="宋体" w:hAnsi="宋体" w:eastAsia="宋体" w:cs="宋体"/>
                <w:color w:val="auto"/>
                <w:sz w:val="20"/>
                <w:szCs w:val="20"/>
                <w:highlight w:val="none"/>
                <w:lang w:eastAsia="zh-CN"/>
              </w:rPr>
              <w:t>。</w:t>
            </w:r>
          </w:p>
          <w:p w14:paraId="3CE89FA0">
            <w:pPr>
              <w:keepNext w:val="0"/>
              <w:keepLines w:val="0"/>
              <w:pageBreakBefore w:val="0"/>
              <w:kinsoku/>
              <w:wordWrap/>
              <w:overflowPunct/>
              <w:topLinePunct w:val="0"/>
              <w:bidi w:val="0"/>
              <w:spacing w:line="240" w:lineRule="auto"/>
              <w:jc w:val="left"/>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岗位设置合理，专业配备齐全，得</w:t>
            </w:r>
            <w:r>
              <w:rPr>
                <w:rFonts w:hint="eastAsia" w:ascii="宋体" w:hAnsi="宋体" w:cs="宋体"/>
                <w:color w:val="auto"/>
                <w:sz w:val="20"/>
                <w:szCs w:val="20"/>
                <w:highlight w:val="none"/>
                <w:lang w:val="en-US" w:eastAsia="zh-CN"/>
              </w:rPr>
              <w:t>6</w:t>
            </w:r>
            <w:r>
              <w:rPr>
                <w:rFonts w:hint="eastAsia" w:ascii="宋体" w:hAnsi="宋体" w:eastAsia="宋体" w:cs="宋体"/>
                <w:color w:val="auto"/>
                <w:sz w:val="20"/>
                <w:szCs w:val="20"/>
                <w:highlight w:val="none"/>
              </w:rPr>
              <w:t>分；</w:t>
            </w:r>
          </w:p>
          <w:p w14:paraId="051335BF">
            <w:pPr>
              <w:keepNext w:val="0"/>
              <w:keepLines w:val="0"/>
              <w:pageBreakBefore w:val="0"/>
              <w:kinsoku/>
              <w:wordWrap/>
              <w:overflowPunct/>
              <w:topLinePunct w:val="0"/>
              <w:bidi w:val="0"/>
              <w:spacing w:line="240" w:lineRule="auto"/>
              <w:jc w:val="left"/>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岗位设置及专业配备基本可行，得</w:t>
            </w:r>
            <w:r>
              <w:rPr>
                <w:rFonts w:hint="eastAsia" w:ascii="宋体" w:hAnsi="宋体" w:cs="宋体"/>
                <w:color w:val="auto"/>
                <w:sz w:val="20"/>
                <w:szCs w:val="20"/>
                <w:highlight w:val="none"/>
                <w:lang w:val="en-US" w:eastAsia="zh-CN"/>
              </w:rPr>
              <w:t>4</w:t>
            </w:r>
            <w:r>
              <w:rPr>
                <w:rFonts w:hint="eastAsia" w:ascii="宋体" w:hAnsi="宋体" w:eastAsia="宋体" w:cs="宋体"/>
                <w:color w:val="auto"/>
                <w:sz w:val="20"/>
                <w:szCs w:val="20"/>
                <w:highlight w:val="none"/>
              </w:rPr>
              <w:t>分；</w:t>
            </w:r>
          </w:p>
          <w:p w14:paraId="45BC0548">
            <w:pPr>
              <w:keepNext w:val="0"/>
              <w:keepLines w:val="0"/>
              <w:pageBreakBefore w:val="0"/>
              <w:kinsoku/>
              <w:wordWrap/>
              <w:overflowPunct/>
              <w:topLinePunct w:val="0"/>
              <w:bidi w:val="0"/>
              <w:spacing w:line="240" w:lineRule="auto"/>
              <w:jc w:val="left"/>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3、</w:t>
            </w:r>
            <w:r>
              <w:rPr>
                <w:rFonts w:hint="eastAsia" w:ascii="宋体" w:hAnsi="宋体" w:eastAsia="宋体" w:cs="宋体"/>
                <w:color w:val="auto"/>
                <w:sz w:val="20"/>
                <w:szCs w:val="20"/>
                <w:highlight w:val="none"/>
              </w:rPr>
              <w:t>岗位设置及专业配备欠缺得</w:t>
            </w:r>
            <w:r>
              <w:rPr>
                <w:rFonts w:hint="eastAsia" w:ascii="宋体" w:hAnsi="宋体" w:cs="宋体"/>
                <w:color w:val="auto"/>
                <w:sz w:val="20"/>
                <w:szCs w:val="20"/>
                <w:highlight w:val="none"/>
                <w:lang w:val="en-US" w:eastAsia="zh-CN"/>
              </w:rPr>
              <w:t>2</w:t>
            </w:r>
            <w:r>
              <w:rPr>
                <w:rFonts w:hint="eastAsia" w:ascii="宋体" w:hAnsi="宋体" w:eastAsia="宋体" w:cs="宋体"/>
                <w:color w:val="auto"/>
                <w:sz w:val="20"/>
                <w:szCs w:val="20"/>
                <w:highlight w:val="none"/>
              </w:rPr>
              <w:t>分</w:t>
            </w:r>
            <w:r>
              <w:rPr>
                <w:rFonts w:hint="eastAsia" w:ascii="宋体" w:hAnsi="宋体" w:eastAsia="宋体" w:cs="宋体"/>
                <w:color w:val="auto"/>
                <w:sz w:val="20"/>
                <w:szCs w:val="20"/>
                <w:highlight w:val="none"/>
                <w:lang w:eastAsia="zh-CN"/>
              </w:rPr>
              <w:t>；</w:t>
            </w:r>
          </w:p>
          <w:p w14:paraId="4B17FA8A">
            <w:pPr>
              <w:keepNext w:val="0"/>
              <w:keepLines w:val="0"/>
              <w:pageBreakBefore w:val="0"/>
              <w:kinsoku/>
              <w:wordWrap/>
              <w:overflowPunct/>
              <w:topLinePunct w:val="0"/>
              <w:bidi w:val="0"/>
              <w:spacing w:line="240" w:lineRule="auto"/>
              <w:jc w:val="left"/>
              <w:textAlignment w:val="auto"/>
              <w:rPr>
                <w:rFonts w:hint="eastAsia" w:ascii="宋体" w:hAnsi="宋体" w:eastAsia="宋体" w:cs="宋体"/>
                <w:b w:val="0"/>
                <w:bCs/>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w:t>
            </w:r>
            <w:r>
              <w:rPr>
                <w:rFonts w:hint="eastAsia" w:ascii="宋体" w:hAnsi="宋体" w:eastAsia="宋体" w:cs="宋体"/>
                <w:color w:val="auto"/>
                <w:sz w:val="20"/>
                <w:szCs w:val="20"/>
                <w:highlight w:val="none"/>
              </w:rPr>
              <w:t>未提供得0分。</w:t>
            </w:r>
          </w:p>
        </w:tc>
        <w:tc>
          <w:tcPr>
            <w:tcW w:w="660" w:type="dxa"/>
            <w:noWrap w:val="0"/>
            <w:vAlign w:val="center"/>
          </w:tcPr>
          <w:p w14:paraId="25D8CC1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7942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restart"/>
            <w:noWrap w:val="0"/>
            <w:vAlign w:val="center"/>
          </w:tcPr>
          <w:p w14:paraId="3DEEE82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2</w:t>
            </w:r>
          </w:p>
        </w:tc>
        <w:tc>
          <w:tcPr>
            <w:tcW w:w="1065" w:type="dxa"/>
            <w:vMerge w:val="restart"/>
            <w:noWrap w:val="0"/>
            <w:vAlign w:val="center"/>
          </w:tcPr>
          <w:p w14:paraId="3BD1D9F9">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宋体" w:hAnsi="宋体" w:cs="宋体"/>
                <w:b/>
                <w:bCs/>
                <w:sz w:val="21"/>
                <w:szCs w:val="21"/>
              </w:rPr>
              <w:t>技术部分（7</w:t>
            </w:r>
            <w:r>
              <w:rPr>
                <w:rFonts w:hint="eastAsia" w:ascii="宋体" w:hAnsi="宋体" w:cs="宋体"/>
                <w:b/>
                <w:bCs/>
                <w:sz w:val="21"/>
                <w:szCs w:val="21"/>
                <w:lang w:val="en-US" w:eastAsia="zh-CN"/>
              </w:rPr>
              <w:t>5</w:t>
            </w:r>
            <w:r>
              <w:rPr>
                <w:rFonts w:hint="eastAsia" w:ascii="宋体" w:hAnsi="宋体" w:cs="宋体"/>
                <w:b/>
                <w:bCs/>
                <w:sz w:val="21"/>
                <w:szCs w:val="21"/>
              </w:rPr>
              <w:t>分）</w:t>
            </w:r>
          </w:p>
        </w:tc>
        <w:tc>
          <w:tcPr>
            <w:tcW w:w="1344" w:type="dxa"/>
            <w:shd w:val="clear" w:color="auto" w:fill="auto"/>
            <w:noWrap w:val="0"/>
            <w:vAlign w:val="center"/>
          </w:tcPr>
          <w:p w14:paraId="0634DDC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highlight w:val="none"/>
                <w:lang w:val="en-US" w:eastAsia="zh-CN"/>
              </w:rPr>
              <w:t>项目整体实施及服务</w:t>
            </w:r>
            <w:r>
              <w:rPr>
                <w:rFonts w:hint="eastAsia" w:ascii="宋体" w:hAnsi="宋体" w:eastAsia="宋体" w:cs="宋体"/>
                <w:b w:val="0"/>
                <w:bCs/>
                <w:sz w:val="22"/>
                <w:szCs w:val="22"/>
                <w:highlight w:val="none"/>
                <w:lang w:eastAsia="zh-CN"/>
              </w:rPr>
              <w:t>方案</w:t>
            </w:r>
          </w:p>
        </w:tc>
        <w:tc>
          <w:tcPr>
            <w:tcW w:w="750" w:type="dxa"/>
            <w:shd w:val="clear" w:color="auto" w:fill="auto"/>
            <w:noWrap w:val="0"/>
            <w:vAlign w:val="center"/>
          </w:tcPr>
          <w:p w14:paraId="0AF7A81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15</w:t>
            </w:r>
          </w:p>
        </w:tc>
        <w:tc>
          <w:tcPr>
            <w:tcW w:w="5241" w:type="dxa"/>
            <w:shd w:val="clear" w:color="auto" w:fill="auto"/>
            <w:noWrap w:val="0"/>
            <w:vAlign w:val="center"/>
          </w:tcPr>
          <w:p w14:paraId="0539F100">
            <w:pPr>
              <w:keepNext w:val="0"/>
              <w:keepLines w:val="0"/>
              <w:pageBreakBefore w:val="0"/>
              <w:kinsoku/>
              <w:wordWrap/>
              <w:overflowPunct/>
              <w:topLinePunct w:val="0"/>
              <w:autoSpaceDE/>
              <w:autoSpaceDN/>
              <w:bidi w:val="0"/>
              <w:adjustRightInd/>
              <w:snapToGrid/>
              <w:spacing w:line="320" w:lineRule="exact"/>
              <w:ind w:firstLine="28"/>
              <w:jc w:val="left"/>
              <w:textAlignment w:val="auto"/>
              <w:rPr>
                <w:rFonts w:hint="eastAsia"/>
                <w:b w:val="0"/>
                <w:bCs/>
                <w:sz w:val="20"/>
                <w:szCs w:val="20"/>
              </w:rPr>
            </w:pPr>
            <w:r>
              <w:rPr>
                <w:rFonts w:hint="eastAsia"/>
                <w:b w:val="0"/>
                <w:bCs/>
                <w:sz w:val="20"/>
                <w:szCs w:val="20"/>
                <w:lang w:eastAsia="zh-CN"/>
              </w:rPr>
              <w:t>供应商</w:t>
            </w:r>
            <w:r>
              <w:rPr>
                <w:rFonts w:hint="eastAsia"/>
                <w:b w:val="0"/>
                <w:bCs/>
                <w:sz w:val="20"/>
                <w:szCs w:val="20"/>
              </w:rPr>
              <w:t>根据采购需求提供的背景及相关内容，形成详细的实施方案及措施。</w:t>
            </w:r>
          </w:p>
          <w:p w14:paraId="3D9ABE36">
            <w:pPr>
              <w:keepNext w:val="0"/>
              <w:keepLines w:val="0"/>
              <w:pageBreakBefore w:val="0"/>
              <w:kinsoku/>
              <w:wordWrap/>
              <w:overflowPunct/>
              <w:topLinePunct w:val="0"/>
              <w:autoSpaceDE/>
              <w:autoSpaceDN/>
              <w:bidi w:val="0"/>
              <w:adjustRightInd/>
              <w:snapToGrid/>
              <w:spacing w:line="320" w:lineRule="exact"/>
              <w:ind w:firstLine="28"/>
              <w:jc w:val="left"/>
              <w:textAlignment w:val="auto"/>
              <w:rPr>
                <w:rFonts w:hint="eastAsia"/>
                <w:b w:val="0"/>
                <w:bCs/>
                <w:sz w:val="20"/>
                <w:szCs w:val="20"/>
              </w:rPr>
            </w:pPr>
            <w:r>
              <w:rPr>
                <w:rFonts w:hint="eastAsia"/>
                <w:b w:val="0"/>
                <w:bCs/>
                <w:sz w:val="20"/>
                <w:szCs w:val="20"/>
                <w:lang w:val="en-US" w:eastAsia="zh-CN"/>
              </w:rPr>
              <w:t>1、</w:t>
            </w:r>
            <w:r>
              <w:rPr>
                <w:rFonts w:hint="eastAsia"/>
                <w:b w:val="0"/>
                <w:bCs/>
                <w:sz w:val="20"/>
                <w:szCs w:val="20"/>
              </w:rPr>
              <w:t>内容完整、合理，可操作性强得</w:t>
            </w:r>
            <w:r>
              <w:rPr>
                <w:rFonts w:hint="eastAsia"/>
                <w:b w:val="0"/>
                <w:bCs/>
                <w:sz w:val="20"/>
                <w:szCs w:val="20"/>
                <w:lang w:val="en-US" w:eastAsia="zh-CN"/>
              </w:rPr>
              <w:t>15</w:t>
            </w:r>
            <w:r>
              <w:rPr>
                <w:rFonts w:hint="eastAsia"/>
                <w:b w:val="0"/>
                <w:bCs/>
                <w:sz w:val="20"/>
                <w:szCs w:val="20"/>
              </w:rPr>
              <w:t>分；</w:t>
            </w:r>
          </w:p>
          <w:p w14:paraId="7AE0C246">
            <w:pPr>
              <w:keepNext w:val="0"/>
              <w:keepLines w:val="0"/>
              <w:pageBreakBefore w:val="0"/>
              <w:kinsoku/>
              <w:wordWrap/>
              <w:overflowPunct/>
              <w:topLinePunct w:val="0"/>
              <w:autoSpaceDE/>
              <w:autoSpaceDN/>
              <w:bidi w:val="0"/>
              <w:adjustRightInd/>
              <w:snapToGrid/>
              <w:spacing w:line="320" w:lineRule="exact"/>
              <w:ind w:firstLine="28"/>
              <w:jc w:val="left"/>
              <w:textAlignment w:val="auto"/>
              <w:rPr>
                <w:rFonts w:hint="default" w:eastAsia="宋体"/>
                <w:b w:val="0"/>
                <w:bCs/>
                <w:sz w:val="20"/>
                <w:szCs w:val="20"/>
                <w:lang w:val="en-US" w:eastAsia="zh-CN"/>
              </w:rPr>
            </w:pPr>
            <w:r>
              <w:rPr>
                <w:rFonts w:hint="eastAsia"/>
                <w:b w:val="0"/>
                <w:bCs/>
                <w:sz w:val="20"/>
                <w:szCs w:val="20"/>
                <w:lang w:val="en-US" w:eastAsia="zh-CN"/>
              </w:rPr>
              <w:t>2、</w:t>
            </w:r>
            <w:r>
              <w:rPr>
                <w:rFonts w:hint="eastAsia"/>
                <w:b w:val="0"/>
                <w:bCs/>
                <w:sz w:val="20"/>
                <w:szCs w:val="20"/>
              </w:rPr>
              <w:t>内容完整、合理，可操作性</w:t>
            </w:r>
            <w:r>
              <w:rPr>
                <w:rFonts w:hint="eastAsia"/>
                <w:b w:val="0"/>
                <w:bCs/>
                <w:sz w:val="20"/>
                <w:szCs w:val="20"/>
                <w:lang w:val="en-US" w:eastAsia="zh-CN"/>
              </w:rPr>
              <w:t>较强得11分；</w:t>
            </w:r>
          </w:p>
          <w:p w14:paraId="182223F5">
            <w:pPr>
              <w:keepNext w:val="0"/>
              <w:keepLines w:val="0"/>
              <w:pageBreakBefore w:val="0"/>
              <w:kinsoku/>
              <w:wordWrap/>
              <w:overflowPunct/>
              <w:topLinePunct w:val="0"/>
              <w:autoSpaceDE/>
              <w:autoSpaceDN/>
              <w:bidi w:val="0"/>
              <w:adjustRightInd/>
              <w:snapToGrid/>
              <w:spacing w:line="320" w:lineRule="exact"/>
              <w:ind w:firstLine="28"/>
              <w:jc w:val="left"/>
              <w:textAlignment w:val="auto"/>
              <w:rPr>
                <w:rFonts w:hint="eastAsia"/>
                <w:b w:val="0"/>
                <w:bCs/>
                <w:sz w:val="20"/>
                <w:szCs w:val="20"/>
              </w:rPr>
            </w:pPr>
            <w:r>
              <w:rPr>
                <w:rFonts w:hint="eastAsia"/>
                <w:b w:val="0"/>
                <w:bCs/>
                <w:sz w:val="20"/>
                <w:szCs w:val="20"/>
                <w:lang w:val="en-US" w:eastAsia="zh-CN"/>
              </w:rPr>
              <w:t>3、</w:t>
            </w:r>
            <w:r>
              <w:rPr>
                <w:rFonts w:hint="eastAsia"/>
                <w:b w:val="0"/>
                <w:bCs/>
                <w:sz w:val="20"/>
                <w:szCs w:val="20"/>
              </w:rPr>
              <w:t>内容基本完整、合理性一般，具有一定可操作性得</w:t>
            </w:r>
            <w:r>
              <w:rPr>
                <w:rFonts w:hint="eastAsia"/>
                <w:b w:val="0"/>
                <w:bCs/>
                <w:sz w:val="20"/>
                <w:szCs w:val="20"/>
                <w:lang w:val="en-US" w:eastAsia="zh-CN"/>
              </w:rPr>
              <w:t>7</w:t>
            </w:r>
            <w:r>
              <w:rPr>
                <w:rFonts w:hint="eastAsia"/>
                <w:b w:val="0"/>
                <w:bCs/>
                <w:sz w:val="20"/>
                <w:szCs w:val="20"/>
              </w:rPr>
              <w:t>分；</w:t>
            </w:r>
          </w:p>
          <w:p w14:paraId="62D423D1">
            <w:pPr>
              <w:keepNext w:val="0"/>
              <w:keepLines w:val="0"/>
              <w:pageBreakBefore w:val="0"/>
              <w:kinsoku/>
              <w:wordWrap/>
              <w:overflowPunct/>
              <w:topLinePunct w:val="0"/>
              <w:autoSpaceDE/>
              <w:autoSpaceDN/>
              <w:bidi w:val="0"/>
              <w:adjustRightInd/>
              <w:snapToGrid/>
              <w:spacing w:line="320" w:lineRule="exact"/>
              <w:ind w:firstLine="28"/>
              <w:jc w:val="left"/>
              <w:textAlignment w:val="auto"/>
              <w:rPr>
                <w:rFonts w:hint="eastAsia"/>
                <w:b w:val="0"/>
                <w:bCs/>
                <w:sz w:val="20"/>
                <w:szCs w:val="20"/>
              </w:rPr>
            </w:pPr>
            <w:r>
              <w:rPr>
                <w:rFonts w:hint="eastAsia"/>
                <w:b w:val="0"/>
                <w:bCs/>
                <w:sz w:val="20"/>
                <w:szCs w:val="20"/>
                <w:lang w:val="en-US" w:eastAsia="zh-CN"/>
              </w:rPr>
              <w:t>4、</w:t>
            </w:r>
            <w:r>
              <w:rPr>
                <w:rFonts w:hint="eastAsia"/>
                <w:b w:val="0"/>
                <w:bCs/>
                <w:sz w:val="20"/>
                <w:szCs w:val="20"/>
              </w:rPr>
              <w:t>内容有欠缺、合理性差，可操作性差得</w:t>
            </w:r>
            <w:r>
              <w:rPr>
                <w:rFonts w:hint="eastAsia"/>
                <w:b w:val="0"/>
                <w:bCs/>
                <w:sz w:val="20"/>
                <w:szCs w:val="20"/>
                <w:lang w:val="en-US" w:eastAsia="zh-CN"/>
              </w:rPr>
              <w:t>4</w:t>
            </w:r>
            <w:r>
              <w:rPr>
                <w:rFonts w:hint="eastAsia"/>
                <w:b w:val="0"/>
                <w:bCs/>
                <w:sz w:val="20"/>
                <w:szCs w:val="20"/>
              </w:rPr>
              <w:t>分；</w:t>
            </w:r>
          </w:p>
          <w:p w14:paraId="7AB358F3">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b w:val="0"/>
                <w:bCs/>
                <w:sz w:val="20"/>
                <w:szCs w:val="20"/>
                <w:lang w:val="en-US" w:eastAsia="zh-CN"/>
              </w:rPr>
              <w:t>5、</w:t>
            </w:r>
            <w:r>
              <w:rPr>
                <w:rFonts w:hint="eastAsia"/>
                <w:b w:val="0"/>
                <w:bCs/>
                <w:sz w:val="20"/>
                <w:szCs w:val="20"/>
              </w:rPr>
              <w:t>未提供方案的得0分；</w:t>
            </w:r>
          </w:p>
        </w:tc>
        <w:tc>
          <w:tcPr>
            <w:tcW w:w="660" w:type="dxa"/>
            <w:noWrap w:val="0"/>
            <w:vAlign w:val="center"/>
          </w:tcPr>
          <w:p w14:paraId="6C4C5C6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7F19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2E97588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52E2174E">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463ADEE5">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 w:val="22"/>
                <w:szCs w:val="22"/>
                <w:highlight w:val="none"/>
                <w:lang w:val="en-US" w:eastAsia="zh-CN"/>
              </w:rPr>
              <w:t>应急及突发事件的应对方案</w:t>
            </w:r>
          </w:p>
        </w:tc>
        <w:tc>
          <w:tcPr>
            <w:tcW w:w="750" w:type="dxa"/>
            <w:shd w:val="clear" w:color="auto" w:fill="auto"/>
            <w:noWrap w:val="0"/>
            <w:vAlign w:val="center"/>
          </w:tcPr>
          <w:p w14:paraId="07734C0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10</w:t>
            </w:r>
          </w:p>
        </w:tc>
        <w:tc>
          <w:tcPr>
            <w:tcW w:w="5241" w:type="dxa"/>
            <w:shd w:val="clear" w:color="auto" w:fill="auto"/>
            <w:noWrap w:val="0"/>
            <w:vAlign w:val="center"/>
          </w:tcPr>
          <w:p w14:paraId="7F93C383">
            <w:pPr>
              <w:keepNext w:val="0"/>
              <w:keepLines w:val="0"/>
              <w:pageBreakBefore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对项目应急情况及安全事故等风险进行分析，给出应对措施。</w:t>
            </w:r>
          </w:p>
          <w:p w14:paraId="24FDD676">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 xml:space="preserve">内容完整、合理、可执行性强得 </w:t>
            </w:r>
            <w:r>
              <w:rPr>
                <w:rFonts w:hint="eastAsia" w:ascii="宋体" w:hAnsi="宋体" w:eastAsia="宋体" w:cs="宋体"/>
                <w:sz w:val="20"/>
                <w:szCs w:val="20"/>
                <w:highlight w:val="none"/>
                <w:lang w:val="en-US" w:eastAsia="zh-CN"/>
              </w:rPr>
              <w:t>1</w:t>
            </w:r>
            <w:r>
              <w:rPr>
                <w:rFonts w:hint="eastAsia" w:ascii="宋体" w:hAnsi="宋体" w:cs="宋体"/>
                <w:sz w:val="20"/>
                <w:szCs w:val="20"/>
                <w:highlight w:val="none"/>
                <w:lang w:val="en-US" w:eastAsia="zh-CN"/>
              </w:rPr>
              <w:t>0</w:t>
            </w:r>
            <w:r>
              <w:rPr>
                <w:rFonts w:hint="eastAsia" w:ascii="宋体" w:hAnsi="宋体" w:eastAsia="宋体" w:cs="宋体"/>
                <w:sz w:val="20"/>
                <w:szCs w:val="20"/>
                <w:highlight w:val="none"/>
              </w:rPr>
              <w:t>分；</w:t>
            </w:r>
          </w:p>
          <w:p w14:paraId="47F2F9A3">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内容基本完整、合理、可执行性</w:t>
            </w:r>
            <w:r>
              <w:rPr>
                <w:rFonts w:hint="eastAsia" w:ascii="宋体" w:hAnsi="宋体" w:eastAsia="宋体" w:cs="宋体"/>
                <w:sz w:val="20"/>
                <w:szCs w:val="20"/>
                <w:highlight w:val="none"/>
                <w:lang w:val="en-US" w:eastAsia="zh-CN"/>
              </w:rPr>
              <w:t>较强</w:t>
            </w:r>
            <w:r>
              <w:rPr>
                <w:rFonts w:hint="eastAsia" w:ascii="宋体" w:hAnsi="宋体" w:eastAsia="宋体" w:cs="宋体"/>
                <w:sz w:val="20"/>
                <w:szCs w:val="20"/>
                <w:highlight w:val="none"/>
              </w:rPr>
              <w:t xml:space="preserve">得 </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分；</w:t>
            </w:r>
          </w:p>
          <w:p w14:paraId="6518E115">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 xml:space="preserve">内容完整性、合理性、可执行性一般得 </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rPr>
              <w:t>分；</w:t>
            </w:r>
          </w:p>
          <w:p w14:paraId="7FF410DA">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4、</w:t>
            </w:r>
            <w:r>
              <w:rPr>
                <w:rFonts w:hint="eastAsia" w:ascii="宋体" w:hAnsi="宋体" w:eastAsia="宋体" w:cs="宋体"/>
                <w:sz w:val="20"/>
                <w:szCs w:val="20"/>
                <w:highlight w:val="none"/>
              </w:rPr>
              <w:t xml:space="preserve">内容完整性、合理性、可执行性差得 </w:t>
            </w: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 xml:space="preserve"> 分；</w:t>
            </w:r>
          </w:p>
          <w:p w14:paraId="1A11128E">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ascii="宋体" w:hAnsi="宋体" w:eastAsia="宋体" w:cs="宋体"/>
                <w:sz w:val="20"/>
                <w:szCs w:val="20"/>
                <w:highlight w:val="none"/>
                <w:lang w:val="en-US" w:eastAsia="zh-CN"/>
              </w:rPr>
              <w:t>5、</w:t>
            </w:r>
            <w:r>
              <w:rPr>
                <w:rFonts w:hint="eastAsia" w:ascii="宋体" w:hAnsi="宋体" w:eastAsia="宋体" w:cs="宋体"/>
                <w:sz w:val="20"/>
                <w:szCs w:val="20"/>
                <w:highlight w:val="none"/>
              </w:rPr>
              <w:t>未提供</w:t>
            </w:r>
            <w:r>
              <w:rPr>
                <w:rFonts w:hint="eastAsia" w:ascii="宋体" w:hAnsi="宋体" w:eastAsia="宋体" w:cs="宋体"/>
                <w:sz w:val="20"/>
                <w:szCs w:val="20"/>
                <w:highlight w:val="none"/>
                <w:lang w:val="en-US" w:eastAsia="zh-CN"/>
              </w:rPr>
              <w:t>的</w:t>
            </w:r>
            <w:r>
              <w:rPr>
                <w:rFonts w:hint="eastAsia" w:ascii="宋体" w:hAnsi="宋体" w:eastAsia="宋体" w:cs="宋体"/>
                <w:sz w:val="20"/>
                <w:szCs w:val="20"/>
                <w:highlight w:val="none"/>
              </w:rPr>
              <w:t>得 0 分。</w:t>
            </w:r>
          </w:p>
        </w:tc>
        <w:tc>
          <w:tcPr>
            <w:tcW w:w="660" w:type="dxa"/>
            <w:noWrap w:val="0"/>
            <w:vAlign w:val="center"/>
          </w:tcPr>
          <w:p w14:paraId="567442CF">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7F2F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5B05228D">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09FB28AA">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2A9699AE">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highlight w:val="none"/>
              </w:rPr>
              <w:t>质量保证与质量控制措施</w:t>
            </w:r>
          </w:p>
        </w:tc>
        <w:tc>
          <w:tcPr>
            <w:tcW w:w="750" w:type="dxa"/>
            <w:shd w:val="clear" w:color="auto" w:fill="auto"/>
            <w:noWrap w:val="0"/>
            <w:vAlign w:val="center"/>
          </w:tcPr>
          <w:p w14:paraId="7CA07FCD">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10</w:t>
            </w:r>
          </w:p>
        </w:tc>
        <w:tc>
          <w:tcPr>
            <w:tcW w:w="5241" w:type="dxa"/>
            <w:shd w:val="clear" w:color="auto" w:fill="auto"/>
            <w:noWrap w:val="0"/>
            <w:vAlign w:val="top"/>
          </w:tcPr>
          <w:p w14:paraId="15BDAEB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根据本项目的特点和要求，制定</w:t>
            </w:r>
            <w:r>
              <w:rPr>
                <w:rFonts w:hint="eastAsia" w:ascii="宋体" w:hAnsi="宋体" w:eastAsia="宋体" w:cs="宋体"/>
                <w:sz w:val="20"/>
                <w:szCs w:val="20"/>
                <w:highlight w:val="none"/>
                <w:lang w:val="en-US" w:eastAsia="zh-CN"/>
              </w:rPr>
              <w:t>服务</w:t>
            </w:r>
            <w:r>
              <w:rPr>
                <w:rFonts w:hint="eastAsia" w:ascii="宋体" w:hAnsi="宋体" w:eastAsia="宋体" w:cs="宋体"/>
                <w:sz w:val="20"/>
                <w:szCs w:val="20"/>
                <w:highlight w:val="none"/>
              </w:rPr>
              <w:t>内容的质量保证措施</w:t>
            </w:r>
            <w:r>
              <w:rPr>
                <w:rFonts w:hint="eastAsia" w:ascii="宋体" w:hAnsi="宋体" w:eastAsia="宋体" w:cs="宋体"/>
                <w:sz w:val="20"/>
                <w:szCs w:val="20"/>
                <w:highlight w:val="none"/>
                <w:lang w:eastAsia="zh-CN"/>
              </w:rPr>
              <w:t>。</w:t>
            </w:r>
          </w:p>
          <w:p w14:paraId="4EC5AFE9">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 xml:space="preserve">内容完整、合理、可执行性强得 </w:t>
            </w:r>
            <w:r>
              <w:rPr>
                <w:rFonts w:hint="eastAsia" w:ascii="宋体" w:hAnsi="宋体" w:eastAsia="宋体" w:cs="宋体"/>
                <w:sz w:val="20"/>
                <w:szCs w:val="20"/>
                <w:highlight w:val="none"/>
                <w:lang w:val="en-US" w:eastAsia="zh-CN"/>
              </w:rPr>
              <w:t>1</w:t>
            </w:r>
            <w:r>
              <w:rPr>
                <w:rFonts w:hint="eastAsia" w:ascii="宋体" w:hAnsi="宋体" w:cs="宋体"/>
                <w:sz w:val="20"/>
                <w:szCs w:val="20"/>
                <w:highlight w:val="none"/>
                <w:lang w:val="en-US" w:eastAsia="zh-CN"/>
              </w:rPr>
              <w:t>0</w:t>
            </w:r>
            <w:r>
              <w:rPr>
                <w:rFonts w:hint="eastAsia" w:ascii="宋体" w:hAnsi="宋体" w:eastAsia="宋体" w:cs="宋体"/>
                <w:sz w:val="20"/>
                <w:szCs w:val="20"/>
                <w:highlight w:val="none"/>
              </w:rPr>
              <w:t>分；</w:t>
            </w:r>
          </w:p>
          <w:p w14:paraId="0806B2A2">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内容基本完整、合理、可执行性</w:t>
            </w:r>
            <w:r>
              <w:rPr>
                <w:rFonts w:hint="eastAsia" w:ascii="宋体" w:hAnsi="宋体" w:eastAsia="宋体" w:cs="宋体"/>
                <w:sz w:val="20"/>
                <w:szCs w:val="20"/>
                <w:highlight w:val="none"/>
                <w:lang w:val="en-US" w:eastAsia="zh-CN"/>
              </w:rPr>
              <w:t>较强</w:t>
            </w:r>
            <w:r>
              <w:rPr>
                <w:rFonts w:hint="eastAsia" w:ascii="宋体" w:hAnsi="宋体" w:eastAsia="宋体" w:cs="宋体"/>
                <w:sz w:val="20"/>
                <w:szCs w:val="20"/>
                <w:highlight w:val="none"/>
              </w:rPr>
              <w:t xml:space="preserve">得 </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分；</w:t>
            </w:r>
          </w:p>
          <w:p w14:paraId="72E69A0D">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 xml:space="preserve">内容完整性、合理性、可执行性一般得 </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rPr>
              <w:t>分；</w:t>
            </w:r>
          </w:p>
          <w:p w14:paraId="1C11E7AF">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4、</w:t>
            </w:r>
            <w:r>
              <w:rPr>
                <w:rFonts w:hint="eastAsia" w:ascii="宋体" w:hAnsi="宋体" w:eastAsia="宋体" w:cs="宋体"/>
                <w:sz w:val="20"/>
                <w:szCs w:val="20"/>
                <w:highlight w:val="none"/>
              </w:rPr>
              <w:t xml:space="preserve">内容完整性、合理性、可执行性差得 </w:t>
            </w: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 xml:space="preserve"> 分；</w:t>
            </w:r>
          </w:p>
          <w:p w14:paraId="1253B0E2">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ascii="宋体" w:hAnsi="宋体" w:eastAsia="宋体" w:cs="宋体"/>
                <w:sz w:val="20"/>
                <w:szCs w:val="20"/>
                <w:highlight w:val="none"/>
                <w:lang w:val="en-US" w:eastAsia="zh-CN"/>
              </w:rPr>
              <w:t>5、</w:t>
            </w:r>
            <w:r>
              <w:rPr>
                <w:rFonts w:hint="eastAsia" w:ascii="宋体" w:hAnsi="宋体" w:eastAsia="宋体" w:cs="宋体"/>
                <w:sz w:val="20"/>
                <w:szCs w:val="20"/>
                <w:highlight w:val="none"/>
              </w:rPr>
              <w:t>未提供得 0 分。</w:t>
            </w:r>
          </w:p>
        </w:tc>
        <w:tc>
          <w:tcPr>
            <w:tcW w:w="660" w:type="dxa"/>
            <w:noWrap w:val="0"/>
            <w:vAlign w:val="center"/>
          </w:tcPr>
          <w:p w14:paraId="4753561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09EC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22768D8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73665DEB">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0DE75CB6">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highlight w:val="none"/>
              </w:rPr>
              <w:t>项目</w:t>
            </w:r>
            <w:r>
              <w:rPr>
                <w:rFonts w:hint="eastAsia" w:ascii="宋体" w:hAnsi="宋体" w:eastAsia="宋体" w:cs="宋体"/>
                <w:b w:val="0"/>
                <w:bCs/>
                <w:sz w:val="22"/>
                <w:szCs w:val="22"/>
                <w:highlight w:val="none"/>
                <w:lang w:val="en-US" w:eastAsia="zh-CN"/>
              </w:rPr>
              <w:t>实施</w:t>
            </w:r>
            <w:r>
              <w:rPr>
                <w:rFonts w:hint="eastAsia" w:ascii="宋体" w:hAnsi="宋体" w:eastAsia="宋体" w:cs="宋体"/>
                <w:b w:val="0"/>
                <w:bCs/>
                <w:sz w:val="22"/>
                <w:szCs w:val="22"/>
                <w:highlight w:val="none"/>
              </w:rPr>
              <w:t>进度计划</w:t>
            </w:r>
          </w:p>
        </w:tc>
        <w:tc>
          <w:tcPr>
            <w:tcW w:w="750" w:type="dxa"/>
            <w:shd w:val="clear" w:color="auto" w:fill="auto"/>
            <w:noWrap w:val="0"/>
            <w:vAlign w:val="center"/>
          </w:tcPr>
          <w:p w14:paraId="7B531AA3">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10</w:t>
            </w:r>
          </w:p>
        </w:tc>
        <w:tc>
          <w:tcPr>
            <w:tcW w:w="5241" w:type="dxa"/>
            <w:shd w:val="clear" w:color="auto" w:fill="auto"/>
            <w:noWrap w:val="0"/>
            <w:vAlign w:val="top"/>
          </w:tcPr>
          <w:p w14:paraId="04F9B3A7">
            <w:pPr>
              <w:keepNext w:val="0"/>
              <w:keepLines w:val="0"/>
              <w:pageBreakBefore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在满足项目需求的前提下，</w:t>
            </w:r>
            <w:r>
              <w:rPr>
                <w:rFonts w:hint="eastAsia" w:ascii="宋体" w:hAnsi="宋体" w:cs="宋体"/>
                <w:sz w:val="20"/>
                <w:szCs w:val="20"/>
                <w:highlight w:val="none"/>
                <w:lang w:val="en-US" w:eastAsia="zh-CN"/>
              </w:rPr>
              <w:t>供应商</w:t>
            </w:r>
            <w:r>
              <w:rPr>
                <w:rFonts w:hint="eastAsia" w:ascii="宋体" w:hAnsi="宋体" w:eastAsia="宋体" w:cs="宋体"/>
                <w:sz w:val="20"/>
                <w:szCs w:val="20"/>
                <w:highlight w:val="none"/>
                <w:lang w:val="en-US" w:eastAsia="zh-CN"/>
              </w:rPr>
              <w:t>应根据项目情况制定合理的实施进度计划。</w:t>
            </w:r>
          </w:p>
          <w:p w14:paraId="536DF6B9">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 xml:space="preserve">内容完整、合理、可执行性强得 </w:t>
            </w:r>
            <w:r>
              <w:rPr>
                <w:rFonts w:hint="eastAsia" w:ascii="宋体" w:hAnsi="宋体" w:eastAsia="宋体" w:cs="宋体"/>
                <w:sz w:val="20"/>
                <w:szCs w:val="20"/>
                <w:highlight w:val="none"/>
                <w:lang w:val="en-US" w:eastAsia="zh-CN"/>
              </w:rPr>
              <w:t>1</w:t>
            </w:r>
            <w:r>
              <w:rPr>
                <w:rFonts w:hint="eastAsia" w:ascii="宋体" w:hAnsi="宋体" w:cs="宋体"/>
                <w:sz w:val="20"/>
                <w:szCs w:val="20"/>
                <w:highlight w:val="none"/>
                <w:lang w:val="en-US" w:eastAsia="zh-CN"/>
              </w:rPr>
              <w:t>0</w:t>
            </w:r>
            <w:r>
              <w:rPr>
                <w:rFonts w:hint="eastAsia" w:ascii="宋体" w:hAnsi="宋体" w:eastAsia="宋体" w:cs="宋体"/>
                <w:sz w:val="20"/>
                <w:szCs w:val="20"/>
                <w:highlight w:val="none"/>
              </w:rPr>
              <w:t>分；</w:t>
            </w:r>
          </w:p>
          <w:p w14:paraId="7FC0F5B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内容基本完整、合理、可执行性</w:t>
            </w:r>
            <w:r>
              <w:rPr>
                <w:rFonts w:hint="eastAsia" w:ascii="宋体" w:hAnsi="宋体" w:eastAsia="宋体" w:cs="宋体"/>
                <w:sz w:val="20"/>
                <w:szCs w:val="20"/>
                <w:highlight w:val="none"/>
                <w:lang w:val="en-US" w:eastAsia="zh-CN"/>
              </w:rPr>
              <w:t>较强</w:t>
            </w:r>
            <w:r>
              <w:rPr>
                <w:rFonts w:hint="eastAsia" w:ascii="宋体" w:hAnsi="宋体" w:eastAsia="宋体" w:cs="宋体"/>
                <w:sz w:val="20"/>
                <w:szCs w:val="20"/>
                <w:highlight w:val="none"/>
              </w:rPr>
              <w:t xml:space="preserve">得 </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分；</w:t>
            </w:r>
          </w:p>
          <w:p w14:paraId="48BC0BD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 xml:space="preserve">内容完整性、合理性、可执行性一般得 </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rPr>
              <w:t>分；</w:t>
            </w:r>
          </w:p>
          <w:p w14:paraId="143075E1">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4、</w:t>
            </w:r>
            <w:r>
              <w:rPr>
                <w:rFonts w:hint="eastAsia" w:ascii="宋体" w:hAnsi="宋体" w:eastAsia="宋体" w:cs="宋体"/>
                <w:sz w:val="20"/>
                <w:szCs w:val="20"/>
                <w:highlight w:val="none"/>
              </w:rPr>
              <w:t xml:space="preserve">内容完整性、合理性、可执行性差得 </w:t>
            </w: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 xml:space="preserve"> 分；</w:t>
            </w:r>
          </w:p>
          <w:p w14:paraId="31C32083">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ascii="宋体" w:hAnsi="宋体" w:eastAsia="宋体" w:cs="宋体"/>
                <w:sz w:val="20"/>
                <w:szCs w:val="20"/>
                <w:highlight w:val="none"/>
                <w:lang w:val="en-US" w:eastAsia="zh-CN"/>
              </w:rPr>
              <w:t>5、</w:t>
            </w:r>
            <w:r>
              <w:rPr>
                <w:rFonts w:hint="eastAsia" w:ascii="宋体" w:hAnsi="宋体" w:eastAsia="宋体" w:cs="宋体"/>
                <w:sz w:val="20"/>
                <w:szCs w:val="20"/>
                <w:highlight w:val="none"/>
              </w:rPr>
              <w:t>未提供得 0 分。</w:t>
            </w:r>
          </w:p>
        </w:tc>
        <w:tc>
          <w:tcPr>
            <w:tcW w:w="660" w:type="dxa"/>
            <w:noWrap w:val="0"/>
            <w:vAlign w:val="center"/>
          </w:tcPr>
          <w:p w14:paraId="39456D1B">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4D81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3A8E1E82">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4A32ED5A">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0FCC9172">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highlight w:val="none"/>
                <w:lang w:eastAsia="zh-CN"/>
              </w:rPr>
              <w:t>相关</w:t>
            </w:r>
            <w:r>
              <w:rPr>
                <w:rFonts w:hint="eastAsia" w:ascii="宋体" w:hAnsi="宋体" w:eastAsia="宋体" w:cs="宋体"/>
                <w:b w:val="0"/>
                <w:bCs/>
                <w:sz w:val="22"/>
                <w:szCs w:val="22"/>
                <w:highlight w:val="none"/>
                <w:lang w:val="en-US" w:eastAsia="zh-CN"/>
              </w:rPr>
              <w:t>管理</w:t>
            </w:r>
            <w:r>
              <w:rPr>
                <w:rFonts w:hint="eastAsia" w:ascii="宋体" w:hAnsi="宋体" w:eastAsia="宋体" w:cs="宋体"/>
                <w:b w:val="0"/>
                <w:bCs/>
                <w:sz w:val="22"/>
                <w:szCs w:val="22"/>
                <w:highlight w:val="none"/>
                <w:lang w:eastAsia="zh-CN"/>
              </w:rPr>
              <w:t>责任制度、</w:t>
            </w:r>
            <w:r>
              <w:rPr>
                <w:rFonts w:hint="eastAsia" w:ascii="宋体" w:hAnsi="宋体" w:eastAsia="宋体" w:cs="宋体"/>
                <w:b w:val="0"/>
                <w:bCs/>
                <w:sz w:val="22"/>
                <w:szCs w:val="22"/>
                <w:highlight w:val="none"/>
                <w:lang w:val="en-US" w:eastAsia="zh-CN"/>
              </w:rPr>
              <w:t>服务标准</w:t>
            </w:r>
          </w:p>
        </w:tc>
        <w:tc>
          <w:tcPr>
            <w:tcW w:w="750" w:type="dxa"/>
            <w:shd w:val="clear" w:color="auto" w:fill="auto"/>
            <w:noWrap w:val="0"/>
            <w:vAlign w:val="center"/>
          </w:tcPr>
          <w:p w14:paraId="2DCE1F74">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5</w:t>
            </w:r>
          </w:p>
        </w:tc>
        <w:tc>
          <w:tcPr>
            <w:tcW w:w="5241" w:type="dxa"/>
            <w:shd w:val="clear" w:color="auto" w:fill="auto"/>
            <w:noWrap w:val="0"/>
            <w:vAlign w:val="top"/>
          </w:tcPr>
          <w:p w14:paraId="18BACF1D">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供应商</w:t>
            </w:r>
            <w:r>
              <w:rPr>
                <w:rFonts w:hint="eastAsia" w:ascii="宋体" w:hAnsi="宋体" w:eastAsia="宋体" w:cs="宋体"/>
                <w:sz w:val="20"/>
                <w:szCs w:val="20"/>
                <w:highlight w:val="none"/>
                <w:lang w:val="en-US" w:eastAsia="zh-CN"/>
              </w:rPr>
              <w:t>应针对本项目制定相关的管理责任制度、服务标准。</w:t>
            </w:r>
          </w:p>
          <w:p w14:paraId="107C0AB1">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内容完整、合理、可执行性强得</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rPr>
              <w:t>分；</w:t>
            </w:r>
          </w:p>
          <w:p w14:paraId="7EF4A5BE">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2</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 xml:space="preserve">内容完整性、合理性、可执行性一般得 </w:t>
            </w: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rPr>
              <w:t>分；</w:t>
            </w:r>
          </w:p>
          <w:p w14:paraId="49EC2C2C">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 xml:space="preserve">内容完整性、合理性、可执行性差得 </w:t>
            </w: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 xml:space="preserve"> 分；</w:t>
            </w:r>
          </w:p>
          <w:p w14:paraId="31C7D4A1">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ascii="宋体" w:hAnsi="宋体" w:cs="宋体"/>
                <w:sz w:val="20"/>
                <w:szCs w:val="20"/>
                <w:highlight w:val="none"/>
                <w:lang w:val="en-US" w:eastAsia="zh-CN"/>
              </w:rPr>
              <w:t>4</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未提供得 0 分。</w:t>
            </w:r>
          </w:p>
        </w:tc>
        <w:tc>
          <w:tcPr>
            <w:tcW w:w="660" w:type="dxa"/>
            <w:noWrap w:val="0"/>
            <w:vAlign w:val="center"/>
          </w:tcPr>
          <w:p w14:paraId="1C695B96">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0120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5BF94D1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0EE26F82">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259F49B0">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highlight w:val="none"/>
                <w:lang w:eastAsia="zh-CN"/>
              </w:rPr>
              <w:t>工作成果</w:t>
            </w:r>
            <w:r>
              <w:rPr>
                <w:rFonts w:hint="eastAsia" w:ascii="宋体" w:hAnsi="宋体" w:cs="宋体"/>
                <w:b w:val="0"/>
                <w:bCs/>
                <w:sz w:val="22"/>
                <w:szCs w:val="22"/>
                <w:highlight w:val="none"/>
                <w:lang w:val="en-US" w:eastAsia="zh-CN"/>
              </w:rPr>
              <w:t>汇报</w:t>
            </w:r>
          </w:p>
        </w:tc>
        <w:tc>
          <w:tcPr>
            <w:tcW w:w="750" w:type="dxa"/>
            <w:shd w:val="clear" w:color="auto" w:fill="auto"/>
            <w:noWrap w:val="0"/>
            <w:vAlign w:val="center"/>
          </w:tcPr>
          <w:p w14:paraId="4520C10D">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8</w:t>
            </w:r>
          </w:p>
        </w:tc>
        <w:tc>
          <w:tcPr>
            <w:tcW w:w="5241" w:type="dxa"/>
            <w:shd w:val="clear" w:color="auto" w:fill="auto"/>
            <w:noWrap w:val="0"/>
            <w:vAlign w:val="top"/>
          </w:tcPr>
          <w:p w14:paraId="4B3B583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根据采购需求内容，</w:t>
            </w:r>
            <w:r>
              <w:rPr>
                <w:rFonts w:hint="eastAsia" w:ascii="宋体" w:hAnsi="宋体" w:cs="宋体"/>
                <w:sz w:val="20"/>
                <w:szCs w:val="20"/>
                <w:highlight w:val="none"/>
                <w:lang w:val="en-US" w:eastAsia="zh-CN"/>
              </w:rPr>
              <w:t>制定</w:t>
            </w:r>
            <w:r>
              <w:rPr>
                <w:rFonts w:hint="eastAsia" w:ascii="宋体" w:hAnsi="宋体" w:eastAsia="宋体" w:cs="宋体"/>
                <w:sz w:val="20"/>
                <w:szCs w:val="20"/>
                <w:highlight w:val="none"/>
                <w:lang w:val="en-US" w:eastAsia="zh-CN"/>
              </w:rPr>
              <w:t>工作成果汇报方案：</w:t>
            </w:r>
          </w:p>
          <w:p w14:paraId="2A5F9F13">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1、</w:t>
            </w:r>
            <w:r>
              <w:rPr>
                <w:rFonts w:hint="eastAsia" w:ascii="宋体" w:hAnsi="宋体" w:eastAsia="宋体" w:cs="宋体"/>
                <w:sz w:val="20"/>
                <w:szCs w:val="20"/>
                <w:highlight w:val="none"/>
                <w:lang w:val="en-US" w:eastAsia="zh-CN"/>
              </w:rPr>
              <w:t>内容呈现全面、清晰、合理得8分</w:t>
            </w:r>
          </w:p>
          <w:p w14:paraId="32056648">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2、</w:t>
            </w:r>
            <w:r>
              <w:rPr>
                <w:rFonts w:hint="eastAsia" w:ascii="宋体" w:hAnsi="宋体" w:eastAsia="宋体" w:cs="宋体"/>
                <w:sz w:val="20"/>
                <w:szCs w:val="20"/>
                <w:highlight w:val="none"/>
                <w:lang w:val="en-US" w:eastAsia="zh-CN"/>
              </w:rPr>
              <w:t>内容呈现较全面、较清晰、满足采购人需求得5分</w:t>
            </w:r>
          </w:p>
          <w:p w14:paraId="5D182012">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lang w:val="en-US" w:eastAsia="zh-CN"/>
              </w:rPr>
              <w:t>内容呈现欠佳、较清晰、基本满足采购人需求得2分</w:t>
            </w:r>
          </w:p>
          <w:p w14:paraId="42001FDF">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kern w:val="2"/>
                <w:sz w:val="20"/>
                <w:szCs w:val="20"/>
                <w:lang w:val="en-US" w:eastAsia="zh-CN" w:bidi="ar-SA"/>
              </w:rPr>
            </w:pPr>
            <w:r>
              <w:rPr>
                <w:rFonts w:hint="eastAsia" w:ascii="宋体" w:hAnsi="宋体" w:cs="宋体"/>
                <w:sz w:val="20"/>
                <w:szCs w:val="20"/>
                <w:highlight w:val="none"/>
                <w:lang w:val="en-US" w:eastAsia="zh-CN"/>
              </w:rPr>
              <w:t>4、</w:t>
            </w:r>
            <w:r>
              <w:rPr>
                <w:rFonts w:hint="eastAsia" w:ascii="宋体" w:hAnsi="宋体" w:eastAsia="宋体" w:cs="宋体"/>
                <w:sz w:val="20"/>
                <w:szCs w:val="20"/>
                <w:highlight w:val="none"/>
                <w:lang w:val="en-US" w:eastAsia="zh-CN"/>
              </w:rPr>
              <w:t>未提供得0分</w:t>
            </w:r>
          </w:p>
        </w:tc>
        <w:tc>
          <w:tcPr>
            <w:tcW w:w="660" w:type="dxa"/>
            <w:noWrap w:val="0"/>
            <w:vAlign w:val="center"/>
          </w:tcPr>
          <w:p w14:paraId="1F31C6BD">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1D90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267FBB1A">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3FEFE81F">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7957A40F">
            <w:pPr>
              <w:keepNext w:val="0"/>
              <w:keepLines w:val="0"/>
              <w:pageBreakBefore w:val="0"/>
              <w:kinsoku/>
              <w:wordWrap/>
              <w:overflowPunct/>
              <w:topLinePunct w:val="0"/>
              <w:autoSpaceDE/>
              <w:autoSpaceDN/>
              <w:bidi w:val="0"/>
              <w:adjustRightInd/>
              <w:snapToGrid/>
              <w:spacing w:line="320" w:lineRule="exact"/>
              <w:ind w:firstLine="28"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cs="Times New Roman"/>
                <w:b w:val="0"/>
                <w:bCs/>
                <w:sz w:val="22"/>
                <w:szCs w:val="22"/>
              </w:rPr>
              <w:t>资料管理制度</w:t>
            </w:r>
          </w:p>
        </w:tc>
        <w:tc>
          <w:tcPr>
            <w:tcW w:w="750" w:type="dxa"/>
            <w:shd w:val="clear" w:color="auto" w:fill="auto"/>
            <w:noWrap w:val="0"/>
            <w:vAlign w:val="center"/>
          </w:tcPr>
          <w:p w14:paraId="105C381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5</w:t>
            </w:r>
          </w:p>
        </w:tc>
        <w:tc>
          <w:tcPr>
            <w:tcW w:w="5241" w:type="dxa"/>
            <w:shd w:val="clear" w:color="auto" w:fill="auto"/>
            <w:noWrap w:val="0"/>
            <w:vAlign w:val="center"/>
          </w:tcPr>
          <w:p w14:paraId="6CB5089F">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Arial"/>
                <w:sz w:val="20"/>
                <w:szCs w:val="20"/>
              </w:rPr>
              <w:t>1、</w:t>
            </w:r>
            <w:r>
              <w:rPr>
                <w:rFonts w:hint="eastAsia" w:ascii="宋体" w:hAnsi="宋体" w:cs="Times New Roman"/>
                <w:sz w:val="20"/>
                <w:szCs w:val="20"/>
              </w:rPr>
              <w:t>针对本项目的服务需要所提供的资料管理制度（包含但不限于资料搜集、保管、提供、销毁等控制措施）合理健全，得</w:t>
            </w:r>
            <w:r>
              <w:rPr>
                <w:rFonts w:hint="eastAsia" w:ascii="宋体" w:hAnsi="宋体" w:cs="Times New Roman"/>
                <w:sz w:val="20"/>
                <w:szCs w:val="20"/>
                <w:lang w:val="en-US" w:eastAsia="zh-CN"/>
              </w:rPr>
              <w:t>5</w:t>
            </w:r>
            <w:r>
              <w:rPr>
                <w:rFonts w:hint="eastAsia" w:ascii="宋体" w:hAnsi="宋体" w:cs="Times New Roman"/>
                <w:sz w:val="20"/>
                <w:szCs w:val="20"/>
              </w:rPr>
              <w:t>分；</w:t>
            </w:r>
          </w:p>
          <w:p w14:paraId="69F764FB">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Times New Roman"/>
                <w:sz w:val="20"/>
                <w:szCs w:val="20"/>
              </w:rPr>
              <w:t>2、针对本项目的服务需要所提供的资料管理制度（包含但不限于资料搜集、保管、提供、销毁等控制措施）基本健全，得</w:t>
            </w:r>
            <w:r>
              <w:rPr>
                <w:rFonts w:hint="eastAsia" w:ascii="宋体" w:hAnsi="宋体" w:cs="Times New Roman"/>
                <w:sz w:val="20"/>
                <w:szCs w:val="20"/>
                <w:lang w:val="en-US" w:eastAsia="zh-CN"/>
              </w:rPr>
              <w:t>3</w:t>
            </w:r>
            <w:r>
              <w:rPr>
                <w:rFonts w:hint="eastAsia" w:ascii="宋体" w:hAnsi="宋体" w:cs="Times New Roman"/>
                <w:sz w:val="20"/>
                <w:szCs w:val="20"/>
              </w:rPr>
              <w:t>分；</w:t>
            </w:r>
          </w:p>
          <w:p w14:paraId="2CAC614E">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Times New Roman"/>
                <w:sz w:val="20"/>
                <w:szCs w:val="20"/>
              </w:rPr>
              <w:t>3、针对本项目的服务需要所提供的资料管理制度（包含但不限于资料搜集、保管、提供、销毁等控制措施）不健全，得</w:t>
            </w:r>
            <w:r>
              <w:rPr>
                <w:rFonts w:hint="eastAsia" w:ascii="宋体" w:hAnsi="宋体" w:cs="Times New Roman"/>
                <w:sz w:val="20"/>
                <w:szCs w:val="20"/>
                <w:lang w:val="en-US" w:eastAsia="zh-CN"/>
              </w:rPr>
              <w:t>1</w:t>
            </w:r>
            <w:r>
              <w:rPr>
                <w:rFonts w:hint="eastAsia" w:ascii="宋体" w:hAnsi="宋体" w:cs="Times New Roman"/>
                <w:sz w:val="20"/>
                <w:szCs w:val="20"/>
              </w:rPr>
              <w:t>分；</w:t>
            </w:r>
          </w:p>
          <w:p w14:paraId="16DFFC19">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kern w:val="2"/>
                <w:sz w:val="20"/>
                <w:szCs w:val="20"/>
                <w:lang w:val="en-US" w:eastAsia="zh-CN" w:bidi="ar-SA"/>
              </w:rPr>
            </w:pPr>
            <w:r>
              <w:rPr>
                <w:rFonts w:hint="eastAsia" w:ascii="宋体" w:hAnsi="宋体" w:eastAsia="宋体" w:cs="Times New Roman"/>
                <w:kern w:val="2"/>
                <w:sz w:val="20"/>
                <w:szCs w:val="20"/>
                <w:lang w:val="en-US" w:eastAsia="zh-CN" w:bidi="ar-SA"/>
              </w:rPr>
              <w:t>4、未提供得0分。</w:t>
            </w:r>
          </w:p>
        </w:tc>
        <w:tc>
          <w:tcPr>
            <w:tcW w:w="660" w:type="dxa"/>
            <w:noWrap w:val="0"/>
            <w:vAlign w:val="center"/>
          </w:tcPr>
          <w:p w14:paraId="26D90824">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5018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76703C0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4617750A">
            <w:pPr>
              <w:keepNext w:val="0"/>
              <w:keepLines w:val="0"/>
              <w:pageBreakBefore w:val="0"/>
              <w:widowControl w:val="0"/>
              <w:suppressLineNumbers w:val="0"/>
              <w:kinsoku/>
              <w:wordWrap w:val="0"/>
              <w:overflowPunct/>
              <w:topLinePunct/>
              <w:autoSpaceDE/>
              <w:autoSpaceDN/>
              <w:bidi w:val="0"/>
              <w:spacing w:before="0" w:beforeAutospacing="0" w:after="0" w:afterAutospacing="0" w:line="360" w:lineRule="auto"/>
              <w:ind w:left="0" w:leftChars="0" w:right="0" w:rightChars="0" w:firstLine="28" w:firstLineChars="0"/>
              <w:jc w:val="center"/>
              <w:textAlignment w:val="auto"/>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344" w:type="dxa"/>
            <w:shd w:val="clear" w:color="auto" w:fill="auto"/>
            <w:noWrap w:val="0"/>
            <w:vAlign w:val="center"/>
          </w:tcPr>
          <w:p w14:paraId="10D45393">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Times New Roman"/>
                <w:b w:val="0"/>
                <w:bCs/>
                <w:sz w:val="22"/>
                <w:szCs w:val="22"/>
              </w:rPr>
              <w:t>保密措施</w:t>
            </w:r>
          </w:p>
        </w:tc>
        <w:tc>
          <w:tcPr>
            <w:tcW w:w="750" w:type="dxa"/>
            <w:shd w:val="clear" w:color="auto" w:fill="auto"/>
            <w:noWrap w:val="0"/>
            <w:vAlign w:val="center"/>
          </w:tcPr>
          <w:p w14:paraId="00BC6159">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5</w:t>
            </w:r>
          </w:p>
        </w:tc>
        <w:tc>
          <w:tcPr>
            <w:tcW w:w="5241" w:type="dxa"/>
            <w:shd w:val="clear" w:color="auto" w:fill="auto"/>
            <w:noWrap w:val="0"/>
            <w:vAlign w:val="center"/>
          </w:tcPr>
          <w:p w14:paraId="4B5CBA93">
            <w:pPr>
              <w:keepNext w:val="0"/>
              <w:keepLines w:val="0"/>
              <w:pageBreakBefore w:val="0"/>
              <w:numPr>
                <w:ilvl w:val="0"/>
                <w:numId w:val="1"/>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Times New Roman"/>
                <w:sz w:val="20"/>
                <w:szCs w:val="20"/>
              </w:rPr>
              <w:t>保密措施完整合理，贴合项目实际，针对性强，且具有健全的保密体系，得</w:t>
            </w:r>
            <w:r>
              <w:rPr>
                <w:rFonts w:hint="eastAsia" w:ascii="宋体" w:hAnsi="宋体" w:cs="Times New Roman"/>
                <w:sz w:val="20"/>
                <w:szCs w:val="20"/>
                <w:lang w:val="en-US" w:eastAsia="zh-CN"/>
              </w:rPr>
              <w:t>5</w:t>
            </w:r>
            <w:r>
              <w:rPr>
                <w:rFonts w:hint="eastAsia" w:ascii="宋体" w:hAnsi="宋体" w:cs="Times New Roman"/>
                <w:sz w:val="20"/>
                <w:szCs w:val="20"/>
              </w:rPr>
              <w:t>分；</w:t>
            </w:r>
          </w:p>
          <w:p w14:paraId="0E1D6F91">
            <w:pPr>
              <w:keepNext w:val="0"/>
              <w:keepLines w:val="0"/>
              <w:pageBreakBefore w:val="0"/>
              <w:numPr>
                <w:ilvl w:val="0"/>
                <w:numId w:val="1"/>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Times New Roman"/>
                <w:sz w:val="20"/>
                <w:szCs w:val="20"/>
              </w:rPr>
              <w:t>保密措施基本合理，针对性一般，保密体系基本完善，得</w:t>
            </w:r>
            <w:r>
              <w:rPr>
                <w:rFonts w:hint="eastAsia" w:ascii="宋体" w:hAnsi="宋体" w:cs="Times New Roman"/>
                <w:sz w:val="20"/>
                <w:szCs w:val="20"/>
                <w:lang w:val="en-US" w:eastAsia="zh-CN"/>
              </w:rPr>
              <w:t>3</w:t>
            </w:r>
            <w:r>
              <w:rPr>
                <w:rFonts w:hint="eastAsia" w:ascii="宋体" w:hAnsi="宋体" w:cs="Times New Roman"/>
                <w:sz w:val="20"/>
                <w:szCs w:val="20"/>
              </w:rPr>
              <w:t>分；</w:t>
            </w:r>
          </w:p>
          <w:p w14:paraId="12BF3F3C">
            <w:pPr>
              <w:keepNext w:val="0"/>
              <w:keepLines w:val="0"/>
              <w:pageBreakBefore w:val="0"/>
              <w:numPr>
                <w:ilvl w:val="0"/>
                <w:numId w:val="1"/>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rPr>
            </w:pPr>
            <w:r>
              <w:rPr>
                <w:rFonts w:hint="eastAsia" w:ascii="宋体" w:hAnsi="宋体" w:cs="Times New Roman"/>
                <w:sz w:val="20"/>
                <w:szCs w:val="20"/>
              </w:rPr>
              <w:t>保密措施不完整，未贴合项目实际，保密体系未做详细描述，得</w:t>
            </w:r>
            <w:r>
              <w:rPr>
                <w:rFonts w:hint="eastAsia" w:ascii="宋体" w:hAnsi="宋体" w:cs="Times New Roman"/>
                <w:sz w:val="20"/>
                <w:szCs w:val="20"/>
                <w:lang w:val="en-US" w:eastAsia="zh-CN"/>
              </w:rPr>
              <w:t>1</w:t>
            </w:r>
            <w:r>
              <w:rPr>
                <w:rFonts w:hint="eastAsia" w:ascii="宋体" w:hAnsi="宋体" w:cs="Times New Roman"/>
                <w:sz w:val="20"/>
                <w:szCs w:val="20"/>
              </w:rPr>
              <w:t>分；</w:t>
            </w:r>
          </w:p>
          <w:p w14:paraId="1539AF82">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kern w:val="2"/>
                <w:sz w:val="20"/>
                <w:szCs w:val="20"/>
                <w:lang w:val="en-US" w:eastAsia="zh-CN" w:bidi="ar-SA"/>
              </w:rPr>
            </w:pPr>
            <w:r>
              <w:rPr>
                <w:rFonts w:hint="eastAsia" w:ascii="宋体" w:hAnsi="宋体" w:cs="Times New Roman"/>
                <w:sz w:val="20"/>
                <w:szCs w:val="20"/>
              </w:rPr>
              <w:t>4、未提供得0分。</w:t>
            </w:r>
          </w:p>
        </w:tc>
        <w:tc>
          <w:tcPr>
            <w:tcW w:w="660" w:type="dxa"/>
            <w:noWrap w:val="0"/>
            <w:vAlign w:val="center"/>
          </w:tcPr>
          <w:p w14:paraId="2F107A0C">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1724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vMerge w:val="continue"/>
            <w:noWrap w:val="0"/>
            <w:vAlign w:val="center"/>
          </w:tcPr>
          <w:p w14:paraId="12127CB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c>
          <w:tcPr>
            <w:tcW w:w="1065" w:type="dxa"/>
            <w:vMerge w:val="continue"/>
            <w:noWrap w:val="0"/>
            <w:vAlign w:val="center"/>
          </w:tcPr>
          <w:p w14:paraId="3B91375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p>
        </w:tc>
        <w:tc>
          <w:tcPr>
            <w:tcW w:w="1344" w:type="dxa"/>
            <w:shd w:val="clear" w:color="auto" w:fill="auto"/>
            <w:noWrap w:val="0"/>
            <w:vAlign w:val="center"/>
          </w:tcPr>
          <w:p w14:paraId="265AB2D0">
            <w:pPr>
              <w:keepNext w:val="0"/>
              <w:keepLines w:val="0"/>
              <w:pageBreakBefore w:val="0"/>
              <w:kinsoku/>
              <w:wordWrap/>
              <w:overflowPunct/>
              <w:topLinePunct w:val="0"/>
              <w:autoSpaceDE/>
              <w:autoSpaceDN/>
              <w:bidi w:val="0"/>
              <w:adjustRightInd/>
              <w:snapToGrid/>
              <w:spacing w:line="320" w:lineRule="exact"/>
              <w:ind w:firstLine="28"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2"/>
                <w:szCs w:val="22"/>
                <w:lang w:val="en-US" w:eastAsia="zh-CN"/>
              </w:rPr>
              <w:t>拟投入设备、车辆情况</w:t>
            </w:r>
          </w:p>
        </w:tc>
        <w:tc>
          <w:tcPr>
            <w:tcW w:w="750" w:type="dxa"/>
            <w:shd w:val="clear" w:color="auto" w:fill="auto"/>
            <w:noWrap w:val="0"/>
            <w:vAlign w:val="center"/>
          </w:tcPr>
          <w:p w14:paraId="05E5ED8F">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sz w:val="21"/>
                <w:szCs w:val="21"/>
                <w:lang w:val="en-US" w:eastAsia="zh-CN"/>
              </w:rPr>
              <w:t>7</w:t>
            </w:r>
          </w:p>
        </w:tc>
        <w:tc>
          <w:tcPr>
            <w:tcW w:w="5241" w:type="dxa"/>
            <w:shd w:val="clear" w:color="auto" w:fill="auto"/>
            <w:noWrap w:val="0"/>
            <w:vAlign w:val="center"/>
          </w:tcPr>
          <w:p w14:paraId="0EE8190C">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对投入本项目的设备、车辆等配置方案进行评定。</w:t>
            </w:r>
          </w:p>
          <w:p w14:paraId="105D1D34">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1.满足项目需求，设备及车辆的</w:t>
            </w:r>
            <w:r>
              <w:rPr>
                <w:rFonts w:hint="eastAsia" w:ascii="宋体" w:hAnsi="宋体" w:cs="Times New Roman"/>
                <w:sz w:val="20"/>
                <w:szCs w:val="20"/>
              </w:rPr>
              <w:t>配置性能优异</w:t>
            </w:r>
            <w:r>
              <w:rPr>
                <w:rFonts w:hint="eastAsia" w:ascii="宋体" w:hAnsi="宋体" w:cs="Times New Roman"/>
                <w:sz w:val="20"/>
                <w:szCs w:val="20"/>
                <w:lang w:eastAsia="zh-CN"/>
              </w:rPr>
              <w:t>，办公用品配套齐全，整体方案针对性强，得7分</w:t>
            </w:r>
            <w:r>
              <w:rPr>
                <w:rFonts w:hint="eastAsia" w:ascii="宋体" w:hAnsi="宋体" w:cs="Times New Roman"/>
                <w:sz w:val="20"/>
                <w:szCs w:val="20"/>
                <w:lang w:val="en-US" w:eastAsia="zh-CN"/>
              </w:rPr>
              <w:t>；</w:t>
            </w:r>
          </w:p>
          <w:p w14:paraId="47AD9E6E">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宋体" w:hAnsi="宋体" w:cs="Times New Roman"/>
                <w:sz w:val="20"/>
                <w:szCs w:val="20"/>
                <w:lang w:val="en-US" w:eastAsia="zh-CN"/>
              </w:rPr>
            </w:pPr>
            <w:r>
              <w:rPr>
                <w:rFonts w:hint="eastAsia" w:ascii="宋体" w:hAnsi="宋体" w:cs="Times New Roman"/>
                <w:sz w:val="20"/>
                <w:szCs w:val="20"/>
                <w:lang w:val="en-US" w:eastAsia="zh-CN"/>
              </w:rPr>
              <w:t>2、满足项目需求，设备及车辆的</w:t>
            </w:r>
            <w:r>
              <w:rPr>
                <w:rFonts w:hint="eastAsia" w:ascii="宋体" w:hAnsi="宋体" w:cs="Times New Roman"/>
                <w:sz w:val="20"/>
                <w:szCs w:val="20"/>
              </w:rPr>
              <w:t>配置性能满足日常使用，办公用品配套完整，得 5 分</w:t>
            </w:r>
          </w:p>
          <w:p w14:paraId="6593D3A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3、满足项目需求，设备及车辆的配置性能</w:t>
            </w:r>
            <w:r>
              <w:rPr>
                <w:rFonts w:hint="eastAsia" w:ascii="宋体" w:hAnsi="宋体" w:cs="Times New Roman"/>
                <w:sz w:val="20"/>
                <w:szCs w:val="20"/>
              </w:rPr>
              <w:t>刚好达到最低使用要求</w:t>
            </w:r>
            <w:r>
              <w:rPr>
                <w:rFonts w:hint="eastAsia" w:ascii="宋体" w:hAnsi="宋体" w:cs="Times New Roman"/>
                <w:sz w:val="20"/>
                <w:szCs w:val="20"/>
                <w:lang w:eastAsia="zh-CN"/>
              </w:rPr>
              <w:t>，</w:t>
            </w:r>
            <w:r>
              <w:rPr>
                <w:rFonts w:hint="eastAsia" w:ascii="宋体" w:hAnsi="宋体" w:cs="Times New Roman"/>
                <w:sz w:val="20"/>
                <w:szCs w:val="20"/>
              </w:rPr>
              <w:t>办公用品基本配齐得 2 分</w:t>
            </w:r>
            <w:r>
              <w:rPr>
                <w:rFonts w:hint="eastAsia" w:ascii="宋体" w:hAnsi="宋体" w:cs="Times New Roman"/>
                <w:sz w:val="20"/>
                <w:szCs w:val="20"/>
                <w:lang w:val="en-US" w:eastAsia="zh-CN"/>
              </w:rPr>
              <w:t>；</w:t>
            </w:r>
          </w:p>
          <w:p w14:paraId="40B89603">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kern w:val="2"/>
                <w:sz w:val="20"/>
                <w:szCs w:val="20"/>
                <w:lang w:val="en-US" w:eastAsia="zh-CN" w:bidi="ar-SA"/>
              </w:rPr>
            </w:pPr>
            <w:r>
              <w:rPr>
                <w:rFonts w:hint="eastAsia" w:ascii="宋体" w:hAnsi="宋体" w:cs="Times New Roman"/>
                <w:sz w:val="20"/>
                <w:szCs w:val="20"/>
                <w:lang w:val="en-US" w:eastAsia="zh-CN"/>
              </w:rPr>
              <w:t>4、未提供得0分。</w:t>
            </w:r>
          </w:p>
        </w:tc>
        <w:tc>
          <w:tcPr>
            <w:tcW w:w="660" w:type="dxa"/>
            <w:noWrap w:val="0"/>
            <w:vAlign w:val="center"/>
          </w:tcPr>
          <w:p w14:paraId="7EAA4BE7">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p>
        </w:tc>
      </w:tr>
      <w:tr w14:paraId="6655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60" w:type="dxa"/>
            <w:noWrap w:val="0"/>
            <w:vAlign w:val="center"/>
          </w:tcPr>
          <w:p w14:paraId="594201A5">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3</w:t>
            </w:r>
          </w:p>
        </w:tc>
        <w:tc>
          <w:tcPr>
            <w:tcW w:w="2409" w:type="dxa"/>
            <w:gridSpan w:val="2"/>
            <w:noWrap w:val="0"/>
            <w:vAlign w:val="center"/>
          </w:tcPr>
          <w:p w14:paraId="3583492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报价评审</w:t>
            </w:r>
          </w:p>
          <w:p w14:paraId="17C200CB">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（10分）</w:t>
            </w:r>
          </w:p>
        </w:tc>
        <w:tc>
          <w:tcPr>
            <w:tcW w:w="750" w:type="dxa"/>
            <w:noWrap w:val="0"/>
            <w:vAlign w:val="center"/>
          </w:tcPr>
          <w:p w14:paraId="4AC4DB20">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lang w:val="en-US" w:eastAsia="zh-CN"/>
              </w:rPr>
              <w:t>10</w:t>
            </w:r>
          </w:p>
        </w:tc>
        <w:tc>
          <w:tcPr>
            <w:tcW w:w="5241" w:type="dxa"/>
            <w:noWrap w:val="0"/>
            <w:vAlign w:val="center"/>
          </w:tcPr>
          <w:p w14:paraId="50896674">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满足</w:t>
            </w:r>
            <w:r>
              <w:rPr>
                <w:rFonts w:hint="eastAsia" w:asciiTheme="minorEastAsia" w:hAnsiTheme="minorEastAsia" w:eastAsiaTheme="minorEastAsia" w:cstheme="minorEastAsia"/>
                <w:b w:val="0"/>
                <w:bCs w:val="0"/>
                <w:snapToGrid/>
                <w:spacing w:val="0"/>
                <w:kern w:val="21"/>
                <w:sz w:val="20"/>
                <w:szCs w:val="20"/>
                <w:highlight w:val="none"/>
                <w:lang w:eastAsia="zh-CN"/>
              </w:rPr>
              <w:t>竞争性磋商</w:t>
            </w:r>
            <w:r>
              <w:rPr>
                <w:rFonts w:hint="eastAsia" w:asciiTheme="minorEastAsia" w:hAnsiTheme="minorEastAsia" w:eastAsiaTheme="minorEastAsia" w:cstheme="minorEastAsia"/>
                <w:b w:val="0"/>
                <w:bCs w:val="0"/>
                <w:snapToGrid/>
                <w:spacing w:val="0"/>
                <w:kern w:val="21"/>
                <w:sz w:val="20"/>
                <w:szCs w:val="20"/>
                <w:highlight w:val="none"/>
              </w:rPr>
              <w:t>要求的最后报价最低的供应商的价格为磋商基准价，其价格分为满分。其他供应商的价格分统一按照下列公式计算：</w:t>
            </w:r>
          </w:p>
          <w:p w14:paraId="51C046C5">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磋商报价得分=（磋商基准价/最后报价）×分值</w:t>
            </w:r>
          </w:p>
          <w:p w14:paraId="7792073B">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default" w:asciiTheme="minorEastAsia" w:hAnsiTheme="minorEastAsia" w:eastAsiaTheme="minorEastAsia" w:cstheme="minorEastAsia"/>
                <w:b w:val="0"/>
                <w:bCs w:val="0"/>
                <w:snapToGrid/>
                <w:spacing w:val="0"/>
                <w:kern w:val="21"/>
                <w:sz w:val="20"/>
                <w:szCs w:val="20"/>
                <w:highlight w:val="none"/>
                <w:lang w:val="en-US" w:eastAsia="zh-CN"/>
              </w:rPr>
            </w:pPr>
            <w:r>
              <w:rPr>
                <w:rFonts w:hint="eastAsia" w:asciiTheme="minorEastAsia" w:hAnsiTheme="minorEastAsia" w:eastAsiaTheme="minorEastAsia" w:cstheme="minorEastAsia"/>
                <w:b w:val="0"/>
                <w:bCs w:val="0"/>
                <w:snapToGrid/>
                <w:spacing w:val="0"/>
                <w:kern w:val="21"/>
                <w:sz w:val="20"/>
                <w:szCs w:val="20"/>
                <w:highlight w:val="none"/>
              </w:rPr>
              <w:t>此处最后报价指经过报价修正，及因落实政府采购政策进行价格调整后的报价，详见第三章《评审方法和评审标准》3.2、3.3</w:t>
            </w:r>
            <w:r>
              <w:rPr>
                <w:rFonts w:hint="eastAsia" w:asciiTheme="minorEastAsia" w:hAnsiTheme="minorEastAsia" w:eastAsiaTheme="minorEastAsia" w:cstheme="minorEastAsia"/>
                <w:b w:val="0"/>
                <w:bCs w:val="0"/>
                <w:snapToGrid/>
                <w:spacing w:val="0"/>
                <w:kern w:val="21"/>
                <w:sz w:val="20"/>
                <w:szCs w:val="20"/>
                <w:highlight w:val="none"/>
                <w:lang w:eastAsia="zh-CN"/>
              </w:rPr>
              <w:t>、</w:t>
            </w:r>
            <w:r>
              <w:rPr>
                <w:rFonts w:hint="eastAsia" w:asciiTheme="minorEastAsia" w:hAnsiTheme="minorEastAsia" w:eastAsiaTheme="minorEastAsia" w:cstheme="minorEastAsia"/>
                <w:b w:val="0"/>
                <w:bCs w:val="0"/>
                <w:snapToGrid/>
                <w:spacing w:val="0"/>
                <w:kern w:val="21"/>
                <w:sz w:val="20"/>
                <w:szCs w:val="20"/>
                <w:highlight w:val="none"/>
                <w:lang w:val="en-US" w:eastAsia="zh-CN"/>
              </w:rPr>
              <w:t>3.4</w:t>
            </w:r>
          </w:p>
        </w:tc>
        <w:tc>
          <w:tcPr>
            <w:tcW w:w="660" w:type="dxa"/>
            <w:noWrap w:val="0"/>
            <w:vAlign w:val="center"/>
          </w:tcPr>
          <w:p w14:paraId="40243053">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p>
        </w:tc>
      </w:tr>
      <w:tr w14:paraId="6797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69" w:type="dxa"/>
            <w:gridSpan w:val="3"/>
            <w:noWrap w:val="0"/>
            <w:vAlign w:val="center"/>
          </w:tcPr>
          <w:p w14:paraId="719A4C1A">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合计</w:t>
            </w:r>
          </w:p>
        </w:tc>
        <w:tc>
          <w:tcPr>
            <w:tcW w:w="750" w:type="dxa"/>
            <w:noWrap w:val="0"/>
            <w:vAlign w:val="center"/>
          </w:tcPr>
          <w:p w14:paraId="17CEFD1E">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t>100</w:t>
            </w:r>
          </w:p>
        </w:tc>
        <w:tc>
          <w:tcPr>
            <w:tcW w:w="5901" w:type="dxa"/>
            <w:gridSpan w:val="2"/>
            <w:noWrap w:val="0"/>
            <w:vAlign w:val="center"/>
          </w:tcPr>
          <w:p w14:paraId="332271FD">
            <w:pPr>
              <w:keepNext w:val="0"/>
              <w:keepLines w:val="0"/>
              <w:pageBreakBefore w:val="0"/>
              <w:widowControl w:val="0"/>
              <w:tabs>
                <w:tab w:val="left" w:pos="1080"/>
              </w:tabs>
              <w:kinsoku/>
              <w:wordWrap w:val="0"/>
              <w:overflowPunct/>
              <w:topLinePunct/>
              <w:autoSpaceDE/>
              <w:autoSpaceDN/>
              <w:bidi w:val="0"/>
              <w:snapToGrid w:val="0"/>
              <w:spacing w:line="360" w:lineRule="auto"/>
              <w:jc w:val="center"/>
              <w:outlineLvl w:val="9"/>
              <w:rPr>
                <w:rFonts w:hint="eastAsia" w:asciiTheme="minorEastAsia" w:hAnsiTheme="minorEastAsia" w:eastAsiaTheme="minorEastAsia" w:cstheme="minorEastAsia"/>
                <w:b w:val="0"/>
                <w:bCs w:val="0"/>
                <w:snapToGrid/>
                <w:spacing w:val="0"/>
                <w:kern w:val="21"/>
                <w:sz w:val="20"/>
                <w:szCs w:val="20"/>
                <w:highlight w:val="none"/>
              </w:rPr>
            </w:pPr>
          </w:p>
        </w:tc>
      </w:tr>
    </w:tbl>
    <w:p w14:paraId="409B6D11">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0"/>
          <w:szCs w:val="20"/>
          <w:highlight w:val="none"/>
        </w:rPr>
      </w:pPr>
      <w:r>
        <w:rPr>
          <w:rFonts w:hint="eastAsia" w:asciiTheme="minorEastAsia" w:hAnsiTheme="minorEastAsia" w:eastAsiaTheme="minorEastAsia" w:cstheme="minorEastAsia"/>
          <w:b w:val="0"/>
          <w:bCs w:val="0"/>
          <w:snapToGrid/>
          <w:spacing w:val="0"/>
          <w:kern w:val="21"/>
          <w:sz w:val="20"/>
          <w:szCs w:val="20"/>
          <w:highlight w:val="none"/>
        </w:rPr>
        <w:br w:type="page"/>
      </w:r>
    </w:p>
    <w:p w14:paraId="19C36FFA">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bCs/>
          <w:snapToGrid/>
          <w:spacing w:val="0"/>
          <w:kern w:val="21"/>
          <w:sz w:val="24"/>
          <w:szCs w:val="24"/>
          <w:highlight w:val="none"/>
        </w:rPr>
      </w:pPr>
      <w:bookmarkStart w:id="668" w:name="_Toc12440"/>
      <w:r>
        <w:rPr>
          <w:rFonts w:hint="eastAsia" w:asciiTheme="minorEastAsia" w:hAnsiTheme="minorEastAsia" w:eastAsiaTheme="minorEastAsia" w:cstheme="minorEastAsia"/>
          <w:b/>
          <w:bCs/>
          <w:snapToGrid/>
          <w:spacing w:val="0"/>
          <w:kern w:val="21"/>
          <w:sz w:val="24"/>
          <w:szCs w:val="24"/>
          <w:highlight w:val="none"/>
        </w:rPr>
        <w:t>第四章   采购需求</w:t>
      </w:r>
      <w:bookmarkEnd w:id="668"/>
    </w:p>
    <w:p w14:paraId="22B2E814">
      <w:pPr>
        <w:pStyle w:val="32"/>
        <w:numPr>
          <w:ilvl w:val="0"/>
          <w:numId w:val="0"/>
        </w:numPr>
        <w:spacing w:line="360" w:lineRule="auto"/>
        <w:ind w:leftChars="0"/>
        <w:contextualSpacing/>
        <w:rPr>
          <w:rFonts w:ascii="Times New Roman" w:hAnsi="Times New Roman"/>
          <w:b/>
          <w:sz w:val="24"/>
          <w:szCs w:val="24"/>
        </w:rPr>
      </w:pPr>
      <w:bookmarkStart w:id="669" w:name="bookmark5"/>
      <w:bookmarkEnd w:id="669"/>
      <w:r>
        <w:rPr>
          <w:rFonts w:hint="eastAsia" w:ascii="Times New Roman" w:hAnsi="Times New Roman"/>
          <w:b/>
          <w:sz w:val="24"/>
          <w:szCs w:val="24"/>
          <w:lang w:val="en-US" w:eastAsia="zh-CN"/>
        </w:rPr>
        <w:t xml:space="preserve">第一部分 </w:t>
      </w:r>
      <w:r>
        <w:rPr>
          <w:rFonts w:ascii="Times New Roman" w:hAnsi="Times New Roman"/>
          <w:b/>
          <w:sz w:val="24"/>
          <w:szCs w:val="24"/>
        </w:rPr>
        <w:t>采购标的</w:t>
      </w:r>
    </w:p>
    <w:p w14:paraId="0776F743">
      <w:pPr>
        <w:spacing w:line="360" w:lineRule="auto"/>
        <w:contextualSpacing/>
        <w:rPr>
          <w:bCs/>
          <w:sz w:val="24"/>
        </w:rPr>
      </w:pPr>
      <w:r>
        <w:rPr>
          <w:bCs/>
          <w:sz w:val="24"/>
        </w:rPr>
        <w:t>1. 采购标的</w:t>
      </w:r>
    </w:p>
    <w:tbl>
      <w:tblPr>
        <w:tblStyle w:val="24"/>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723"/>
        <w:gridCol w:w="2021"/>
        <w:gridCol w:w="5148"/>
      </w:tblGrid>
      <w:tr w14:paraId="2F04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666" w:type="dxa"/>
            <w:shd w:val="clear" w:color="auto" w:fill="auto"/>
            <w:vAlign w:val="center"/>
          </w:tcPr>
          <w:p w14:paraId="3C06E6CB">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包号</w:t>
            </w:r>
          </w:p>
        </w:tc>
        <w:tc>
          <w:tcPr>
            <w:tcW w:w="1723" w:type="dxa"/>
            <w:shd w:val="clear" w:color="auto" w:fill="auto"/>
            <w:vAlign w:val="center"/>
          </w:tcPr>
          <w:p w14:paraId="279C01E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项目名称</w:t>
            </w:r>
          </w:p>
        </w:tc>
        <w:tc>
          <w:tcPr>
            <w:tcW w:w="2021" w:type="dxa"/>
            <w:shd w:val="clear" w:color="auto" w:fill="auto"/>
            <w:vAlign w:val="center"/>
          </w:tcPr>
          <w:p w14:paraId="7A793CAC">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预算金额</w:t>
            </w:r>
            <w:r>
              <w:rPr>
                <w:rFonts w:hint="eastAsia" w:ascii="宋体" w:hAnsi="宋体" w:eastAsia="宋体" w:cs="宋体"/>
                <w:b w:val="0"/>
                <w:bCs w:val="0"/>
                <w:sz w:val="21"/>
                <w:szCs w:val="21"/>
                <w:highlight w:val="none"/>
                <w:lang w:val="en-US" w:eastAsia="zh-CN"/>
              </w:rPr>
              <w:t>及最高限价（万元）</w:t>
            </w:r>
          </w:p>
        </w:tc>
        <w:tc>
          <w:tcPr>
            <w:tcW w:w="5148" w:type="dxa"/>
            <w:shd w:val="clear" w:color="auto" w:fill="auto"/>
            <w:vAlign w:val="center"/>
          </w:tcPr>
          <w:p w14:paraId="36F5041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简要技术需求或服务要求</w:t>
            </w:r>
          </w:p>
        </w:tc>
      </w:tr>
      <w:tr w14:paraId="6945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jc w:val="center"/>
        </w:trPr>
        <w:tc>
          <w:tcPr>
            <w:tcW w:w="666" w:type="dxa"/>
            <w:shd w:val="clear" w:color="auto" w:fill="auto"/>
            <w:vAlign w:val="center"/>
          </w:tcPr>
          <w:p w14:paraId="0129E820">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cs="宋体"/>
                <w:b w:val="0"/>
                <w:bCs w:val="0"/>
                <w:sz w:val="21"/>
                <w:szCs w:val="21"/>
                <w:highlight w:val="none"/>
                <w:lang w:eastAsia="zh-CN"/>
              </w:rPr>
            </w:pPr>
            <w:r>
              <w:rPr>
                <w:rFonts w:hint="eastAsia" w:ascii="宋体" w:hAnsi="宋体" w:cs="宋体"/>
                <w:b w:val="0"/>
                <w:bCs w:val="0"/>
                <w:sz w:val="21"/>
                <w:szCs w:val="21"/>
                <w:highlight w:val="none"/>
                <w:lang w:eastAsia="zh-CN"/>
              </w:rPr>
              <w:t>01</w:t>
            </w:r>
          </w:p>
        </w:tc>
        <w:tc>
          <w:tcPr>
            <w:tcW w:w="1723" w:type="dxa"/>
            <w:shd w:val="clear" w:color="auto" w:fill="auto"/>
            <w:vAlign w:val="center"/>
          </w:tcPr>
          <w:p w14:paraId="2FBF0FF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环境建设第三方检查</w:t>
            </w:r>
          </w:p>
        </w:tc>
        <w:tc>
          <w:tcPr>
            <w:tcW w:w="2021" w:type="dxa"/>
            <w:shd w:val="clear" w:color="auto" w:fill="auto"/>
            <w:vAlign w:val="center"/>
          </w:tcPr>
          <w:p w14:paraId="61319C6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270.5</w:t>
            </w:r>
          </w:p>
        </w:tc>
        <w:tc>
          <w:tcPr>
            <w:tcW w:w="5148" w:type="dxa"/>
            <w:shd w:val="clear" w:color="auto" w:fill="auto"/>
            <w:vAlign w:val="center"/>
          </w:tcPr>
          <w:p w14:paraId="5E6FED77">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聘请一家供应商，对顺义区全域范围内环境进行全面覆盖检查、反馈问题到责任主体部门、形成检查台账、问题台账、易发问题台账等基础信息表，每月更新一次。同时，根据检查数据形成最终的月度报告。（具体内容详见“采购需求”）</w:t>
            </w:r>
          </w:p>
        </w:tc>
      </w:tr>
    </w:tbl>
    <w:p w14:paraId="0317E19A">
      <w:pPr>
        <w:spacing w:line="360" w:lineRule="auto"/>
        <w:ind w:firstLine="482"/>
        <w:contextualSpacing/>
        <w:rPr>
          <w:b/>
          <w:sz w:val="24"/>
        </w:rPr>
      </w:pPr>
    </w:p>
    <w:p w14:paraId="1A420AEF">
      <w:pPr>
        <w:pStyle w:val="32"/>
        <w:numPr>
          <w:ilvl w:val="0"/>
          <w:numId w:val="0"/>
        </w:numPr>
        <w:spacing w:line="360" w:lineRule="auto"/>
        <w:ind w:leftChars="0"/>
        <w:contextualSpacing/>
        <w:rPr>
          <w:rFonts w:ascii="Times New Roman" w:hAnsi="Times New Roman"/>
          <w:b/>
          <w:sz w:val="24"/>
          <w:szCs w:val="24"/>
        </w:rPr>
      </w:pPr>
      <w:r>
        <w:rPr>
          <w:rFonts w:hint="eastAsia" w:ascii="Times New Roman" w:hAnsi="Times New Roman"/>
          <w:b/>
          <w:sz w:val="24"/>
          <w:szCs w:val="24"/>
          <w:lang w:val="en-US" w:eastAsia="zh-CN"/>
        </w:rPr>
        <w:t xml:space="preserve">第二部分 </w:t>
      </w:r>
      <w:r>
        <w:rPr>
          <w:rFonts w:ascii="Times New Roman" w:hAnsi="Times New Roman"/>
          <w:b/>
          <w:sz w:val="24"/>
          <w:szCs w:val="24"/>
        </w:rPr>
        <w:t>商务要求</w:t>
      </w:r>
    </w:p>
    <w:p w14:paraId="249928B9">
      <w:pPr>
        <w:spacing w:line="360" w:lineRule="auto"/>
        <w:contextualSpacing/>
        <w:rPr>
          <w:rFonts w:hint="eastAsia" w:ascii="Times New Roman" w:hAnsi="Times New Roman" w:eastAsia="宋体" w:cs="Times New Roman"/>
          <w:color w:val="auto"/>
          <w:sz w:val="22"/>
          <w:szCs w:val="28"/>
        </w:rPr>
      </w:pPr>
      <w:r>
        <w:rPr>
          <w:rFonts w:hint="eastAsia" w:ascii="Times New Roman" w:hAnsi="Times New Roman" w:eastAsia="宋体" w:cs="Times New Roman"/>
          <w:color w:val="auto"/>
          <w:sz w:val="22"/>
          <w:szCs w:val="28"/>
        </w:rPr>
        <w:t>★</w:t>
      </w:r>
      <w:r>
        <w:rPr>
          <w:rFonts w:ascii="Times New Roman" w:hAnsi="Times New Roman" w:eastAsia="宋体" w:cs="Times New Roman"/>
          <w:color w:val="auto"/>
          <w:sz w:val="22"/>
          <w:szCs w:val="28"/>
        </w:rPr>
        <w:t>1</w:t>
      </w:r>
      <w:r>
        <w:rPr>
          <w:rFonts w:hint="eastAsia" w:ascii="Times New Roman" w:hAnsi="Times New Roman" w:eastAsia="宋体" w:cs="Times New Roman"/>
          <w:color w:val="auto"/>
          <w:sz w:val="22"/>
          <w:szCs w:val="28"/>
        </w:rPr>
        <w:t>.合同履行期限：自</w:t>
      </w:r>
      <w:r>
        <w:rPr>
          <w:rFonts w:ascii="Times New Roman" w:hAnsi="Times New Roman" w:eastAsia="宋体" w:cs="Times New Roman"/>
          <w:color w:val="auto"/>
          <w:sz w:val="22"/>
          <w:szCs w:val="28"/>
        </w:rPr>
        <w:t>合同签订</w:t>
      </w:r>
      <w:r>
        <w:rPr>
          <w:rFonts w:hint="eastAsia" w:ascii="Times New Roman" w:hAnsi="Times New Roman" w:eastAsia="宋体" w:cs="Times New Roman"/>
          <w:color w:val="auto"/>
          <w:sz w:val="22"/>
          <w:szCs w:val="28"/>
        </w:rPr>
        <w:t>之</w:t>
      </w:r>
      <w:r>
        <w:rPr>
          <w:rFonts w:ascii="Times New Roman" w:hAnsi="Times New Roman" w:eastAsia="宋体" w:cs="Times New Roman"/>
          <w:color w:val="auto"/>
          <w:sz w:val="22"/>
          <w:szCs w:val="28"/>
        </w:rPr>
        <w:t>日</w:t>
      </w:r>
      <w:r>
        <w:rPr>
          <w:rFonts w:hint="eastAsia" w:ascii="Times New Roman" w:hAnsi="Times New Roman" w:eastAsia="宋体" w:cs="Times New Roman"/>
          <w:color w:val="auto"/>
          <w:sz w:val="22"/>
          <w:szCs w:val="28"/>
        </w:rPr>
        <w:t>起</w:t>
      </w:r>
      <w:r>
        <w:rPr>
          <w:rFonts w:ascii="Times New Roman" w:hAnsi="Times New Roman" w:eastAsia="宋体" w:cs="Times New Roman"/>
          <w:color w:val="auto"/>
          <w:sz w:val="22"/>
          <w:szCs w:val="28"/>
        </w:rPr>
        <w:t>1年</w:t>
      </w:r>
      <w:r>
        <w:rPr>
          <w:rFonts w:hint="eastAsia" w:ascii="Times New Roman" w:hAnsi="Times New Roman" w:eastAsia="宋体" w:cs="Times New Roman"/>
          <w:color w:val="auto"/>
          <w:sz w:val="22"/>
          <w:szCs w:val="28"/>
        </w:rPr>
        <w:t>（1</w:t>
      </w:r>
      <w:r>
        <w:rPr>
          <w:rFonts w:ascii="Times New Roman" w:hAnsi="Times New Roman" w:eastAsia="宋体" w:cs="Times New Roman"/>
          <w:color w:val="auto"/>
          <w:sz w:val="22"/>
          <w:szCs w:val="28"/>
        </w:rPr>
        <w:t>2</w:t>
      </w:r>
      <w:r>
        <w:rPr>
          <w:rFonts w:hint="eastAsia" w:ascii="Times New Roman" w:hAnsi="Times New Roman" w:eastAsia="宋体" w:cs="Times New Roman"/>
          <w:color w:val="auto"/>
          <w:sz w:val="22"/>
          <w:szCs w:val="28"/>
        </w:rPr>
        <w:t>个月）</w:t>
      </w:r>
      <w:r>
        <w:rPr>
          <w:rFonts w:hint="eastAsia" w:ascii="Times New Roman" w:hAnsi="Times New Roman" w:eastAsia="宋体" w:cs="Times New Roman"/>
          <w:color w:val="auto"/>
          <w:sz w:val="22"/>
          <w:szCs w:val="28"/>
          <w:lang w:eastAsia="zh-CN"/>
        </w:rPr>
        <w:t>，</w:t>
      </w:r>
      <w:r>
        <w:rPr>
          <w:rFonts w:hint="eastAsia" w:ascii="Times New Roman" w:hAnsi="Times New Roman" w:eastAsia="宋体" w:cs="Times New Roman"/>
          <w:color w:val="auto"/>
          <w:sz w:val="22"/>
          <w:szCs w:val="28"/>
          <w:lang w:val="en-US" w:eastAsia="zh-CN"/>
        </w:rPr>
        <w:t>具体以合同约定时间为准</w:t>
      </w:r>
      <w:r>
        <w:rPr>
          <w:rFonts w:hint="eastAsia" w:ascii="Times New Roman" w:hAnsi="Times New Roman" w:eastAsia="宋体" w:cs="Times New Roman"/>
          <w:color w:val="auto"/>
          <w:sz w:val="22"/>
          <w:szCs w:val="28"/>
        </w:rPr>
        <w:t>；</w:t>
      </w:r>
    </w:p>
    <w:p w14:paraId="167071AC">
      <w:pPr>
        <w:spacing w:line="360" w:lineRule="auto"/>
        <w:contextualSpacing/>
        <w:rPr>
          <w:rFonts w:ascii="Times New Roman" w:hAnsi="Times New Roman" w:eastAsia="宋体" w:cs="Times New Roman"/>
          <w:color w:val="auto"/>
          <w:sz w:val="22"/>
          <w:szCs w:val="28"/>
        </w:rPr>
      </w:pPr>
      <w:r>
        <w:rPr>
          <w:rFonts w:hint="eastAsia" w:ascii="Times New Roman" w:hAnsi="Times New Roman" w:eastAsia="宋体" w:cs="Times New Roman"/>
          <w:color w:val="auto"/>
          <w:sz w:val="22"/>
          <w:szCs w:val="28"/>
        </w:rPr>
        <w:t>★2.服务</w:t>
      </w:r>
      <w:r>
        <w:rPr>
          <w:rFonts w:ascii="Times New Roman" w:hAnsi="Times New Roman" w:eastAsia="宋体" w:cs="Times New Roman"/>
          <w:color w:val="auto"/>
          <w:sz w:val="22"/>
          <w:szCs w:val="28"/>
        </w:rPr>
        <w:t>地点：</w:t>
      </w:r>
      <w:r>
        <w:rPr>
          <w:rFonts w:hint="eastAsia" w:ascii="Times New Roman" w:hAnsi="Times New Roman" w:eastAsia="宋体" w:cs="Times New Roman"/>
          <w:color w:val="auto"/>
          <w:sz w:val="22"/>
          <w:szCs w:val="28"/>
          <w:lang w:val="en-US" w:eastAsia="zh-CN"/>
        </w:rPr>
        <w:t>顺义区全域范围</w:t>
      </w:r>
      <w:r>
        <w:rPr>
          <w:rFonts w:hint="eastAsia" w:ascii="Times New Roman" w:hAnsi="Times New Roman" w:eastAsia="宋体" w:cs="Times New Roman"/>
          <w:color w:val="auto"/>
          <w:sz w:val="22"/>
          <w:szCs w:val="28"/>
        </w:rPr>
        <w:t>；</w:t>
      </w:r>
    </w:p>
    <w:p w14:paraId="6906750E">
      <w:pPr>
        <w:spacing w:line="360" w:lineRule="auto"/>
        <w:contextualSpacing/>
        <w:rPr>
          <w:rFonts w:hint="eastAsia" w:ascii="Times New Roman" w:hAnsi="Times New Roman" w:eastAsia="宋体" w:cs="Times New Roman"/>
          <w:color w:val="auto"/>
          <w:sz w:val="22"/>
          <w:szCs w:val="28"/>
          <w:lang w:val="en-US" w:eastAsia="zh-CN"/>
        </w:rPr>
      </w:pPr>
      <w:r>
        <w:rPr>
          <w:rFonts w:hint="eastAsia" w:ascii="Times New Roman" w:hAnsi="Times New Roman" w:eastAsia="宋体" w:cs="Times New Roman"/>
          <w:color w:val="auto"/>
          <w:sz w:val="22"/>
          <w:szCs w:val="28"/>
        </w:rPr>
        <w:t>★3</w:t>
      </w:r>
      <w:r>
        <w:rPr>
          <w:rFonts w:ascii="Times New Roman" w:hAnsi="Times New Roman" w:eastAsia="宋体" w:cs="Times New Roman"/>
          <w:color w:val="auto"/>
          <w:sz w:val="22"/>
          <w:szCs w:val="28"/>
        </w:rPr>
        <w:t>.付款条件（进度和方式）：</w:t>
      </w:r>
      <w:r>
        <w:rPr>
          <w:rFonts w:hint="eastAsia" w:ascii="Times New Roman" w:hAnsi="Times New Roman" w:eastAsia="宋体" w:cs="Times New Roman"/>
          <w:color w:val="auto"/>
          <w:sz w:val="22"/>
          <w:szCs w:val="28"/>
        </w:rPr>
        <w:t>详见合同相应条款</w:t>
      </w:r>
      <w:r>
        <w:rPr>
          <w:rFonts w:hint="eastAsia" w:ascii="Times New Roman" w:hAnsi="Times New Roman" w:eastAsia="宋体" w:cs="Times New Roman"/>
          <w:color w:val="auto"/>
          <w:sz w:val="22"/>
          <w:szCs w:val="28"/>
          <w:lang w:val="en-US" w:eastAsia="zh-CN"/>
        </w:rPr>
        <w:t>。</w:t>
      </w:r>
    </w:p>
    <w:p w14:paraId="0CAE72B6">
      <w:pPr>
        <w:spacing w:line="360" w:lineRule="auto"/>
        <w:contextualSpacing/>
        <w:rPr>
          <w:b/>
          <w:i/>
          <w:sz w:val="24"/>
        </w:rPr>
      </w:pPr>
    </w:p>
    <w:p w14:paraId="1783A4E5">
      <w:pPr>
        <w:pStyle w:val="32"/>
        <w:numPr>
          <w:ilvl w:val="0"/>
          <w:numId w:val="0"/>
        </w:numPr>
        <w:spacing w:line="360" w:lineRule="auto"/>
        <w:ind w:leftChars="0"/>
        <w:contextualSpacing/>
        <w:rPr>
          <w:rFonts w:ascii="Times New Roman" w:hAnsi="Times New Roman"/>
          <w:b/>
          <w:sz w:val="24"/>
          <w:szCs w:val="24"/>
        </w:rPr>
      </w:pPr>
      <w:r>
        <w:rPr>
          <w:rFonts w:hint="eastAsia" w:ascii="Times New Roman" w:hAnsi="Times New Roman"/>
          <w:b/>
          <w:sz w:val="24"/>
          <w:szCs w:val="24"/>
          <w:lang w:val="en-US" w:eastAsia="zh-CN"/>
        </w:rPr>
        <w:t xml:space="preserve">第三部分 </w:t>
      </w:r>
      <w:r>
        <w:rPr>
          <w:rFonts w:ascii="Times New Roman" w:hAnsi="Times New Roman"/>
          <w:b/>
          <w:sz w:val="24"/>
          <w:szCs w:val="24"/>
        </w:rPr>
        <w:t>技术要求</w:t>
      </w:r>
    </w:p>
    <w:p w14:paraId="0C5CE348">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Times New Roman"/>
          <w:sz w:val="22"/>
          <w:szCs w:val="28"/>
          <w:lang w:val="en-US" w:eastAsia="zh-CN"/>
        </w:rPr>
      </w:pPr>
      <w:r>
        <w:rPr>
          <w:rFonts w:hint="eastAsia" w:cs="Times New Roman"/>
          <w:sz w:val="22"/>
          <w:szCs w:val="28"/>
          <w:lang w:val="en-US" w:eastAsia="zh-CN"/>
        </w:rPr>
        <w:t>一、项目背景</w:t>
      </w:r>
    </w:p>
    <w:p w14:paraId="24675EB6">
      <w:pPr>
        <w:pStyle w:val="2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default"/>
          <w:sz w:val="22"/>
          <w:szCs w:val="28"/>
          <w:lang w:val="en-US" w:eastAsia="zh-CN"/>
        </w:rPr>
      </w:pPr>
      <w:r>
        <w:rPr>
          <w:rFonts w:hint="eastAsia"/>
          <w:sz w:val="22"/>
          <w:szCs w:val="28"/>
        </w:rPr>
        <w:t>按照北京市、顺义区领导对城乡环境建设工作的要求，深入贯彻落实首都城市管理相关政策法规，像绣花一样精细地推动城乡环境建设管理工作，</w:t>
      </w:r>
      <w:r>
        <w:rPr>
          <w:rFonts w:hint="eastAsia"/>
          <w:sz w:val="22"/>
          <w:szCs w:val="28"/>
          <w:lang w:val="en-US" w:eastAsia="zh-Hans"/>
        </w:rPr>
        <w:t>不断提升背街小巷环境品质，</w:t>
      </w:r>
      <w:r>
        <w:rPr>
          <w:rFonts w:hint="eastAsia"/>
          <w:sz w:val="22"/>
          <w:szCs w:val="28"/>
        </w:rPr>
        <w:t>持续优化现有城乡环境建设体系、完善日常监督检查机制、提升管理队伍素质能力，推动“城市管理”向“城市治理”转变，深入推进顺义区港城融合、城乡一体的绿色宜居示范区建设，顺义区城市管理委员会拟继续委托第三方机构对全区城乡环境开展检查考核，为城乡环境建设工作提供量化数据支持，对属地环境建设成效进行综合评价，形成“问题发现—问题整改—整改效果督查”的工作闭环，推动顺义区城乡环境品质和环境建设精细化管理水平不断提升，切实增强群众的满意感、获得感和幸福感。</w:t>
      </w:r>
    </w:p>
    <w:p w14:paraId="52913126">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二、购买服务原因及需求</w:t>
      </w:r>
    </w:p>
    <w:p w14:paraId="3807361F">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42" w:firstLineChars="200"/>
        <w:textAlignment w:val="auto"/>
        <w:rPr>
          <w:sz w:val="22"/>
          <w:szCs w:val="28"/>
        </w:rPr>
      </w:pPr>
      <w:r>
        <w:rPr>
          <w:rFonts w:hint="eastAsia"/>
          <w:sz w:val="22"/>
          <w:szCs w:val="28"/>
        </w:rPr>
        <w:t>（一）环境建设第三方检查是贯彻落实提升顺义区城市治理方式的重要保障</w:t>
      </w:r>
    </w:p>
    <w:p w14:paraId="7AB8540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为深入贯彻落实习近平总书记视察北京重要讲话精神，紧紧扣住迈向“两个一百年”奋斗目标和中华民族伟大复兴的时代使命，围绕“建设一个什么样的首都，怎样建设首都”这一重大问题，谋划首都未来可持续发展的新蓝图，北京市编制了新一版城市总体规划。新版北京市总体规划要求着力创新体制机制，推动城市管理向城市治理转变，构建权责明晰、服务为先、管理优化、执法规范、安全有序的城市管理体制，推进城市治理体系和治理能力现代化。</w:t>
      </w:r>
    </w:p>
    <w:p w14:paraId="68333132">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按照新版北京城市总体规划，顺义区是北京市“一核一主一副、两轴多点一区”城市空间结构中的“多点”之一，也是“国门”所在地、首都重点平原新城、中心城区适宜功能产业的重要承接地，正在建设港城融合的国际航空中心核心区、创新引领的区域经济提升发展先行区、城乡协调的首都和谐宜居示范区”。因此，顺义区的城市治理至关重要，不仅是落实北京市总体规划的重要方面之一，也是提升首都城市治理水平的关键环节之一。</w:t>
      </w:r>
    </w:p>
    <w:p w14:paraId="1BFCF579">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顺义区贯彻落实北京市总体规划，引入专业第三方，组织开展环境建设综合检查，像绣花一样精细地推动城乡环境建设管理工作，坚持以问题为导向，积极回应人民群众关切，努力提升辖区环境管理水平，推动“大城市病”的治理，持续增强人民群众获得感、幸福感和安全感。</w:t>
      </w:r>
    </w:p>
    <w:p w14:paraId="0B7CA2CE">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42" w:firstLineChars="200"/>
        <w:textAlignment w:val="auto"/>
        <w:rPr>
          <w:sz w:val="22"/>
          <w:szCs w:val="28"/>
        </w:rPr>
      </w:pPr>
      <w:r>
        <w:rPr>
          <w:rFonts w:hint="eastAsia"/>
          <w:sz w:val="22"/>
          <w:szCs w:val="28"/>
        </w:rPr>
        <w:t>（二）环境建设第三方检查是深化推动“城市管理”向“城市治理”转变改革的重要方面</w:t>
      </w:r>
    </w:p>
    <w:p w14:paraId="5304D0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仿宋_GB2312"/>
          <w:sz w:val="22"/>
          <w:szCs w:val="28"/>
          <w:highlight w:val="none"/>
          <w:lang w:eastAsia="zh-CN"/>
        </w:rPr>
      </w:pPr>
      <w:r>
        <w:rPr>
          <w:rFonts w:hint="eastAsia"/>
          <w:sz w:val="22"/>
          <w:szCs w:val="28"/>
          <w:highlight w:val="none"/>
        </w:rPr>
        <w:t>202</w:t>
      </w:r>
      <w:r>
        <w:rPr>
          <w:rFonts w:hint="eastAsia"/>
          <w:sz w:val="22"/>
          <w:szCs w:val="28"/>
          <w:highlight w:val="none"/>
          <w:lang w:val="en-US" w:eastAsia="zh-CN"/>
        </w:rPr>
        <w:t>6年</w:t>
      </w:r>
      <w:r>
        <w:rPr>
          <w:rFonts w:hint="eastAsia"/>
          <w:sz w:val="22"/>
          <w:szCs w:val="28"/>
          <w:highlight w:val="none"/>
        </w:rPr>
        <w:t>是</w:t>
      </w:r>
      <w:r>
        <w:rPr>
          <w:rFonts w:hint="eastAsia"/>
          <w:sz w:val="22"/>
          <w:szCs w:val="28"/>
          <w:highlight w:val="none"/>
          <w:lang w:val="en-US" w:eastAsia="zh-CN"/>
        </w:rPr>
        <w:t>实施</w:t>
      </w:r>
      <w:r>
        <w:rPr>
          <w:rFonts w:hint="eastAsia"/>
          <w:sz w:val="22"/>
          <w:szCs w:val="28"/>
          <w:highlight w:val="none"/>
        </w:rPr>
        <w:t xml:space="preserve"> “十</w:t>
      </w:r>
      <w:r>
        <w:rPr>
          <w:rFonts w:hint="eastAsia"/>
          <w:sz w:val="22"/>
          <w:szCs w:val="28"/>
          <w:highlight w:val="none"/>
          <w:lang w:val="en-US" w:eastAsia="zh-CN"/>
        </w:rPr>
        <w:t>五</w:t>
      </w:r>
      <w:r>
        <w:rPr>
          <w:rFonts w:hint="eastAsia"/>
          <w:sz w:val="22"/>
          <w:szCs w:val="28"/>
          <w:highlight w:val="none"/>
        </w:rPr>
        <w:t>五” 规划</w:t>
      </w:r>
      <w:r>
        <w:rPr>
          <w:rFonts w:hint="eastAsia"/>
          <w:sz w:val="22"/>
          <w:szCs w:val="28"/>
          <w:highlight w:val="none"/>
          <w:lang w:val="en-US" w:eastAsia="zh-CN"/>
        </w:rPr>
        <w:t>的开局之年，</w:t>
      </w:r>
      <w:r>
        <w:rPr>
          <w:rFonts w:hint="eastAsia"/>
          <w:sz w:val="22"/>
          <w:szCs w:val="28"/>
          <w:highlight w:val="none"/>
        </w:rPr>
        <w:t>也是</w:t>
      </w:r>
      <w:r>
        <w:rPr>
          <w:rFonts w:hint="eastAsia"/>
          <w:sz w:val="22"/>
          <w:szCs w:val="28"/>
          <w:highlight w:val="none"/>
          <w:lang w:val="en-US" w:eastAsia="zh-CN"/>
        </w:rPr>
        <w:t>持续</w:t>
      </w:r>
      <w:r>
        <w:rPr>
          <w:rFonts w:hint="eastAsia"/>
          <w:sz w:val="22"/>
          <w:szCs w:val="28"/>
          <w:highlight w:val="none"/>
        </w:rPr>
        <w:t>强化落实北京 “四个中心” 城市定位，</w:t>
      </w:r>
      <w:r>
        <w:rPr>
          <w:rFonts w:hint="eastAsia"/>
          <w:sz w:val="22"/>
          <w:szCs w:val="28"/>
          <w:highlight w:val="none"/>
          <w:lang w:val="en-US" w:eastAsia="zh-CN"/>
        </w:rPr>
        <w:t>加快</w:t>
      </w:r>
      <w:r>
        <w:rPr>
          <w:rFonts w:hint="eastAsia"/>
          <w:sz w:val="22"/>
          <w:szCs w:val="28"/>
          <w:highlight w:val="none"/>
        </w:rPr>
        <w:t>建设国际一流和谐宜居之都的关键一年。近年来，顺义区认真履行属地职责，优化机制、强化落实，高标准完成北京冬奥会和冬残奥会、党的二十大等重大活动会议服务保障任务，在过往经验基础上，持续提升区域治理水平，为首都发展贡献力量。在新的一年，顺义区将继续秉持高度责任感，以更高标准、更严要求、更实举措，积极投身于各项重大活动的服务保障工作中，全力推动区域经济社会高质量发展，为首都建设添砖加瓦</w:t>
      </w:r>
      <w:r>
        <w:rPr>
          <w:rFonts w:hint="eastAsia"/>
          <w:sz w:val="22"/>
          <w:szCs w:val="28"/>
          <w:highlight w:val="none"/>
          <w:lang w:eastAsia="zh-CN"/>
        </w:rPr>
        <w:t>。</w:t>
      </w:r>
    </w:p>
    <w:p w14:paraId="6366907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随着新时期城市管理发展和各项改革的不断深化</w:t>
      </w:r>
      <w:r>
        <w:rPr>
          <w:sz w:val="22"/>
          <w:szCs w:val="28"/>
        </w:rPr>
        <w:t>,当前城市运行和管理不确定因素增多，顺义区环境建设检查考评工作还存在一些诸如重建轻管、条块关系不顺、部门协调不畅等不适应新形势、新任务、新要求的问题，城市环境建设水平与党和人民要求相比仍有一定差距，这一切都迫使顺义区环境亟需根据形势变化需要适时做出进一步调整和完善，研究制定出有效的措施，提高到新的水平。</w:t>
      </w:r>
    </w:p>
    <w:p w14:paraId="1A370CF0">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为解决掣肘城市管理和环境建设的突出问题，顺义区城市管理委员会积极探索新型管理模式，深化推动“城市管理”向“城市治理”转变改革。开展第三方检查，是落实科学、完备、高效的环境建设检查考评体系的必然要求，促使环境管理在工作方法上从突击式、运动式、粗放式向常态化、制度化、精细化转变，持续优化现有城乡环境建设体系、完善日常监督检查机制、提升管理队伍素质能力，能真正意义上通过机制管理和数据管理的推进城市环境建设水平，并进一步激发城市管理体制改革活力。</w:t>
      </w:r>
    </w:p>
    <w:p w14:paraId="31D0B954">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（三）环境建设第三方检查是引导基层街乡采取有力措施解决环境问题、提升顺义区整体环境建设水平的重要手段</w:t>
      </w:r>
    </w:p>
    <w:p w14:paraId="7E2103C7">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早在</w:t>
      </w:r>
      <w:r>
        <w:rPr>
          <w:sz w:val="22"/>
          <w:szCs w:val="28"/>
        </w:rPr>
        <w:t>2013年3月，</w:t>
      </w:r>
      <w:r>
        <w:rPr>
          <w:rFonts w:hint="eastAsia"/>
          <w:sz w:val="22"/>
          <w:szCs w:val="28"/>
        </w:rPr>
        <w:t>北京</w:t>
      </w:r>
      <w:r>
        <w:rPr>
          <w:sz w:val="22"/>
          <w:szCs w:val="28"/>
        </w:rPr>
        <w:t>市委、市政府明确提出了“要加强区环境建设考评制度建设，建立‘月检查、月曝光、月排名’制度，每月在市政府办公会曝光环境脏乱点，督促检查各部门、各区工作，公布考评排名结果。顺义区城市管理</w:t>
      </w:r>
      <w:r>
        <w:rPr>
          <w:rFonts w:hint="eastAsia"/>
          <w:sz w:val="22"/>
          <w:szCs w:val="28"/>
        </w:rPr>
        <w:t>委员会</w:t>
      </w:r>
      <w:r>
        <w:rPr>
          <w:sz w:val="22"/>
          <w:szCs w:val="28"/>
        </w:rPr>
        <w:t>认真贯彻落实市委、市政府部署要求，科学制定年度目标任务实施方案，不断推进检查考评制度机制建设。</w:t>
      </w:r>
    </w:p>
    <w:p w14:paraId="36FDB6EC">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结合顺义区城市管理工作，通过整合检查资源，落实检查制度，全面组织实施常规检查和重点检查，为城乡环境建设工作提供量化数据支持，充分引导和有力倒逼街乡采取有力措施解决环境问题、持续巩固环境建设成效，使环境建设自查机制落地落实，从而显著提升基层对环境建设的重视程度、加强了整治力度，促进了公众身边一批环境问题的解决，顺义区环境建设管理水平大幅提升</w:t>
      </w:r>
      <w:r>
        <w:rPr>
          <w:sz w:val="22"/>
          <w:szCs w:val="28"/>
        </w:rPr>
        <w:t>,阶段性成效明显</w:t>
      </w:r>
      <w:r>
        <w:rPr>
          <w:rFonts w:hint="eastAsia"/>
          <w:sz w:val="22"/>
          <w:szCs w:val="28"/>
        </w:rPr>
        <w:t>，有效增强群众的满意感、获得感和幸福感。这一重要手段需要紧抓不放、长期实施。</w:t>
      </w:r>
    </w:p>
    <w:p w14:paraId="234CC6E8">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（四）环境建设第三方检查是集中体现顺义区城市精细化管理体系和能力的重要组成</w:t>
      </w:r>
    </w:p>
    <w:p w14:paraId="4E3687BB">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从</w:t>
      </w:r>
      <w:r>
        <w:rPr>
          <w:sz w:val="22"/>
          <w:szCs w:val="28"/>
        </w:rPr>
        <w:t>2017年7月开始，北京市城市管理委员会按照北京市委、北京市政府要求，着手起草《关于加强城市精细化管理工作的意见》，首都城市精细化管理顶层框架开始构建。2019年1月30日，北京市委、市政府2019年第1号文件《关于加强城市精细化管理工作的意见》（以下简称《意见》）正式对外公布。提出了“到2020年，城市精细化管理体系框架基本形成；到2022年，城市精细化管理体系初步形成”的工作目标。</w:t>
      </w:r>
    </w:p>
    <w:p w14:paraId="650FF992">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意见》着眼于建立健全城市管理的相关机制，从当前存在的管理问题入手，结合“精治、共治、法治”要求，提出了“五化两提高”，即法治化、标准化、智能化、专业化、社会化，提高运行保障能力和提高统筹协调能力。重点围绕工作机制、工作手段、工作标准等方面提出了多项措施，推进系统治理、依法治理、源头治理、综合施策，着力构建权责明晰、服务为先、管理优化、执法规范、安全有序的精细化管理体系。《意见》阐明：精细化管理应坚持“六精六细”理念，即坚持管理标准和管理对象上的精准细化，坚持工作组织实施上的精密细致，坚持城市空间营造上的精雕细刻，坚持投入与管理效能上的精打细算，坚持管理手段和方式上的精明细巧，坚持管理理念和责任心上的精心细腻。</w:t>
      </w:r>
    </w:p>
    <w:p w14:paraId="59EC1F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sz w:val="22"/>
          <w:szCs w:val="28"/>
        </w:rPr>
        <w:t>顺义区城市管理委员会坚决贯彻落实《意见》精神，积累多年城市管理监督考核经验，立足对顺义区城市管理实际，组织开展城乡环境管理考评工作，当前已在全区城市管理中形成了长期广泛的影响力，是整个顺义区城市精细化管理框架中重要组成部分，充分体现了顺义区城市精细化管理的顶层设计能力，有助于精准开展对属地环境建设成效的综合评价，形成“问题发现—问题整改—整改效果督查”的工作闭环，推动顺义区环境建设治理工作水平不断提升。</w:t>
      </w:r>
    </w:p>
    <w:p w14:paraId="2A74E2C9">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楷体_GB2312"/>
          <w:sz w:val="22"/>
          <w:szCs w:val="28"/>
          <w:lang w:val="en-US" w:eastAsia="zh-Hans"/>
        </w:rPr>
      </w:pPr>
      <w:r>
        <w:rPr>
          <w:rFonts w:hint="eastAsia"/>
          <w:sz w:val="22"/>
          <w:szCs w:val="28"/>
        </w:rPr>
        <w:t>（五）环境建设第三方检查</w:t>
      </w:r>
      <w:r>
        <w:rPr>
          <w:sz w:val="22"/>
          <w:szCs w:val="28"/>
        </w:rPr>
        <w:t>是</w:t>
      </w:r>
      <w:r>
        <w:rPr>
          <w:rFonts w:hint="eastAsia"/>
          <w:sz w:val="22"/>
          <w:szCs w:val="28"/>
          <w:lang w:val="en-US" w:eastAsia="zh-Hans"/>
        </w:rPr>
        <w:t>背街小巷精细化治理</w:t>
      </w:r>
      <w:r>
        <w:rPr>
          <w:sz w:val="22"/>
          <w:szCs w:val="28"/>
        </w:rPr>
        <w:t>的重要</w:t>
      </w:r>
      <w:r>
        <w:rPr>
          <w:rFonts w:hint="eastAsia"/>
          <w:sz w:val="22"/>
          <w:szCs w:val="28"/>
          <w:lang w:val="en-US" w:eastAsia="zh-Hans"/>
        </w:rPr>
        <w:t>内容</w:t>
      </w:r>
    </w:p>
    <w:p w14:paraId="72C141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仿宋_GB2312"/>
          <w:sz w:val="22"/>
          <w:szCs w:val="28"/>
          <w:lang w:eastAsia="zh-Hans"/>
        </w:rPr>
      </w:pPr>
      <w:r>
        <w:rPr>
          <w:rFonts w:hint="eastAsia"/>
          <w:sz w:val="22"/>
          <w:szCs w:val="28"/>
        </w:rPr>
        <w:t>习总书记曾指出“背街小巷最能体现精细化管理水平”, 蔡奇书记</w:t>
      </w:r>
      <w:r>
        <w:rPr>
          <w:rFonts w:hint="eastAsia"/>
          <w:sz w:val="22"/>
          <w:szCs w:val="28"/>
          <w:lang w:val="en-US" w:eastAsia="zh-Hans"/>
        </w:rPr>
        <w:t>提出“</w:t>
      </w:r>
      <w:r>
        <w:rPr>
          <w:rFonts w:hint="eastAsia"/>
          <w:sz w:val="22"/>
          <w:szCs w:val="28"/>
        </w:rPr>
        <w:t>要深入贯彻习近平总书记关于精神文明建设的重要思想，树牢首善文明旗帜，高质量完成精神文明建设各项任务，深入推进背街小巷环境精细化整治，整体提升城市品质和人居环境。北京作为首都，要在新的奋斗征程上走在全国前列、率先基本实现社会主义现代化，不仅要推动物质文明全面进步，更应在精神文明建设上当标杆、作示范。背街小巷事关百姓生活，关系首都形象，既是</w:t>
      </w:r>
      <w:r>
        <w:rPr>
          <w:rFonts w:hint="eastAsia"/>
          <w:sz w:val="22"/>
          <w:szCs w:val="28"/>
          <w:lang w:eastAsia="zh-Hans"/>
        </w:rPr>
        <w:t>‘</w:t>
      </w:r>
      <w:r>
        <w:rPr>
          <w:rFonts w:hint="eastAsia"/>
          <w:sz w:val="22"/>
          <w:szCs w:val="28"/>
        </w:rPr>
        <w:t>里子</w:t>
      </w:r>
      <w:r>
        <w:rPr>
          <w:rFonts w:hint="eastAsia"/>
          <w:sz w:val="22"/>
          <w:szCs w:val="28"/>
          <w:lang w:eastAsia="zh-Hans"/>
        </w:rPr>
        <w:t>’</w:t>
      </w:r>
      <w:r>
        <w:rPr>
          <w:rFonts w:hint="eastAsia"/>
          <w:sz w:val="22"/>
          <w:szCs w:val="28"/>
        </w:rPr>
        <w:t>，也是</w:t>
      </w:r>
      <w:r>
        <w:rPr>
          <w:rFonts w:hint="eastAsia"/>
          <w:sz w:val="22"/>
          <w:szCs w:val="28"/>
          <w:lang w:eastAsia="zh-Hans"/>
        </w:rPr>
        <w:t>‘</w:t>
      </w:r>
      <w:r>
        <w:rPr>
          <w:rFonts w:hint="eastAsia"/>
          <w:sz w:val="22"/>
          <w:szCs w:val="28"/>
        </w:rPr>
        <w:t>面子</w:t>
      </w:r>
      <w:r>
        <w:rPr>
          <w:rFonts w:hint="eastAsia"/>
          <w:sz w:val="22"/>
          <w:szCs w:val="28"/>
          <w:lang w:eastAsia="zh-Hans"/>
        </w:rPr>
        <w:t>’</w:t>
      </w:r>
      <w:r>
        <w:rPr>
          <w:rFonts w:hint="eastAsia"/>
          <w:sz w:val="22"/>
          <w:szCs w:val="28"/>
        </w:rPr>
        <w:t>，必须常抓不懈、持续推进</w:t>
      </w:r>
      <w:r>
        <w:rPr>
          <w:rFonts w:hint="eastAsia"/>
          <w:sz w:val="22"/>
          <w:szCs w:val="28"/>
          <w:lang w:eastAsia="zh-Hans"/>
        </w:rPr>
        <w:t>”。</w:t>
      </w:r>
    </w:p>
    <w:p w14:paraId="35662C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sz w:val="22"/>
          <w:szCs w:val="28"/>
        </w:rPr>
        <w:t>蔡奇</w:t>
      </w:r>
      <w:r>
        <w:rPr>
          <w:rFonts w:hint="eastAsia"/>
          <w:sz w:val="22"/>
          <w:szCs w:val="28"/>
          <w:lang w:val="en-US" w:eastAsia="zh-Hans"/>
        </w:rPr>
        <w:t>书记要求</w:t>
      </w:r>
      <w:r>
        <w:rPr>
          <w:rFonts w:hint="eastAsia"/>
          <w:sz w:val="22"/>
          <w:szCs w:val="28"/>
          <w:lang w:eastAsia="zh-Hans"/>
        </w:rPr>
        <w:t>“</w:t>
      </w:r>
      <w:r>
        <w:rPr>
          <w:rFonts w:hint="eastAsia"/>
          <w:sz w:val="22"/>
          <w:szCs w:val="28"/>
        </w:rPr>
        <w:t>要落实好新一轮背街小巷环境精细化整治提升三年行动方案，广泛动员市民群众共同参与，把背街小巷打造成为首都城市治理的亮点、文脉传承的载体、和谐宜居的家园</w:t>
      </w:r>
      <w:r>
        <w:rPr>
          <w:rFonts w:hint="eastAsia"/>
          <w:sz w:val="22"/>
          <w:szCs w:val="28"/>
          <w:lang w:eastAsia="zh-Hans"/>
        </w:rPr>
        <w:t>”</w:t>
      </w:r>
      <w:r>
        <w:rPr>
          <w:rFonts w:hint="eastAsia"/>
          <w:sz w:val="22"/>
          <w:szCs w:val="28"/>
        </w:rPr>
        <w:t>。及时、准确、深入地了解背街小巷环境整治水平，是精细化城市管理的重要目标。</w:t>
      </w:r>
    </w:p>
    <w:p w14:paraId="3FFCE0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sz w:val="22"/>
          <w:szCs w:val="28"/>
        </w:rPr>
        <w:t>从2017年起，北京正式启动第一轮背街小巷环境整治提升三年行动，3年时间里背街小巷环境面貌得到整体改善，群众身边的环境品质显著提升。2020年至2022年，第二轮背街小巷环境整治提升三年行动实施，整治提升呈现出范围更广、标准更细、内容更丰富等新特点。2023-2025年，第三轮背街小巷环境整治提升三年行动启动，对背街小巷环境面貌整体提升、便民配套设施完善、精细化长效治理机制建立等方面提出更高要求。</w:t>
      </w:r>
    </w:p>
    <w:p w14:paraId="198030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ascii="Times New Roman" w:hAnsi="Times New Roman" w:cs="Times New Roman"/>
          <w:sz w:val="22"/>
          <w:szCs w:val="28"/>
          <w:lang w:val="en-US" w:eastAsia="zh-Hans"/>
        </w:rPr>
        <w:t>顺义区城市管理委员会</w:t>
      </w:r>
      <w:r>
        <w:rPr>
          <w:rFonts w:hint="eastAsia" w:ascii="Times New Roman" w:hAnsi="Times New Roman" w:cs="Times New Roman"/>
          <w:sz w:val="22"/>
          <w:szCs w:val="28"/>
        </w:rPr>
        <w:t>不断推进</w:t>
      </w:r>
      <w:r>
        <w:rPr>
          <w:rFonts w:hint="eastAsia" w:ascii="Times New Roman" w:hAnsi="Times New Roman" w:cs="Times New Roman"/>
          <w:sz w:val="22"/>
          <w:szCs w:val="28"/>
          <w:lang w:val="en-US" w:eastAsia="zh-Hans"/>
        </w:rPr>
        <w:t>背街小巷</w:t>
      </w:r>
      <w:r>
        <w:rPr>
          <w:rFonts w:hint="eastAsia" w:ascii="Times New Roman" w:hAnsi="Times New Roman" w:cs="Times New Roman"/>
          <w:sz w:val="22"/>
          <w:szCs w:val="28"/>
        </w:rPr>
        <w:t>检查</w:t>
      </w:r>
      <w:r>
        <w:rPr>
          <w:rFonts w:hint="eastAsia" w:ascii="Times New Roman" w:hAnsi="Times New Roman" w:cs="Times New Roman"/>
          <w:sz w:val="22"/>
          <w:szCs w:val="28"/>
          <w:lang w:val="en-US" w:eastAsia="zh-Hans"/>
        </w:rPr>
        <w:t>验收</w:t>
      </w:r>
      <w:r>
        <w:rPr>
          <w:rFonts w:hint="eastAsia" w:ascii="Times New Roman" w:hAnsi="Times New Roman" w:cs="Times New Roman"/>
          <w:sz w:val="22"/>
          <w:szCs w:val="28"/>
        </w:rPr>
        <w:t>机制建设，使得开展背街小巷环境精细化治理检查验收体系更加完善。充分引导</w:t>
      </w:r>
      <w:r>
        <w:rPr>
          <w:rFonts w:hint="eastAsia" w:ascii="Times New Roman" w:hAnsi="Times New Roman" w:cs="Times New Roman"/>
          <w:sz w:val="22"/>
          <w:szCs w:val="28"/>
          <w:lang w:val="en-US" w:eastAsia="zh-Hans"/>
        </w:rPr>
        <w:t>各</w:t>
      </w:r>
      <w:r>
        <w:rPr>
          <w:rFonts w:hint="eastAsia" w:ascii="Times New Roman" w:hAnsi="Times New Roman" w:cs="Times New Roman"/>
          <w:sz w:val="22"/>
          <w:szCs w:val="28"/>
        </w:rPr>
        <w:t>部门共同参与，引导</w:t>
      </w:r>
      <w:r>
        <w:rPr>
          <w:rFonts w:hint="eastAsia" w:ascii="Times New Roman" w:hAnsi="Times New Roman" w:cs="Times New Roman"/>
          <w:sz w:val="22"/>
          <w:szCs w:val="28"/>
          <w:lang w:val="en-US" w:eastAsia="zh-Hans"/>
        </w:rPr>
        <w:t>全区</w:t>
      </w:r>
      <w:r>
        <w:rPr>
          <w:rFonts w:hint="eastAsia" w:ascii="Times New Roman" w:hAnsi="Times New Roman" w:cs="Times New Roman"/>
          <w:sz w:val="22"/>
          <w:szCs w:val="28"/>
        </w:rPr>
        <w:t>采取有力措施解决背街小巷环境问题，使</w:t>
      </w:r>
      <w:r>
        <w:rPr>
          <w:rFonts w:hint="eastAsia" w:ascii="Times New Roman" w:hAnsi="Times New Roman" w:cs="Times New Roman"/>
          <w:sz w:val="22"/>
          <w:szCs w:val="28"/>
          <w:lang w:val="en-US" w:eastAsia="zh-Hans"/>
        </w:rPr>
        <w:t>顺义区</w:t>
      </w:r>
      <w:r>
        <w:rPr>
          <w:rFonts w:hint="eastAsia" w:ascii="Times New Roman" w:hAnsi="Times New Roman" w:cs="Times New Roman"/>
          <w:sz w:val="22"/>
          <w:szCs w:val="28"/>
        </w:rPr>
        <w:t>背街小巷建设自查机制更加巩固。显著提升</w:t>
      </w:r>
      <w:r>
        <w:rPr>
          <w:rFonts w:hint="eastAsia" w:ascii="Times New Roman" w:hAnsi="Times New Roman" w:cs="Times New Roman"/>
          <w:sz w:val="22"/>
          <w:szCs w:val="28"/>
          <w:lang w:val="en-US" w:eastAsia="zh-Hans"/>
        </w:rPr>
        <w:t>全区</w:t>
      </w:r>
      <w:r>
        <w:rPr>
          <w:rFonts w:hint="eastAsia" w:ascii="Times New Roman" w:hAnsi="Times New Roman" w:cs="Times New Roman"/>
          <w:sz w:val="22"/>
          <w:szCs w:val="28"/>
        </w:rPr>
        <w:t>对环境建设的重视程度、加强了整治力度，促进了公众身边一批环境问题的解决，提升</w:t>
      </w:r>
      <w:r>
        <w:rPr>
          <w:rFonts w:hint="eastAsia" w:ascii="Times New Roman" w:hAnsi="Times New Roman" w:cs="Times New Roman"/>
          <w:sz w:val="22"/>
          <w:szCs w:val="28"/>
          <w:lang w:val="en-US" w:eastAsia="zh-Hans"/>
        </w:rPr>
        <w:t>了</w:t>
      </w:r>
      <w:r>
        <w:rPr>
          <w:rFonts w:hint="eastAsia" w:ascii="Times New Roman" w:hAnsi="Times New Roman" w:cs="Times New Roman"/>
          <w:sz w:val="22"/>
          <w:szCs w:val="28"/>
        </w:rPr>
        <w:t>人民群众的获得感、幸福感、安全感</w:t>
      </w:r>
      <w:r>
        <w:rPr>
          <w:rFonts w:hint="eastAsia" w:ascii="Times New Roman" w:hAnsi="Times New Roman" w:cs="Times New Roman"/>
          <w:sz w:val="22"/>
          <w:szCs w:val="28"/>
          <w:lang w:eastAsia="zh-Hans"/>
        </w:rPr>
        <w:t>，</w:t>
      </w:r>
      <w:r>
        <w:rPr>
          <w:rFonts w:hint="eastAsia" w:ascii="Times New Roman" w:hAnsi="Times New Roman" w:cs="Times New Roman"/>
          <w:sz w:val="22"/>
          <w:szCs w:val="28"/>
        </w:rPr>
        <w:t>环境建设管理水平大幅提升,阶段性成效明显。</w:t>
      </w:r>
    </w:p>
    <w:p w14:paraId="6B9572C4">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rFonts w:hint="eastAsia"/>
          <w:sz w:val="22"/>
          <w:szCs w:val="28"/>
          <w:lang w:val="en-US" w:eastAsia="zh-Hans"/>
        </w:rPr>
        <w:t>六</w:t>
      </w:r>
      <w:r>
        <w:rPr>
          <w:rFonts w:hint="eastAsia"/>
          <w:sz w:val="22"/>
          <w:szCs w:val="28"/>
        </w:rPr>
        <w:t>）环境建设第三方检查</w:t>
      </w:r>
      <w:r>
        <w:rPr>
          <w:sz w:val="22"/>
          <w:szCs w:val="28"/>
        </w:rPr>
        <w:t>是提升部门行政效率、提高决策科学性的重要举措</w:t>
      </w:r>
    </w:p>
    <w:p w14:paraId="3BBE7F31">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环境建设第三方检查涉及顺义区全域范围</w:t>
      </w:r>
      <w:r>
        <w:rPr>
          <w:sz w:val="22"/>
          <w:szCs w:val="28"/>
        </w:rPr>
        <w:t>，</w:t>
      </w:r>
      <w:r>
        <w:rPr>
          <w:rFonts w:hint="eastAsia"/>
          <w:sz w:val="22"/>
          <w:szCs w:val="28"/>
        </w:rPr>
        <w:t>检查内容涵盖市容环境、秩序环境、城市运行安全环境、重点任务等多方面、多指标，</w:t>
      </w:r>
      <w:r>
        <w:rPr>
          <w:sz w:val="22"/>
          <w:szCs w:val="28"/>
        </w:rPr>
        <w:t>覆盖面广、情况复杂、工作量大、工作难度高。为了提升</w:t>
      </w:r>
      <w:r>
        <w:rPr>
          <w:rFonts w:hint="eastAsia"/>
          <w:sz w:val="22"/>
          <w:szCs w:val="28"/>
        </w:rPr>
        <w:t>部门</w:t>
      </w:r>
      <w:r>
        <w:rPr>
          <w:sz w:val="22"/>
          <w:szCs w:val="28"/>
        </w:rPr>
        <w:t>工作效率</w:t>
      </w:r>
      <w:r>
        <w:rPr>
          <w:rFonts w:hint="eastAsia"/>
          <w:sz w:val="22"/>
          <w:szCs w:val="28"/>
        </w:rPr>
        <w:t>和科学性</w:t>
      </w:r>
      <w:r>
        <w:rPr>
          <w:sz w:val="22"/>
          <w:szCs w:val="28"/>
        </w:rPr>
        <w:t>，深化政府“放管服”改革，</w:t>
      </w:r>
      <w:r>
        <w:rPr>
          <w:rFonts w:hint="eastAsia"/>
          <w:sz w:val="22"/>
          <w:szCs w:val="28"/>
        </w:rPr>
        <w:t>顺义区城市管理委员会</w:t>
      </w:r>
      <w:r>
        <w:rPr>
          <w:sz w:val="22"/>
          <w:szCs w:val="28"/>
        </w:rPr>
        <w:t>引进</w:t>
      </w:r>
      <w:r>
        <w:rPr>
          <w:rFonts w:hint="eastAsia"/>
          <w:sz w:val="22"/>
          <w:szCs w:val="28"/>
        </w:rPr>
        <w:t>专业的</w:t>
      </w:r>
      <w:r>
        <w:rPr>
          <w:sz w:val="22"/>
          <w:szCs w:val="28"/>
        </w:rPr>
        <w:t>第三方机构</w:t>
      </w:r>
      <w:r>
        <w:rPr>
          <w:rFonts w:hint="eastAsia"/>
          <w:sz w:val="22"/>
          <w:szCs w:val="28"/>
        </w:rPr>
        <w:t>，</w:t>
      </w:r>
      <w:r>
        <w:rPr>
          <w:sz w:val="22"/>
          <w:szCs w:val="28"/>
        </w:rPr>
        <w:t>承担</w:t>
      </w:r>
      <w:r>
        <w:rPr>
          <w:rFonts w:hint="eastAsia"/>
          <w:sz w:val="22"/>
          <w:szCs w:val="28"/>
        </w:rPr>
        <w:t>环境建设第三方检查</w:t>
      </w:r>
      <w:r>
        <w:rPr>
          <w:sz w:val="22"/>
          <w:szCs w:val="28"/>
        </w:rPr>
        <w:t>工作</w:t>
      </w:r>
      <w:r>
        <w:rPr>
          <w:rFonts w:hint="eastAsia"/>
          <w:sz w:val="22"/>
          <w:szCs w:val="28"/>
        </w:rPr>
        <w:t>，已于近年</w:t>
      </w:r>
      <w:r>
        <w:rPr>
          <w:sz w:val="22"/>
          <w:szCs w:val="28"/>
        </w:rPr>
        <w:t>实践取得良好的效果。</w:t>
      </w:r>
    </w:p>
    <w:p w14:paraId="3CD2096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顺义区城市管理委员会秉持公平、公正、公开的原则，通过政府采购程序购买第三方机构的专业服务，由独立的第三方组织规范、高效、分工精细的项目团队及现场检查小组，缜密计划、高效组织现场检查，负责所有检查数据的汇总、统计、分析，并分别出具各乡镇街道报告及汇总表，有效提高了应对市区级各种检查活动、临时保障任务等突发事件处置和抵御风险的能力，按时、按质、按量地完成相关工作成果。</w:t>
      </w:r>
      <w:r>
        <w:rPr>
          <w:sz w:val="22"/>
          <w:szCs w:val="28"/>
        </w:rPr>
        <w:t>因此，基于</w:t>
      </w:r>
      <w:r>
        <w:rPr>
          <w:rFonts w:hint="eastAsia"/>
          <w:sz w:val="22"/>
          <w:szCs w:val="28"/>
        </w:rPr>
        <w:t>推动顺义区环境建设治理工作水平</w:t>
      </w:r>
      <w:r>
        <w:rPr>
          <w:sz w:val="22"/>
          <w:szCs w:val="28"/>
        </w:rPr>
        <w:t>、建立</w:t>
      </w:r>
      <w:r>
        <w:rPr>
          <w:rFonts w:hint="eastAsia"/>
          <w:sz w:val="22"/>
          <w:szCs w:val="28"/>
        </w:rPr>
        <w:t>环境建设精细化管理</w:t>
      </w:r>
      <w:r>
        <w:rPr>
          <w:sz w:val="22"/>
          <w:szCs w:val="28"/>
        </w:rPr>
        <w:t>长效机制等考虑，</w:t>
      </w:r>
      <w:r>
        <w:rPr>
          <w:rFonts w:hint="eastAsia"/>
          <w:sz w:val="22"/>
          <w:szCs w:val="28"/>
        </w:rPr>
        <w:t>顺义区城市管理委员会</w:t>
      </w:r>
      <w:r>
        <w:rPr>
          <w:sz w:val="22"/>
          <w:szCs w:val="28"/>
        </w:rPr>
        <w:t>拟延续本项目</w:t>
      </w:r>
      <w:r>
        <w:rPr>
          <w:rFonts w:hint="eastAsia"/>
          <w:sz w:val="22"/>
          <w:szCs w:val="28"/>
        </w:rPr>
        <w:t>，为持续做好城乡环境建设管理决策奠定客观科学的数据基础</w:t>
      </w:r>
      <w:r>
        <w:rPr>
          <w:sz w:val="22"/>
          <w:szCs w:val="28"/>
        </w:rPr>
        <w:t>。</w:t>
      </w:r>
    </w:p>
    <w:p w14:paraId="2977EC66">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rFonts w:hint="eastAsia"/>
          <w:sz w:val="22"/>
          <w:szCs w:val="28"/>
          <w:lang w:val="en-US" w:eastAsia="zh-Hans"/>
        </w:rPr>
        <w:t>七</w:t>
      </w:r>
      <w:r>
        <w:rPr>
          <w:rFonts w:hint="eastAsia"/>
          <w:sz w:val="22"/>
          <w:szCs w:val="28"/>
        </w:rPr>
        <w:t>）环境建设第三方检查项目具体服务保障需求</w:t>
      </w:r>
    </w:p>
    <w:p w14:paraId="0F601F99">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1</w:t>
      </w:r>
      <w:r>
        <w:rPr>
          <w:sz w:val="22"/>
          <w:szCs w:val="28"/>
        </w:rPr>
        <w:t>.</w:t>
      </w:r>
      <w:r>
        <w:rPr>
          <w:rFonts w:hint="eastAsia"/>
          <w:sz w:val="22"/>
          <w:szCs w:val="28"/>
        </w:rPr>
        <w:t>总体服务保障需求</w:t>
      </w:r>
    </w:p>
    <w:p w14:paraId="4EC454AC">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环境建设第三方检查项目依照《首都城市环境建设管理考核评价工作方案》标准，对顺义区全域范围内的环境进行检查，每月开展一次全覆盖检查，反馈问题到责任主体部门，形成检查台账、问题台账、易发问题台账等基础信息表且每月更新一次，同时根据检查数据形成最终的月度报告。</w:t>
      </w:r>
    </w:p>
    <w:p w14:paraId="0EE69571">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sz w:val="22"/>
          <w:szCs w:val="28"/>
        </w:rPr>
        <w:t>2.</w:t>
      </w:r>
      <w:r>
        <w:rPr>
          <w:rFonts w:hint="eastAsia"/>
          <w:sz w:val="22"/>
          <w:szCs w:val="28"/>
        </w:rPr>
        <w:t>服务保障</w:t>
      </w:r>
      <w:r>
        <w:rPr>
          <w:sz w:val="22"/>
          <w:szCs w:val="28"/>
        </w:rPr>
        <w:t>工作内容</w:t>
      </w:r>
    </w:p>
    <w:p w14:paraId="1328B355">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依据首都城市环境建设管理委员会办公室制定的</w:t>
      </w:r>
      <w:r>
        <w:rPr>
          <w:sz w:val="22"/>
          <w:szCs w:val="28"/>
        </w:rPr>
        <w:t>首都城市环境建设管理考核评价工作方案、首都城市环境建设管理考核评价实施细则文件精神，以及首都城市环境建设管理问题一览表，</w:t>
      </w:r>
      <w:r>
        <w:rPr>
          <w:rFonts w:hint="eastAsia"/>
          <w:sz w:val="22"/>
          <w:szCs w:val="28"/>
          <w:lang w:val="en-US" w:eastAsia="zh-Hans"/>
        </w:rPr>
        <w:t>深入</w:t>
      </w:r>
      <w:r>
        <w:rPr>
          <w:rFonts w:hint="eastAsia"/>
          <w:sz w:val="22"/>
          <w:szCs w:val="28"/>
        </w:rPr>
        <w:t>推进背街小巷环境精细化治理三年（2023-2025 年）行动方案</w:t>
      </w:r>
      <w:r>
        <w:rPr>
          <w:rFonts w:hint="eastAsia"/>
          <w:sz w:val="22"/>
          <w:szCs w:val="28"/>
          <w:lang w:eastAsia="zh-Hans"/>
        </w:rPr>
        <w:t>，</w:t>
      </w:r>
      <w:r>
        <w:rPr>
          <w:sz w:val="22"/>
          <w:szCs w:val="28"/>
        </w:rPr>
        <w:t>结合</w:t>
      </w:r>
      <w:r>
        <w:rPr>
          <w:rFonts w:hint="eastAsia"/>
          <w:sz w:val="22"/>
          <w:szCs w:val="28"/>
        </w:rPr>
        <w:t>顺义</w:t>
      </w:r>
      <w:r>
        <w:rPr>
          <w:sz w:val="22"/>
          <w:szCs w:val="28"/>
        </w:rPr>
        <w:t>区工作实际，对辖区内市容环境、秩序环境、城市运行安全环境、重点任务等问题进行常态化检查。</w:t>
      </w:r>
    </w:p>
    <w:p w14:paraId="2CBC4D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sz w:val="22"/>
          <w:szCs w:val="28"/>
        </w:rPr>
        <w:t>按照每月检查</w:t>
      </w:r>
      <w:r>
        <w:rPr>
          <w:rFonts w:hint="eastAsia"/>
          <w:sz w:val="22"/>
          <w:szCs w:val="28"/>
          <w:lang w:val="en-US" w:eastAsia="zh-Hans"/>
        </w:rPr>
        <w:t>区域背街小巷</w:t>
      </w:r>
      <w:r>
        <w:rPr>
          <w:rFonts w:hint="eastAsia"/>
          <w:sz w:val="22"/>
          <w:szCs w:val="28"/>
        </w:rPr>
        <w:t>全覆盖</w:t>
      </w:r>
      <w:r>
        <w:rPr>
          <w:rFonts w:hint="eastAsia"/>
          <w:sz w:val="22"/>
          <w:szCs w:val="28"/>
          <w:lang w:val="en-US" w:eastAsia="zh-Hans"/>
        </w:rPr>
        <w:t>的</w:t>
      </w:r>
      <w:r>
        <w:rPr>
          <w:rFonts w:hint="eastAsia"/>
          <w:sz w:val="22"/>
          <w:szCs w:val="28"/>
        </w:rPr>
        <w:t>工作要求，根据背街小巷环境精细化治理检查验收办法，逐街、逐巷开展检查并打分。</w:t>
      </w:r>
    </w:p>
    <w:p w14:paraId="098E045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2"/>
          <w:szCs w:val="28"/>
          <w:lang w:val="en-US" w:eastAsia="zh-CN"/>
        </w:rPr>
      </w:pPr>
      <w:r>
        <w:rPr>
          <w:rFonts w:hint="eastAsia"/>
          <w:sz w:val="22"/>
          <w:szCs w:val="28"/>
          <w:lang w:val="en-US" w:eastAsia="zh-CN"/>
        </w:rPr>
        <w:t>按照区环境建设管理办要求，做好各类专项检查工作。包括但不限于市区领导调研、各级检查、重要节日、大型活动、市容环境、秩序环境等临时性专项检查。</w:t>
      </w:r>
    </w:p>
    <w:p w14:paraId="7E5AA1FC">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sz w:val="22"/>
          <w:szCs w:val="28"/>
        </w:rPr>
        <w:t>3.</w:t>
      </w:r>
      <w:r>
        <w:rPr>
          <w:rFonts w:hint="eastAsia"/>
          <w:sz w:val="22"/>
          <w:szCs w:val="28"/>
        </w:rPr>
        <w:t>服务保障</w:t>
      </w:r>
      <w:r>
        <w:rPr>
          <w:sz w:val="22"/>
          <w:szCs w:val="28"/>
        </w:rPr>
        <w:t>工作方式</w:t>
      </w:r>
    </w:p>
    <w:p w14:paraId="15FB86E1">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外勤检查人员</w:t>
      </w:r>
      <w:r>
        <w:rPr>
          <w:sz w:val="22"/>
          <w:szCs w:val="28"/>
        </w:rPr>
        <w:t>对检查现场发现</w:t>
      </w:r>
      <w:r>
        <w:rPr>
          <w:rFonts w:hint="eastAsia"/>
          <w:sz w:val="22"/>
          <w:szCs w:val="28"/>
        </w:rPr>
        <w:t>的</w:t>
      </w:r>
      <w:r>
        <w:rPr>
          <w:sz w:val="22"/>
          <w:szCs w:val="28"/>
        </w:rPr>
        <w:t>问题进行拍照，通过手机终端实时将问题照片和问题文字描述上传至系统平台，建立问题台账</w:t>
      </w:r>
      <w:r>
        <w:rPr>
          <w:rFonts w:hint="eastAsia"/>
          <w:sz w:val="22"/>
          <w:szCs w:val="28"/>
        </w:rPr>
        <w:t>，由内勤人员</w:t>
      </w:r>
      <w:r>
        <w:rPr>
          <w:sz w:val="22"/>
          <w:szCs w:val="28"/>
        </w:rPr>
        <w:t>完成台账审核、</w:t>
      </w:r>
      <w:r>
        <w:rPr>
          <w:rFonts w:hint="eastAsia"/>
          <w:sz w:val="22"/>
          <w:szCs w:val="28"/>
        </w:rPr>
        <w:t>案件</w:t>
      </w:r>
      <w:r>
        <w:rPr>
          <w:sz w:val="22"/>
          <w:szCs w:val="28"/>
        </w:rPr>
        <w:t>派发、整改反馈、复查上报、考核打分、报告分析等全流程工作。</w:t>
      </w:r>
      <w:r>
        <w:rPr>
          <w:rFonts w:hint="eastAsia"/>
          <w:sz w:val="22"/>
          <w:szCs w:val="28"/>
        </w:rPr>
        <w:t>第三方</w:t>
      </w:r>
      <w:r>
        <w:rPr>
          <w:sz w:val="22"/>
          <w:szCs w:val="28"/>
        </w:rPr>
        <w:t>检查人员采用流动式排班、定期轮换，以消除利害关系因素，实现公平公正。</w:t>
      </w:r>
    </w:p>
    <w:p w14:paraId="2A913181">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sz w:val="22"/>
          <w:szCs w:val="28"/>
        </w:rPr>
        <w:t>4.</w:t>
      </w:r>
      <w:r>
        <w:rPr>
          <w:rFonts w:hint="eastAsia"/>
          <w:sz w:val="22"/>
          <w:szCs w:val="28"/>
        </w:rPr>
        <w:t>服务保障</w:t>
      </w:r>
      <w:r>
        <w:rPr>
          <w:sz w:val="22"/>
          <w:szCs w:val="28"/>
        </w:rPr>
        <w:t>工作时间</w:t>
      </w:r>
    </w:p>
    <w:p w14:paraId="23061B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2"/>
          <w:szCs w:val="28"/>
        </w:rPr>
      </w:pPr>
      <w:r>
        <w:rPr>
          <w:rFonts w:hint="eastAsia"/>
          <w:sz w:val="22"/>
          <w:szCs w:val="28"/>
        </w:rPr>
        <w:t>为保证顺义区城乡环境建设检查工作的科学性、公正性，提高现场检查工作效率和质量，</w:t>
      </w:r>
      <w:r>
        <w:rPr>
          <w:sz w:val="22"/>
          <w:szCs w:val="28"/>
        </w:rPr>
        <w:t>每月开展常规检查</w:t>
      </w:r>
      <w:r>
        <w:rPr>
          <w:rFonts w:hint="eastAsia"/>
          <w:sz w:val="22"/>
          <w:szCs w:val="28"/>
          <w:lang w:val="en-US" w:eastAsia="zh-CN"/>
        </w:rPr>
        <w:t>。</w:t>
      </w:r>
      <w:r>
        <w:rPr>
          <w:rFonts w:hint="eastAsia"/>
          <w:sz w:val="22"/>
          <w:szCs w:val="28"/>
        </w:rPr>
        <w:t>实现全区各地域检查全覆盖、早中晚各时段检查均衡，每周采取“上5休2”的排班模式，每天1个班次，检查时间为早上8:00-下午18:00</w:t>
      </w:r>
      <w:r>
        <w:rPr>
          <w:rFonts w:hint="eastAsia"/>
          <w:sz w:val="22"/>
          <w:szCs w:val="28"/>
          <w:lang w:val="en-US" w:eastAsia="zh-CN"/>
        </w:rPr>
        <w:t>。</w:t>
      </w:r>
      <w:r>
        <w:rPr>
          <w:rFonts w:hint="eastAsia"/>
          <w:sz w:val="22"/>
          <w:szCs w:val="28"/>
        </w:rPr>
        <w:t>如在节假日、重大活动等临时特殊情况，对检查时间灵活进行动态调整，确保完成应急检查保障任务。</w:t>
      </w:r>
    </w:p>
    <w:p w14:paraId="72C345EB">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sz w:val="22"/>
          <w:szCs w:val="28"/>
        </w:rPr>
        <w:t>5.</w:t>
      </w:r>
      <w:r>
        <w:rPr>
          <w:rFonts w:hint="eastAsia"/>
          <w:sz w:val="22"/>
          <w:szCs w:val="28"/>
        </w:rPr>
        <w:t>服务保障</w:t>
      </w:r>
      <w:r>
        <w:rPr>
          <w:sz w:val="22"/>
          <w:szCs w:val="28"/>
        </w:rPr>
        <w:t>工作成果</w:t>
      </w:r>
    </w:p>
    <w:p w14:paraId="5E36CC27">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sz w:val="22"/>
          <w:szCs w:val="28"/>
        </w:rPr>
        <w:t>1）建立台账：包括建立新增问题台账和专项台账两个部分，台账包含问题发生时间、地点、所属属地、照片、整改效果等信息。</w:t>
      </w:r>
    </w:p>
    <w:p w14:paraId="0497F0C0">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sz w:val="22"/>
          <w:szCs w:val="28"/>
        </w:rPr>
        <w:t>2）数据分析统计表：包括各属地得分、排名及扣分原因。</w:t>
      </w:r>
    </w:p>
    <w:p w14:paraId="288FEDE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sz w:val="22"/>
          <w:szCs w:val="28"/>
        </w:rPr>
        <w:t>3）月度考核报告：汇总月度考核数据，包括月度情况描述、问题分析、工作建议等。</w:t>
      </w:r>
    </w:p>
    <w:p w14:paraId="11BAC492">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sz w:val="22"/>
          <w:szCs w:val="28"/>
        </w:rPr>
        <w:t>4）季度考核报告：汇总季度考核数据，包括季度情况描述、工作成效、问题分析、工作建议等。</w:t>
      </w:r>
    </w:p>
    <w:p w14:paraId="27C5BE23">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w:t>
      </w:r>
      <w:r>
        <w:rPr>
          <w:sz w:val="22"/>
          <w:szCs w:val="28"/>
        </w:rPr>
        <w:t>5）年度考评报告：汇总全年检查考核结果，从全年总体情况、年度共性问题、突出问题等方面进行总结，进而分析问题原因，提出改进措施和建议。</w:t>
      </w:r>
    </w:p>
    <w:p w14:paraId="366F7BB1">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highlight w:val="none"/>
        </w:rPr>
      </w:pPr>
      <w:r>
        <w:rPr>
          <w:sz w:val="22"/>
          <w:szCs w:val="28"/>
          <w:highlight w:val="none"/>
        </w:rPr>
        <w:t>6.</w:t>
      </w:r>
      <w:r>
        <w:rPr>
          <w:rFonts w:hint="eastAsia"/>
          <w:sz w:val="22"/>
          <w:szCs w:val="28"/>
          <w:highlight w:val="none"/>
        </w:rPr>
        <w:t>服务保障</w:t>
      </w:r>
      <w:r>
        <w:rPr>
          <w:sz w:val="22"/>
          <w:szCs w:val="28"/>
          <w:highlight w:val="none"/>
        </w:rPr>
        <w:t>系统平台</w:t>
      </w:r>
    </w:p>
    <w:p w14:paraId="140C728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highlight w:val="none"/>
        </w:rPr>
        <w:t>为提高城乡环境建设检查工作实效，由第三方</w:t>
      </w:r>
      <w:r>
        <w:rPr>
          <w:sz w:val="22"/>
          <w:szCs w:val="28"/>
          <w:highlight w:val="none"/>
        </w:rPr>
        <w:t>提供</w:t>
      </w:r>
      <w:r>
        <w:rPr>
          <w:rFonts w:hint="eastAsia"/>
          <w:sz w:val="22"/>
          <w:szCs w:val="28"/>
          <w:highlight w:val="none"/>
        </w:rPr>
        <w:t>检查平台</w:t>
      </w:r>
      <w:r>
        <w:rPr>
          <w:sz w:val="22"/>
          <w:szCs w:val="28"/>
          <w:highlight w:val="none"/>
        </w:rPr>
        <w:t>系统</w:t>
      </w:r>
      <w:r>
        <w:rPr>
          <w:rFonts w:hint="eastAsia"/>
          <w:sz w:val="22"/>
          <w:szCs w:val="28"/>
          <w:highlight w:val="none"/>
        </w:rPr>
        <w:t>平台以及</w:t>
      </w:r>
      <w:r>
        <w:rPr>
          <w:sz w:val="22"/>
          <w:szCs w:val="28"/>
          <w:highlight w:val="none"/>
        </w:rPr>
        <w:t>支持PC端、APP端、微信小程序等</w:t>
      </w:r>
      <w:r>
        <w:rPr>
          <w:rFonts w:hint="eastAsia"/>
          <w:sz w:val="22"/>
          <w:szCs w:val="28"/>
          <w:highlight w:val="none"/>
        </w:rPr>
        <w:t>端口的系统软件</w:t>
      </w:r>
      <w:r>
        <w:rPr>
          <w:sz w:val="22"/>
          <w:szCs w:val="28"/>
          <w:highlight w:val="none"/>
        </w:rPr>
        <w:t>，系统平台</w:t>
      </w:r>
      <w:r>
        <w:rPr>
          <w:rFonts w:hint="eastAsia"/>
          <w:sz w:val="22"/>
          <w:szCs w:val="28"/>
          <w:highlight w:val="none"/>
        </w:rPr>
        <w:t>需</w:t>
      </w:r>
      <w:r>
        <w:rPr>
          <w:sz w:val="22"/>
          <w:szCs w:val="28"/>
          <w:highlight w:val="none"/>
        </w:rPr>
        <w:t>具有实时上传发现问题、审核派发问题、整改反馈问题等功能。</w:t>
      </w:r>
    </w:p>
    <w:p w14:paraId="1BB00056">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sz w:val="22"/>
          <w:szCs w:val="28"/>
        </w:rPr>
        <w:t>7.</w:t>
      </w:r>
      <w:r>
        <w:rPr>
          <w:rFonts w:hint="eastAsia"/>
          <w:sz w:val="22"/>
          <w:szCs w:val="28"/>
        </w:rPr>
        <w:t>服务保障</w:t>
      </w:r>
      <w:r>
        <w:rPr>
          <w:sz w:val="22"/>
          <w:szCs w:val="28"/>
        </w:rPr>
        <w:t>人员</w:t>
      </w:r>
      <w:r>
        <w:rPr>
          <w:rFonts w:hint="eastAsia"/>
          <w:sz w:val="22"/>
          <w:szCs w:val="28"/>
        </w:rPr>
        <w:t>需求</w:t>
      </w:r>
    </w:p>
    <w:p w14:paraId="0E23A616">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第三方</w:t>
      </w:r>
      <w:r>
        <w:rPr>
          <w:sz w:val="22"/>
          <w:szCs w:val="28"/>
        </w:rPr>
        <w:t>应对本项目拟派项目负责人1名，学历在大学本科（含）以上，内勤人员不少于7人，且学历均在大学本科（含）以上；外勤人员不少于28人，且学历均在大学专科（含）以上；项目组主要人员简历、学历证明等</w:t>
      </w:r>
      <w:r>
        <w:rPr>
          <w:rFonts w:hint="eastAsia"/>
          <w:sz w:val="22"/>
          <w:szCs w:val="28"/>
        </w:rPr>
        <w:t>，</w:t>
      </w:r>
      <w:r>
        <w:rPr>
          <w:sz w:val="22"/>
          <w:szCs w:val="28"/>
        </w:rPr>
        <w:t>由</w:t>
      </w:r>
      <w:r>
        <w:rPr>
          <w:rFonts w:hint="eastAsia"/>
          <w:sz w:val="22"/>
          <w:szCs w:val="28"/>
        </w:rPr>
        <w:t>第三方</w:t>
      </w:r>
      <w:r>
        <w:rPr>
          <w:sz w:val="22"/>
          <w:szCs w:val="28"/>
        </w:rPr>
        <w:t>盖章后</w:t>
      </w:r>
      <w:r>
        <w:rPr>
          <w:rFonts w:hint="eastAsia"/>
          <w:sz w:val="22"/>
          <w:szCs w:val="28"/>
        </w:rPr>
        <w:t>向顺义区城市管理委员会</w:t>
      </w:r>
      <w:r>
        <w:rPr>
          <w:sz w:val="22"/>
          <w:szCs w:val="28"/>
        </w:rPr>
        <w:t>备案</w:t>
      </w:r>
      <w:r>
        <w:rPr>
          <w:rFonts w:hint="eastAsia"/>
          <w:sz w:val="22"/>
          <w:szCs w:val="28"/>
        </w:rPr>
        <w:t>，后续</w:t>
      </w:r>
      <w:r>
        <w:rPr>
          <w:sz w:val="22"/>
          <w:szCs w:val="28"/>
        </w:rPr>
        <w:t>如有调整应及时更新备案。</w:t>
      </w:r>
    </w:p>
    <w:p w14:paraId="38289EC0">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rFonts w:hint="default"/>
          <w:sz w:val="22"/>
          <w:szCs w:val="28"/>
          <w:lang w:val="en-US" w:eastAsia="zh-CN"/>
        </w:rPr>
      </w:pPr>
      <w:r>
        <w:rPr>
          <w:rFonts w:hint="eastAsia"/>
          <w:sz w:val="22"/>
          <w:szCs w:val="28"/>
          <w:lang w:val="en-US" w:eastAsia="zh-CN"/>
        </w:rPr>
        <w:t>8.拟投入车辆及设备需求</w:t>
      </w:r>
    </w:p>
    <w:p w14:paraId="1CD867DF">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为保证工作顺利开展，第三方应提供</w:t>
      </w:r>
      <w:r>
        <w:rPr>
          <w:rFonts w:hint="eastAsia" w:asciiTheme="minorEastAsia" w:hAnsiTheme="minorEastAsia" w:eastAsiaTheme="minorEastAsia" w:cstheme="minorEastAsia"/>
          <w:sz w:val="24"/>
          <w:szCs w:val="24"/>
          <w:highlight w:val="none"/>
        </w:rPr>
        <w:t>驻场车辆至少4台，其中含1台7座。办公设备：内勤人员每人1台办公电脑，1套办公桌椅；1</w:t>
      </w:r>
      <w:r>
        <w:rPr>
          <w:rFonts w:hint="eastAsia" w:asciiTheme="minorEastAsia" w:hAnsiTheme="minorEastAsia" w:eastAsiaTheme="minorEastAsia" w:cstheme="minorEastAsia"/>
          <w:sz w:val="24"/>
          <w:szCs w:val="24"/>
        </w:rPr>
        <w:t>台打印机；至少1台笔记本电脑；视频会议相关设备及日常办公用品。</w:t>
      </w:r>
    </w:p>
    <w:p w14:paraId="2B8DAB45">
      <w:pPr>
        <w:pStyle w:val="21"/>
        <w:rPr>
          <w:rFonts w:hint="default" w:eastAsia="宋体"/>
          <w:lang w:val="en-US" w:eastAsia="zh-CN"/>
        </w:rPr>
      </w:pPr>
    </w:p>
    <w:p w14:paraId="42700432">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三、服务总时长</w:t>
      </w:r>
    </w:p>
    <w:p w14:paraId="17B9661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2"/>
          <w:szCs w:val="28"/>
          <w:highlight w:val="none"/>
        </w:rPr>
      </w:pPr>
      <w:r>
        <w:rPr>
          <w:rFonts w:hint="eastAsia"/>
          <w:sz w:val="22"/>
          <w:szCs w:val="28"/>
        </w:rPr>
        <w:t>环境建设第三方检查项目的服务保障周期为自</w:t>
      </w:r>
      <w:r>
        <w:rPr>
          <w:sz w:val="22"/>
          <w:szCs w:val="28"/>
        </w:rPr>
        <w:t>合同签订</w:t>
      </w:r>
      <w:r>
        <w:rPr>
          <w:rFonts w:hint="eastAsia"/>
          <w:sz w:val="22"/>
          <w:szCs w:val="28"/>
        </w:rPr>
        <w:t>之</w:t>
      </w:r>
      <w:r>
        <w:rPr>
          <w:sz w:val="22"/>
          <w:szCs w:val="28"/>
        </w:rPr>
        <w:t>日</w:t>
      </w:r>
      <w:r>
        <w:rPr>
          <w:rFonts w:hint="eastAsia"/>
          <w:sz w:val="22"/>
          <w:szCs w:val="28"/>
        </w:rPr>
        <w:t>起</w:t>
      </w:r>
      <w:r>
        <w:rPr>
          <w:sz w:val="22"/>
          <w:szCs w:val="28"/>
        </w:rPr>
        <w:t>1年</w:t>
      </w:r>
      <w:r>
        <w:rPr>
          <w:rFonts w:hint="eastAsia"/>
          <w:sz w:val="22"/>
          <w:szCs w:val="28"/>
        </w:rPr>
        <w:t>（1</w:t>
      </w:r>
      <w:r>
        <w:rPr>
          <w:sz w:val="22"/>
          <w:szCs w:val="28"/>
        </w:rPr>
        <w:t>2</w:t>
      </w:r>
      <w:r>
        <w:rPr>
          <w:rFonts w:hint="eastAsia"/>
          <w:sz w:val="22"/>
          <w:szCs w:val="28"/>
        </w:rPr>
        <w:t>个月）</w:t>
      </w:r>
      <w:r>
        <w:rPr>
          <w:rFonts w:hint="eastAsia"/>
          <w:color w:val="auto"/>
          <w:sz w:val="22"/>
          <w:szCs w:val="28"/>
          <w:highlight w:val="none"/>
        </w:rPr>
        <w:t>第三方每月开展常规检查，同时不定期配合开展专项保障工作</w:t>
      </w:r>
      <w:r>
        <w:rPr>
          <w:color w:val="auto"/>
          <w:sz w:val="22"/>
          <w:szCs w:val="28"/>
          <w:highlight w:val="none"/>
        </w:rPr>
        <w:t>；</w:t>
      </w:r>
      <w:r>
        <w:rPr>
          <w:rFonts w:hint="eastAsia"/>
          <w:color w:val="auto"/>
          <w:sz w:val="22"/>
          <w:szCs w:val="28"/>
          <w:highlight w:val="none"/>
        </w:rPr>
        <w:t>每月依据《顺义区环境建设第三方检查服务考核办法》对第三方进行考核，实际支付服务费数额依据每月考核结果而定</w:t>
      </w:r>
      <w:r>
        <w:rPr>
          <w:rFonts w:hint="eastAsia"/>
          <w:color w:val="auto"/>
          <w:sz w:val="22"/>
          <w:szCs w:val="28"/>
          <w:highlight w:val="none"/>
          <w:lang w:eastAsia="zh-CN"/>
        </w:rPr>
        <w:t>，</w:t>
      </w:r>
      <w:r>
        <w:rPr>
          <w:rFonts w:hint="eastAsia"/>
          <w:color w:val="auto"/>
          <w:sz w:val="22"/>
          <w:szCs w:val="28"/>
          <w:highlight w:val="none"/>
        </w:rPr>
        <w:t>甲乙双方约定在财政资金允许拨付的情况下，甲方向乙方支付项目服务费；</w:t>
      </w:r>
    </w:p>
    <w:p w14:paraId="4FC7BC21">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sz w:val="22"/>
          <w:szCs w:val="28"/>
          <w:highlight w:val="yellow"/>
        </w:rPr>
      </w:pPr>
      <w:r>
        <w:rPr>
          <w:rFonts w:hint="eastAsia"/>
          <w:color w:val="auto"/>
          <w:sz w:val="22"/>
          <w:szCs w:val="28"/>
          <w:highlight w:val="none"/>
          <w:lang w:val="en-US" w:eastAsia="zh-CN"/>
        </w:rPr>
        <w:t>服务期届满前</w:t>
      </w:r>
      <w:r>
        <w:rPr>
          <w:rFonts w:hint="eastAsia"/>
          <w:color w:val="auto"/>
          <w:sz w:val="22"/>
          <w:szCs w:val="28"/>
          <w:highlight w:val="none"/>
        </w:rPr>
        <w:t>第三方</w:t>
      </w:r>
      <w:r>
        <w:rPr>
          <w:color w:val="auto"/>
          <w:sz w:val="22"/>
          <w:szCs w:val="28"/>
          <w:highlight w:val="none"/>
        </w:rPr>
        <w:t>完成</w:t>
      </w:r>
      <w:r>
        <w:rPr>
          <w:rFonts w:hint="eastAsia"/>
          <w:color w:val="auto"/>
          <w:sz w:val="22"/>
          <w:szCs w:val="28"/>
          <w:highlight w:val="none"/>
        </w:rPr>
        <w:t>全部</w:t>
      </w:r>
      <w:r>
        <w:rPr>
          <w:color w:val="auto"/>
          <w:sz w:val="22"/>
          <w:szCs w:val="28"/>
          <w:highlight w:val="none"/>
        </w:rPr>
        <w:t>工作</w:t>
      </w:r>
      <w:r>
        <w:rPr>
          <w:rFonts w:hint="eastAsia"/>
          <w:color w:val="auto"/>
          <w:sz w:val="22"/>
          <w:szCs w:val="28"/>
          <w:highlight w:val="none"/>
        </w:rPr>
        <w:t>，依据《顺义区202</w:t>
      </w:r>
      <w:r>
        <w:rPr>
          <w:rFonts w:hint="eastAsia"/>
          <w:color w:val="auto"/>
          <w:sz w:val="22"/>
          <w:szCs w:val="28"/>
          <w:highlight w:val="none"/>
          <w:lang w:val="en-US" w:eastAsia="zh-CN"/>
        </w:rPr>
        <w:t>6</w:t>
      </w:r>
      <w:r>
        <w:rPr>
          <w:rFonts w:hint="eastAsia"/>
          <w:color w:val="auto"/>
          <w:sz w:val="22"/>
          <w:szCs w:val="28"/>
          <w:highlight w:val="none"/>
        </w:rPr>
        <w:t>年环境建设第三方服务考核办法》对第三方工作完成情况和合同履行情况进行考核验收</w:t>
      </w:r>
      <w:r>
        <w:rPr>
          <w:color w:val="auto"/>
          <w:sz w:val="22"/>
          <w:szCs w:val="28"/>
          <w:highlight w:val="none"/>
        </w:rPr>
        <w:t>。</w:t>
      </w:r>
    </w:p>
    <w:p w14:paraId="4548E564">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lang w:val="en-US" w:eastAsia="zh-CN"/>
        </w:rPr>
        <w:t>四</w:t>
      </w:r>
      <w:r>
        <w:rPr>
          <w:rFonts w:hint="eastAsia"/>
          <w:sz w:val="22"/>
          <w:szCs w:val="28"/>
        </w:rPr>
        <w:t>、服务保障地点的面积和具体内容</w:t>
      </w:r>
    </w:p>
    <w:p w14:paraId="231149A3">
      <w:pPr>
        <w:keepNext w:val="0"/>
        <w:keepLines w:val="0"/>
        <w:pageBreakBefore w:val="0"/>
        <w:widowControl w:val="0"/>
        <w:kinsoku/>
        <w:wordWrap/>
        <w:overflowPunct/>
        <w:topLinePunct w:val="0"/>
        <w:autoSpaceDE/>
        <w:autoSpaceDN/>
        <w:bidi w:val="0"/>
        <w:adjustRightInd/>
        <w:snapToGrid/>
        <w:spacing w:line="360" w:lineRule="auto"/>
        <w:textAlignment w:val="auto"/>
        <w:rPr>
          <w:b/>
          <w:bCs/>
          <w:sz w:val="32"/>
          <w:szCs w:val="32"/>
        </w:rPr>
      </w:pPr>
      <w:r>
        <w:rPr>
          <w:rFonts w:hint="eastAsia"/>
          <w:sz w:val="22"/>
          <w:szCs w:val="28"/>
        </w:rPr>
        <w:t>环境建设第三方检查项目的服务保障地点为顺义区全域范围，总面积1021平方公里，具体地点为覆盖顺义区25个乡镇街道，即：石园街道、双丰街道、胜利街道、旺泉街道、光明街道、空港街道、牛栏山镇、仁和镇、后沙峪镇、南法信镇、马坡镇、南彩镇、天竺镇、北石槽镇、李桥镇、赵全营镇、李遂镇、北小营镇、北务镇、高丽营镇、龙湾屯镇、张镇、大孙各庄镇、杨镇、木林镇。</w:t>
      </w:r>
    </w:p>
    <w:p w14:paraId="2A1B164C">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lang w:val="en-US" w:eastAsia="zh-CN"/>
        </w:rPr>
        <w:t>五</w:t>
      </w:r>
      <w:r>
        <w:rPr>
          <w:rFonts w:hint="eastAsia"/>
          <w:sz w:val="22"/>
          <w:szCs w:val="28"/>
        </w:rPr>
        <w:t>、项目实施和验收方式</w:t>
      </w:r>
    </w:p>
    <w:p w14:paraId="2CBDEA62">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（一）实施方式</w:t>
      </w:r>
    </w:p>
    <w:p w14:paraId="32FDFB9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按照委局项目管理规定和资金支付进度要求，</w:t>
      </w:r>
      <w:r>
        <w:rPr>
          <w:rFonts w:hint="eastAsia"/>
          <w:sz w:val="22"/>
          <w:szCs w:val="28"/>
          <w:highlight w:val="none"/>
          <w:lang w:eastAsia="zh-CN"/>
        </w:rPr>
        <w:t>委托方</w:t>
      </w:r>
      <w:r>
        <w:rPr>
          <w:rFonts w:hint="eastAsia"/>
          <w:sz w:val="22"/>
          <w:szCs w:val="28"/>
        </w:rPr>
        <w:t>研究制定项目实施方案及相关管理制度，根据《中华人民共和国政府采购法》的相关规定，委托招标代理公司开展“环境建设第三方检查项目”的公开招标工作，确定项目承担单位。根据招标结果，按照委局的有关规定拟定合同，经法制科合法性审核后签订，并按照约定予以资金拨付。</w:t>
      </w:r>
    </w:p>
    <w:p w14:paraId="584641B6">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在第三方</w:t>
      </w:r>
      <w:r>
        <w:rPr>
          <w:sz w:val="22"/>
          <w:szCs w:val="28"/>
        </w:rPr>
        <w:t>项目执行过程中</w:t>
      </w:r>
      <w:r>
        <w:rPr>
          <w:sz w:val="22"/>
          <w:szCs w:val="28"/>
          <w:highlight w:val="none"/>
        </w:rPr>
        <w:t>，</w:t>
      </w:r>
      <w:r>
        <w:rPr>
          <w:rFonts w:hint="eastAsia"/>
          <w:sz w:val="22"/>
          <w:szCs w:val="28"/>
          <w:highlight w:val="none"/>
          <w:lang w:eastAsia="zh-CN"/>
        </w:rPr>
        <w:t>委托方</w:t>
      </w:r>
      <w:r>
        <w:rPr>
          <w:sz w:val="22"/>
          <w:szCs w:val="28"/>
        </w:rPr>
        <w:t>安排专人跟踪项目进展和资金使用情况，</w:t>
      </w:r>
      <w:r>
        <w:rPr>
          <w:rFonts w:hint="eastAsia"/>
          <w:sz w:val="22"/>
          <w:szCs w:val="28"/>
        </w:rPr>
        <w:t>每月依据</w:t>
      </w:r>
      <w:r>
        <w:rPr>
          <w:sz w:val="22"/>
          <w:szCs w:val="28"/>
        </w:rPr>
        <w:t>《顺义区环境建设第三方检查服务考核办法》对</w:t>
      </w:r>
      <w:r>
        <w:rPr>
          <w:rFonts w:hint="eastAsia"/>
          <w:sz w:val="22"/>
          <w:szCs w:val="28"/>
        </w:rPr>
        <w:t>第三方进行</w:t>
      </w:r>
      <w:r>
        <w:rPr>
          <w:sz w:val="22"/>
          <w:szCs w:val="28"/>
        </w:rPr>
        <w:t>考核</w:t>
      </w:r>
      <w:r>
        <w:rPr>
          <w:rFonts w:hint="eastAsia"/>
          <w:sz w:val="22"/>
          <w:szCs w:val="28"/>
        </w:rPr>
        <w:t>，</w:t>
      </w:r>
      <w:r>
        <w:rPr>
          <w:sz w:val="22"/>
          <w:szCs w:val="28"/>
        </w:rPr>
        <w:t>确保项目执行质量和工作进度。</w:t>
      </w:r>
    </w:p>
    <w:p w14:paraId="5739F9CD">
      <w:pPr>
        <w:pStyle w:val="3"/>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highlight w:val="none"/>
        </w:rPr>
      </w:pPr>
      <w:r>
        <w:rPr>
          <w:rFonts w:hint="eastAsia"/>
          <w:sz w:val="22"/>
          <w:szCs w:val="28"/>
          <w:highlight w:val="none"/>
        </w:rPr>
        <w:t>（二）验收标准</w:t>
      </w:r>
    </w:p>
    <w:p w14:paraId="69944AFA">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依据《顺义区环境建设第三方检查服务考核办法》，对第三方检查工作开展情况和合同履行情况进行量化考核和验收。具体标准包括（如首环办检查工作有调整，以下标准可作适当调整，并依据调整后的办法执行）：</w:t>
      </w:r>
    </w:p>
    <w:p w14:paraId="11744865">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1</w:t>
      </w:r>
      <w:r>
        <w:rPr>
          <w:sz w:val="22"/>
          <w:szCs w:val="28"/>
        </w:rPr>
        <w:t>.</w:t>
      </w:r>
      <w:r>
        <w:rPr>
          <w:rFonts w:hint="eastAsia"/>
          <w:sz w:val="22"/>
          <w:szCs w:val="28"/>
        </w:rPr>
        <w:t>基础管理</w:t>
      </w:r>
    </w:p>
    <w:p w14:paraId="1AC89E63">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第三方公司按照合同要求配备相应的项目组人员，完成甲方要求的工作，按合同规定要求配备人员、车辆和办公设备；第三方公司提交每周检查工作通报、每月工作分析报告、每季度工作分析报告、年度考评报告、专项保障工作报告及月度曝光片（以第三方公司提交盖章版为准），上诉材料中不得出现逻辑错误、数据分析错误、错别字等问题。</w:t>
      </w:r>
    </w:p>
    <w:p w14:paraId="635FEBEE">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2</w:t>
      </w:r>
      <w:r>
        <w:rPr>
          <w:sz w:val="22"/>
          <w:szCs w:val="28"/>
        </w:rPr>
        <w:t>.</w:t>
      </w:r>
      <w:r>
        <w:rPr>
          <w:rFonts w:hint="eastAsia"/>
          <w:sz w:val="22"/>
          <w:szCs w:val="28"/>
        </w:rPr>
        <w:t>巡查检查</w:t>
      </w:r>
    </w:p>
    <w:p w14:paraId="617C7A6D">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第三方公司以穷尽问题为导向，依据首环办</w:t>
      </w:r>
      <w:r>
        <w:rPr>
          <w:rFonts w:hint="eastAsia"/>
          <w:sz w:val="22"/>
          <w:szCs w:val="28"/>
          <w:lang w:eastAsia="zh-Hans"/>
        </w:rPr>
        <w:t>、</w:t>
      </w:r>
      <w:r>
        <w:rPr>
          <w:rFonts w:hint="eastAsia"/>
          <w:sz w:val="22"/>
          <w:szCs w:val="28"/>
          <w:lang w:val="en-US" w:eastAsia="zh-Hans"/>
        </w:rPr>
        <w:t>背街小巷</w:t>
      </w:r>
      <w:r>
        <w:rPr>
          <w:rFonts w:hint="eastAsia"/>
          <w:sz w:val="22"/>
          <w:szCs w:val="28"/>
        </w:rPr>
        <w:t>检查中定期更新的内容，对顺义区全域范围内开展全覆盖、常态化巡查检查，每月对各属地检查发现、建账、复查的有效问题台账不少于150个。（注：有效台账为根据区环境建设管理办要求建立的问题台账，不符合要求的视为无效台账，包括点位描述模糊、照片不清晰、内容不完整、复查点位与整改点位不一致、对比照片不是同一角度、指标与描述不一致、超出检查范围等，以第三方公司提交给区环境建设管理办的台账数目为准），不得出现无效台账。</w:t>
      </w:r>
    </w:p>
    <w:p w14:paraId="63CDA724">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3</w:t>
      </w:r>
      <w:r>
        <w:rPr>
          <w:sz w:val="22"/>
          <w:szCs w:val="28"/>
        </w:rPr>
        <w:t>.</w:t>
      </w:r>
      <w:r>
        <w:rPr>
          <w:rFonts w:hint="eastAsia"/>
          <w:sz w:val="22"/>
          <w:szCs w:val="28"/>
        </w:rPr>
        <w:t>首环办专项检查</w:t>
      </w:r>
    </w:p>
    <w:p w14:paraId="199EDE39">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每月首环办对顺义区专项检查成绩要保持在平原新城组前</w:t>
      </w:r>
      <w:r>
        <w:rPr>
          <w:rFonts w:hint="eastAsia"/>
          <w:sz w:val="22"/>
          <w:szCs w:val="28"/>
          <w:lang w:val="en-US" w:eastAsia="zh-CN"/>
        </w:rPr>
        <w:t>3</w:t>
      </w:r>
      <w:r>
        <w:rPr>
          <w:rFonts w:hint="eastAsia"/>
          <w:sz w:val="22"/>
          <w:szCs w:val="28"/>
        </w:rPr>
        <w:t>名。</w:t>
      </w:r>
    </w:p>
    <w:p w14:paraId="457A3D80">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4</w:t>
      </w:r>
      <w:r>
        <w:rPr>
          <w:sz w:val="22"/>
          <w:szCs w:val="28"/>
        </w:rPr>
        <w:t>.</w:t>
      </w:r>
      <w:r>
        <w:rPr>
          <w:rFonts w:hint="eastAsia"/>
          <w:sz w:val="22"/>
          <w:szCs w:val="28"/>
        </w:rPr>
        <w:t>小卫星监测</w:t>
      </w:r>
    </w:p>
    <w:p w14:paraId="5C7533F2">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每月第三方检查、建账、派发的大型垃圾渣土堆放点台账至少在当月10日前完成，上述台账要涵盖当月首环办下发小卫星监测台账。每月市级该项指标考核结果不得在平原新城组后2名。</w:t>
      </w:r>
    </w:p>
    <w:p w14:paraId="1B17A65E">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5</w:t>
      </w:r>
      <w:r>
        <w:rPr>
          <w:sz w:val="22"/>
          <w:szCs w:val="28"/>
        </w:rPr>
        <w:t>.</w:t>
      </w:r>
      <w:r>
        <w:rPr>
          <w:rFonts w:hint="eastAsia"/>
          <w:sz w:val="22"/>
          <w:szCs w:val="28"/>
        </w:rPr>
        <w:t>视频监控</w:t>
      </w:r>
    </w:p>
    <w:p w14:paraId="0190CA25">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首环办视频监控周期内，第三方检查、建账、派发的点位问题要涵盖首环办下发的视频监控问题台账。每月市级该项指标考核结果不得在平原新城组后2名。</w:t>
      </w:r>
    </w:p>
    <w:p w14:paraId="203BF829">
      <w:pPr>
        <w:pStyle w:val="4"/>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sz w:val="22"/>
          <w:szCs w:val="28"/>
        </w:rPr>
        <w:t>6</w:t>
      </w:r>
      <w:r>
        <w:rPr>
          <w:sz w:val="22"/>
          <w:szCs w:val="28"/>
        </w:rPr>
        <w:t>.</w:t>
      </w:r>
      <w:r>
        <w:rPr>
          <w:rFonts w:hint="eastAsia"/>
          <w:sz w:val="22"/>
          <w:szCs w:val="28"/>
        </w:rPr>
        <w:t>专项任务</w:t>
      </w:r>
    </w:p>
    <w:p w14:paraId="40FBC4D6">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第三方公司应按照区环境建设管理办要求，做好领导调研、各级检查、重要节日、大型活动等临时性环境保障工作，以公司巡查记录或建立台账为依据检查验收，保障工作不得出现巡查、建账问题有遗漏（以区环境建设管理办巡查发现但第三方公司未巡查到或未派发至属地整改的为标准）。</w:t>
      </w:r>
    </w:p>
    <w:p w14:paraId="7A1550F3">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lang w:val="en-US" w:eastAsia="zh-CN"/>
        </w:rPr>
        <w:t>六</w:t>
      </w:r>
      <w:r>
        <w:rPr>
          <w:rFonts w:hint="eastAsia"/>
          <w:sz w:val="22"/>
          <w:szCs w:val="28"/>
        </w:rPr>
        <w:t>、保障措施</w:t>
      </w:r>
    </w:p>
    <w:p w14:paraId="6C968182">
      <w:pPr>
        <w:keepNext w:val="0"/>
        <w:keepLines w:val="0"/>
        <w:pageBreakBefore w:val="0"/>
        <w:widowControl w:val="0"/>
        <w:kinsoku/>
        <w:wordWrap/>
        <w:overflowPunct/>
        <w:topLinePunct w:val="0"/>
        <w:autoSpaceDE/>
        <w:autoSpaceDN/>
        <w:bidi w:val="0"/>
        <w:adjustRightInd/>
        <w:snapToGrid/>
        <w:spacing w:line="360" w:lineRule="auto"/>
        <w:textAlignment w:val="auto"/>
        <w:rPr>
          <w:sz w:val="22"/>
          <w:szCs w:val="28"/>
        </w:rPr>
      </w:pPr>
      <w:r>
        <w:rPr>
          <w:rFonts w:hint="eastAsia"/>
          <w:sz w:val="22"/>
          <w:szCs w:val="28"/>
        </w:rPr>
        <w:t>环境建设第三方检查项目的实施是必要的、可行的，顺义区城市管理委员会在充分考虑制约因素与风险的情况下，通过制订相应措施防范风险，加强项目的实施管理和质量管理，力争实现在保证进度和质量的同时节省资金、节约能源，使其尽快发挥出最大的效益。</w:t>
      </w:r>
    </w:p>
    <w:p w14:paraId="240767AE">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一是</w:t>
      </w:r>
      <w:r>
        <w:rPr>
          <w:sz w:val="22"/>
          <w:szCs w:val="28"/>
        </w:rPr>
        <w:t>加强组织管理。</w:t>
      </w:r>
      <w:r>
        <w:rPr>
          <w:rFonts w:hint="eastAsia"/>
          <w:sz w:val="22"/>
          <w:szCs w:val="28"/>
        </w:rPr>
        <w:t>为确保项目及时决策、沟通和协调项目建设过程中的重大问题，确保项目按时、按质、按量顺利进行，</w:t>
      </w:r>
      <w:r>
        <w:rPr>
          <w:rFonts w:hint="eastAsia"/>
          <w:sz w:val="22"/>
          <w:szCs w:val="28"/>
          <w:highlight w:val="none"/>
          <w:lang w:eastAsia="zh-CN"/>
        </w:rPr>
        <w:t>委托方</w:t>
      </w:r>
      <w:r>
        <w:rPr>
          <w:rFonts w:hint="eastAsia"/>
          <w:sz w:val="22"/>
          <w:szCs w:val="28"/>
        </w:rPr>
        <w:t>特</w:t>
      </w:r>
      <w:r>
        <w:rPr>
          <w:sz w:val="22"/>
          <w:szCs w:val="28"/>
        </w:rPr>
        <w:t>成立项目工作组，</w:t>
      </w:r>
      <w:r>
        <w:rPr>
          <w:rFonts w:hint="eastAsia"/>
          <w:sz w:val="22"/>
          <w:szCs w:val="28"/>
        </w:rPr>
        <w:t>由主管领导</w:t>
      </w:r>
      <w:r>
        <w:rPr>
          <w:sz w:val="22"/>
          <w:szCs w:val="28"/>
        </w:rPr>
        <w:t>任组长，指定专人负责</w:t>
      </w:r>
      <w:r>
        <w:rPr>
          <w:rFonts w:hint="eastAsia"/>
          <w:sz w:val="22"/>
          <w:szCs w:val="28"/>
        </w:rPr>
        <w:t>该项目组织管理工作</w:t>
      </w:r>
      <w:r>
        <w:rPr>
          <w:sz w:val="22"/>
          <w:szCs w:val="28"/>
        </w:rPr>
        <w:t>，严格按照相关规定开展招标、资金支出、项目实施和验收等工作。</w:t>
      </w:r>
    </w:p>
    <w:p w14:paraId="12EF03C2">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二是</w:t>
      </w:r>
      <w:r>
        <w:rPr>
          <w:sz w:val="22"/>
          <w:szCs w:val="28"/>
        </w:rPr>
        <w:t>加强质量控制。</w:t>
      </w:r>
      <w:r>
        <w:rPr>
          <w:rFonts w:hint="eastAsia"/>
          <w:sz w:val="22"/>
          <w:szCs w:val="28"/>
        </w:rPr>
        <w:t>根据现有的技术力量和项目规模及管理需要，</w:t>
      </w:r>
      <w:r>
        <w:rPr>
          <w:sz w:val="22"/>
          <w:szCs w:val="28"/>
        </w:rPr>
        <w:t>按照项目执行既定方案和合同约定，采取周调度、半月总结、整月讨论研判</w:t>
      </w:r>
      <w:r>
        <w:rPr>
          <w:rFonts w:hint="eastAsia"/>
          <w:sz w:val="22"/>
          <w:szCs w:val="28"/>
        </w:rPr>
        <w:t>、定期座谈学习等</w:t>
      </w:r>
      <w:r>
        <w:rPr>
          <w:sz w:val="22"/>
          <w:szCs w:val="28"/>
        </w:rPr>
        <w:t>多种措施，定期通报项目进展情况，确保项目进度，控制项目进展质量</w:t>
      </w:r>
      <w:r>
        <w:rPr>
          <w:rFonts w:hint="eastAsia"/>
          <w:sz w:val="22"/>
          <w:szCs w:val="28"/>
        </w:rPr>
        <w:t>，同时提高人员素质，更好地为项目服务。</w:t>
      </w:r>
    </w:p>
    <w:p w14:paraId="5F84827C">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三是</w:t>
      </w:r>
      <w:r>
        <w:rPr>
          <w:rFonts w:hint="eastAsia"/>
          <w:sz w:val="22"/>
          <w:szCs w:val="28"/>
        </w:rPr>
        <w:t>加强</w:t>
      </w:r>
      <w:r>
        <w:rPr>
          <w:sz w:val="22"/>
          <w:szCs w:val="28"/>
        </w:rPr>
        <w:t>合同管理。在委托合同中</w:t>
      </w:r>
      <w:r>
        <w:rPr>
          <w:rFonts w:hint="eastAsia"/>
          <w:sz w:val="22"/>
          <w:szCs w:val="28"/>
        </w:rPr>
        <w:t>明确</w:t>
      </w:r>
      <w:r>
        <w:rPr>
          <w:sz w:val="22"/>
          <w:szCs w:val="28"/>
        </w:rPr>
        <w:t>约定</w:t>
      </w:r>
      <w:r>
        <w:rPr>
          <w:rFonts w:hint="eastAsia"/>
          <w:sz w:val="22"/>
          <w:szCs w:val="28"/>
        </w:rPr>
        <w:t>违约责任，包括乙方违反合同约定义务、未按合同约定履行合同义务、违反合同有关的保密及知识产权约定、交付的项目成果未能通过甲方验收、出现错误或质量缺陷、在履行合同过程中故意弄虚作假、违反本协议有关单独核算及专款专用等经费管理约定等情况</w:t>
      </w:r>
      <w:r>
        <w:rPr>
          <w:sz w:val="22"/>
          <w:szCs w:val="28"/>
        </w:rPr>
        <w:t>。</w:t>
      </w:r>
    </w:p>
    <w:p w14:paraId="173A1E7F">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四是</w:t>
      </w:r>
      <w:r>
        <w:rPr>
          <w:rFonts w:hint="eastAsia"/>
          <w:sz w:val="22"/>
          <w:szCs w:val="28"/>
        </w:rPr>
        <w:t>加强</w:t>
      </w:r>
      <w:r>
        <w:rPr>
          <w:sz w:val="22"/>
          <w:szCs w:val="28"/>
        </w:rPr>
        <w:t>技术管理。使用</w:t>
      </w:r>
      <w:r>
        <w:rPr>
          <w:rFonts w:hint="eastAsia"/>
          <w:sz w:val="22"/>
          <w:szCs w:val="28"/>
        </w:rPr>
        <w:t>检查平台系统平台以及支持PC端、APP端、微信小程序等端口的系统软件，</w:t>
      </w:r>
      <w:r>
        <w:rPr>
          <w:sz w:val="22"/>
          <w:szCs w:val="28"/>
        </w:rPr>
        <w:t>检查人员</w:t>
      </w:r>
      <w:r>
        <w:rPr>
          <w:rFonts w:hint="eastAsia"/>
          <w:sz w:val="22"/>
          <w:szCs w:val="28"/>
        </w:rPr>
        <w:t>对检查现场发现问题的进行拍照后，通过手机终端实时将问题照片和问题文字描述上传至系统平台，建立问题台账</w:t>
      </w:r>
      <w:r>
        <w:rPr>
          <w:sz w:val="22"/>
          <w:szCs w:val="28"/>
        </w:rPr>
        <w:t>，由后台审核人员统一进行审核，所有照片均有操作记录，后台可查。</w:t>
      </w:r>
    </w:p>
    <w:p w14:paraId="3B7C6200">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五是</w:t>
      </w:r>
      <w:r>
        <w:rPr>
          <w:rFonts w:hint="eastAsia"/>
          <w:sz w:val="22"/>
          <w:szCs w:val="28"/>
        </w:rPr>
        <w:t>加强</w:t>
      </w:r>
      <w:r>
        <w:rPr>
          <w:sz w:val="22"/>
          <w:szCs w:val="28"/>
        </w:rPr>
        <w:t>制度管理。</w:t>
      </w:r>
      <w:r>
        <w:rPr>
          <w:rFonts w:hint="eastAsia"/>
          <w:sz w:val="22"/>
          <w:szCs w:val="28"/>
        </w:rPr>
        <w:t>制定详细的项目管理办法，对成果质量控制、人员管理制度、纪律和保密管理做出明确要求。每次检查不知会基层，相关食宿交通费用自理，不给基层添负担。项目中标单位签订保密承诺书，对项目中涉及的数据、报告、文件等相关内容严格做好保密工作，参与项目人员签署保密协议，</w:t>
      </w:r>
      <w:r>
        <w:rPr>
          <w:sz w:val="22"/>
          <w:szCs w:val="28"/>
        </w:rPr>
        <w:t>所有由本项目产生的工作成果归采购人所有，未经许可不得向任何第三方透露或使用。</w:t>
      </w:r>
    </w:p>
    <w:p w14:paraId="428B5FFD">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sz w:val="22"/>
          <w:szCs w:val="28"/>
        </w:rPr>
      </w:pPr>
      <w:r>
        <w:rPr>
          <w:rFonts w:hint="eastAsia"/>
          <w:b/>
          <w:bCs/>
          <w:sz w:val="22"/>
          <w:szCs w:val="28"/>
        </w:rPr>
        <w:t>六是</w:t>
      </w:r>
      <w:r>
        <w:rPr>
          <w:rFonts w:hint="eastAsia"/>
          <w:sz w:val="22"/>
          <w:szCs w:val="28"/>
        </w:rPr>
        <w:t>加强资金管理。项目资金要</w:t>
      </w:r>
      <w:r>
        <w:rPr>
          <w:sz w:val="22"/>
          <w:szCs w:val="28"/>
        </w:rPr>
        <w:t>落实政府采购政策</w:t>
      </w:r>
      <w:r>
        <w:rPr>
          <w:rFonts w:hint="eastAsia"/>
          <w:sz w:val="22"/>
          <w:szCs w:val="28"/>
        </w:rPr>
        <w:t>，做到公开、透明、公正，要做到专款专用、统筹安排、充分发挥资金效益，同时搞</w:t>
      </w:r>
      <w:r>
        <w:rPr>
          <w:sz w:val="22"/>
          <w:szCs w:val="28"/>
        </w:rPr>
        <w:t>好财务审计监督工作，项目实施单位接受同级和上级审计监督部门的审计和监督，促使</w:t>
      </w:r>
      <w:r>
        <w:rPr>
          <w:rFonts w:hint="eastAsia"/>
          <w:sz w:val="22"/>
          <w:szCs w:val="28"/>
        </w:rPr>
        <w:t>项目相关</w:t>
      </w:r>
      <w:r>
        <w:rPr>
          <w:sz w:val="22"/>
          <w:szCs w:val="28"/>
        </w:rPr>
        <w:t>财务工作正常运行</w:t>
      </w:r>
      <w:r>
        <w:rPr>
          <w:rFonts w:hint="eastAsia"/>
          <w:sz w:val="22"/>
          <w:szCs w:val="28"/>
        </w:rPr>
        <w:t>，为项目的运行管理打下良好的基础。</w:t>
      </w:r>
    </w:p>
    <w:p w14:paraId="563D32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auto"/>
          <w:sz w:val="22"/>
          <w:szCs w:val="22"/>
          <w:u w:val="none"/>
          <w:lang w:val="en-US" w:eastAsia="zh-CN"/>
        </w:rPr>
      </w:pPr>
      <w:r>
        <w:rPr>
          <w:rFonts w:hint="eastAsia"/>
          <w:sz w:val="22"/>
          <w:szCs w:val="28"/>
        </w:rPr>
        <w:t>通过上述组织保障措施，力争实现环境建设第三方检查项目质量一次达标，项目实施做到措施到位、管理到位，项目实施要与计划相对应，实现定点、定位和定量，确保项目建设投入的人力、物力、财力及科技投入发挥作用，</w:t>
      </w:r>
      <w:r>
        <w:rPr>
          <w:sz w:val="22"/>
          <w:szCs w:val="28"/>
        </w:rPr>
        <w:t>实现经济效益、生态效益、社会效益的和谐统一。</w:t>
      </w:r>
    </w:p>
    <w:p w14:paraId="3634AAF5">
      <w:pPr>
        <w:pStyle w:val="19"/>
        <w:keepNext w:val="0"/>
        <w:keepLines w:val="0"/>
        <w:pageBreakBefore w:val="0"/>
        <w:widowControl w:val="0"/>
        <w:numPr>
          <w:ilvl w:val="0"/>
          <w:numId w:val="2"/>
        </w:numPr>
        <w:kinsoku/>
        <w:wordWrap w:val="0"/>
        <w:overflowPunct/>
        <w:topLinePunct/>
        <w:autoSpaceDE/>
        <w:autoSpaceDN/>
        <w:bidi w:val="0"/>
        <w:spacing w:before="0" w:beforeAutospacing="0" w:after="0" w:afterAutospacing="0" w:line="360" w:lineRule="auto"/>
        <w:ind w:right="0"/>
        <w:textAlignment w:val="auto"/>
        <w:outlineLvl w:val="9"/>
        <w:rPr>
          <w:rFonts w:hint="default" w:asciiTheme="minorEastAsia" w:hAnsiTheme="minorEastAsia" w:eastAsiaTheme="minorEastAsia" w:cstheme="minorEastAsia"/>
          <w:b w:val="0"/>
          <w:bCs w:val="0"/>
          <w:snapToGrid/>
          <w:color w:val="auto"/>
          <w:spacing w:val="0"/>
          <w:w w:val="100"/>
          <w:kern w:val="21"/>
          <w:sz w:val="24"/>
          <w:szCs w:val="24"/>
          <w:highlight w:val="none"/>
          <w:shd w:val="clear" w:color="auto" w:fill="FFFFFF"/>
          <w:lang w:val="en-US" w:eastAsia="zh-CN" w:bidi="ar-SA"/>
        </w:rPr>
        <w:sectPr>
          <w:pgSz w:w="11905" w:h="16838"/>
          <w:pgMar w:top="1440" w:right="1080" w:bottom="1440" w:left="1080" w:header="851" w:footer="850" w:gutter="0"/>
          <w:pgNumType w:fmt="decimal"/>
          <w:cols w:space="0" w:num="1"/>
          <w:titlePg/>
          <w:rtlGutter w:val="0"/>
          <w:docGrid w:linePitch="312" w:charSpace="0"/>
        </w:sectPr>
      </w:pPr>
    </w:p>
    <w:p w14:paraId="3679B6F1">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bCs/>
          <w:snapToGrid/>
          <w:spacing w:val="0"/>
          <w:kern w:val="21"/>
          <w:sz w:val="24"/>
          <w:szCs w:val="24"/>
          <w:highlight w:val="none"/>
          <w:lang w:val="en-US" w:eastAsia="zh-CN"/>
        </w:rPr>
      </w:pPr>
      <w:bookmarkStart w:id="670" w:name="_Toc28821"/>
      <w:r>
        <w:rPr>
          <w:rFonts w:hint="eastAsia" w:asciiTheme="minorEastAsia" w:hAnsiTheme="minorEastAsia" w:eastAsiaTheme="minorEastAsia" w:cstheme="minorEastAsia"/>
          <w:b/>
          <w:bCs/>
          <w:snapToGrid/>
          <w:spacing w:val="0"/>
          <w:kern w:val="21"/>
          <w:sz w:val="24"/>
          <w:szCs w:val="24"/>
          <w:highlight w:val="none"/>
        </w:rPr>
        <w:t>第五章   合同草案条款</w:t>
      </w:r>
      <w:bookmarkEnd w:id="670"/>
    </w:p>
    <w:p w14:paraId="0EFA1174">
      <w:pPr>
        <w:pStyle w:val="9"/>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0"/>
          <w:szCs w:val="20"/>
        </w:rPr>
      </w:pPr>
      <w:r>
        <w:rPr>
          <w:rFonts w:hint="eastAsia" w:asciiTheme="minorEastAsia" w:hAnsiTheme="minorEastAsia" w:eastAsiaTheme="minorEastAsia" w:cstheme="minorEastAsia"/>
          <w:b w:val="0"/>
          <w:bCs w:val="0"/>
          <w:snapToGrid/>
          <w:spacing w:val="0"/>
          <w:kern w:val="21"/>
          <w:sz w:val="20"/>
          <w:szCs w:val="20"/>
          <w:highlight w:val="none"/>
        </w:rPr>
        <w:br w:type="page"/>
      </w:r>
    </w:p>
    <w:p w14:paraId="2CF00D6A">
      <w:pPr>
        <w:ind w:firstLine="3694" w:firstLineChars="1150"/>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b/>
          <w:color w:val="000000" w:themeColor="text1"/>
          <w:sz w:val="32"/>
          <w:szCs w:val="32"/>
          <w14:textFill>
            <w14:solidFill>
              <w14:schemeClr w14:val="tx1"/>
            </w14:solidFill>
          </w14:textFill>
        </w:rPr>
        <w:t xml:space="preserve">合同编号： </w:t>
      </w:r>
    </w:p>
    <w:p w14:paraId="59BCE107">
      <w:pPr>
        <w:jc w:val="center"/>
        <w:rPr>
          <w:rFonts w:hint="eastAsia" w:asciiTheme="minorEastAsia" w:hAnsiTheme="minorEastAsia" w:eastAsiaTheme="minorEastAsia" w:cstheme="minorEastAsia"/>
          <w:color w:val="000000" w:themeColor="text1"/>
          <w:sz w:val="52"/>
          <w:szCs w:val="52"/>
          <w14:textFill>
            <w14:solidFill>
              <w14:schemeClr w14:val="tx1"/>
            </w14:solidFill>
          </w14:textFill>
        </w:rPr>
      </w:pPr>
    </w:p>
    <w:p w14:paraId="6B839F4B">
      <w:pPr>
        <w:pStyle w:val="21"/>
        <w:rPr>
          <w:rFonts w:hint="eastAsia"/>
        </w:rPr>
      </w:pPr>
    </w:p>
    <w:p w14:paraId="62FEABED">
      <w:pPr>
        <w:jc w:val="center"/>
        <w:rPr>
          <w:rFonts w:hint="eastAsia" w:asciiTheme="minorEastAsia" w:hAnsiTheme="minorEastAsia" w:eastAsiaTheme="minorEastAsia" w:cstheme="minorEastAsia"/>
          <w:color w:val="000000" w:themeColor="text1"/>
          <w:sz w:val="44"/>
          <w:szCs w:val="44"/>
          <w14:textFill>
            <w14:solidFill>
              <w14:schemeClr w14:val="tx1"/>
            </w14:solidFill>
          </w14:textFill>
        </w:rPr>
      </w:pPr>
      <w:r>
        <w:rPr>
          <w:rFonts w:hint="eastAsia" w:asciiTheme="minorEastAsia" w:hAnsiTheme="minorEastAsia" w:eastAsiaTheme="minorEastAsia" w:cstheme="minorEastAsia"/>
          <w:color w:val="000000" w:themeColor="text1"/>
          <w:sz w:val="44"/>
          <w:szCs w:val="44"/>
          <w14:textFill>
            <w14:solidFill>
              <w14:schemeClr w14:val="tx1"/>
            </w14:solidFill>
          </w14:textFill>
        </w:rPr>
        <w:t>政府采购合同</w:t>
      </w:r>
    </w:p>
    <w:p w14:paraId="412617CF">
      <w:pPr>
        <w:rPr>
          <w:rFonts w:hint="eastAsia" w:asciiTheme="minorEastAsia" w:hAnsiTheme="minorEastAsia" w:eastAsiaTheme="minorEastAsia" w:cstheme="minorEastAsia"/>
          <w:color w:val="000000" w:themeColor="text1"/>
          <w14:textFill>
            <w14:solidFill>
              <w14:schemeClr w14:val="tx1"/>
            </w14:solidFill>
          </w14:textFill>
        </w:rPr>
      </w:pPr>
    </w:p>
    <w:p w14:paraId="5B3CA795">
      <w:pPr>
        <w:rPr>
          <w:rFonts w:hint="eastAsia" w:asciiTheme="minorEastAsia" w:hAnsiTheme="minorEastAsia" w:eastAsiaTheme="minorEastAsia" w:cstheme="minorEastAsia"/>
          <w:color w:val="000000" w:themeColor="text1"/>
          <w14:textFill>
            <w14:solidFill>
              <w14:schemeClr w14:val="tx1"/>
            </w14:solidFill>
          </w14:textFill>
        </w:rPr>
      </w:pPr>
    </w:p>
    <w:p w14:paraId="0F73ACF6">
      <w:pPr>
        <w:rPr>
          <w:rFonts w:hint="eastAsia" w:asciiTheme="minorEastAsia" w:hAnsiTheme="minorEastAsia" w:eastAsiaTheme="minorEastAsia" w:cstheme="minorEastAsia"/>
          <w:color w:val="000000" w:themeColor="text1"/>
          <w14:textFill>
            <w14:solidFill>
              <w14:schemeClr w14:val="tx1"/>
            </w14:solidFill>
          </w14:textFill>
        </w:rPr>
      </w:pPr>
    </w:p>
    <w:p w14:paraId="589115DA">
      <w:pPr>
        <w:rPr>
          <w:rFonts w:hint="eastAsia" w:asciiTheme="minorEastAsia" w:hAnsiTheme="minorEastAsia" w:eastAsiaTheme="minorEastAsia" w:cstheme="minorEastAsia"/>
          <w:color w:val="000000" w:themeColor="text1"/>
          <w14:textFill>
            <w14:solidFill>
              <w14:schemeClr w14:val="tx1"/>
            </w14:solidFill>
          </w14:textFill>
        </w:rPr>
      </w:pPr>
    </w:p>
    <w:p w14:paraId="0BFC2447">
      <w:pPr>
        <w:rPr>
          <w:rFonts w:hint="eastAsia" w:asciiTheme="minorEastAsia" w:hAnsiTheme="minorEastAsia" w:eastAsiaTheme="minorEastAsia" w:cstheme="minorEastAsia"/>
          <w:color w:val="000000" w:themeColor="text1"/>
          <w14:textFill>
            <w14:solidFill>
              <w14:schemeClr w14:val="tx1"/>
            </w14:solidFill>
          </w14:textFill>
        </w:rPr>
      </w:pPr>
    </w:p>
    <w:p w14:paraId="75B8C25A">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438BA7F3">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62C75587">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03DE751A">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28A47DBE">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2201E4D8">
      <w:pPr>
        <w:pStyle w:val="21"/>
        <w:ind w:firstLine="210"/>
        <w:rPr>
          <w:rFonts w:hint="eastAsia" w:asciiTheme="minorEastAsia" w:hAnsiTheme="minorEastAsia" w:eastAsiaTheme="minorEastAsia" w:cstheme="minorEastAsia"/>
          <w:color w:val="000000" w:themeColor="text1"/>
          <w14:textFill>
            <w14:solidFill>
              <w14:schemeClr w14:val="tx1"/>
            </w14:solidFill>
          </w14:textFill>
        </w:rPr>
      </w:pPr>
    </w:p>
    <w:p w14:paraId="79DCCBAA">
      <w:pPr>
        <w:rPr>
          <w:rFonts w:hint="eastAsia" w:asciiTheme="minorEastAsia" w:hAnsiTheme="minorEastAsia" w:eastAsiaTheme="minorEastAsia" w:cstheme="minorEastAsia"/>
          <w:color w:val="000000" w:themeColor="text1"/>
          <w14:textFill>
            <w14:solidFill>
              <w14:schemeClr w14:val="tx1"/>
            </w14:solidFill>
          </w14:textFill>
        </w:rPr>
      </w:pPr>
    </w:p>
    <w:p w14:paraId="75339290">
      <w:pPr>
        <w:rPr>
          <w:rFonts w:hint="eastAsia" w:asciiTheme="minorEastAsia" w:hAnsiTheme="minorEastAsia" w:eastAsiaTheme="minorEastAsia" w:cstheme="minorEastAsia"/>
          <w:color w:val="000000" w:themeColor="text1"/>
          <w14:textFill>
            <w14:solidFill>
              <w14:schemeClr w14:val="tx1"/>
            </w14:solidFill>
          </w14:textFill>
        </w:rPr>
      </w:pPr>
    </w:p>
    <w:p w14:paraId="49D79E24">
      <w:pPr>
        <w:rPr>
          <w:rFonts w:hint="eastAsia" w:asciiTheme="minorEastAsia" w:hAnsiTheme="minorEastAsia" w:eastAsiaTheme="minorEastAsia" w:cstheme="minorEastAsia"/>
          <w:color w:val="000000" w:themeColor="text1"/>
          <w14:textFill>
            <w14:solidFill>
              <w14:schemeClr w14:val="tx1"/>
            </w14:solidFill>
          </w14:textFill>
        </w:rPr>
      </w:pPr>
    </w:p>
    <w:p w14:paraId="3DA44F5A">
      <w:pPr>
        <w:rPr>
          <w:rFonts w:hint="eastAsia" w:asciiTheme="minorEastAsia" w:hAnsiTheme="minorEastAsia" w:eastAsiaTheme="minorEastAsia" w:cstheme="minorEastAsia"/>
          <w:color w:val="000000" w:themeColor="text1"/>
          <w14:textFill>
            <w14:solidFill>
              <w14:schemeClr w14:val="tx1"/>
            </w14:solidFill>
          </w14:textFill>
        </w:rPr>
      </w:pPr>
    </w:p>
    <w:p w14:paraId="0A0F867B">
      <w:pPr>
        <w:spacing w:line="490" w:lineRule="exact"/>
        <w:ind w:left="1600" w:right="-273" w:rightChars="-130" w:hanging="1600" w:hangingChars="500"/>
        <w:rPr>
          <w:rFonts w:hint="eastAsia" w:asciiTheme="minorEastAsia" w:hAnsiTheme="minorEastAsia" w:eastAsiaTheme="minorEastAsia" w:cstheme="minorEastAsia"/>
          <w:color w:val="000000" w:themeColor="text1"/>
          <w:sz w:val="32"/>
          <w:szCs w:val="32"/>
          <w:u w:val="single"/>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项目名称：</w:t>
      </w:r>
      <w:r>
        <w:rPr>
          <w:rFonts w:hint="eastAsia" w:asciiTheme="minorEastAsia" w:hAnsiTheme="minorEastAsia" w:eastAsiaTheme="minorEastAsia" w:cstheme="minorEastAsia"/>
          <w:color w:val="000000" w:themeColor="text1"/>
          <w:sz w:val="32"/>
          <w:szCs w:val="32"/>
          <w:u w:val="single"/>
          <w14:textFill>
            <w14:solidFill>
              <w14:schemeClr w14:val="tx1"/>
            </w14:solidFill>
          </w14:textFill>
        </w:rPr>
        <w:t>环境建设第三方检查</w:t>
      </w:r>
    </w:p>
    <w:p w14:paraId="2B731E07">
      <w:pPr>
        <w:spacing w:line="49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pPr>
    </w:p>
    <w:p w14:paraId="7303B929">
      <w:pPr>
        <w:spacing w:line="490" w:lineRule="exact"/>
        <w:rPr>
          <w:rFonts w:hint="eastAsia" w:asciiTheme="minorEastAsia" w:hAnsiTheme="minorEastAsia" w:eastAsiaTheme="minorEastAsia" w:cstheme="minorEastAsia"/>
          <w:color w:val="000000" w:themeColor="text1"/>
          <w:sz w:val="32"/>
          <w:szCs w:val="32"/>
          <w:u w:val="single"/>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委托单位（甲方）：</w:t>
      </w:r>
      <w:r>
        <w:rPr>
          <w:rFonts w:hint="eastAsia" w:asciiTheme="minorEastAsia" w:hAnsiTheme="minorEastAsia" w:eastAsiaTheme="minorEastAsia" w:cstheme="minorEastAsia"/>
          <w:color w:val="000000" w:themeColor="text1"/>
          <w:sz w:val="32"/>
          <w:szCs w:val="32"/>
          <w:u w:val="single"/>
          <w14:textFill>
            <w14:solidFill>
              <w14:schemeClr w14:val="tx1"/>
            </w14:solidFill>
          </w14:textFill>
        </w:rPr>
        <w:t>北京市顺义区城市管理委员会</w:t>
      </w:r>
    </w:p>
    <w:p w14:paraId="00FBC4CD">
      <w:pPr>
        <w:spacing w:line="49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pPr>
    </w:p>
    <w:p w14:paraId="3ED53710">
      <w:pPr>
        <w:spacing w:line="490" w:lineRule="exact"/>
        <w:rPr>
          <w:rFonts w:hint="eastAsia" w:asciiTheme="minorEastAsia" w:hAnsiTheme="minorEastAsia" w:eastAsiaTheme="minorEastAsia" w:cstheme="minorEastAsia"/>
          <w:color w:val="000000" w:themeColor="text1"/>
          <w:sz w:val="32"/>
          <w:szCs w:val="32"/>
          <w:u w:val="single"/>
          <w:lang w:val="en-US"/>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承担单位（乙方）：</w:t>
      </w:r>
      <w:r>
        <w:rPr>
          <w:rFonts w:hint="eastAsia" w:asciiTheme="minorEastAsia" w:hAnsiTheme="minorEastAsia" w:eastAsiaTheme="minorEastAsia" w:cstheme="minorEastAsia"/>
          <w:color w:val="000000" w:themeColor="text1"/>
          <w:sz w:val="32"/>
          <w:szCs w:val="32"/>
          <w:u w:val="single"/>
          <w:lang w:val="en-US" w:eastAsia="zh-CN"/>
          <w14:textFill>
            <w14:solidFill>
              <w14:schemeClr w14:val="tx1"/>
            </w14:solidFill>
          </w14:textFill>
        </w:rPr>
        <w:t xml:space="preserve">                          </w:t>
      </w:r>
    </w:p>
    <w:p w14:paraId="79638E06">
      <w:pPr>
        <w:spacing w:line="49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pPr>
    </w:p>
    <w:p w14:paraId="5D3949DA">
      <w:pPr>
        <w:spacing w:line="49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签订日期：</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32"/>
          <w:szCs w:val="32"/>
          <w14:textFill>
            <w14:solidFill>
              <w14:schemeClr w14:val="tx1"/>
            </w14:solidFill>
          </w14:textFill>
        </w:rPr>
        <w:t>年</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32"/>
          <w:szCs w:val="32"/>
          <w14:textFill>
            <w14:solidFill>
              <w14:schemeClr w14:val="tx1"/>
            </w14:solidFill>
          </w14:textFill>
        </w:rPr>
        <w:t>月</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32"/>
          <w:szCs w:val="32"/>
          <w14:textFill>
            <w14:solidFill>
              <w14:schemeClr w14:val="tx1"/>
            </w14:solidFill>
          </w14:textFill>
        </w:rPr>
        <w:t>日</w:t>
      </w:r>
    </w:p>
    <w:p w14:paraId="7AE340D3">
      <w:pPr>
        <w:spacing w:line="490" w:lineRule="exact"/>
        <w:rPr>
          <w:rFonts w:hint="eastAsia" w:asciiTheme="minorEastAsia" w:hAnsiTheme="minorEastAsia" w:eastAsiaTheme="minorEastAsia" w:cstheme="minorEastAsia"/>
          <w:b/>
          <w:bCs/>
          <w:color w:val="000000" w:themeColor="text1"/>
          <w:sz w:val="32"/>
          <w:szCs w:val="32"/>
          <w14:textFill>
            <w14:solidFill>
              <w14:schemeClr w14:val="tx1"/>
            </w14:solidFill>
          </w14:textFill>
        </w:rPr>
        <w:sectPr>
          <w:pgSz w:w="11906" w:h="16838"/>
          <w:pgMar w:top="1588" w:right="1247" w:bottom="1474" w:left="1474" w:header="851" w:footer="992" w:gutter="0"/>
          <w:cols w:space="720" w:num="1"/>
          <w:docGrid w:type="lines" w:linePitch="312" w:charSpace="0"/>
        </w:sectPr>
      </w:pPr>
    </w:p>
    <w:p w14:paraId="5CCAA7FE">
      <w:pPr>
        <w:snapToGrid w:val="0"/>
        <w:spacing w:line="49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pPr>
    </w:p>
    <w:p w14:paraId="45FBBF21">
      <w:pPr>
        <w:snapToGrid w:val="0"/>
        <w:spacing w:line="490" w:lineRule="exact"/>
        <w:ind w:firstLine="4320" w:firstLineChars="1350"/>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Fill>
            <w14:solidFill>
              <w14:schemeClr w14:val="tx1"/>
            </w14:solidFill>
          </w14:textFill>
        </w:rPr>
        <w:t>通用条款</w:t>
      </w:r>
    </w:p>
    <w:p w14:paraId="53055AC7">
      <w:pPr>
        <w:snapToGrid w:val="0"/>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7EBBC3C2">
      <w:pPr>
        <w:snapToGrid w:val="0"/>
        <w:spacing w:line="490" w:lineRule="exact"/>
        <w:ind w:firstLine="482" w:firstLineChars="200"/>
        <w:rPr>
          <w:rFonts w:hint="eastAsia" w:asciiTheme="minorEastAsia" w:hAnsiTheme="minorEastAsia" w:eastAsiaTheme="minorEastAsia" w:cstheme="minorEastAsia"/>
          <w:b/>
          <w:bCs/>
          <w:color w:val="000000" w:themeColor="text1"/>
          <w:spacing w:val="21"/>
          <w:kern w:val="0"/>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pacing w:val="21"/>
          <w:kern w:val="0"/>
          <w:sz w:val="24"/>
          <w:szCs w:val="24"/>
          <w14:textFill>
            <w14:solidFill>
              <w14:schemeClr w14:val="tx1"/>
            </w14:solidFill>
          </w14:textFill>
        </w:rPr>
        <w:t>总则</w:t>
      </w:r>
    </w:p>
    <w:p w14:paraId="47C464BB">
      <w:pPr>
        <w:snapToGrid w:val="0"/>
        <w:spacing w:line="490" w:lineRule="exact"/>
        <w:ind w:firstLine="480" w:firstLineChars="200"/>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甲、乙</w:t>
      </w:r>
      <w:r>
        <w:rPr>
          <w:rFonts w:hint="eastAsia" w:asciiTheme="minorEastAsia" w:hAnsiTheme="minorEastAsia" w:eastAsiaTheme="minorEastAsia" w:cstheme="minorEastAsia"/>
          <w:color w:val="000000" w:themeColor="text1"/>
          <w:sz w:val="24"/>
          <w:szCs w:val="24"/>
          <w14:textFill>
            <w14:solidFill>
              <w14:schemeClr w14:val="tx1"/>
            </w14:solidFill>
          </w14:textFill>
        </w:rPr>
        <w:t>双方本着平等、自愿、有偿、诚实信用的原则，</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就乙方为甲方提供</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顺义区2026年环境建设第三方检查服务</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事宜，</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经协商一致，依据我国有关法律法规的规定，</w:t>
      </w:r>
      <w:r>
        <w:rPr>
          <w:rFonts w:hint="eastAsia" w:asciiTheme="minorEastAsia" w:hAnsiTheme="minorEastAsia" w:eastAsiaTheme="minorEastAsia" w:cstheme="minorEastAsia"/>
          <w:color w:val="000000" w:themeColor="text1"/>
          <w:sz w:val="24"/>
          <w:szCs w:val="24"/>
          <w14:textFill>
            <w14:solidFill>
              <w14:schemeClr w14:val="tx1"/>
            </w14:solidFill>
          </w14:textFill>
        </w:rPr>
        <w:t>签订本合同</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，并由双方共同遵守。</w:t>
      </w:r>
    </w:p>
    <w:p w14:paraId="7841B6A9">
      <w:pPr>
        <w:spacing w:line="49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bookmarkStart w:id="671" w:name="_Toc524701803"/>
      <w:bookmarkStart w:id="672" w:name="_Toc511132638"/>
      <w:r>
        <w:rPr>
          <w:rFonts w:hint="eastAsia" w:asciiTheme="minorEastAsia" w:hAnsiTheme="minorEastAsia" w:eastAsiaTheme="minorEastAsia" w:cstheme="minorEastAsia"/>
          <w:b/>
          <w:color w:val="000000" w:themeColor="text1"/>
          <w:kern w:val="0"/>
          <w:sz w:val="24"/>
          <w:szCs w:val="24"/>
          <w14:textFill>
            <w14:solidFill>
              <w14:schemeClr w14:val="tx1"/>
            </w14:solidFill>
          </w14:textFill>
        </w:rPr>
        <w:t>2</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项目内容</w:t>
      </w:r>
      <w:bookmarkEnd w:id="671"/>
      <w:bookmarkEnd w:id="672"/>
    </w:p>
    <w:p w14:paraId="6EF47C8E">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项目概况、目标、范围、执行标准、委托内容、委托要求等项目相关约定见专用条款。</w:t>
      </w:r>
    </w:p>
    <w:p w14:paraId="7BEA1D2A">
      <w:pPr>
        <w:spacing w:line="49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bookmarkStart w:id="673" w:name="_Toc524701804"/>
      <w:bookmarkStart w:id="674" w:name="_Toc511132639"/>
      <w:r>
        <w:rPr>
          <w:rFonts w:hint="eastAsia" w:asciiTheme="minorEastAsia" w:hAnsiTheme="minorEastAsia" w:eastAsiaTheme="minorEastAsia" w:cstheme="minorEastAsia"/>
          <w:b/>
          <w:bCs/>
          <w:color w:val="000000" w:themeColor="text1"/>
          <w:sz w:val="24"/>
          <w:szCs w:val="24"/>
          <w14:textFill>
            <w14:solidFill>
              <w14:schemeClr w14:val="tx1"/>
            </w14:solidFill>
          </w14:textFill>
        </w:rPr>
        <w:t>3服务费用及付款方式</w:t>
      </w:r>
      <w:bookmarkEnd w:id="673"/>
      <w:bookmarkEnd w:id="674"/>
    </w:p>
    <w:p w14:paraId="0F17DA52">
      <w:pPr>
        <w:spacing w:line="49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本项目服务费用及付款方式见专用条款。</w:t>
      </w:r>
    </w:p>
    <w:p w14:paraId="230EAAC9">
      <w:pPr>
        <w:spacing w:line="49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bookmarkStart w:id="675" w:name="_Toc524701805"/>
      <w:bookmarkStart w:id="676" w:name="_Toc511132640"/>
      <w:r>
        <w:rPr>
          <w:rFonts w:hint="eastAsia" w:asciiTheme="minorEastAsia" w:hAnsiTheme="minorEastAsia" w:eastAsiaTheme="minorEastAsia" w:cstheme="minorEastAsia"/>
          <w:b/>
          <w:bCs/>
          <w:color w:val="000000" w:themeColor="text1"/>
          <w:sz w:val="24"/>
          <w:szCs w:val="24"/>
          <w14:textFill>
            <w14:solidFill>
              <w14:schemeClr w14:val="tx1"/>
            </w14:solidFill>
          </w14:textFill>
        </w:rPr>
        <w:t>4</w:t>
      </w:r>
      <w:r>
        <w:rPr>
          <w:rFonts w:hint="eastAsia" w:asciiTheme="minorEastAsia" w:hAnsiTheme="minorEastAsia" w:eastAsiaTheme="minorEastAsia" w:cstheme="minorEastAsia"/>
          <w:b/>
          <w:color w:val="000000" w:themeColor="text1"/>
          <w:sz w:val="24"/>
          <w:szCs w:val="24"/>
          <w14:textFill>
            <w14:solidFill>
              <w14:schemeClr w14:val="tx1"/>
            </w14:solidFill>
          </w14:textFill>
        </w:rPr>
        <w:t>甲乙双方权利与义务</w:t>
      </w:r>
      <w:bookmarkEnd w:id="675"/>
      <w:bookmarkEnd w:id="676"/>
    </w:p>
    <w:p w14:paraId="70FD93C3">
      <w:pPr>
        <w:pStyle w:val="53"/>
        <w:spacing w:line="490" w:lineRule="exact"/>
        <w:ind w:firstLine="482"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bookmarkStart w:id="677" w:name="_Toc524701806"/>
      <w:bookmarkStart w:id="678" w:name="_Toc511132641"/>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4.1</w:t>
      </w:r>
      <w:r>
        <w:rPr>
          <w:rFonts w:hint="eastAsia" w:asciiTheme="minorEastAsia" w:hAnsiTheme="minorEastAsia" w:eastAsiaTheme="minorEastAsia" w:cstheme="minorEastAsia"/>
          <w:b/>
          <w:color w:val="000000" w:themeColor="text1"/>
          <w:sz w:val="24"/>
          <w:szCs w:val="24"/>
          <w14:textFill>
            <w14:solidFill>
              <w14:schemeClr w14:val="tx1"/>
            </w14:solidFill>
          </w14:textFill>
        </w:rPr>
        <w:t>甲方</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的权利与义务</w:t>
      </w:r>
      <w:bookmarkEnd w:id="677"/>
      <w:bookmarkEnd w:id="678"/>
    </w:p>
    <w:p w14:paraId="532977CF">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4.1.1</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有权提出或更改项目实施的目标、内容、服务方式、项目成果等具体要求。乙方应按照甲方要求进行项目实施，由于甲方更改要求导致项目进度延迟或工作量大幅增加的，经双方协商，另行签订补充协议，可以延迟项目进度</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，但完成项目所需经费不予增加</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2C5F9D3C">
      <w:pPr>
        <w:pStyle w:val="53"/>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4.1.2</w:t>
      </w:r>
      <w:r>
        <w:rPr>
          <w:rFonts w:hint="eastAsia" w:asciiTheme="minorEastAsia" w:hAnsiTheme="minorEastAsia" w:eastAsiaTheme="minorEastAsia" w:cstheme="minorEastAsia"/>
          <w:snapToGrid w:val="0"/>
          <w:color w:val="000000" w:themeColor="text1"/>
          <w:kern w:val="0"/>
          <w:sz w:val="24"/>
          <w:szCs w:val="24"/>
          <w:lang w:eastAsia="zh-CN"/>
          <w14:textFill>
            <w14:solidFill>
              <w14:schemeClr w14:val="tx1"/>
            </w14:solidFill>
          </w14:textFill>
        </w:rPr>
        <w:t>甲方</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有对乙方履行合同情况进行指导、监督、检查的权利</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甲方可根据需要，随时抽查乙方项目进展情况，乙方应予以配合。</w:t>
      </w:r>
    </w:p>
    <w:p w14:paraId="4E304538">
      <w:pPr>
        <w:pStyle w:val="53"/>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.1.3</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甲方有要求乙方在约定期限内提交符合合同约定条件的</w:t>
      </w:r>
      <w:r>
        <w:rPr>
          <w:rFonts w:hint="eastAsia" w:asciiTheme="minorEastAsia" w:hAnsiTheme="minorEastAsia" w:eastAsiaTheme="minorEastAsia" w:cstheme="minorEastAsia"/>
          <w:snapToGrid w:val="0"/>
          <w:color w:val="000000" w:themeColor="text1"/>
          <w:kern w:val="0"/>
          <w:sz w:val="24"/>
          <w:szCs w:val="24"/>
          <w:lang w:eastAsia="zh-CN"/>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成果的权利。</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甲方有权组织相关专家对项目成果进行评审、验收。</w:t>
      </w:r>
    </w:p>
    <w:p w14:paraId="5C184CAF">
      <w:pPr>
        <w:pStyle w:val="53"/>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4.1.4</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甲方有权要求乙方更换甲方认为不称职的工作人员，乙方应在接到甲方</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书面</w:t>
      </w:r>
      <w:r>
        <w:rPr>
          <w:rFonts w:hint="eastAsia" w:asciiTheme="minorEastAsia" w:hAnsiTheme="minorEastAsia" w:eastAsiaTheme="minorEastAsia" w:cstheme="minorEastAsia"/>
          <w:color w:val="000000" w:themeColor="text1"/>
          <w:sz w:val="24"/>
          <w:szCs w:val="24"/>
          <w14:textFill>
            <w14:solidFill>
              <w14:schemeClr w14:val="tx1"/>
            </w14:solidFill>
          </w14:textFill>
        </w:rPr>
        <w:t>要求后</w:t>
      </w:r>
      <w:r>
        <w:rPr>
          <w:rFonts w:hint="eastAsia" w:asciiTheme="minorEastAsia" w:hAnsiTheme="minorEastAsia" w:eastAsiaTheme="minorEastAsia" w:cstheme="minorEastAsia"/>
          <w:color w:val="000000" w:themeColor="text1"/>
          <w:sz w:val="24"/>
          <w:szCs w:val="24"/>
          <w:u w:val="single"/>
          <w:lang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日内更换经甲方认可的工作人员。</w:t>
      </w:r>
    </w:p>
    <w:p w14:paraId="450D8CB6">
      <w:pPr>
        <w:pStyle w:val="53"/>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4.1.5</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甲方有权视情况随时终止本项目，解除本合同，但如乙方无违约行为，甲方应按照已经发生的实际工作量支付乙方报酬。</w:t>
      </w:r>
    </w:p>
    <w:p w14:paraId="34884AE8">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4.1.6</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甲方应当及时按合同约定向乙方核拨项目经费。</w:t>
      </w:r>
    </w:p>
    <w:p w14:paraId="60A9CF13">
      <w:pPr>
        <w:spacing w:line="490" w:lineRule="exact"/>
        <w:ind w:firstLine="482"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679" w:name="_Toc511132642"/>
      <w:bookmarkStart w:id="680" w:name="_Toc524701807"/>
      <w:r>
        <w:rPr>
          <w:rFonts w:hint="eastAsia" w:asciiTheme="minorEastAsia" w:hAnsiTheme="minorEastAsia" w:eastAsiaTheme="minorEastAsia" w:cstheme="minorEastAsia"/>
          <w:b/>
          <w:color w:val="000000" w:themeColor="text1"/>
          <w:sz w:val="24"/>
          <w:szCs w:val="24"/>
          <w14:textFill>
            <w14:solidFill>
              <w14:schemeClr w14:val="tx1"/>
            </w14:solidFill>
          </w14:textFill>
        </w:rPr>
        <w:t>4.2乙方的权利与义务</w:t>
      </w:r>
      <w:bookmarkEnd w:id="679"/>
      <w:bookmarkEnd w:id="680"/>
    </w:p>
    <w:p w14:paraId="1F73B9D4">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4.2.1乙方应按照甲方相关管理文件中的有关规定对项目经费进行管理，单独核算，应当按合同规定的开支范围，实行专款专用，不得挪用；并按本合同规定，支付自筹的经费（如项目需要的）。</w:t>
      </w:r>
    </w:p>
    <w:p w14:paraId="5F9911E5">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4.2.2负责本项目的组织实施，按时高质</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量</w:t>
      </w:r>
      <w:r>
        <w:rPr>
          <w:rFonts w:hint="eastAsia" w:asciiTheme="minorEastAsia" w:hAnsiTheme="minorEastAsia" w:eastAsiaTheme="minorEastAsia" w:cstheme="minorEastAsia"/>
          <w:color w:val="000000" w:themeColor="text1"/>
          <w:sz w:val="24"/>
          <w:szCs w:val="24"/>
          <w14:textFill>
            <w14:solidFill>
              <w14:schemeClr w14:val="tx1"/>
            </w14:solidFill>
          </w14:textFill>
        </w:rPr>
        <w:t>地完成本合同约定的工作任务，并有义务对甲方组织的管理工作（如监理、评估）提供支持。</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接受甲方及甲方其他专家顾问的指导，有按甲方要求和安排修改完善项目成果的义务。</w:t>
      </w:r>
    </w:p>
    <w:p w14:paraId="33F89423">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4.2.3本项目在实施过程中如果取得重大进展、重要突破或发生其它重大事情，应及时向甲方报告，与本项目有关的一切问题最终均由甲方决定；如果因遭遇不可抗力因素或其它原因影响本项目的执行，致使项目需要调整或者</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撤销</w:t>
      </w:r>
      <w:r>
        <w:rPr>
          <w:rFonts w:hint="eastAsia" w:asciiTheme="minorEastAsia" w:hAnsiTheme="minorEastAsia" w:eastAsiaTheme="minorEastAsia" w:cstheme="minorEastAsia"/>
          <w:color w:val="000000" w:themeColor="text1"/>
          <w:sz w:val="24"/>
          <w:szCs w:val="24"/>
          <w14:textFill>
            <w14:solidFill>
              <w14:schemeClr w14:val="tx1"/>
            </w14:solidFill>
          </w14:textFill>
        </w:rPr>
        <w:t>时，乙方应当及时向甲方提交书面报告，经甲方确定处理意见后执行。</w:t>
      </w:r>
    </w:p>
    <w:p w14:paraId="6D542CFE">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4.2.4如项目需要乙方自筹资金的，乙方不能自筹足够的资金，影响项目的完成或不履行合同或不能保证项目所拨经费专款专用，甲方有权责令乙方部分或全部退还所拨经费和物资。</w:t>
      </w:r>
    </w:p>
    <w:p w14:paraId="35D6A715">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4.2.5乙方必须保证合同中的项目负责人及主要参加人员的相对稳定，在合同执行过程中，如遇特殊原因需变动者，乙方须提出申请，经甲方同意方可变动，否则，按乙方违约处理。</w:t>
      </w:r>
    </w:p>
    <w:p w14:paraId="430AEF97">
      <w:pPr>
        <w:snapToGrid w:val="0"/>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4.2.6</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在甲方许可下有要求有关方面提供必要资料和配合工作的权利。</w:t>
      </w:r>
      <w:r>
        <w:rPr>
          <w:rFonts w:hint="eastAsia" w:asciiTheme="minorEastAsia" w:hAnsiTheme="minorEastAsia" w:eastAsiaTheme="minorEastAsia" w:cstheme="minorEastAsia"/>
          <w:color w:val="000000" w:themeColor="text1"/>
          <w:sz w:val="24"/>
          <w:szCs w:val="24"/>
          <w14:textFill>
            <w14:solidFill>
              <w14:schemeClr w14:val="tx1"/>
            </w14:solidFill>
          </w14:textFill>
        </w:rPr>
        <w:t>乙方要求甲方提供必要的技术资料、工作条件与协助事项的，应事先列明清单，并经甲方认可。合同终止后或甲方要求时，乙方应及时返还甲方。</w:t>
      </w:r>
    </w:p>
    <w:p w14:paraId="0E2C2181">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4.2.7乙方应对</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在合同履行过程中知悉的以及</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甲方提供的</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技术情报、资料、数据、信息</w:t>
      </w:r>
      <w:r>
        <w:rPr>
          <w:rFonts w:hint="eastAsia" w:asciiTheme="minorEastAsia" w:hAnsiTheme="minorEastAsia" w:eastAsiaTheme="minorEastAsia" w:cstheme="minorEastAsia"/>
          <w:color w:val="000000" w:themeColor="text1"/>
          <w:sz w:val="24"/>
          <w:szCs w:val="24"/>
          <w14:textFill>
            <w14:solidFill>
              <w14:schemeClr w14:val="tx1"/>
            </w14:solidFill>
          </w14:textFill>
        </w:rPr>
        <w:t>等承担保密义务，不得泄露给第三方或挪作他用。该保密义务不因合同的变更、解除或终止而免除。合同终止或甲方要求时，及时归还甲方。如有必要，双方应签订《保密协议》。</w:t>
      </w:r>
    </w:p>
    <w:p w14:paraId="591D6127">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4.2.8乙方应利用自己的设备和技术知识等独立、按时完成项目工作。未经甲方事先书面同意，不得转让、转包、分包本项目部分或全部内容给任何第三人。如确需转包、分包，须经甲方事先书面同意，乙方应将相关协议提交甲方备案。</w:t>
      </w:r>
    </w:p>
    <w:p w14:paraId="33D745BE">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4.2.9乙方应按本合同书约定的进度完成本项目，按本合同书提交阶段性成果，并每</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个月提交一份项目执行情况报告，当本项目完成时，负责准备项目验收所需的有关材料。</w:t>
      </w:r>
    </w:p>
    <w:p w14:paraId="775C8066">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4.2.10甲方或有关机构对本项目进行验收、评估、审计的，乙方应积极配合。</w:t>
      </w:r>
    </w:p>
    <w:p w14:paraId="4E5A3356">
      <w:pPr>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681" w:name="_Toc511132643"/>
      <w:bookmarkStart w:id="682" w:name="_Toc524701808"/>
      <w:r>
        <w:rPr>
          <w:rFonts w:hint="eastAsia" w:asciiTheme="minorEastAsia" w:hAnsiTheme="minorEastAsia" w:eastAsiaTheme="minorEastAsia" w:cstheme="minorEastAsia"/>
          <w:b/>
          <w:color w:val="000000" w:themeColor="text1"/>
          <w:sz w:val="24"/>
          <w:szCs w:val="24"/>
          <w14:textFill>
            <w14:solidFill>
              <w14:schemeClr w14:val="tx1"/>
            </w14:solidFill>
          </w14:textFill>
        </w:rPr>
        <w:t>5知识产权条款</w:t>
      </w:r>
      <w:bookmarkEnd w:id="681"/>
      <w:bookmarkEnd w:id="682"/>
    </w:p>
    <w:p w14:paraId="10C502D3">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乙方完成本项目取得的成果的知识产权归甲方所有，如著作、论文、研究报告等，甲方有权自己使用、引用、发表、向第三方转让等。乙方享有署名权，非经甲方事先书面同意，不得自行使用项目成果及其内容或者将其提供给第三人。</w:t>
      </w:r>
    </w:p>
    <w:p w14:paraId="79818289">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5.2本项目过程中产生的项目成果以及甲方在该项目成果的基础上完成的新成果归甲方所有。乙方在该项目成果的基础上完成的新成果归乙方所有，但乙方转让或寻求合作时，甲方有优先权。</w:t>
      </w:r>
    </w:p>
    <w:p w14:paraId="18B3D60B">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5.3乙方保证在履行合同的过程中，不得侵犯任何第三方的合法权益，如知识产权等，否则须承担由此产生的全部责任，并赔偿甲方因此受到的损失。</w:t>
      </w:r>
    </w:p>
    <w:p w14:paraId="10C98E6F">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5.4 乙方完成本项目后，检查平台系统所有权、使用权归甲方所有，乙方不得使用该系统为任何第三方服务。</w:t>
      </w:r>
    </w:p>
    <w:p w14:paraId="16C80B3F">
      <w:pPr>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683" w:name="_Toc511132644"/>
      <w:bookmarkStart w:id="684" w:name="_Toc524701809"/>
      <w:r>
        <w:rPr>
          <w:rFonts w:hint="eastAsia" w:asciiTheme="minorEastAsia" w:hAnsiTheme="minorEastAsia" w:eastAsiaTheme="minorEastAsia" w:cstheme="minorEastAsia"/>
          <w:b/>
          <w:color w:val="000000" w:themeColor="text1"/>
          <w:sz w:val="24"/>
          <w:szCs w:val="24"/>
          <w14:textFill>
            <w14:solidFill>
              <w14:schemeClr w14:val="tx1"/>
            </w14:solidFill>
          </w14:textFill>
        </w:rPr>
        <w:t>6 验收条款</w:t>
      </w:r>
      <w:bookmarkEnd w:id="683"/>
      <w:bookmarkEnd w:id="684"/>
    </w:p>
    <w:p w14:paraId="5DDDF731">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6.1项目进行期间，甲方有权视情况对乙方项目进程以及阶段性成果进行评估，并根据评估结果，甲方有权作出以下任一决定，乙方均表示认可。乙方如有违约行为，以下决定不排除乙方违约责任的承担。</w:t>
      </w:r>
    </w:p>
    <w:p w14:paraId="58F6193C">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6.1.1认可乙方工作；</w:t>
      </w:r>
    </w:p>
    <w:p w14:paraId="570BD21C">
      <w:pPr>
        <w:spacing w:line="49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6.1.2出具项目整改意见要求乙方整改；</w:t>
      </w:r>
    </w:p>
    <w:p w14:paraId="32AC88FD">
      <w:pPr>
        <w:pStyle w:val="19"/>
        <w:spacing w:before="0" w:beforeAutospacing="0" w:after="0" w:afterAutospacing="0" w:line="490" w:lineRule="exact"/>
        <w:ind w:firstLine="480" w:firstLineChars="200"/>
        <w:jc w:val="both"/>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6.1.3终止本合同，按照乙方实际工作数量和质量支付工作报酬；</w:t>
      </w:r>
    </w:p>
    <w:p w14:paraId="637FE50C">
      <w:pPr>
        <w:pStyle w:val="19"/>
        <w:spacing w:before="0" w:beforeAutospacing="0" w:after="0" w:afterAutospacing="0" w:line="490" w:lineRule="exact"/>
        <w:ind w:firstLine="480" w:firstLineChars="200"/>
        <w:jc w:val="both"/>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6.2项目如需初验，乙方按照本合同及附件要求提交项目初步成果，甲方初验后，乙方根据甲方的意见对项目初步成果进行修改并按期提交修改后的项目成果进行项目终验。</w:t>
      </w:r>
    </w:p>
    <w:p w14:paraId="1A1369F0">
      <w:pPr>
        <w:spacing w:line="56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6.3项目终验。依据《顺义区20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26</w:t>
      </w:r>
      <w:r>
        <w:rPr>
          <w:rFonts w:hint="eastAsia" w:asciiTheme="minorEastAsia" w:hAnsiTheme="minorEastAsia" w:eastAsiaTheme="minorEastAsia" w:cstheme="minorEastAsia"/>
          <w:color w:val="000000" w:themeColor="text1"/>
          <w:sz w:val="24"/>
          <w:szCs w:val="24"/>
          <w14:textFill>
            <w14:solidFill>
              <w14:schemeClr w14:val="tx1"/>
            </w14:solidFill>
          </w14:textFill>
        </w:rPr>
        <w:t>年环境建设第三方服务考核办法》（具体见[附件]）进行考核验收。</w:t>
      </w:r>
    </w:p>
    <w:p w14:paraId="01BFECA7">
      <w:pPr>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685" w:name="_Toc524701810"/>
      <w:bookmarkStart w:id="686" w:name="_Toc511132645"/>
      <w:r>
        <w:rPr>
          <w:rFonts w:hint="eastAsia" w:asciiTheme="minorEastAsia" w:hAnsiTheme="minorEastAsia" w:eastAsiaTheme="minorEastAsia" w:cstheme="minorEastAsia"/>
          <w:b/>
          <w:color w:val="000000" w:themeColor="text1"/>
          <w:sz w:val="24"/>
          <w:szCs w:val="24"/>
          <w14:textFill>
            <w14:solidFill>
              <w14:schemeClr w14:val="tx1"/>
            </w14:solidFill>
          </w14:textFill>
        </w:rPr>
        <w:t>7 违约责任</w:t>
      </w:r>
      <w:bookmarkEnd w:id="685"/>
      <w:bookmarkEnd w:id="686"/>
    </w:p>
    <w:p w14:paraId="0F0238B3">
      <w:pPr>
        <w:spacing w:line="490" w:lineRule="exact"/>
        <w:ind w:firstLine="480" w:firstLineChars="200"/>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7.1乙方违反合同约定义务的，经甲方书面催告后</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日</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P5</w:t>
      </w:r>
    </w:p>
    <w:p w14:paraId="794D394E">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内仍未整改或整改后仍不符合合同约定的，应向甲方支付合同金额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%的违约金，甲方有权单方解除合同，要求乙方移交全部资料及未完成成果，违约金不足以弥补甲方损失（包括但不限于直接、间接损失、律师费、诉讼费等）的，乙方应予以补足。</w:t>
      </w:r>
    </w:p>
    <w:p w14:paraId="398DB228">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7.2乙方未按合同约定履行合同义务的，延迟一日须向甲方支付合同金额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‰的延迟履行违约金，延迟超过</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30</w:t>
      </w:r>
      <w:r>
        <w:rPr>
          <w:rFonts w:hint="eastAsia" w:asciiTheme="minorEastAsia" w:hAnsiTheme="minorEastAsia" w:eastAsiaTheme="minorEastAsia" w:cstheme="minorEastAsia"/>
          <w:color w:val="000000" w:themeColor="text1"/>
          <w:sz w:val="24"/>
          <w:szCs w:val="24"/>
          <w14:textFill>
            <w14:solidFill>
              <w14:schemeClr w14:val="tx1"/>
            </w14:solidFill>
          </w14:textFill>
        </w:rPr>
        <w:t>日，甲方有权单方解除合同，要求乙方移交全部资料及未完成成果，支付甲方合同金额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10 </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%的违约金，违约金不足以弥补甲方损失（包括但不限于直接、间接损失、律师费、诉讼费等）的，乙方应予以补足，甲方保留追究乙方的权利。</w:t>
      </w:r>
    </w:p>
    <w:p w14:paraId="7E419CED">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7.3乙方违反合同有关的保密、知识产权约定的，应向甲方支付合同金额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%的违约金，甲方有权单方解除合同，要求乙方移交全部资料及未完成成果，违约金不足以弥补甲方损失（包括但不限于直接、间接损失、律师费、诉讼费等）的，乙方应予以补足。</w:t>
      </w:r>
    </w:p>
    <w:p w14:paraId="6B899405">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7.4乙方交付的项目成果未能通过甲方验收、出现错误或质量缺陷的，乙方应支付甲方合同金额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%的违约金，违约金不足以弥补甲方损失（包括但不限于直接、间接损失、律师费、诉讼费等）的，乙方应予以补足。同时，甲方有权单方解除本合同，要求乙方返还已付款项。</w:t>
      </w:r>
    </w:p>
    <w:p w14:paraId="7D869DC1">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7.5乙方在履行合同过程中故意弄虚作假的，如虚构编造调查材料、违反学术规范、道德等，应向甲方支付合同金额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%的违约金，甲方有权单方解除合同，要求乙方移交全部资料及未完成成果，违约金不足以弥补甲方损失（包括但不限于直接、间接损失、律师费、诉讼费等）的，乙方应予以补足。</w:t>
      </w:r>
    </w:p>
    <w:p w14:paraId="594F53D5">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7.6 乙方违反本协议有关单独核算、专款专用等经费管理约定的，甲方有权单方解除协议，要求乙方移交全部资料及成果（包括未完成部分），并应向甲方支付合同金额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w:t>
      </w:r>
    </w:p>
    <w:p w14:paraId="25D24083">
      <w:pPr>
        <w:spacing w:line="490" w:lineRule="exact"/>
        <w:ind w:firstLine="482"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687" w:name="_Toc524701811"/>
      <w:bookmarkStart w:id="688" w:name="_Toc511132646"/>
      <w:r>
        <w:rPr>
          <w:rFonts w:hint="eastAsia" w:asciiTheme="minorEastAsia" w:hAnsiTheme="minorEastAsia" w:eastAsiaTheme="minorEastAsia" w:cstheme="minorEastAsia"/>
          <w:b/>
          <w:color w:val="000000" w:themeColor="text1"/>
          <w:sz w:val="24"/>
          <w:szCs w:val="24"/>
          <w14:textFill>
            <w14:solidFill>
              <w14:schemeClr w14:val="tx1"/>
            </w14:solidFill>
          </w14:textFill>
        </w:rPr>
        <w:t>8 不可抗力</w:t>
      </w:r>
      <w:bookmarkEnd w:id="687"/>
      <w:bookmarkEnd w:id="688"/>
    </w:p>
    <w:p w14:paraId="5852A815">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合同双方的任何一方，如由于不能预见、不能避免、不能克服的不可抗力情况发生，影响项目工作如期完成，如自然灾害（如风暴、洪水等），战争等原因，则经双方协商，甲乙双方可要求变更约定事项，顺时延迟本合同或终止本合同。双方互不承担违约责任。</w:t>
      </w:r>
    </w:p>
    <w:p w14:paraId="12B6E12C">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8.2有不可抗力的事故发生，发生方应立刻将所发生的不可抗力的事故情况以书面形式通知另一方，并在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30</w:t>
      </w:r>
      <w:r>
        <w:rPr>
          <w:rFonts w:hint="eastAsia" w:asciiTheme="minorEastAsia" w:hAnsiTheme="minorEastAsia" w:eastAsiaTheme="minorEastAsia" w:cstheme="minorEastAsia"/>
          <w:color w:val="000000" w:themeColor="text1"/>
          <w:sz w:val="24"/>
          <w:szCs w:val="24"/>
          <w14:textFill>
            <w14:solidFill>
              <w14:schemeClr w14:val="tx1"/>
            </w14:solidFill>
          </w14:textFill>
        </w:rPr>
        <w:t>日内将有权机关出具的证明文件提交另一方认可。</w:t>
      </w:r>
    </w:p>
    <w:p w14:paraId="30D0F1C5">
      <w:pPr>
        <w:spacing w:line="49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8.3发生不可抗力的，双方应积极采取措施避免损失的进一步扩大，否则须就损失扩大的部分承担赔偿责任。一方延迟履行期间发生不可抗力的，不免除责任。</w:t>
      </w:r>
    </w:p>
    <w:p w14:paraId="172624FB">
      <w:pPr>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689" w:name="_Toc524701812"/>
      <w:bookmarkStart w:id="690" w:name="_Toc511132647"/>
      <w:r>
        <w:rPr>
          <w:rFonts w:hint="eastAsia" w:asciiTheme="minorEastAsia" w:hAnsiTheme="minorEastAsia" w:eastAsiaTheme="minorEastAsia" w:cstheme="minorEastAsia"/>
          <w:b/>
          <w:color w:val="000000" w:themeColor="text1"/>
          <w:sz w:val="24"/>
          <w:szCs w:val="24"/>
          <w14:textFill>
            <w14:solidFill>
              <w14:schemeClr w14:val="tx1"/>
            </w14:solidFill>
          </w14:textFill>
        </w:rPr>
        <w:t>9 争议解决条款</w:t>
      </w:r>
      <w:bookmarkEnd w:id="689"/>
      <w:bookmarkEnd w:id="690"/>
    </w:p>
    <w:p w14:paraId="354E1393">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对本合同履行过程中发生的一切争议，双方应本着平等互利的原则协商解决，协商不成的，双方选择以下第</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种争议解决方式：</w:t>
      </w:r>
    </w:p>
    <w:p w14:paraId="2CA8A89C">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9.1由北京市仲裁委员会仲裁。</w:t>
      </w:r>
    </w:p>
    <w:p w14:paraId="36653929">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9.2向甲方所在地人民法院起诉。</w:t>
      </w:r>
    </w:p>
    <w:p w14:paraId="0314B9F6">
      <w:pPr>
        <w:tabs>
          <w:tab w:val="left" w:pos="540"/>
        </w:tabs>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10通知</w:t>
      </w:r>
    </w:p>
    <w:p w14:paraId="79330553">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10.1本合同任何一方给另一方的通知，都应以书面形式发送到本合同确认的对方明确地址，</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送达时间以下列规定为准：</w:t>
      </w:r>
    </w:p>
    <w:p w14:paraId="07A1B568">
      <w:pPr>
        <w:spacing w:line="490" w:lineRule="exact"/>
        <w:ind w:firstLine="480" w:firstLineChars="200"/>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bookmarkStart w:id="691" w:name="_Toc524701813"/>
      <w:bookmarkStart w:id="692" w:name="_Toc511132648"/>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10.1.1专人</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递送</w:t>
      </w: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之日视为送达之日；</w:t>
      </w:r>
      <w:bookmarkEnd w:id="691"/>
      <w:bookmarkEnd w:id="692"/>
    </w:p>
    <w:p w14:paraId="68493877">
      <w:pPr>
        <w:spacing w:line="490" w:lineRule="exact"/>
        <w:ind w:firstLine="480" w:firstLineChars="200"/>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10.1.2邮递以邮政部门可以证明的收到日视为送达之日；</w:t>
      </w:r>
    </w:p>
    <w:p w14:paraId="4E39BF42">
      <w:pPr>
        <w:spacing w:line="490" w:lineRule="exact"/>
        <w:ind w:firstLine="480" w:firstLineChars="200"/>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10.1.3电子邮件、传真以顺利发出当天后的第一个工作日视为送达之日。</w:t>
      </w:r>
    </w:p>
    <w:p w14:paraId="2F7409E7">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10.2一方以电子邮件或传真方式发送的通知，应在发送后，随即将原件以挂号邮寄或专人递送给对方。</w:t>
      </w:r>
    </w:p>
    <w:p w14:paraId="75D9EF58">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10.3任何一方地址、负责人、联系方式、银行账号等的变更均应自变更之日起</w:t>
      </w:r>
      <w:r>
        <w:rPr>
          <w:rFonts w:hint="eastAsia" w:asciiTheme="minorEastAsia" w:hAnsiTheme="minorEastAsia" w:eastAsiaTheme="minorEastAsia" w:cstheme="minorEastAsia"/>
          <w:bCs/>
          <w:color w:val="000000" w:themeColor="text1"/>
          <w:sz w:val="24"/>
          <w:szCs w:val="24"/>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日内书面通知对方，否则，变更方应当承担不利后果，并赔偿给对方造成的损失。</w:t>
      </w:r>
    </w:p>
    <w:p w14:paraId="18DEC5D0">
      <w:pPr>
        <w:spacing w:line="490" w:lineRule="exact"/>
        <w:ind w:firstLine="482"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693" w:name="_Toc511132649"/>
      <w:bookmarkStart w:id="694" w:name="_Toc524701814"/>
      <w:r>
        <w:rPr>
          <w:rFonts w:hint="eastAsia" w:asciiTheme="minorEastAsia" w:hAnsiTheme="minorEastAsia" w:eastAsiaTheme="minorEastAsia" w:cstheme="minorEastAsia"/>
          <w:b/>
          <w:color w:val="000000" w:themeColor="text1"/>
          <w:sz w:val="24"/>
          <w:szCs w:val="24"/>
          <w14:textFill>
            <w14:solidFill>
              <w14:schemeClr w14:val="tx1"/>
            </w14:solidFill>
          </w14:textFill>
        </w:rPr>
        <w:t>11 其它</w:t>
      </w:r>
      <w:bookmarkEnd w:id="693"/>
      <w:bookmarkEnd w:id="694"/>
    </w:p>
    <w:p w14:paraId="10DA0889">
      <w:pPr>
        <w:spacing w:line="49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11.1本合同未尽事宜，由甲乙双方协商解决，</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双方协商同意后应签订补充协议，补充协议自双方签字盖章之日起生效。</w:t>
      </w:r>
    </w:p>
    <w:p w14:paraId="5C2D227D">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11.2本合同一式</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捌</w:t>
      </w:r>
      <w:r>
        <w:rPr>
          <w:rFonts w:hint="eastAsia" w:asciiTheme="minorEastAsia" w:hAnsiTheme="minorEastAsia" w:eastAsiaTheme="minorEastAsia" w:cstheme="minorEastAsia"/>
          <w:color w:val="000000" w:themeColor="text1"/>
          <w:sz w:val="24"/>
          <w:szCs w:val="24"/>
          <w14:textFill>
            <w14:solidFill>
              <w14:schemeClr w14:val="tx1"/>
            </w14:solidFill>
          </w14:textFill>
        </w:rPr>
        <w:t>份，甲方执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肆</w:t>
      </w:r>
      <w:r>
        <w:rPr>
          <w:rFonts w:hint="eastAsia" w:asciiTheme="minorEastAsia" w:hAnsiTheme="minorEastAsia" w:eastAsiaTheme="minorEastAsia" w:cstheme="minorEastAsia"/>
          <w:color w:val="000000" w:themeColor="text1"/>
          <w:sz w:val="24"/>
          <w:szCs w:val="24"/>
          <w14:textFill>
            <w14:solidFill>
              <w14:schemeClr w14:val="tx1"/>
            </w14:solidFill>
          </w14:textFill>
        </w:rPr>
        <w:t>份，乙方执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肆</w:t>
      </w:r>
      <w:r>
        <w:rPr>
          <w:rFonts w:hint="eastAsia" w:asciiTheme="minorEastAsia" w:hAnsiTheme="minorEastAsia" w:eastAsiaTheme="minorEastAsia" w:cstheme="minorEastAsia"/>
          <w:color w:val="000000" w:themeColor="text1"/>
          <w:sz w:val="24"/>
          <w:szCs w:val="24"/>
          <w14:textFill>
            <w14:solidFill>
              <w14:schemeClr w14:val="tx1"/>
            </w14:solidFill>
          </w14:textFill>
        </w:rPr>
        <w:t>份，具有同等法律效力。</w:t>
      </w:r>
    </w:p>
    <w:p w14:paraId="16E774F9">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11.3本合同自双方法定代表人或者授权代表签字并加盖双方单位公章或合同专用章之日起生效。</w:t>
      </w:r>
    </w:p>
    <w:p w14:paraId="0AB5DEB5">
      <w:pPr>
        <w:pageBreakBefore/>
        <w:spacing w:line="490" w:lineRule="exact"/>
        <w:ind w:firstLine="480" w:firstLineChars="200"/>
        <w:jc w:val="center"/>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专用条款</w:t>
      </w:r>
    </w:p>
    <w:p w14:paraId="79CE0B18">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63D925C">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合同专用条款是合同通用条款的补充和修改。如果两者之间有抵触，应以专用条款为准。</w:t>
      </w:r>
    </w:p>
    <w:p w14:paraId="77DEC496">
      <w:pPr>
        <w:adjustRightInd w:val="0"/>
        <w:snapToGrid w:val="0"/>
        <w:spacing w:line="49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bookmarkStart w:id="695" w:name="_Toc511132650"/>
      <w:bookmarkStart w:id="696" w:name="_Toc524701815"/>
      <w:r>
        <w:rPr>
          <w:rFonts w:hint="eastAsia" w:asciiTheme="minorEastAsia" w:hAnsiTheme="minorEastAsia" w:eastAsiaTheme="minorEastAsia" w:cstheme="minorEastAsia"/>
          <w:b/>
          <w:color w:val="000000" w:themeColor="text1"/>
          <w:kern w:val="0"/>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项目内容</w:t>
      </w:r>
      <w:bookmarkEnd w:id="695"/>
      <w:bookmarkEnd w:id="696"/>
    </w:p>
    <w:p w14:paraId="053FA6EF">
      <w:pPr>
        <w:spacing w:line="49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1.1项目名称：环境建设第三方检查</w:t>
      </w:r>
    </w:p>
    <w:p w14:paraId="23C4F1A7">
      <w:pPr>
        <w:spacing w:line="49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1.2服务地点：顺义区全域范围</w:t>
      </w:r>
    </w:p>
    <w:p w14:paraId="449DD166">
      <w:pPr>
        <w:spacing w:line="490" w:lineRule="exact"/>
        <w:ind w:firstLine="480" w:firstLineChars="200"/>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1.3乙方取得项目方式：</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竞争性磋商</w:t>
      </w:r>
    </w:p>
    <w:p w14:paraId="2853F394">
      <w:pPr>
        <w:tabs>
          <w:tab w:val="left" w:pos="720"/>
        </w:tabs>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1.4委托检查内容：</w:t>
      </w:r>
    </w:p>
    <w:p w14:paraId="622CCDF9">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针对顺义区全域范围内环境问题进行全面覆盖检查、建立检查台账、派发责任部门整改、对整改问题进行现场复查，复查通过销账、复查不通过继续挂账。每月开展数据分析、报告（通报）撰写工作。顺义区城市管理委交办的各项重大活动环境保障、领导调研环境保障、节假日环境保障等巡检、检查工作。</w:t>
      </w:r>
    </w:p>
    <w:p w14:paraId="5ABF20E2">
      <w:pPr>
        <w:spacing w:line="42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1.4.1检查工作内容：对辖区内市容环境、秩序环境、城市运行安全环境、</w:t>
      </w:r>
      <w:r>
        <w:rPr>
          <w:rFonts w:hint="eastAsia" w:asciiTheme="minorEastAsia" w:hAnsiTheme="minorEastAsia" w:eastAsiaTheme="minorEastAsia" w:cstheme="minorEastAsia"/>
          <w:sz w:val="24"/>
          <w:szCs w:val="24"/>
          <w:highlight w:val="none"/>
          <w:lang w:val="en-US" w:eastAsia="zh-CN"/>
        </w:rPr>
        <w:t>背街小巷、</w:t>
      </w:r>
      <w:r>
        <w:rPr>
          <w:rFonts w:hint="eastAsia" w:asciiTheme="minorEastAsia" w:hAnsiTheme="minorEastAsia" w:eastAsiaTheme="minorEastAsia" w:cstheme="minorEastAsia"/>
          <w:sz w:val="24"/>
          <w:szCs w:val="24"/>
          <w:highlight w:val="none"/>
        </w:rPr>
        <w:t>重点任务等问题进行常态化检查。</w:t>
      </w:r>
    </w:p>
    <w:p w14:paraId="10F70323">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检查工作方式：检查员对检查现场发现问题的进行拍照后，通过手机终端实时将问题照片和问题文字描述上传至系统平台，建立问题台账，然后完成台账审核、派发、整改反馈、复查上报、考核打分、报告分析等全流程工作。检查员采用流动式排班、定期轮换，以消除利害关系因素，实现公平公正。</w:t>
      </w:r>
    </w:p>
    <w:p w14:paraId="5CC7E2D9">
      <w:pPr>
        <w:spacing w:line="4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1.4.3检查工作时间：每月开展常规检查1轮，同时不定期配合开展专项保障工作。</w:t>
      </w:r>
    </w:p>
    <w:p w14:paraId="2B1D8358">
      <w:pPr>
        <w:spacing w:line="49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1.4.4检查工作制度：一是保密制度，检查员需对检查与复查安排表的内容进行严格保密；二是廉洁自律制度，检查员需严守工作纪律，不得和被查街镇工作人员接触；</w:t>
      </w:r>
      <w:r>
        <w:rPr>
          <w:rFonts w:hint="eastAsia" w:asciiTheme="minorEastAsia" w:hAnsiTheme="minorEastAsia" w:eastAsiaTheme="minorEastAsia" w:cstheme="minorEastAsia"/>
          <w:sz w:val="24"/>
          <w:szCs w:val="24"/>
          <w:highlight w:val="none"/>
        </w:rPr>
        <w:t>三是</w:t>
      </w:r>
      <w:r>
        <w:rPr>
          <w:rFonts w:hint="eastAsia" w:asciiTheme="minorEastAsia" w:hAnsiTheme="minorEastAsia" w:eastAsiaTheme="minorEastAsia" w:cstheme="minorEastAsia"/>
          <w:sz w:val="24"/>
          <w:szCs w:val="24"/>
          <w:highlight w:val="none"/>
          <w:lang w:val="en-US" w:eastAsia="zh-CN"/>
        </w:rPr>
        <w:t>乙方应确保检查员遵守上述制度，如检查员违反上述制度，甲方有权要求乙方予以调换，给甲方造成损失的，乙方应予以赔偿。</w:t>
      </w:r>
    </w:p>
    <w:p w14:paraId="4341B7D0">
      <w:pPr>
        <w:spacing w:line="49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1.4.5</w:t>
      </w:r>
      <w:r>
        <w:rPr>
          <w:rFonts w:hint="eastAsia" w:asciiTheme="minorEastAsia" w:hAnsiTheme="minorEastAsia" w:eastAsiaTheme="minorEastAsia" w:cstheme="minorEastAsia"/>
          <w:sz w:val="24"/>
          <w:szCs w:val="24"/>
          <w:highlight w:val="none"/>
          <w:lang w:val="en-US" w:eastAsia="zh-CN"/>
        </w:rPr>
        <w:t>乙方委派</w:t>
      </w:r>
      <w:r>
        <w:rPr>
          <w:rFonts w:hint="eastAsia" w:asciiTheme="minorEastAsia" w:hAnsiTheme="minorEastAsia" w:eastAsiaTheme="minorEastAsia" w:cstheme="minorEastAsia"/>
          <w:sz w:val="24"/>
          <w:szCs w:val="24"/>
          <w:highlight w:val="none"/>
        </w:rPr>
        <w:t>工作人员</w:t>
      </w:r>
      <w:r>
        <w:rPr>
          <w:rFonts w:hint="eastAsia" w:asciiTheme="minorEastAsia" w:hAnsiTheme="minorEastAsia" w:eastAsiaTheme="minorEastAsia" w:cstheme="minorEastAsia"/>
          <w:sz w:val="24"/>
          <w:szCs w:val="24"/>
          <w:highlight w:val="none"/>
          <w:lang w:val="en-US" w:eastAsia="zh-CN"/>
        </w:rPr>
        <w:t>如下</w:t>
      </w:r>
      <w:r>
        <w:rPr>
          <w:rFonts w:hint="eastAsia" w:asciiTheme="minorEastAsia" w:hAnsiTheme="minorEastAsia" w:eastAsiaTheme="minorEastAsia" w:cstheme="minorEastAsia"/>
          <w:sz w:val="24"/>
          <w:szCs w:val="24"/>
          <w:highlight w:val="none"/>
        </w:rPr>
        <w:t>：本项目内勤人员不少于8人，且学历均在大学本科（含）以上；外勤人员不少于28人，且学历均在大学专科（含）以上；项目组主要人员简历、学历证明等由乙方盖章后在甲方备案（如有调整，乙方及时更新备案）。</w:t>
      </w:r>
    </w:p>
    <w:p w14:paraId="4D069949">
      <w:pPr>
        <w:spacing w:line="49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1.4.6</w:t>
      </w:r>
      <w:r>
        <w:rPr>
          <w:rFonts w:hint="eastAsia" w:asciiTheme="minorEastAsia" w:hAnsiTheme="minorEastAsia" w:eastAsiaTheme="minorEastAsia" w:cstheme="minorEastAsia"/>
          <w:sz w:val="24"/>
          <w:szCs w:val="24"/>
          <w:highlight w:val="none"/>
          <w:lang w:val="en-US" w:eastAsia="zh-CN"/>
        </w:rPr>
        <w:t>乙方应提供以下</w:t>
      </w:r>
      <w:r>
        <w:rPr>
          <w:rFonts w:hint="eastAsia" w:asciiTheme="minorEastAsia" w:hAnsiTheme="minorEastAsia" w:eastAsiaTheme="minorEastAsia" w:cstheme="minorEastAsia"/>
          <w:sz w:val="24"/>
          <w:szCs w:val="24"/>
          <w:highlight w:val="none"/>
        </w:rPr>
        <w:t>车辆保障：驻场车辆至少4台，其中含1台7座。</w:t>
      </w:r>
    </w:p>
    <w:p w14:paraId="58F5FCCA">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1.4.7</w:t>
      </w:r>
      <w:r>
        <w:rPr>
          <w:rFonts w:hint="eastAsia" w:asciiTheme="minorEastAsia" w:hAnsiTheme="minorEastAsia" w:eastAsiaTheme="minorEastAsia" w:cstheme="minorEastAsia"/>
          <w:sz w:val="24"/>
          <w:szCs w:val="24"/>
          <w:highlight w:val="none"/>
          <w:lang w:val="en-US" w:eastAsia="zh-CN"/>
        </w:rPr>
        <w:t>乙方应确保提供以下</w:t>
      </w:r>
      <w:r>
        <w:rPr>
          <w:rFonts w:hint="eastAsia" w:asciiTheme="minorEastAsia" w:hAnsiTheme="minorEastAsia" w:eastAsiaTheme="minorEastAsia" w:cstheme="minorEastAsia"/>
          <w:sz w:val="24"/>
          <w:szCs w:val="24"/>
          <w:highlight w:val="none"/>
        </w:rPr>
        <w:t>办公设备：内勤人员每人1台办公电脑，1套办公桌椅；1</w:t>
      </w:r>
      <w:r>
        <w:rPr>
          <w:rFonts w:hint="eastAsia" w:asciiTheme="minorEastAsia" w:hAnsiTheme="minorEastAsia" w:eastAsiaTheme="minorEastAsia" w:cstheme="minorEastAsia"/>
          <w:sz w:val="24"/>
          <w:szCs w:val="24"/>
        </w:rPr>
        <w:t>台打印机；至少1台笔记本电脑；视频会议相关设备及日常办公用品。</w:t>
      </w:r>
    </w:p>
    <w:p w14:paraId="2899BB2A">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1.4.8工作成果：</w:t>
      </w:r>
    </w:p>
    <w:p w14:paraId="1C028728">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（1）建立台账：建立新增问题台账和专项台账两个部分，台账包含问题发生时间、地点、所属属地、照片、整改效果等信息；</w:t>
      </w:r>
    </w:p>
    <w:p w14:paraId="7211BF5D">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（2）数据分析统计表：包括各属地得分、排名及扣分原因；</w:t>
      </w:r>
    </w:p>
    <w:p w14:paraId="4DFCABFE">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（3）月度考核报告：包括月度总体情况描述、问题分析、工作建议等；</w:t>
      </w:r>
    </w:p>
    <w:p w14:paraId="19AEE64B">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（4）季度考核报告：汇总季度考核数据，包括总体情况描述、工作成效、问题分析、工作建议等；</w:t>
      </w:r>
    </w:p>
    <w:p w14:paraId="574FF807">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（5）年度考评报告：汇总全年检查考核结果进行汇总和分析。从全年总体情况、年度性共性问题、突出问题等方面进行总结，进而分析问题原因，提出改进措施和建议；</w:t>
      </w:r>
    </w:p>
    <w:p w14:paraId="43E9EC4B">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（6）其他不定期开展专项保障工作相关报告；</w:t>
      </w:r>
    </w:p>
    <w:p w14:paraId="08F99592">
      <w:pPr>
        <w:spacing w:line="4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（7）所有由本项目产生的工作成果归采购人所有，未经采购人许可不得向任何第三方透露或使用。</w:t>
      </w:r>
    </w:p>
    <w:p w14:paraId="79CCE02B">
      <w:pPr>
        <w:spacing w:line="490" w:lineRule="exact"/>
        <w:ind w:left="319" w:leftChars="152" w:firstLine="240" w:firstLineChars="100"/>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1.5委托工作时限：</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日至</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06A30097">
      <w:pPr>
        <w:spacing w:line="49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bookmarkStart w:id="697" w:name="_Toc524701816"/>
      <w:bookmarkStart w:id="698" w:name="_Toc511132656"/>
      <w:r>
        <w:rPr>
          <w:rFonts w:hint="eastAsia" w:asciiTheme="minorEastAsia" w:hAnsiTheme="minorEastAsia" w:eastAsiaTheme="minorEastAsia" w:cstheme="minorEastAsia"/>
          <w:b/>
          <w:bCs/>
          <w:color w:val="000000" w:themeColor="text1"/>
          <w:sz w:val="24"/>
          <w:szCs w:val="24"/>
          <w14:textFill>
            <w14:solidFill>
              <w14:schemeClr w14:val="tx1"/>
            </w14:solidFill>
          </w14:textFill>
        </w:rPr>
        <w:t>2服务费用及付款方式</w:t>
      </w:r>
      <w:bookmarkEnd w:id="697"/>
      <w:bookmarkEnd w:id="698"/>
    </w:p>
    <w:p w14:paraId="2E03FC18">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2.1本项目服务费为人民币（大写：</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）（小写：￥</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p>
    <w:p w14:paraId="5DAFBC60">
      <w:pPr>
        <w:spacing w:line="49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2.2项目费用支付方式：</w:t>
      </w:r>
    </w:p>
    <w:p w14:paraId="34E33F95">
      <w:pPr>
        <w:spacing w:line="5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甲乙双方约定在财政资金允许拨付的情况下，</w:t>
      </w:r>
      <w:r>
        <w:rPr>
          <w:rFonts w:hint="eastAsia" w:asciiTheme="minorEastAsia" w:hAnsiTheme="minorEastAsia" w:eastAsiaTheme="minorEastAsia" w:cstheme="minorEastAsia"/>
          <w:color w:val="000000" w:themeColor="text1"/>
          <w:sz w:val="24"/>
          <w:szCs w:val="24"/>
          <w14:textFill>
            <w14:solidFill>
              <w14:schemeClr w14:val="tx1"/>
            </w14:solidFill>
          </w14:textFill>
        </w:rPr>
        <w:t>甲方向乙方支付项目服务费，实际支付服务费数额依据《顺义区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2026</w:t>
      </w:r>
      <w:r>
        <w:rPr>
          <w:rFonts w:hint="eastAsia" w:asciiTheme="minorEastAsia" w:hAnsiTheme="minorEastAsia" w:eastAsiaTheme="minorEastAsia" w:cstheme="minorEastAsia"/>
          <w:color w:val="000000" w:themeColor="text1"/>
          <w:sz w:val="24"/>
          <w:szCs w:val="24"/>
          <w14:textFill>
            <w14:solidFill>
              <w14:schemeClr w14:val="tx1"/>
            </w14:solidFill>
          </w14:textFill>
        </w:rPr>
        <w:t>年环境建设第三方服务考核办法》</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由甲方对乙方考核结果而定。甲方向乙方支付费用前，乙方向甲方出具等额合法有效的发票。</w:t>
      </w:r>
    </w:p>
    <w:p w14:paraId="16971B03">
      <w:pPr>
        <w:pStyle w:val="53"/>
        <w:spacing w:line="490" w:lineRule="exact"/>
        <w:ind w:firstLine="480" w:firstLineChars="200"/>
        <w:rPr>
          <w:rFonts w:hint="eastAsia" w:asciiTheme="minorEastAsia" w:hAnsiTheme="minorEastAsia" w:eastAsiaTheme="minorEastAsia" w:cstheme="minorEastAsia"/>
          <w:color w:val="000000" w:themeColor="text1"/>
          <w:kern w:val="2"/>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eastAsia="zh-CN"/>
          <w14:textFill>
            <w14:solidFill>
              <w14:schemeClr w14:val="tx1"/>
            </w14:solidFill>
          </w14:textFill>
        </w:rPr>
        <w:t>2.2.2</w:t>
      </w:r>
      <w:r>
        <w:rPr>
          <w:rFonts w:hint="eastAsia" w:asciiTheme="minorEastAsia" w:hAnsiTheme="minorEastAsia" w:eastAsiaTheme="minorEastAsia" w:cstheme="minorEastAsia"/>
          <w:color w:val="000000"/>
          <w:kern w:val="2"/>
          <w:sz w:val="24"/>
          <w:szCs w:val="24"/>
          <w:lang w:eastAsia="zh-CN"/>
        </w:rPr>
        <w:t>上述款项实际支付时间最终以政府财政资金到账情况为准，如果因财政资金拨付延迟而导致甲方不能按期支付，不构成甲方的违约，乙方不得因此追究甲方的违约责任</w:t>
      </w:r>
      <w:r>
        <w:rPr>
          <w:rFonts w:hint="eastAsia" w:asciiTheme="minorEastAsia" w:hAnsiTheme="minorEastAsia" w:eastAsiaTheme="minorEastAsia" w:cstheme="minorEastAsia"/>
          <w:color w:val="000000" w:themeColor="text1"/>
          <w:kern w:val="2"/>
          <w:sz w:val="24"/>
          <w:szCs w:val="24"/>
          <w:lang w:eastAsia="zh-CN"/>
          <w14:textFill>
            <w14:solidFill>
              <w14:schemeClr w14:val="tx1"/>
            </w14:solidFill>
          </w14:textFill>
        </w:rPr>
        <w:t>。</w:t>
      </w:r>
    </w:p>
    <w:p w14:paraId="50ABED84">
      <w:pPr>
        <w:pStyle w:val="53"/>
        <w:spacing w:line="490" w:lineRule="exact"/>
        <w:ind w:firstLine="480" w:firstLineChars="200"/>
        <w:rPr>
          <w:rFonts w:hint="eastAsia" w:asciiTheme="minorEastAsia" w:hAnsiTheme="minorEastAsia" w:eastAsiaTheme="minorEastAsia" w:cstheme="minorEastAsia"/>
          <w:color w:val="000000" w:themeColor="text1"/>
          <w:kern w:val="2"/>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eastAsia="zh-CN"/>
          <w14:textFill>
            <w14:solidFill>
              <w14:schemeClr w14:val="tx1"/>
            </w14:solidFill>
          </w14:textFill>
        </w:rPr>
        <w:t>2.2.3</w:t>
      </w:r>
      <w:r>
        <w:rPr>
          <w:rFonts w:hint="eastAsia" w:asciiTheme="minorEastAsia" w:hAnsiTheme="minorEastAsia" w:eastAsiaTheme="minorEastAsia" w:cstheme="minorEastAsia"/>
          <w:color w:val="000000"/>
          <w:kern w:val="2"/>
          <w:sz w:val="24"/>
          <w:szCs w:val="24"/>
          <w:lang w:eastAsia="zh-CN"/>
        </w:rPr>
        <w:t>双方约定，未经甲方书面同意，乙方不得以任何形式将本合同项下的权利（包括债权）或义务转让给第三人，也不得将本合同项下任何权利（包括债权）向任何第三方进行抵质押。</w:t>
      </w:r>
    </w:p>
    <w:p w14:paraId="7329A384">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45FB9C66">
      <w:pPr>
        <w:pStyle w:val="21"/>
        <w:ind w:left="0" w:leftChars="0" w:firstLine="0" w:firstLineChars="0"/>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4745471">
      <w:pPr>
        <w:pStyle w:val="53"/>
        <w:spacing w:line="490" w:lineRule="exact"/>
        <w:ind w:firstLine="482" w:firstLineChars="200"/>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乙方账户信息：</w:t>
      </w:r>
    </w:p>
    <w:p w14:paraId="01F78785">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账户名称：</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p>
    <w:p w14:paraId="5A264593">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开户行：</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p>
    <w:p w14:paraId="2C56B0A1">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账号：</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p>
    <w:p w14:paraId="4981B477">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D16EFEE">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15B20529">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68BB633C">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4F35D83C">
      <w:pPr>
        <w:pStyle w:val="21"/>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25588CC0">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（以下为签署页）</w:t>
      </w:r>
    </w:p>
    <w:p w14:paraId="703DF331">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6115433">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48249C87">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BE722FD">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81FC72E">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09544889">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314BC8A9">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4F926490">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2E1ED264">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50745064">
      <w:pPr>
        <w:pStyle w:val="53"/>
        <w:spacing w:line="490" w:lineRule="exact"/>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495A15BE">
      <w:pPr>
        <w:spacing w:line="49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甲方（盖章）：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乙方（盖章）：</w:t>
      </w:r>
    </w:p>
    <w:p w14:paraId="208F7D70">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法定代表人：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w:t>
      </w:r>
    </w:p>
    <w:p w14:paraId="37AEA3D9">
      <w:pPr>
        <w:spacing w:line="49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项目负责人：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项目负责人：</w:t>
      </w:r>
    </w:p>
    <w:p w14:paraId="2554A342">
      <w:pPr>
        <w:spacing w:line="490" w:lineRule="exac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纳税人识别</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号：</w:t>
      </w:r>
    </w:p>
    <w:p w14:paraId="5C08518A">
      <w:pPr>
        <w:spacing w:line="490" w:lineRule="exact"/>
        <w:ind w:firstLine="960" w:firstLineChars="40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p>
    <w:p w14:paraId="5A7604C7">
      <w:pPr>
        <w:ind w:firstLine="480" w:firstLineChars="200"/>
        <w:rPr>
          <w:sz w:val="24"/>
          <w:szCs w:val="24"/>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年   月   日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日</w:t>
      </w:r>
    </w:p>
    <w:p w14:paraId="66E14A80">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2"/>
          <w:szCs w:val="22"/>
        </w:rPr>
        <w:sectPr>
          <w:footerReference r:id="rId12" w:type="default"/>
          <w:pgSz w:w="11906" w:h="16839"/>
          <w:pgMar w:top="1440" w:right="1080" w:bottom="1440" w:left="1080" w:header="850" w:footer="806" w:gutter="0"/>
          <w:pgNumType w:fmt="decimal"/>
          <w:cols w:space="720" w:num="1"/>
        </w:sectPr>
      </w:pPr>
    </w:p>
    <w:p w14:paraId="3E9F05C0">
      <w:pPr>
        <w:keepNext w:val="0"/>
        <w:keepLines w:val="0"/>
        <w:pageBreakBefore w:val="0"/>
        <w:widowControl w:val="0"/>
        <w:kinsoku/>
        <w:wordWrap w:val="0"/>
        <w:overflowPunct/>
        <w:topLinePunct/>
        <w:autoSpaceDE/>
        <w:autoSpaceDN/>
        <w:bidi w:val="0"/>
        <w:spacing w:line="360" w:lineRule="auto"/>
        <w:jc w:val="center"/>
        <w:outlineLvl w:val="0"/>
        <w:rPr>
          <w:rFonts w:hint="eastAsia" w:asciiTheme="minorEastAsia" w:hAnsiTheme="minorEastAsia" w:eastAsiaTheme="minorEastAsia" w:cstheme="minorEastAsia"/>
          <w:b/>
          <w:bCs/>
          <w:snapToGrid/>
          <w:spacing w:val="0"/>
          <w:kern w:val="21"/>
          <w:sz w:val="24"/>
          <w:szCs w:val="24"/>
          <w:highlight w:val="none"/>
        </w:rPr>
      </w:pPr>
      <w:bookmarkStart w:id="699" w:name="_Toc2446"/>
      <w:r>
        <w:rPr>
          <w:rFonts w:hint="eastAsia" w:asciiTheme="minorEastAsia" w:hAnsiTheme="minorEastAsia" w:eastAsiaTheme="minorEastAsia" w:cstheme="minorEastAsia"/>
          <w:b/>
          <w:bCs/>
          <w:snapToGrid/>
          <w:spacing w:val="0"/>
          <w:kern w:val="21"/>
          <w:sz w:val="24"/>
          <w:szCs w:val="24"/>
          <w:highlight w:val="none"/>
        </w:rPr>
        <w:t>第六章   响应文件格式</w:t>
      </w:r>
      <w:bookmarkEnd w:id="699"/>
    </w:p>
    <w:p w14:paraId="5ED4A92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供应商编制文件须知</w:t>
      </w:r>
    </w:p>
    <w:p w14:paraId="32B7F58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1、供应商按照本部分的顺序编制响应文件，编制中涉及格式资料的，应按照本部分提供的内容和格式（所有表格的格式可扩展）填写提交。</w:t>
      </w:r>
    </w:p>
    <w:p w14:paraId="6E69A57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对于竞争性磋商文件中标记了“实质性格式”文件的，供应商不得改变格式中给定的文字所表达的含义，不得删减格式中的实质性内容，不得自行添加与格式中给定的文字内容相矛盾的内容，不得对应当填写的空格不填写或不实质性响应，否则响应无效。未标记“实质性格式”的文件和竞争性磋商文件未提供格式的内容，可由供应商自行编写。</w:t>
      </w:r>
    </w:p>
    <w:p w14:paraId="13F40ED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3、全部声明和问题的回答及所附材料必须是真实的、准确的和完整的。</w:t>
      </w:r>
    </w:p>
    <w:p w14:paraId="20F7D0A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14:paraId="48254D71">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响应文件封面（非实质性格式）</w:t>
      </w:r>
    </w:p>
    <w:p w14:paraId="2DF80427">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6AE39BD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08CFE4C5">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bookmarkStart w:id="793" w:name="_GoBack"/>
      <w:bookmarkEnd w:id="793"/>
    </w:p>
    <w:p w14:paraId="0C0E6405">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39AF8512">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5DD7BD16">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p w14:paraId="3B15F7E9">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 应 文 件</w:t>
      </w:r>
    </w:p>
    <w:p w14:paraId="1B5D3D6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5EEAE328">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73FDE25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1D8C3AB6">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3510F151">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66940315">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58246513">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3D4B6C1A">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6B9A34C4">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34B0927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00426BF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3F2057C8">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项目名称</w:t>
      </w:r>
      <w:r>
        <w:rPr>
          <w:rFonts w:hint="eastAsia" w:asciiTheme="minorEastAsia" w:hAnsiTheme="minorEastAsia" w:eastAsiaTheme="minorEastAsia" w:cstheme="minorEastAsia"/>
          <w:b w:val="0"/>
          <w:bCs w:val="0"/>
          <w:snapToGrid/>
          <w:spacing w:val="0"/>
          <w:kern w:val="21"/>
          <w:sz w:val="24"/>
          <w:szCs w:val="24"/>
          <w:highlight w:val="none"/>
          <w:lang w:eastAsia="zh-CN"/>
        </w:rPr>
        <w:t>：</w:t>
      </w:r>
    </w:p>
    <w:p w14:paraId="360AB931">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rPr>
        <w:t>项目编号：</w:t>
      </w:r>
    </w:p>
    <w:p w14:paraId="231711B9">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供应商名称：</w:t>
      </w:r>
    </w:p>
    <w:p w14:paraId="2748983A">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30F26AE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1满足《中华人民共和国政府采购法》第二十二条规定及法律法规的其他规定</w:t>
      </w:r>
    </w:p>
    <w:p w14:paraId="00504F9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1-1营业执照等证明文件</w:t>
      </w:r>
    </w:p>
    <w:p w14:paraId="79F37E07">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62126086">
      <w:pPr>
        <w:keepNext w:val="0"/>
        <w:keepLines w:val="0"/>
        <w:pageBreakBefore w:val="0"/>
        <w:widowControl w:val="0"/>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1-2供应商资格声明书</w:t>
      </w:r>
    </w:p>
    <w:p w14:paraId="5696064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供应商资格声明书</w:t>
      </w:r>
    </w:p>
    <w:p w14:paraId="2505BD0A">
      <w:pPr>
        <w:keepNext w:val="0"/>
        <w:keepLines w:val="0"/>
        <w:pageBreakBefore w:val="0"/>
        <w:widowControl w:val="0"/>
        <w:tabs>
          <w:tab w:val="left" w:pos="5580"/>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致：</w:t>
      </w:r>
      <w:r>
        <w:rPr>
          <w:rFonts w:hint="eastAsia" w:asciiTheme="minorEastAsia" w:hAnsiTheme="minorEastAsia" w:eastAsiaTheme="minorEastAsia" w:cstheme="minorEastAsia"/>
          <w:b w:val="0"/>
          <w:bCs w:val="0"/>
          <w:snapToGrid/>
          <w:spacing w:val="0"/>
          <w:kern w:val="21"/>
          <w:sz w:val="22"/>
          <w:szCs w:val="22"/>
          <w:highlight w:val="none"/>
          <w:u w:val="single"/>
        </w:rPr>
        <w:t>采购人</w:t>
      </w:r>
    </w:p>
    <w:p w14:paraId="066C604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在参与本次项目磋商中，我单位承诺：</w:t>
      </w:r>
    </w:p>
    <w:p w14:paraId="3923A22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（一）具有良好的商业信誉和健全的财务会计制度；</w:t>
      </w:r>
    </w:p>
    <w:p w14:paraId="70031CF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（二）具有履行合同所必需的设备和专业技术能力；</w:t>
      </w:r>
    </w:p>
    <w:p w14:paraId="17C379E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（三）有依法缴纳税收和社会保障资金的良好记录；</w:t>
      </w:r>
    </w:p>
    <w:p w14:paraId="41EC099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777D1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（五）我单位不属于政府采购法律、行政法规规定的公益一类事业单位、或使用事业编制且由财政拨款保障的群团组织（仅适用于政府购买服务项目）；</w:t>
      </w:r>
    </w:p>
    <w:p w14:paraId="500B439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（六）我单位不存在为采购项目提供整体设计、规范编制或者项目管理、监理、检测等服务后，再参加该采购项目的其他采购活动的情形（单一来源采购项目除外）；</w:t>
      </w:r>
    </w:p>
    <w:p w14:paraId="605F997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（七）与我单位存在“单位负责人为同一人或者存在直接控股、管理关系”的其他法人单位信息如下（如有，不论其是否参加同一合同项下的政府采购活动均须填写）：</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4215"/>
      </w:tblGrid>
      <w:tr w14:paraId="1896E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noWrap w:val="0"/>
            <w:vAlign w:val="center"/>
          </w:tcPr>
          <w:p w14:paraId="76C1DDA8">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序号</w:t>
            </w:r>
          </w:p>
        </w:tc>
        <w:tc>
          <w:tcPr>
            <w:tcW w:w="4574" w:type="dxa"/>
            <w:noWrap w:val="0"/>
            <w:vAlign w:val="center"/>
          </w:tcPr>
          <w:p w14:paraId="2BE2FB8A">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单位名称</w:t>
            </w:r>
          </w:p>
        </w:tc>
        <w:tc>
          <w:tcPr>
            <w:tcW w:w="4215" w:type="dxa"/>
            <w:noWrap w:val="0"/>
            <w:vAlign w:val="center"/>
          </w:tcPr>
          <w:p w14:paraId="12E06924">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相互关系</w:t>
            </w:r>
          </w:p>
        </w:tc>
      </w:tr>
      <w:tr w14:paraId="4882A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noWrap w:val="0"/>
            <w:vAlign w:val="center"/>
          </w:tcPr>
          <w:p w14:paraId="1D188896">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1</w:t>
            </w:r>
          </w:p>
        </w:tc>
        <w:tc>
          <w:tcPr>
            <w:tcW w:w="4574" w:type="dxa"/>
            <w:noWrap w:val="0"/>
            <w:vAlign w:val="center"/>
          </w:tcPr>
          <w:p w14:paraId="39B87D43">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4215" w:type="dxa"/>
            <w:noWrap w:val="0"/>
            <w:vAlign w:val="center"/>
          </w:tcPr>
          <w:p w14:paraId="6C6F1EC7">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r w14:paraId="6DAD5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noWrap w:val="0"/>
            <w:vAlign w:val="center"/>
          </w:tcPr>
          <w:p w14:paraId="6E9A39B2">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2</w:t>
            </w:r>
          </w:p>
        </w:tc>
        <w:tc>
          <w:tcPr>
            <w:tcW w:w="4574" w:type="dxa"/>
            <w:noWrap w:val="0"/>
            <w:vAlign w:val="center"/>
          </w:tcPr>
          <w:p w14:paraId="04A8C08F">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4215" w:type="dxa"/>
            <w:noWrap w:val="0"/>
            <w:vAlign w:val="center"/>
          </w:tcPr>
          <w:p w14:paraId="5481A227">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r w14:paraId="66CB4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0" w:type="dxa"/>
            <w:noWrap w:val="0"/>
            <w:vAlign w:val="center"/>
          </w:tcPr>
          <w:p w14:paraId="5254FA56">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w:t>
            </w:r>
          </w:p>
        </w:tc>
        <w:tc>
          <w:tcPr>
            <w:tcW w:w="4574" w:type="dxa"/>
            <w:noWrap w:val="0"/>
            <w:vAlign w:val="center"/>
          </w:tcPr>
          <w:p w14:paraId="487D801B">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4215" w:type="dxa"/>
            <w:noWrap w:val="0"/>
            <w:vAlign w:val="center"/>
          </w:tcPr>
          <w:p w14:paraId="5EE54483">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bl>
    <w:p w14:paraId="7FFC68BF">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上述声明真实有效，否则我方负全部责任。</w:t>
      </w:r>
    </w:p>
    <w:p w14:paraId="582947EF">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54FE2545">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5BF35EF5">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pPr>
      <w:r>
        <w:rPr>
          <w:rFonts w:hint="eastAsia" w:asciiTheme="minorEastAsia" w:hAnsiTheme="minorEastAsia" w:eastAsiaTheme="minorEastAsia" w:cstheme="minorEastAsia"/>
          <w:b w:val="0"/>
          <w:bCs w:val="0"/>
          <w:snapToGrid/>
          <w:color w:val="000000"/>
          <w:spacing w:val="0"/>
          <w:kern w:val="21"/>
          <w:sz w:val="22"/>
          <w:szCs w:val="22"/>
          <w:highlight w:val="none"/>
        </w:rPr>
        <w:t>供应商名称（加盖公章）</w:t>
      </w:r>
      <w:r>
        <w:rPr>
          <w:rFonts w:hint="eastAsia" w:asciiTheme="minorEastAsia" w:hAnsiTheme="minorEastAsia" w:eastAsiaTheme="minorEastAsia" w:cstheme="minorEastAsia"/>
          <w:b w:val="0"/>
          <w:bCs w:val="0"/>
          <w:snapToGrid/>
          <w:color w:val="000000"/>
          <w:spacing w:val="0"/>
          <w:kern w:val="21"/>
          <w:sz w:val="22"/>
          <w:szCs w:val="22"/>
          <w:highlight w:val="none"/>
          <w:lang w:val="zh-CN"/>
        </w:rPr>
        <w:t>：</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p>
    <w:p w14:paraId="6A6698F9">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日期：</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年</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月</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日</w:t>
      </w:r>
    </w:p>
    <w:p w14:paraId="72697353">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2"/>
          <w:szCs w:val="22"/>
          <w:highlight w:val="none"/>
        </w:rPr>
      </w:pPr>
    </w:p>
    <w:p w14:paraId="2BA43561">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sectPr>
          <w:headerReference r:id="rId15" w:type="first"/>
          <w:footerReference r:id="rId18" w:type="first"/>
          <w:headerReference r:id="rId13" w:type="default"/>
          <w:footerReference r:id="rId16" w:type="default"/>
          <w:headerReference r:id="rId14" w:type="even"/>
          <w:footerReference r:id="rId17" w:type="even"/>
          <w:type w:val="continuous"/>
          <w:pgSz w:w="11905" w:h="16838"/>
          <w:pgMar w:top="1440" w:right="1080" w:bottom="1440" w:left="1080" w:header="851" w:footer="850" w:gutter="0"/>
          <w:pgNumType w:fmt="decimal"/>
          <w:cols w:space="0" w:num="1"/>
          <w:titlePg/>
          <w:rtlGutter w:val="0"/>
          <w:docGrid w:linePitch="462" w:charSpace="0"/>
        </w:sectPr>
      </w:pPr>
      <w:r>
        <w:rPr>
          <w:rFonts w:hint="eastAsia" w:asciiTheme="minorEastAsia" w:hAnsiTheme="minorEastAsia" w:eastAsiaTheme="minorEastAsia" w:cstheme="minorEastAsia"/>
          <w:b w:val="0"/>
          <w:bCs w:val="0"/>
          <w:snapToGrid/>
          <w:spacing w:val="0"/>
          <w:kern w:val="21"/>
          <w:sz w:val="22"/>
          <w:szCs w:val="22"/>
          <w:highlight w:val="none"/>
        </w:rPr>
        <w:t>说明：供应商承诺不实的，依据《政府采购法》第七十七条“提供虚假材料谋取中标、成交的”有关规定予以处理。</w:t>
      </w:r>
    </w:p>
    <w:p w14:paraId="0D916AA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2落实政府采购政策需满足的资格要求</w:t>
      </w:r>
    </w:p>
    <w:p w14:paraId="4613738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2-1中小企业声明函</w:t>
      </w:r>
    </w:p>
    <w:p w14:paraId="5D137DA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说明：</w:t>
      </w:r>
    </w:p>
    <w:p w14:paraId="6C76BE4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409B0A6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2）如本项目（包）专门面向中小企业采购，响应文件中须提供《中小企业声明函》或《残疾人福利性单位声明函》，或提供由省级以上监狱管理局、戒毒管理局（含新疆生产建设兵团）出具的属于监狱企业的证明文件。</w:t>
      </w:r>
    </w:p>
    <w:p w14:paraId="2D154F9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738F92B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（4）中小企业声明函填写注意事项</w:t>
      </w:r>
    </w:p>
    <w:p w14:paraId="2B157A7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1）《中小企业声明函》由参加政府采购活动的供应商出具。联合体参与的，《中小企业声明函》可由牵头人出具。</w:t>
      </w:r>
    </w:p>
    <w:p w14:paraId="71267C3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42BB1D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3）对于多标的采购项目，供应商应充分、准确地了解所提供货物的制造企业、提供服务的承接企业信息。对相关情况了解不清楚的，不建议填报本声明函。</w:t>
      </w:r>
    </w:p>
    <w:p w14:paraId="3104151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r>
        <w:rPr>
          <w:rFonts w:hint="eastAsia" w:asciiTheme="minorEastAsia" w:hAnsiTheme="minorEastAsia" w:eastAsiaTheme="minorEastAsia" w:cstheme="minorEastAsia"/>
          <w:b w:val="0"/>
          <w:bCs w:val="0"/>
          <w:snapToGrid/>
          <w:spacing w:val="0"/>
          <w:kern w:val="21"/>
          <w:sz w:val="24"/>
          <w:szCs w:val="24"/>
          <w:highlight w:val="none"/>
        </w:rPr>
        <w:br w:type="page"/>
      </w:r>
    </w:p>
    <w:p w14:paraId="6038F0C1">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中小企业声明函（工程、服务）格式</w:t>
      </w:r>
    </w:p>
    <w:p w14:paraId="485B3C8F">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4"/>
          <w:szCs w:val="24"/>
        </w:rPr>
      </w:pPr>
    </w:p>
    <w:p w14:paraId="55AB976F">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本公司（联合体）郑重声明，根据《政府采购促进中小企业发展管理办法》（财库﹝2020﹞46 号）的规定，本公司（联合体）参加</w:t>
      </w:r>
      <w:r>
        <w:rPr>
          <w:rFonts w:hint="eastAsia" w:asciiTheme="minorEastAsia" w:hAnsiTheme="minorEastAsia" w:eastAsiaTheme="minorEastAsia" w:cstheme="minorEastAsia"/>
          <w:b w:val="0"/>
          <w:bCs w:val="0"/>
          <w:snapToGrid/>
          <w:spacing w:val="0"/>
          <w:kern w:val="21"/>
          <w:sz w:val="24"/>
          <w:szCs w:val="24"/>
          <w:highlight w:val="none"/>
          <w:u w:val="single"/>
        </w:rPr>
        <w:t>（单位名称）</w:t>
      </w:r>
      <w:r>
        <w:rPr>
          <w:rFonts w:hint="eastAsia" w:asciiTheme="minorEastAsia" w:hAnsiTheme="minorEastAsia" w:eastAsiaTheme="minorEastAsia" w:cstheme="minorEastAsia"/>
          <w:b w:val="0"/>
          <w:bCs w:val="0"/>
          <w:snapToGrid/>
          <w:spacing w:val="0"/>
          <w:kern w:val="21"/>
          <w:sz w:val="24"/>
          <w:szCs w:val="24"/>
          <w:highlight w:val="none"/>
        </w:rPr>
        <w:t>的</w:t>
      </w:r>
      <w:r>
        <w:rPr>
          <w:rFonts w:hint="eastAsia" w:asciiTheme="minorEastAsia" w:hAnsiTheme="minorEastAsia" w:eastAsiaTheme="minorEastAsia" w:cstheme="minorEastAsia"/>
          <w:b w:val="0"/>
          <w:bCs w:val="0"/>
          <w:snapToGrid/>
          <w:spacing w:val="0"/>
          <w:kern w:val="21"/>
          <w:sz w:val="24"/>
          <w:szCs w:val="24"/>
          <w:highlight w:val="none"/>
          <w:u w:val="single"/>
        </w:rPr>
        <w:t>（项目名称）</w:t>
      </w:r>
      <w:r>
        <w:rPr>
          <w:rFonts w:hint="eastAsia" w:asciiTheme="minorEastAsia" w:hAnsiTheme="minorEastAsia" w:eastAsiaTheme="minorEastAsia" w:cstheme="minorEastAsia"/>
          <w:b w:val="0"/>
          <w:bCs w:val="0"/>
          <w:snapToGrid/>
          <w:spacing w:val="0"/>
          <w:kern w:val="21"/>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69F0E3">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rPr>
      </w:pPr>
      <w:r>
        <w:rPr>
          <w:rFonts w:hint="eastAsia" w:asciiTheme="minorEastAsia" w:hAnsiTheme="minorEastAsia" w:eastAsiaTheme="minorEastAsia" w:cstheme="minorEastAsia"/>
          <w:b w:val="0"/>
          <w:bCs w:val="0"/>
          <w:snapToGrid/>
          <w:spacing w:val="0"/>
          <w:kern w:val="21"/>
          <w:sz w:val="24"/>
          <w:szCs w:val="24"/>
        </w:rPr>
        <w:t>1.</w:t>
      </w:r>
      <w:r>
        <w:rPr>
          <w:rFonts w:hint="eastAsia" w:asciiTheme="minorEastAsia" w:hAnsiTheme="minorEastAsia" w:eastAsiaTheme="minorEastAsia" w:cstheme="minorEastAsia"/>
          <w:b w:val="0"/>
          <w:bCs w:val="0"/>
          <w:snapToGrid/>
          <w:spacing w:val="0"/>
          <w:kern w:val="21"/>
          <w:sz w:val="24"/>
          <w:szCs w:val="24"/>
          <w:u w:val="single"/>
        </w:rPr>
        <w:t>（标的名称）</w:t>
      </w:r>
      <w:r>
        <w:rPr>
          <w:rFonts w:hint="eastAsia" w:asciiTheme="minorEastAsia" w:hAnsiTheme="minorEastAsia" w:eastAsiaTheme="minorEastAsia" w:cstheme="minorEastAsia"/>
          <w:b w:val="0"/>
          <w:bCs w:val="0"/>
          <w:snapToGrid/>
          <w:spacing w:val="0"/>
          <w:kern w:val="21"/>
          <w:sz w:val="24"/>
          <w:szCs w:val="24"/>
        </w:rPr>
        <w:t>，属于</w:t>
      </w:r>
      <w:r>
        <w:rPr>
          <w:rFonts w:hint="eastAsia" w:asciiTheme="minorEastAsia" w:hAnsiTheme="minorEastAsia" w:eastAsiaTheme="minorEastAsia" w:cstheme="minorEastAsia"/>
          <w:b w:val="0"/>
          <w:bCs w:val="0"/>
          <w:snapToGrid/>
          <w:spacing w:val="0"/>
          <w:kern w:val="21"/>
          <w:sz w:val="24"/>
          <w:szCs w:val="24"/>
          <w:u w:val="single"/>
        </w:rPr>
        <w:t>（采购文件中明确的所属行业）</w:t>
      </w:r>
      <w:r>
        <w:rPr>
          <w:rFonts w:hint="eastAsia" w:asciiTheme="minorEastAsia" w:hAnsiTheme="minorEastAsia" w:eastAsiaTheme="minorEastAsia" w:cstheme="minorEastAsia"/>
          <w:b w:val="0"/>
          <w:bCs w:val="0"/>
          <w:snapToGrid/>
          <w:spacing w:val="0"/>
          <w:kern w:val="21"/>
          <w:sz w:val="24"/>
          <w:szCs w:val="24"/>
        </w:rPr>
        <w:t>行业；承建（承接）企业为</w:t>
      </w:r>
      <w:r>
        <w:rPr>
          <w:rFonts w:hint="eastAsia" w:asciiTheme="minorEastAsia" w:hAnsiTheme="minorEastAsia" w:eastAsiaTheme="minorEastAsia" w:cstheme="minorEastAsia"/>
          <w:b w:val="0"/>
          <w:bCs w:val="0"/>
          <w:snapToGrid/>
          <w:spacing w:val="0"/>
          <w:kern w:val="21"/>
          <w:sz w:val="24"/>
          <w:szCs w:val="24"/>
          <w:u w:val="single"/>
        </w:rPr>
        <w:t>（企业名称）</w:t>
      </w:r>
      <w:r>
        <w:rPr>
          <w:rFonts w:hint="eastAsia" w:asciiTheme="minorEastAsia" w:hAnsiTheme="minorEastAsia" w:eastAsiaTheme="minorEastAsia" w:cstheme="minorEastAsia"/>
          <w:b w:val="0"/>
          <w:bCs w:val="0"/>
          <w:snapToGrid/>
          <w:spacing w:val="0"/>
          <w:kern w:val="21"/>
          <w:sz w:val="24"/>
          <w:szCs w:val="24"/>
        </w:rPr>
        <w:t>，从业人员</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人，营业收入为</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万元，资产总额为</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万元</w:t>
      </w:r>
      <w:r>
        <w:rPr>
          <w:rFonts w:hint="eastAsia" w:asciiTheme="minorEastAsia" w:hAnsiTheme="minorEastAsia" w:eastAsiaTheme="minorEastAsia" w:cstheme="minorEastAsia"/>
          <w:b w:val="0"/>
          <w:bCs w:val="0"/>
          <w:snapToGrid/>
          <w:spacing w:val="0"/>
          <w:kern w:val="21"/>
          <w:sz w:val="24"/>
          <w:szCs w:val="24"/>
          <w:vertAlign w:val="superscript"/>
        </w:rPr>
        <w:t>1</w:t>
      </w:r>
      <w:r>
        <w:rPr>
          <w:rFonts w:hint="eastAsia" w:asciiTheme="minorEastAsia" w:hAnsiTheme="minorEastAsia" w:eastAsiaTheme="minorEastAsia" w:cstheme="minorEastAsia"/>
          <w:b w:val="0"/>
          <w:bCs w:val="0"/>
          <w:snapToGrid/>
          <w:spacing w:val="0"/>
          <w:kern w:val="21"/>
          <w:sz w:val="24"/>
          <w:szCs w:val="24"/>
        </w:rPr>
        <w:t>，属于（中型企业、小型企业、微型企业）；</w:t>
      </w:r>
    </w:p>
    <w:p w14:paraId="05B66100">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rPr>
      </w:pPr>
      <w:r>
        <w:rPr>
          <w:rFonts w:hint="eastAsia" w:asciiTheme="minorEastAsia" w:hAnsiTheme="minorEastAsia" w:eastAsiaTheme="minorEastAsia" w:cstheme="minorEastAsia"/>
          <w:b w:val="0"/>
          <w:bCs w:val="0"/>
          <w:snapToGrid/>
          <w:spacing w:val="0"/>
          <w:kern w:val="21"/>
          <w:sz w:val="24"/>
          <w:szCs w:val="24"/>
        </w:rPr>
        <w:t>2.</w:t>
      </w:r>
      <w:r>
        <w:rPr>
          <w:rFonts w:hint="eastAsia" w:asciiTheme="minorEastAsia" w:hAnsiTheme="minorEastAsia" w:eastAsiaTheme="minorEastAsia" w:cstheme="minorEastAsia"/>
          <w:b w:val="0"/>
          <w:bCs w:val="0"/>
          <w:snapToGrid/>
          <w:spacing w:val="0"/>
          <w:kern w:val="21"/>
          <w:sz w:val="24"/>
          <w:szCs w:val="24"/>
          <w:u w:val="single"/>
        </w:rPr>
        <w:t>（标的名称）</w:t>
      </w:r>
      <w:r>
        <w:rPr>
          <w:rFonts w:hint="eastAsia" w:asciiTheme="minorEastAsia" w:hAnsiTheme="minorEastAsia" w:eastAsiaTheme="minorEastAsia" w:cstheme="minorEastAsia"/>
          <w:b w:val="0"/>
          <w:bCs w:val="0"/>
          <w:snapToGrid/>
          <w:spacing w:val="0"/>
          <w:kern w:val="21"/>
          <w:sz w:val="24"/>
          <w:szCs w:val="24"/>
        </w:rPr>
        <w:t>，属于</w:t>
      </w:r>
      <w:r>
        <w:rPr>
          <w:rFonts w:hint="eastAsia" w:asciiTheme="minorEastAsia" w:hAnsiTheme="minorEastAsia" w:eastAsiaTheme="minorEastAsia" w:cstheme="minorEastAsia"/>
          <w:b w:val="0"/>
          <w:bCs w:val="0"/>
          <w:snapToGrid/>
          <w:spacing w:val="0"/>
          <w:kern w:val="21"/>
          <w:sz w:val="24"/>
          <w:szCs w:val="24"/>
          <w:u w:val="single"/>
        </w:rPr>
        <w:t>（采购文件中明确的所属行业）</w:t>
      </w:r>
      <w:r>
        <w:rPr>
          <w:rFonts w:hint="eastAsia" w:asciiTheme="minorEastAsia" w:hAnsiTheme="minorEastAsia" w:eastAsiaTheme="minorEastAsia" w:cstheme="minorEastAsia"/>
          <w:b w:val="0"/>
          <w:bCs w:val="0"/>
          <w:snapToGrid/>
          <w:spacing w:val="0"/>
          <w:kern w:val="21"/>
          <w:sz w:val="24"/>
          <w:szCs w:val="24"/>
        </w:rPr>
        <w:t>行业；承建（承接）企业为</w:t>
      </w:r>
      <w:r>
        <w:rPr>
          <w:rFonts w:hint="eastAsia" w:asciiTheme="minorEastAsia" w:hAnsiTheme="minorEastAsia" w:eastAsiaTheme="minorEastAsia" w:cstheme="minorEastAsia"/>
          <w:b w:val="0"/>
          <w:bCs w:val="0"/>
          <w:snapToGrid/>
          <w:spacing w:val="0"/>
          <w:kern w:val="21"/>
          <w:sz w:val="24"/>
          <w:szCs w:val="24"/>
          <w:u w:val="single"/>
        </w:rPr>
        <w:t>（企业名称）</w:t>
      </w:r>
      <w:r>
        <w:rPr>
          <w:rFonts w:hint="eastAsia" w:asciiTheme="minorEastAsia" w:hAnsiTheme="minorEastAsia" w:eastAsiaTheme="minorEastAsia" w:cstheme="minorEastAsia"/>
          <w:b w:val="0"/>
          <w:bCs w:val="0"/>
          <w:snapToGrid/>
          <w:spacing w:val="0"/>
          <w:kern w:val="21"/>
          <w:sz w:val="24"/>
          <w:szCs w:val="24"/>
        </w:rPr>
        <w:t>，从业人员</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人，营业收入为</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万元，资产总额为</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rPr>
        <w:t>万元，属于</w:t>
      </w:r>
      <w:r>
        <w:rPr>
          <w:rFonts w:hint="eastAsia" w:asciiTheme="minorEastAsia" w:hAnsiTheme="minorEastAsia" w:eastAsiaTheme="minorEastAsia" w:cstheme="minorEastAsia"/>
          <w:b w:val="0"/>
          <w:bCs w:val="0"/>
          <w:snapToGrid/>
          <w:spacing w:val="0"/>
          <w:kern w:val="21"/>
          <w:sz w:val="24"/>
          <w:szCs w:val="24"/>
          <w:u w:val="single"/>
        </w:rPr>
        <w:t>（中型企业、小型企业、微型企业）</w:t>
      </w:r>
      <w:r>
        <w:rPr>
          <w:rFonts w:hint="eastAsia" w:asciiTheme="minorEastAsia" w:hAnsiTheme="minorEastAsia" w:eastAsiaTheme="minorEastAsia" w:cstheme="minorEastAsia"/>
          <w:b w:val="0"/>
          <w:bCs w:val="0"/>
          <w:snapToGrid/>
          <w:spacing w:val="0"/>
          <w:kern w:val="21"/>
          <w:sz w:val="24"/>
          <w:szCs w:val="24"/>
        </w:rPr>
        <w:t>；</w:t>
      </w:r>
    </w:p>
    <w:p w14:paraId="039F1845">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p>
    <w:p w14:paraId="402E175E">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w:t>
      </w:r>
    </w:p>
    <w:p w14:paraId="2D491ABA">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以上企业，不属于大企业的分支机构，不存在控股股东为大企业的情形，也不存在与大企业的负责人为同一人的情形。</w:t>
      </w:r>
    </w:p>
    <w:p w14:paraId="3051F953">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本企业对上述声明内容的真实性负责。如有虚假，将依法承担相应责任。</w:t>
      </w:r>
    </w:p>
    <w:p w14:paraId="28EBB3BF">
      <w:pPr>
        <w:keepNext w:val="0"/>
        <w:keepLines w:val="0"/>
        <w:pageBreakBefore w:val="0"/>
        <w:widowControl w:val="0"/>
        <w:kinsoku/>
        <w:wordWrap w:val="0"/>
        <w:overflowPunct/>
        <w:topLinePunct/>
        <w:autoSpaceDE/>
        <w:autoSpaceDN/>
        <w:bidi w:val="0"/>
        <w:spacing w:line="360" w:lineRule="auto"/>
        <w:ind w:right="360" w:firstLine="48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13D5612B">
      <w:pPr>
        <w:keepNext w:val="0"/>
        <w:keepLines w:val="0"/>
        <w:pageBreakBefore w:val="0"/>
        <w:widowControl w:val="0"/>
        <w:kinsoku/>
        <w:wordWrap w:val="0"/>
        <w:overflowPunct/>
        <w:topLinePunct/>
        <w:autoSpaceDE/>
        <w:autoSpaceDN/>
        <w:bidi w:val="0"/>
        <w:spacing w:line="360" w:lineRule="auto"/>
        <w:ind w:right="360" w:firstLine="48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企业名称（盖章）：</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131DD462">
      <w:pPr>
        <w:keepNext w:val="0"/>
        <w:keepLines w:val="0"/>
        <w:pageBreakBefore w:val="0"/>
        <w:widowControl w:val="0"/>
        <w:kinsoku/>
        <w:wordWrap w:val="0"/>
        <w:overflowPunct/>
        <w:topLinePunct/>
        <w:autoSpaceDE/>
        <w:autoSpaceDN/>
        <w:bidi w:val="0"/>
        <w:spacing w:line="360" w:lineRule="auto"/>
        <w:ind w:right="360" w:firstLine="480"/>
        <w:jc w:val="right"/>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 xml:space="preserve">日 </w:t>
      </w: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724FD76C">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5460DA18">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1A7DB571">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35A63F13">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2E2B15FE">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31E922C7">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p w14:paraId="7DAC756A">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pPr>
    </w:p>
    <w:tbl>
      <w:tblPr>
        <w:tblStyle w:val="23"/>
        <w:tblW w:w="9750" w:type="dxa"/>
        <w:tblInd w:w="10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50"/>
      </w:tblGrid>
      <w:tr w14:paraId="12F3CC7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750" w:type="dxa"/>
          </w:tcPr>
          <w:p w14:paraId="6F80C320">
            <w:pPr>
              <w:keepNext w:val="0"/>
              <w:keepLines w:val="0"/>
              <w:pageBreakBefore w:val="0"/>
              <w:widowControl w:val="0"/>
              <w:kinsoku/>
              <w:wordWrap w:val="0"/>
              <w:overflowPunct/>
              <w:topLinePunct/>
              <w:autoSpaceDE/>
              <w:autoSpaceDN/>
              <w:bidi w:val="0"/>
              <w:adjustRightInd w:val="0"/>
              <w:snapToGrid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vertAlign w:val="superscript"/>
              </w:rPr>
              <w:t>1</w:t>
            </w:r>
            <w:r>
              <w:rPr>
                <w:rFonts w:hint="eastAsia" w:asciiTheme="minorEastAsia" w:hAnsiTheme="minorEastAsia" w:eastAsiaTheme="minorEastAsia" w:cstheme="minorEastAsia"/>
                <w:b w:val="0"/>
                <w:bCs w:val="0"/>
                <w:snapToGrid/>
                <w:color w:val="000000"/>
                <w:spacing w:val="0"/>
                <w:kern w:val="21"/>
                <w:sz w:val="24"/>
                <w:szCs w:val="24"/>
                <w:highlight w:val="none"/>
              </w:rPr>
              <w:t>从业人员、营业收入、资产总额填报上一年度数据，无上一年度数据的新成立企业可不填报。</w:t>
            </w:r>
          </w:p>
        </w:tc>
      </w:tr>
    </w:tbl>
    <w:p w14:paraId="2D97F36D">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60DA6958">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残疾人福利性单位声明函格式</w:t>
      </w:r>
    </w:p>
    <w:p w14:paraId="2DAA4159">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4"/>
          <w:szCs w:val="24"/>
        </w:rPr>
      </w:pPr>
    </w:p>
    <w:p w14:paraId="2B495AC6">
      <w:pPr>
        <w:keepNext w:val="0"/>
        <w:keepLines w:val="0"/>
        <w:pageBreakBefore w:val="0"/>
        <w:widowControl w:val="0"/>
        <w:kinsoku/>
        <w:wordWrap w:val="0"/>
        <w:overflowPunct/>
        <w:topLinePunct/>
        <w:autoSpaceDE/>
        <w:autoSpaceDN/>
        <w:bidi w:val="0"/>
        <w:spacing w:line="360" w:lineRule="auto"/>
        <w:ind w:firstLine="504"/>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本单位郑重声明，根据《财政部 民政部 中国残疾人联合会关于促进残疾人就业政府采购政策的通知》（财库〔2017〕141号）的规定，本单位（</w:t>
      </w:r>
      <w:r>
        <w:rPr>
          <w:rFonts w:hint="eastAsia" w:asciiTheme="minorEastAsia" w:hAnsiTheme="minorEastAsia" w:eastAsiaTheme="minorEastAsia" w:cstheme="minorEastAsia"/>
          <w:b w:val="0"/>
          <w:bCs w:val="0"/>
          <w:snapToGrid/>
          <w:spacing w:val="0"/>
          <w:kern w:val="21"/>
          <w:sz w:val="24"/>
          <w:szCs w:val="24"/>
        </w:rPr>
        <w:t>请进行选择</w:t>
      </w:r>
      <w:r>
        <w:rPr>
          <w:rFonts w:hint="eastAsia" w:asciiTheme="minorEastAsia" w:hAnsiTheme="minorEastAsia" w:eastAsiaTheme="minorEastAsia" w:cstheme="minorEastAsia"/>
          <w:b w:val="0"/>
          <w:bCs w:val="0"/>
          <w:snapToGrid/>
          <w:spacing w:val="0"/>
          <w:kern w:val="21"/>
          <w:sz w:val="24"/>
          <w:szCs w:val="24"/>
          <w:highlight w:val="none"/>
        </w:rPr>
        <w:t>）：</w:t>
      </w:r>
    </w:p>
    <w:p w14:paraId="433AA7B1">
      <w:pPr>
        <w:keepNext w:val="0"/>
        <w:keepLines w:val="0"/>
        <w:pageBreakBefore w:val="0"/>
        <w:widowControl w:val="0"/>
        <w:kinsoku/>
        <w:wordWrap w:val="0"/>
        <w:overflowPunct/>
        <w:topLinePunct/>
        <w:autoSpaceDE/>
        <w:autoSpaceDN/>
        <w:bidi w:val="0"/>
        <w:spacing w:line="360" w:lineRule="auto"/>
        <w:ind w:firstLine="482"/>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□不属于符合条件的残疾人福利性单位。</w:t>
      </w:r>
    </w:p>
    <w:p w14:paraId="0A9E903C">
      <w:pPr>
        <w:keepNext w:val="0"/>
        <w:keepLines w:val="0"/>
        <w:pageBreakBefore w:val="0"/>
        <w:widowControl w:val="0"/>
        <w:kinsoku/>
        <w:wordWrap w:val="0"/>
        <w:overflowPunct/>
        <w:topLinePunct/>
        <w:autoSpaceDE/>
        <w:autoSpaceDN/>
        <w:bidi w:val="0"/>
        <w:spacing w:line="360" w:lineRule="auto"/>
        <w:ind w:firstLine="482"/>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□属于符合条件的残疾人福利性单位，且本单位参加</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单位的</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项目采购活动提供本单位制造的货物（由本单位承担工程/提供服务），或者提供其他残疾人福利性单位制造的货物（不包括使用非残疾人福利性单位注册商标的货物）。</w:t>
      </w:r>
    </w:p>
    <w:p w14:paraId="2947398F">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本单位对上述声明的真实性负责。如有虚假，将依法承担相应责任。</w:t>
      </w:r>
    </w:p>
    <w:p w14:paraId="3D9F2C23">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p>
    <w:p w14:paraId="4401782A">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p>
    <w:p w14:paraId="56A74966">
      <w:pPr>
        <w:keepNext w:val="0"/>
        <w:keepLines w:val="0"/>
        <w:pageBreakBefore w:val="0"/>
        <w:widowControl w:val="0"/>
        <w:tabs>
          <w:tab w:val="left" w:pos="4860"/>
        </w:tabs>
        <w:kinsoku/>
        <w:wordWrap w:val="0"/>
        <w:overflowPunct/>
        <w:topLinePunct/>
        <w:autoSpaceDE/>
        <w:autoSpaceDN/>
        <w:bidi w:val="0"/>
        <w:spacing w:line="360" w:lineRule="auto"/>
        <w:ind w:right="1560" w:firstLine="480" w:firstLineChars="20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单位名称（盖章）：</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p>
    <w:p w14:paraId="6ADAD26B">
      <w:pPr>
        <w:keepNext w:val="0"/>
        <w:keepLines w:val="0"/>
        <w:pageBreakBefore w:val="0"/>
        <w:widowControl w:val="0"/>
        <w:tabs>
          <w:tab w:val="left" w:pos="4860"/>
        </w:tabs>
        <w:kinsoku/>
        <w:wordWrap w:val="0"/>
        <w:overflowPunct/>
        <w:topLinePunct/>
        <w:autoSpaceDE/>
        <w:autoSpaceDN/>
        <w:bidi w:val="0"/>
        <w:spacing w:line="360" w:lineRule="auto"/>
        <w:ind w:right="1560" w:firstLine="480" w:firstLineChars="20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日  期：</w:t>
      </w:r>
      <w:r>
        <w:rPr>
          <w:rFonts w:hint="eastAsia" w:asciiTheme="minorEastAsia" w:hAnsiTheme="minorEastAsia" w:eastAsiaTheme="minorEastAsia" w:cstheme="minorEastAsia"/>
          <w:b w:val="0"/>
          <w:bCs w:val="0"/>
          <w:snapToGrid/>
          <w:spacing w:val="0"/>
          <w:kern w:val="21"/>
          <w:sz w:val="24"/>
          <w:szCs w:val="24"/>
          <w:u w:val="single"/>
          <w:lang w:val="en-US" w:eastAsia="zh-CN"/>
        </w:rPr>
        <w:t xml:space="preserve">        </w:t>
      </w:r>
    </w:p>
    <w:p w14:paraId="200A03C4">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48DFEEB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rPr>
        <w:sectPr>
          <w:pgSz w:w="11905" w:h="16838"/>
          <w:pgMar w:top="1440" w:right="1080" w:bottom="1440" w:left="1080" w:header="851" w:footer="850" w:gutter="0"/>
          <w:pgNumType w:fmt="decimal"/>
          <w:cols w:space="0" w:num="1"/>
          <w:titlePg/>
          <w:rtlGutter w:val="0"/>
          <w:docGrid w:linePitch="462" w:charSpace="0"/>
        </w:sectPr>
      </w:pPr>
      <w:bookmarkStart w:id="700" w:name="_Hlt520350918"/>
      <w:bookmarkEnd w:id="700"/>
      <w:bookmarkStart w:id="701" w:name="_Hlt520273711"/>
      <w:bookmarkEnd w:id="701"/>
      <w:bookmarkStart w:id="702" w:name="_Hlt520355504"/>
      <w:bookmarkEnd w:id="702"/>
      <w:bookmarkStart w:id="703" w:name="_Hlt520271212"/>
      <w:bookmarkEnd w:id="703"/>
      <w:bookmarkStart w:id="704" w:name="_Hlt520343000"/>
      <w:bookmarkEnd w:id="704"/>
      <w:bookmarkStart w:id="705" w:name="_Hlt520274407"/>
      <w:bookmarkEnd w:id="705"/>
      <w:bookmarkStart w:id="706" w:name="_Hlt520274065"/>
      <w:bookmarkEnd w:id="706"/>
      <w:bookmarkStart w:id="707" w:name="_Hlt520343392"/>
      <w:bookmarkEnd w:id="707"/>
      <w:bookmarkStart w:id="708" w:name="_Hlt520274121"/>
      <w:bookmarkEnd w:id="708"/>
      <w:bookmarkStart w:id="709" w:name="_Hlt520274393"/>
      <w:bookmarkEnd w:id="709"/>
      <w:bookmarkStart w:id="710" w:name="_Ref467988698"/>
      <w:bookmarkStart w:id="711" w:name="_Toc480942349"/>
      <w:bookmarkStart w:id="712" w:name="_Toc226965829"/>
      <w:bookmarkStart w:id="713" w:name="_Toc127151556"/>
      <w:bookmarkStart w:id="714" w:name="_Toc226337252"/>
      <w:bookmarkStart w:id="715" w:name="_Toc150774761"/>
      <w:bookmarkStart w:id="716" w:name="_Toc142311058"/>
      <w:bookmarkStart w:id="717" w:name="_Toc226309800"/>
      <w:bookmarkStart w:id="718" w:name="_Toc226965746"/>
      <w:bookmarkStart w:id="719" w:name="_Toc520356217"/>
      <w:bookmarkStart w:id="720" w:name="_Toc150480794"/>
      <w:bookmarkStart w:id="721" w:name="_Toc195842921"/>
    </w:p>
    <w:p w14:paraId="3D7E04F4">
      <w:pPr>
        <w:pStyle w:val="5"/>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14:paraId="6436A9A0">
      <w:pPr>
        <w:tabs>
          <w:tab w:val="left" w:pos="5580"/>
        </w:tabs>
        <w:spacing w:line="360" w:lineRule="auto"/>
        <w:rPr>
          <w:rFonts w:eastAsiaTheme="minorEastAsia"/>
          <w:sz w:val="24"/>
        </w:rPr>
      </w:pPr>
      <w:r>
        <w:rPr>
          <w:rFonts w:eastAsiaTheme="minorEastAsia"/>
          <w:sz w:val="24"/>
        </w:rPr>
        <w:t>说明：</w:t>
      </w:r>
    </w:p>
    <w:p w14:paraId="3B995DA5">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021064C5">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465AA85B">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6B18350D">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398A8ABD">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4DDEB087">
      <w:pPr>
        <w:autoSpaceDE w:val="0"/>
        <w:autoSpaceDN w:val="0"/>
        <w:adjustRightInd w:val="0"/>
        <w:rPr>
          <w:rFonts w:eastAsiaTheme="minorEastAsia"/>
          <w:color w:val="000000"/>
          <w:sz w:val="30"/>
          <w:szCs w:val="30"/>
        </w:rPr>
      </w:pPr>
    </w:p>
    <w:p w14:paraId="5757BB56">
      <w:pPr>
        <w:widowControl/>
        <w:jc w:val="left"/>
        <w:rPr>
          <w:rFonts w:eastAsiaTheme="minorEastAsia"/>
          <w:b/>
          <w:color w:val="000000"/>
          <w:sz w:val="36"/>
          <w:szCs w:val="36"/>
        </w:rPr>
      </w:pPr>
      <w:r>
        <w:rPr>
          <w:rFonts w:eastAsiaTheme="minorEastAsia"/>
          <w:b/>
          <w:color w:val="000000"/>
          <w:sz w:val="36"/>
          <w:szCs w:val="36"/>
        </w:rPr>
        <w:br w:type="page"/>
      </w:r>
    </w:p>
    <w:p w14:paraId="7DD9C845">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3F6BC96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5FD11912">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34"/>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56E2D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F3C4905">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6B49D7AA">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132004AA">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2963E58C">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6E506D1">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CF7A284">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0C53D024">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3B8CEFD7">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9FD7DD7">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649DCE90">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18BE1AB">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5F31EA8">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1AADE715">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2B4956C3">
            <w:pPr>
              <w:pStyle w:val="33"/>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5BAE3EC">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0C98A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CB45711">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740BF1CB">
            <w:pPr>
              <w:pStyle w:val="33"/>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CE5C74C">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14FA9A0">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61FD58F">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0573518">
            <w:pPr>
              <w:pStyle w:val="33"/>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07B6496">
            <w:pPr>
              <w:pStyle w:val="33"/>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624FAFC">
            <w:pPr>
              <w:pStyle w:val="33"/>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9908DBC">
            <w:pPr>
              <w:pStyle w:val="33"/>
              <w:jc w:val="center"/>
              <w:rPr>
                <w:rFonts w:ascii="Times New Roman" w:hAnsi="Times New Roman" w:cs="Times New Roman" w:eastAsiaTheme="minorEastAsia"/>
                <w:sz w:val="30"/>
                <w:lang w:eastAsia="zh-CN"/>
              </w:rPr>
            </w:pPr>
          </w:p>
        </w:tc>
      </w:tr>
      <w:tr w14:paraId="54D36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75C5A5B">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7C0BC974">
            <w:pPr>
              <w:pStyle w:val="33"/>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613E42B6">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2A5EBAC">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602E124">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4A753C4D">
            <w:pPr>
              <w:pStyle w:val="33"/>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FA09342">
            <w:pPr>
              <w:pStyle w:val="33"/>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7FA0A83">
            <w:pPr>
              <w:pStyle w:val="33"/>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C7A6847">
            <w:pPr>
              <w:pStyle w:val="33"/>
              <w:jc w:val="center"/>
              <w:rPr>
                <w:rFonts w:ascii="Times New Roman" w:hAnsi="Times New Roman" w:cs="Times New Roman" w:eastAsiaTheme="minorEastAsia"/>
                <w:sz w:val="30"/>
                <w:lang w:eastAsia="zh-CN"/>
              </w:rPr>
            </w:pPr>
          </w:p>
        </w:tc>
      </w:tr>
      <w:tr w14:paraId="65389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34667C7">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6D7C41F0">
            <w:pPr>
              <w:pStyle w:val="33"/>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F9BFE99">
            <w:pPr>
              <w:pStyle w:val="33"/>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2596B15B">
            <w:pPr>
              <w:pStyle w:val="33"/>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6D13B00F">
            <w:pPr>
              <w:pStyle w:val="33"/>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DDA95DC">
            <w:pPr>
              <w:pStyle w:val="33"/>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A05AC13">
            <w:pPr>
              <w:pStyle w:val="33"/>
              <w:jc w:val="center"/>
              <w:rPr>
                <w:rFonts w:ascii="Times New Roman" w:hAnsi="Times New Roman" w:cs="Times New Roman" w:eastAsiaTheme="minorEastAsia"/>
                <w:sz w:val="30"/>
              </w:rPr>
            </w:pPr>
          </w:p>
        </w:tc>
      </w:tr>
      <w:tr w14:paraId="5CF24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01599DC9">
            <w:pPr>
              <w:pStyle w:val="33"/>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15E4E96F">
            <w:pPr>
              <w:pStyle w:val="33"/>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6DA2CB1">
            <w:pPr>
              <w:pStyle w:val="33"/>
              <w:jc w:val="center"/>
              <w:rPr>
                <w:rFonts w:ascii="Times New Roman" w:hAnsi="Times New Roman" w:cs="Times New Roman" w:eastAsiaTheme="minorEastAsia"/>
                <w:sz w:val="30"/>
              </w:rPr>
            </w:pPr>
          </w:p>
        </w:tc>
      </w:tr>
    </w:tbl>
    <w:p w14:paraId="2C561D71">
      <w:pPr>
        <w:adjustRightInd w:val="0"/>
        <w:snapToGrid w:val="0"/>
        <w:spacing w:line="360" w:lineRule="auto"/>
        <w:jc w:val="left"/>
        <w:rPr>
          <w:rFonts w:eastAsiaTheme="minorEastAsia"/>
          <w:sz w:val="24"/>
        </w:rPr>
      </w:pPr>
    </w:p>
    <w:p w14:paraId="2E70767F">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C9CE797">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56332E20">
      <w:pPr>
        <w:adjustRightInd w:val="0"/>
        <w:snapToGrid w:val="0"/>
        <w:spacing w:line="360" w:lineRule="auto"/>
        <w:jc w:val="left"/>
        <w:rPr>
          <w:rFonts w:eastAsiaTheme="minorEastAsia"/>
          <w:sz w:val="24"/>
        </w:rPr>
      </w:pPr>
    </w:p>
    <w:p w14:paraId="37B85E40">
      <w:pPr>
        <w:adjustRightInd w:val="0"/>
        <w:snapToGrid w:val="0"/>
        <w:spacing w:line="360" w:lineRule="auto"/>
        <w:jc w:val="left"/>
        <w:rPr>
          <w:rFonts w:eastAsiaTheme="minorEastAsia"/>
          <w:sz w:val="24"/>
        </w:rPr>
      </w:pPr>
      <w:r>
        <w:rPr>
          <w:rFonts w:eastAsiaTheme="minorEastAsia"/>
          <w:sz w:val="24"/>
        </w:rPr>
        <w:t>注：</w:t>
      </w:r>
    </w:p>
    <w:p w14:paraId="52663945">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1631128C">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16DEB3AC">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676A4B39">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0475C156">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48A2A227">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25640C21">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0FE32FEE">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22579369">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4CC2E440">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63A9EBA0">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5FD8C336">
      <w:pPr>
        <w:spacing w:line="360" w:lineRule="auto"/>
        <w:ind w:firstLine="471"/>
        <w:rPr>
          <w:rFonts w:eastAsiaTheme="minorEastAsia"/>
          <w:b/>
          <w:color w:val="000000"/>
          <w:sz w:val="24"/>
        </w:rPr>
      </w:pPr>
    </w:p>
    <w:p w14:paraId="27E15BF3">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6EC4389E">
      <w:pPr>
        <w:spacing w:line="360" w:lineRule="auto"/>
        <w:ind w:left="480"/>
        <w:jc w:val="right"/>
        <w:rPr>
          <w:rFonts w:eastAsiaTheme="minorEastAsia"/>
          <w:color w:val="000000"/>
          <w:sz w:val="24"/>
        </w:rPr>
      </w:pPr>
    </w:p>
    <w:p w14:paraId="11CF6337">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70E4162E">
      <w:pPr>
        <w:tabs>
          <w:tab w:val="left" w:pos="8280"/>
        </w:tabs>
        <w:spacing w:line="360" w:lineRule="auto"/>
        <w:ind w:firstLine="480"/>
        <w:rPr>
          <w:rFonts w:eastAsiaTheme="minorEastAsia"/>
          <w:color w:val="000000"/>
          <w:sz w:val="24"/>
        </w:rPr>
      </w:pPr>
    </w:p>
    <w:p w14:paraId="7D81EBF5">
      <w:pPr>
        <w:tabs>
          <w:tab w:val="left" w:pos="8280"/>
        </w:tabs>
        <w:spacing w:line="360" w:lineRule="auto"/>
        <w:rPr>
          <w:rFonts w:eastAsiaTheme="minorEastAsia"/>
          <w:color w:val="000000"/>
          <w:sz w:val="24"/>
        </w:rPr>
      </w:pPr>
      <w:r>
        <w:rPr>
          <w:rFonts w:eastAsiaTheme="minorEastAsia"/>
          <w:color w:val="000000"/>
          <w:sz w:val="24"/>
        </w:rPr>
        <w:t>注：</w:t>
      </w:r>
    </w:p>
    <w:p w14:paraId="1C3FB511">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4C07D41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5242515E">
      <w:pPr>
        <w:rPr>
          <w:rFonts w:eastAsiaTheme="minorEastAsia"/>
          <w:color w:val="000000"/>
          <w:sz w:val="24"/>
        </w:rPr>
      </w:pPr>
      <w:r>
        <w:rPr>
          <w:rFonts w:eastAsiaTheme="minorEastAsia"/>
          <w:color w:val="000000"/>
          <w:sz w:val="24"/>
        </w:rPr>
        <w:br w:type="page"/>
      </w:r>
    </w:p>
    <w:p w14:paraId="5A5B2F7A">
      <w:pPr>
        <w:tabs>
          <w:tab w:val="left" w:pos="360"/>
        </w:tabs>
        <w:snapToGrid w:val="0"/>
        <w:spacing w:line="360" w:lineRule="auto"/>
        <w:outlineLvl w:val="1"/>
        <w:rPr>
          <w:rFonts w:eastAsiaTheme="minorEastAsia"/>
          <w:sz w:val="24"/>
        </w:rPr>
      </w:pPr>
      <w:r>
        <w:rPr>
          <w:rFonts w:eastAsiaTheme="minorEastAsia"/>
          <w:sz w:val="24"/>
        </w:rPr>
        <w:t>3 本项目的特定资格要求</w:t>
      </w:r>
    </w:p>
    <w:p w14:paraId="1EDEB197">
      <w:pPr>
        <w:spacing w:line="360" w:lineRule="auto"/>
        <w:outlineLvl w:val="2"/>
        <w:rPr>
          <w:rFonts w:eastAsiaTheme="minorEastAsia"/>
          <w:color w:val="000000"/>
          <w:sz w:val="24"/>
          <w:szCs w:val="20"/>
        </w:rPr>
      </w:pPr>
      <w:r>
        <w:rPr>
          <w:rFonts w:eastAsiaTheme="minorEastAsia"/>
          <w:color w:val="000000"/>
          <w:sz w:val="24"/>
          <w:szCs w:val="20"/>
        </w:rPr>
        <w:t>3-1 联合协议（</w:t>
      </w:r>
      <w:r>
        <w:rPr>
          <w:rFonts w:hint="eastAsia" w:eastAsiaTheme="minorEastAsia"/>
          <w:color w:val="000000"/>
          <w:sz w:val="24"/>
          <w:szCs w:val="20"/>
          <w:lang w:val="en-US" w:eastAsia="zh-CN"/>
        </w:rPr>
        <w:t>本项目不适用</w:t>
      </w:r>
      <w:r>
        <w:rPr>
          <w:rFonts w:eastAsiaTheme="minorEastAsia"/>
          <w:color w:val="000000"/>
          <w:sz w:val="24"/>
          <w:szCs w:val="20"/>
        </w:rPr>
        <w:t>）</w:t>
      </w:r>
    </w:p>
    <w:p w14:paraId="0B112E0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69D7E349">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524641C0">
      <w:pPr>
        <w:numPr>
          <w:ilvl w:val="0"/>
          <w:numId w:val="3"/>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2516D807">
      <w:pPr>
        <w:numPr>
          <w:ilvl w:val="0"/>
          <w:numId w:val="3"/>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65AF0DAB">
      <w:pPr>
        <w:numPr>
          <w:ilvl w:val="0"/>
          <w:numId w:val="3"/>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6B12DFA4">
      <w:pPr>
        <w:numPr>
          <w:ilvl w:val="0"/>
          <w:numId w:val="3"/>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1AD05972">
      <w:pPr>
        <w:numPr>
          <w:ilvl w:val="0"/>
          <w:numId w:val="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1B4FE3BF">
      <w:pPr>
        <w:numPr>
          <w:ilvl w:val="0"/>
          <w:numId w:val="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677BC292">
      <w:pPr>
        <w:numPr>
          <w:ilvl w:val="0"/>
          <w:numId w:val="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44991B85">
      <w:pPr>
        <w:numPr>
          <w:ilvl w:val="0"/>
          <w:numId w:val="3"/>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70382384">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2B1BEAA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129F25BF">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46D17F4B">
      <w:pPr>
        <w:numPr>
          <w:ilvl w:val="0"/>
          <w:numId w:val="3"/>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20CFCEDC">
      <w:pPr>
        <w:numPr>
          <w:ilvl w:val="0"/>
          <w:numId w:val="3"/>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6C9A7FA5">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1CF5CE2B">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7C91B58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A94BB67">
      <w:pPr>
        <w:spacing w:line="360" w:lineRule="auto"/>
        <w:ind w:firstLine="471"/>
        <w:rPr>
          <w:color w:val="000000"/>
          <w:sz w:val="24"/>
        </w:rPr>
      </w:pPr>
    </w:p>
    <w:p w14:paraId="255D5BA7">
      <w:pPr>
        <w:spacing w:line="360" w:lineRule="auto"/>
        <w:ind w:firstLine="471"/>
        <w:rPr>
          <w:color w:val="000000"/>
          <w:sz w:val="24"/>
        </w:rPr>
      </w:pPr>
    </w:p>
    <w:p w14:paraId="5048F2DB">
      <w:pPr>
        <w:spacing w:line="360" w:lineRule="auto"/>
        <w:ind w:firstLine="471"/>
        <w:rPr>
          <w:color w:val="000000"/>
          <w:sz w:val="24"/>
        </w:rPr>
      </w:pPr>
      <w:r>
        <w:rPr>
          <w:color w:val="000000"/>
          <w:sz w:val="24"/>
        </w:rPr>
        <w:t>联合体成员名称：</w:t>
      </w:r>
      <w:r>
        <w:rPr>
          <w:color w:val="000000"/>
          <w:sz w:val="24"/>
          <w:szCs w:val="20"/>
        </w:rPr>
        <w:t>______</w:t>
      </w:r>
    </w:p>
    <w:p w14:paraId="069B23B9">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70A0E297">
      <w:pPr>
        <w:spacing w:line="360" w:lineRule="auto"/>
        <w:ind w:left="480"/>
        <w:jc w:val="right"/>
        <w:rPr>
          <w:rFonts w:eastAsiaTheme="minorEastAsia"/>
          <w:color w:val="000000"/>
          <w:sz w:val="24"/>
        </w:rPr>
      </w:pPr>
    </w:p>
    <w:p w14:paraId="27F16BC0">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7E54AE8F">
      <w:pPr>
        <w:spacing w:line="360" w:lineRule="auto"/>
        <w:ind w:left="480"/>
        <w:jc w:val="right"/>
        <w:rPr>
          <w:rFonts w:eastAsiaTheme="minorEastAsia"/>
          <w:b/>
          <w:color w:val="000000"/>
          <w:sz w:val="24"/>
        </w:rPr>
      </w:pPr>
    </w:p>
    <w:p w14:paraId="6E7B624F">
      <w:pPr>
        <w:tabs>
          <w:tab w:val="left" w:pos="8280"/>
        </w:tabs>
        <w:spacing w:line="360" w:lineRule="auto"/>
        <w:ind w:firstLine="480"/>
        <w:rPr>
          <w:rFonts w:eastAsiaTheme="minorEastAsia"/>
          <w:color w:val="000000"/>
          <w:sz w:val="24"/>
        </w:rPr>
      </w:pPr>
    </w:p>
    <w:p w14:paraId="6EFC5B1B">
      <w:pPr>
        <w:tabs>
          <w:tab w:val="left" w:pos="8280"/>
        </w:tabs>
        <w:spacing w:line="360" w:lineRule="auto"/>
        <w:ind w:firstLine="480"/>
        <w:rPr>
          <w:rFonts w:eastAsiaTheme="minorEastAsia"/>
          <w:color w:val="000000"/>
          <w:sz w:val="24"/>
        </w:rPr>
      </w:pPr>
    </w:p>
    <w:p w14:paraId="429677A6">
      <w:pPr>
        <w:spacing w:line="360" w:lineRule="auto"/>
        <w:ind w:left="719" w:leftChars="228" w:hanging="240" w:hangingChars="100"/>
        <w:rPr>
          <w:rFonts w:eastAsiaTheme="minorEastAsia"/>
          <w:color w:val="000000"/>
          <w:sz w:val="24"/>
        </w:rPr>
      </w:pPr>
      <w:r>
        <w:rPr>
          <w:rFonts w:eastAsiaTheme="minorEastAsia"/>
          <w:color w:val="000000"/>
          <w:sz w:val="24"/>
        </w:rPr>
        <w:t>注：</w:t>
      </w:r>
    </w:p>
    <w:p w14:paraId="299B9F20">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7026E874">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4A86198D">
      <w:pPr>
        <w:widowControl/>
        <w:jc w:val="left"/>
        <w:rPr>
          <w:rFonts w:eastAsiaTheme="minorEastAsia"/>
          <w:sz w:val="24"/>
        </w:rPr>
      </w:pPr>
      <w:r>
        <w:rPr>
          <w:rFonts w:eastAsiaTheme="minorEastAsia"/>
          <w:sz w:val="24"/>
        </w:rPr>
        <w:br w:type="page"/>
      </w:r>
    </w:p>
    <w:p w14:paraId="4995C31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3-</w:t>
      </w:r>
      <w:r>
        <w:rPr>
          <w:rFonts w:hint="eastAsia" w:asciiTheme="minorEastAsia" w:hAnsiTheme="minorEastAsia" w:eastAsiaTheme="minorEastAsia" w:cstheme="minorEastAsia"/>
          <w:b w:val="0"/>
          <w:bCs w:val="0"/>
          <w:snapToGrid/>
          <w:spacing w:val="0"/>
          <w:kern w:val="21"/>
          <w:sz w:val="24"/>
          <w:szCs w:val="24"/>
          <w:highlight w:val="none"/>
          <w:lang w:val="en-US" w:eastAsia="zh-CN"/>
        </w:rPr>
        <w:t>2</w:t>
      </w:r>
      <w:r>
        <w:rPr>
          <w:rFonts w:hint="eastAsia" w:asciiTheme="minorEastAsia" w:hAnsiTheme="minorEastAsia" w:eastAsiaTheme="minorEastAsia" w:cstheme="minorEastAsia"/>
          <w:b w:val="0"/>
          <w:bCs w:val="0"/>
          <w:snapToGrid/>
          <w:spacing w:val="0"/>
          <w:kern w:val="21"/>
          <w:sz w:val="24"/>
          <w:szCs w:val="24"/>
          <w:highlight w:val="none"/>
        </w:rPr>
        <w:t>其他特定资格要求</w:t>
      </w:r>
    </w:p>
    <w:p w14:paraId="6E45FA7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w:t>
      </w:r>
    </w:p>
    <w:p w14:paraId="10CC9E00">
      <w:pPr>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br w:type="page"/>
      </w:r>
    </w:p>
    <w:p w14:paraId="0FFF0FC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4</w:t>
      </w:r>
      <w:bookmarkEnd w:id="710"/>
      <w:bookmarkEnd w:id="711"/>
      <w:r>
        <w:rPr>
          <w:rFonts w:hint="eastAsia" w:asciiTheme="minorEastAsia" w:hAnsiTheme="minorEastAsia" w:eastAsiaTheme="minorEastAsia" w:cstheme="minorEastAsia"/>
          <w:b w:val="0"/>
          <w:bCs w:val="0"/>
          <w:snapToGrid/>
          <w:spacing w:val="0"/>
          <w:kern w:val="21"/>
          <w:sz w:val="24"/>
          <w:szCs w:val="24"/>
          <w:highlight w:val="none"/>
        </w:rPr>
        <w:t>响应书</w:t>
      </w:r>
      <w:bookmarkEnd w:id="712"/>
      <w:bookmarkEnd w:id="713"/>
      <w:bookmarkEnd w:id="714"/>
      <w:bookmarkEnd w:id="715"/>
      <w:bookmarkEnd w:id="716"/>
      <w:bookmarkEnd w:id="717"/>
      <w:bookmarkEnd w:id="718"/>
      <w:bookmarkEnd w:id="719"/>
      <w:bookmarkEnd w:id="720"/>
      <w:bookmarkEnd w:id="721"/>
      <w:r>
        <w:rPr>
          <w:rFonts w:hint="eastAsia" w:asciiTheme="minorEastAsia" w:hAnsiTheme="minorEastAsia" w:eastAsiaTheme="minorEastAsia" w:cstheme="minorEastAsia"/>
          <w:b w:val="0"/>
          <w:bCs w:val="0"/>
          <w:snapToGrid/>
          <w:spacing w:val="0"/>
          <w:kern w:val="21"/>
          <w:sz w:val="24"/>
          <w:szCs w:val="24"/>
          <w:highlight w:val="none"/>
        </w:rPr>
        <w:t>（实质性格式）</w:t>
      </w:r>
    </w:p>
    <w:p w14:paraId="14109E6D">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响应书</w:t>
      </w:r>
    </w:p>
    <w:p w14:paraId="717E9C7F">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4"/>
          <w:szCs w:val="24"/>
        </w:rPr>
      </w:pPr>
    </w:p>
    <w:p w14:paraId="4D8F01EE">
      <w:pPr>
        <w:keepNext w:val="0"/>
        <w:keepLines w:val="0"/>
        <w:pageBreakBefore w:val="0"/>
        <w:widowControl w:val="0"/>
        <w:tabs>
          <w:tab w:val="left" w:pos="5580"/>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致：</w:t>
      </w:r>
      <w:r>
        <w:rPr>
          <w:rFonts w:hint="eastAsia" w:asciiTheme="minorEastAsia" w:hAnsiTheme="minorEastAsia" w:eastAsiaTheme="minorEastAsia" w:cstheme="minorEastAsia"/>
          <w:b w:val="0"/>
          <w:bCs w:val="0"/>
          <w:snapToGrid/>
          <w:color w:val="000000"/>
          <w:spacing w:val="0"/>
          <w:kern w:val="21"/>
          <w:sz w:val="24"/>
          <w:szCs w:val="24"/>
          <w:highlight w:val="none"/>
          <w:u w:val="single"/>
        </w:rPr>
        <w:t>采购人</w:t>
      </w:r>
    </w:p>
    <w:p w14:paraId="68434A23">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我方参加你方就</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（项目名称，项目编号）组织的采购活动，并对此项目进行磋商。</w:t>
      </w:r>
    </w:p>
    <w:p w14:paraId="4DC73B2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1.我方已详细审查全部竞争性磋商文件，自愿参与磋商并承诺如下：</w:t>
      </w:r>
    </w:p>
    <w:p w14:paraId="69FBA4B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（1）本响应有效期为自提交响应文件的截止之日起</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个日历日。</w:t>
      </w:r>
    </w:p>
    <w:p w14:paraId="43C67E4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（2）除合同条款及采购需求偏离表列出的偏离外，我方响应竞争性磋商文件的全部要求。</w:t>
      </w:r>
    </w:p>
    <w:p w14:paraId="0CA0038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（3）我方已提供的全部文件资料是真实、准确的，并对此承担一切法律后果。</w:t>
      </w:r>
    </w:p>
    <w:p w14:paraId="3349D675">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（4）如我方成交，我方将在法律规定的期限内与你方签订合同，按照竞争性磋商文件要求提交履约保证金，并在合同约定的期限内完成合同规定的全部义务。</w:t>
      </w:r>
    </w:p>
    <w:p w14:paraId="53AC5D22">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firstLine="480" w:firstLineChars="20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2.其他补充条款（如有）：</w:t>
      </w:r>
      <w:r>
        <w:rPr>
          <w:rFonts w:hint="eastAsia" w:asciiTheme="minorEastAsia" w:hAnsiTheme="minorEastAsia" w:eastAsiaTheme="minorEastAsia" w:cstheme="minorEastAsia"/>
          <w:b w:val="0"/>
          <w:bCs w:val="0"/>
          <w:snapToGrid/>
          <w:spacing w:val="0"/>
          <w:w w:val="100"/>
          <w:kern w:val="21"/>
          <w:sz w:val="24"/>
          <w:szCs w:val="24"/>
          <w:highlight w:val="none"/>
          <w:u w:val="single"/>
          <w:shd w:val="clear" w:color="auto" w:fill="FFFFFF"/>
          <w:lang w:val="en-US" w:eastAsia="zh-CN" w:bidi="ar-SA"/>
        </w:rPr>
        <w:t xml:space="preserve">         </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w:t>
      </w:r>
    </w:p>
    <w:p w14:paraId="7C0B9E31">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与本磋商有关的一切正式往来信函请寄：</w:t>
      </w:r>
    </w:p>
    <w:p w14:paraId="533D76C3">
      <w:pPr>
        <w:keepNext w:val="0"/>
        <w:keepLines w:val="0"/>
        <w:pageBreakBefore w:val="0"/>
        <w:widowControl w:val="0"/>
        <w:tabs>
          <w:tab w:val="left" w:pos="5580"/>
        </w:tabs>
        <w:kinsoku/>
        <w:wordWrap w:val="0"/>
        <w:overflowPunct/>
        <w:topLinePunct/>
        <w:autoSpaceDE/>
        <w:autoSpaceDN/>
        <w:bidi w:val="0"/>
        <w:spacing w:line="360" w:lineRule="auto"/>
        <w:ind w:left="420"/>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73AB8F0E">
      <w:pPr>
        <w:keepNext w:val="0"/>
        <w:keepLines w:val="0"/>
        <w:pageBreakBefore w:val="0"/>
        <w:widowControl w:val="0"/>
        <w:tabs>
          <w:tab w:val="left" w:pos="5580"/>
        </w:tabs>
        <w:kinsoku/>
        <w:wordWrap w:val="0"/>
        <w:overflowPunct/>
        <w:topLinePunct/>
        <w:autoSpaceDE/>
        <w:autoSpaceDN/>
        <w:bidi w:val="0"/>
        <w:spacing w:line="360" w:lineRule="auto"/>
        <w:ind w:left="420"/>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地址</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传   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28B5949A">
      <w:pPr>
        <w:keepNext w:val="0"/>
        <w:keepLines w:val="0"/>
        <w:pageBreakBefore w:val="0"/>
        <w:widowControl w:val="0"/>
        <w:tabs>
          <w:tab w:val="left" w:pos="5580"/>
        </w:tabs>
        <w:kinsoku/>
        <w:wordWrap w:val="0"/>
        <w:overflowPunct/>
        <w:topLinePunct/>
        <w:autoSpaceDE/>
        <w:autoSpaceDN/>
        <w:bidi w:val="0"/>
        <w:spacing w:line="360" w:lineRule="auto"/>
        <w:ind w:left="420"/>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rPr>
      </w:pPr>
      <w:r>
        <w:rPr>
          <w:rFonts w:hint="eastAsia" w:asciiTheme="minorEastAsia" w:hAnsiTheme="minorEastAsia" w:eastAsiaTheme="minorEastAsia" w:cstheme="minorEastAsia"/>
          <w:b w:val="0"/>
          <w:bCs w:val="0"/>
          <w:snapToGrid/>
          <w:color w:val="000000"/>
          <w:spacing w:val="0"/>
          <w:kern w:val="21"/>
          <w:sz w:val="24"/>
          <w:szCs w:val="24"/>
          <w:highlight w:val="none"/>
        </w:rPr>
        <w:t>电话</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电子函件</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23A9B4F2">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3A24F475">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3F0CEEAD">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29A67B4E">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firstLine="480" w:firstLineChars="200"/>
        <w:jc w:val="both"/>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3C5E1293">
      <w:pPr>
        <w:keepNext w:val="0"/>
        <w:keepLines w:val="0"/>
        <w:pageBreakBefore w:val="0"/>
        <w:widowControl w:val="0"/>
        <w:kinsoku/>
        <w:wordWrap w:val="0"/>
        <w:overflowPunct/>
        <w:topLinePunct/>
        <w:autoSpaceDE/>
        <w:autoSpaceDN/>
        <w:bidi w:val="0"/>
        <w:spacing w:line="360" w:lineRule="auto"/>
        <w:ind w:right="360" w:firstLine="480" w:firstLineChars="200"/>
        <w:jc w:val="both"/>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2C4EE970">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2D2208AF">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bookmarkStart w:id="722" w:name="_Hlt520355938"/>
      <w:bookmarkEnd w:id="722"/>
      <w:bookmarkStart w:id="723" w:name="_Hlt520356243"/>
      <w:bookmarkEnd w:id="723"/>
      <w:bookmarkStart w:id="724" w:name="_Ref467988705"/>
      <w:bookmarkStart w:id="725" w:name="_Toc480942350"/>
      <w:bookmarkStart w:id="726" w:name="_Toc150480795"/>
      <w:bookmarkStart w:id="727" w:name="_Toc305158825"/>
      <w:bookmarkStart w:id="728" w:name="_Toc127151557"/>
      <w:bookmarkStart w:id="729" w:name="_Toc226965830"/>
      <w:bookmarkStart w:id="730" w:name="_Toc264969247"/>
      <w:bookmarkStart w:id="731" w:name="_Toc305158899"/>
      <w:bookmarkStart w:id="732" w:name="_Toc226309801"/>
      <w:bookmarkStart w:id="733" w:name="_Toc195842922"/>
      <w:bookmarkStart w:id="734" w:name="_Toc265228395"/>
      <w:bookmarkStart w:id="735" w:name="_Toc226965747"/>
      <w:bookmarkStart w:id="736" w:name="_Toc150774762"/>
      <w:bookmarkStart w:id="737" w:name="_Toc520356218"/>
      <w:bookmarkStart w:id="738" w:name="_Toc142311059"/>
      <w:bookmarkStart w:id="739" w:name="_Toc226337253"/>
      <w:r>
        <w:rPr>
          <w:rFonts w:hint="eastAsia" w:asciiTheme="minorEastAsia" w:hAnsiTheme="minorEastAsia" w:eastAsiaTheme="minorEastAsia" w:cstheme="minorEastAsia"/>
          <w:b w:val="0"/>
          <w:bCs w:val="0"/>
          <w:snapToGrid/>
          <w:color w:val="000000"/>
          <w:spacing w:val="0"/>
          <w:kern w:val="21"/>
          <w:sz w:val="24"/>
          <w:szCs w:val="24"/>
          <w:highlight w:val="none"/>
        </w:rPr>
        <w:t>5</w:t>
      </w:r>
      <w:r>
        <w:rPr>
          <w:rFonts w:hint="eastAsia" w:asciiTheme="minorEastAsia" w:hAnsiTheme="minorEastAsia" w:eastAsiaTheme="minorEastAsia" w:cstheme="minorEastAsia"/>
          <w:b w:val="0"/>
          <w:bCs w:val="0"/>
          <w:snapToGrid/>
          <w:spacing w:val="0"/>
          <w:kern w:val="21"/>
          <w:sz w:val="24"/>
          <w:szCs w:val="24"/>
          <w:highlight w:val="none"/>
        </w:rPr>
        <w:t>授权委托书（实质性格式）</w:t>
      </w:r>
    </w:p>
    <w:p w14:paraId="036E5640">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授权委托书</w:t>
      </w:r>
    </w:p>
    <w:p w14:paraId="4FEDC271">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4"/>
          <w:szCs w:val="24"/>
        </w:rPr>
      </w:pPr>
    </w:p>
    <w:p w14:paraId="22E3A1C8">
      <w:pPr>
        <w:keepNext w:val="0"/>
        <w:keepLines w:val="0"/>
        <w:pageBreakBefore w:val="0"/>
        <w:widowControl w:val="0"/>
        <w:kinsoku/>
        <w:wordWrap w:val="0"/>
        <w:overflowPunct/>
        <w:topLinePunct/>
        <w:autoSpaceDE/>
        <w:autoSpaceDN/>
        <w:bidi w:val="0"/>
        <w:spacing w:line="360" w:lineRule="auto"/>
        <w:ind w:firstLine="420"/>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本人</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（姓名）系</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（供应商名称）的法定代表人（单位负责人），现委托</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（姓名）为我方代理人。代理人根据授权，以我方名义签署、澄清确认、递交、撤回、修改</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（项目名称，项目编号）响应文件和处理有关事宜，其法律后果由我方承担。</w:t>
      </w:r>
    </w:p>
    <w:p w14:paraId="2F476F4B">
      <w:pPr>
        <w:keepNext w:val="0"/>
        <w:keepLines w:val="0"/>
        <w:pageBreakBefore w:val="0"/>
        <w:widowControl w:val="0"/>
        <w:kinsoku/>
        <w:wordWrap w:val="0"/>
        <w:overflowPunct/>
        <w:topLinePunct/>
        <w:autoSpaceDE/>
        <w:autoSpaceDN/>
        <w:bidi w:val="0"/>
        <w:spacing w:line="360" w:lineRule="auto"/>
        <w:ind w:firstLine="420"/>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委托期限：自本授权委托书签署之日起至响应有效期届满之日止。</w:t>
      </w:r>
    </w:p>
    <w:p w14:paraId="73A65579">
      <w:pPr>
        <w:keepNext w:val="0"/>
        <w:keepLines w:val="0"/>
        <w:pageBreakBefore w:val="0"/>
        <w:widowControl w:val="0"/>
        <w:kinsoku/>
        <w:wordWrap w:val="0"/>
        <w:overflowPunct/>
        <w:topLinePunct/>
        <w:autoSpaceDE/>
        <w:autoSpaceDN/>
        <w:bidi w:val="0"/>
        <w:spacing w:line="360" w:lineRule="auto"/>
        <w:ind w:firstLine="420"/>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代理人无转委托权。</w:t>
      </w:r>
      <w:r>
        <w:rPr>
          <w:rFonts w:hint="eastAsia" w:asciiTheme="minorEastAsia" w:hAnsiTheme="minorEastAsia" w:eastAsiaTheme="minorEastAsia" w:cstheme="minorEastAsia"/>
          <w:b w:val="0"/>
          <w:bCs w:val="0"/>
          <w:snapToGrid/>
          <w:color w:val="000000"/>
          <w:spacing w:val="0"/>
          <w:kern w:val="21"/>
          <w:sz w:val="24"/>
          <w:szCs w:val="24"/>
          <w:highlight w:val="none"/>
        </w:rPr>
        <w:cr/>
      </w:r>
    </w:p>
    <w:p w14:paraId="4C890CC5">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lang w:val="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34D91C5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法定代表人（单位负责人）（签字或签章）：</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4D530B88">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lang w:val="zh-CN"/>
        </w:rPr>
      </w:pPr>
      <w:r>
        <w:rPr>
          <w:rFonts w:hint="eastAsia" w:asciiTheme="minorEastAsia" w:hAnsiTheme="minorEastAsia" w:eastAsiaTheme="minorEastAsia" w:cstheme="minorEastAsia"/>
          <w:b w:val="0"/>
          <w:bCs w:val="0"/>
          <w:snapToGrid/>
          <w:color w:val="000000"/>
          <w:spacing w:val="0"/>
          <w:kern w:val="21"/>
          <w:sz w:val="24"/>
          <w:szCs w:val="24"/>
          <w:highlight w:val="none"/>
        </w:rPr>
        <w:t>委托代理人（</w:t>
      </w:r>
      <w:r>
        <w:rPr>
          <w:rFonts w:hint="eastAsia" w:asciiTheme="minorEastAsia" w:hAnsiTheme="minorEastAsia" w:eastAsiaTheme="minorEastAsia" w:cstheme="minorEastAsia"/>
          <w:b w:val="0"/>
          <w:bCs w:val="0"/>
          <w:snapToGrid/>
          <w:spacing w:val="0"/>
          <w:kern w:val="21"/>
          <w:sz w:val="24"/>
          <w:szCs w:val="24"/>
          <w:highlight w:val="none"/>
        </w:rPr>
        <w:t>签字或签章</w:t>
      </w:r>
      <w:r>
        <w:rPr>
          <w:rFonts w:hint="eastAsia" w:asciiTheme="minorEastAsia" w:hAnsiTheme="minorEastAsia" w:eastAsiaTheme="minorEastAsia" w:cstheme="minorEastAsia"/>
          <w:b w:val="0"/>
          <w:bCs w:val="0"/>
          <w:snapToGrid/>
          <w:color w:val="000000"/>
          <w:spacing w:val="0"/>
          <w:kern w:val="21"/>
          <w:sz w:val="24"/>
          <w:szCs w:val="24"/>
          <w:highlight w:val="none"/>
        </w:rPr>
        <w:t>）：</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1022F7C9">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lang w:val="zh-CN"/>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1221C9D8">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p>
    <w:p w14:paraId="01C188F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附：法定代表人（单位负责人）及委托代理人身份证明文件电子件：</w:t>
      </w:r>
    </w:p>
    <w:p w14:paraId="401D8FFF">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p>
    <w:p w14:paraId="3170BB6D">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p>
    <w:p w14:paraId="52A4E87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p>
    <w:p w14:paraId="17A53B9A">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p>
    <w:p w14:paraId="321CF0B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说明：</w:t>
      </w:r>
    </w:p>
    <w:p w14:paraId="36FE7D97">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1.若供应商为事业单位或其他组织或分支机构，则法定代表人（单位负责人）处的签署人可为单位负责人。</w:t>
      </w:r>
    </w:p>
    <w:p w14:paraId="41E8A43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若响应文件中签字之处均为法定代表人（单位负责人）本人签署，则可不提供本《授权委托书》，但须提供《法定代表人（单位负责人）身份证明》；否则，不需要提供《法定代表人（单位负责人）身份证明》。</w:t>
      </w:r>
    </w:p>
    <w:p w14:paraId="434194F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供应商为自然人的情形，可不提供本《授权委托书》。</w:t>
      </w:r>
    </w:p>
    <w:p w14:paraId="0AC837D9">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4.供应商应随本《授权委托书》同时提供法定代表人（单位负责人）及委托代理人的有效的身份证或护照等身份证明文件电子件。提供身份证的，应同时提供身份证双面电子件。</w:t>
      </w: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7A988121">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法定代表人（单位负责人）身份证明</w:t>
      </w:r>
    </w:p>
    <w:p w14:paraId="5D7F00C9">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0705E182">
      <w:pPr>
        <w:keepNext w:val="0"/>
        <w:keepLines w:val="0"/>
        <w:pageBreakBefore w:val="0"/>
        <w:widowControl w:val="0"/>
        <w:tabs>
          <w:tab w:val="left" w:pos="5580"/>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致：</w:t>
      </w:r>
      <w:r>
        <w:rPr>
          <w:rFonts w:hint="eastAsia" w:asciiTheme="minorEastAsia" w:hAnsiTheme="minorEastAsia" w:eastAsiaTheme="minorEastAsia" w:cstheme="minorEastAsia"/>
          <w:b w:val="0"/>
          <w:bCs w:val="0"/>
          <w:snapToGrid/>
          <w:color w:val="000000"/>
          <w:spacing w:val="0"/>
          <w:kern w:val="21"/>
          <w:sz w:val="24"/>
          <w:szCs w:val="24"/>
          <w:highlight w:val="none"/>
          <w:u w:val="single"/>
        </w:rPr>
        <w:t>采购人</w:t>
      </w:r>
    </w:p>
    <w:p w14:paraId="0A5659CD">
      <w:pPr>
        <w:pStyle w:val="9"/>
        <w:keepNext w:val="0"/>
        <w:keepLines w:val="0"/>
        <w:pageBreakBefore w:val="0"/>
        <w:widowControl w:val="0"/>
        <w:tabs>
          <w:tab w:val="left" w:pos="2412"/>
          <w:tab w:val="left" w:pos="3883"/>
          <w:tab w:val="left" w:pos="5352"/>
          <w:tab w:val="left" w:pos="6821"/>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兹证明，</w:t>
      </w:r>
    </w:p>
    <w:p w14:paraId="4D0B0F39">
      <w:pPr>
        <w:pStyle w:val="9"/>
        <w:keepNext w:val="0"/>
        <w:keepLines w:val="0"/>
        <w:pageBreakBefore w:val="0"/>
        <w:widowControl w:val="0"/>
        <w:tabs>
          <w:tab w:val="left" w:pos="1690"/>
          <w:tab w:val="left" w:pos="3400"/>
          <w:tab w:val="left" w:pos="5110"/>
          <w:tab w:val="left" w:pos="6821"/>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姓名：</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性别：</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年龄：</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职务：</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32457076">
      <w:pPr>
        <w:pStyle w:val="9"/>
        <w:keepNext w:val="0"/>
        <w:keepLines w:val="0"/>
        <w:pageBreakBefore w:val="0"/>
        <w:widowControl w:val="0"/>
        <w:tabs>
          <w:tab w:val="left" w:pos="2412"/>
          <w:tab w:val="left" w:pos="3883"/>
          <w:tab w:val="left" w:pos="5352"/>
          <w:tab w:val="left" w:pos="6821"/>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438A8998">
      <w:pPr>
        <w:pStyle w:val="9"/>
        <w:keepNext w:val="0"/>
        <w:keepLines w:val="0"/>
        <w:pageBreakBefore w:val="0"/>
        <w:widowControl w:val="0"/>
        <w:tabs>
          <w:tab w:val="left" w:pos="2250"/>
          <w:tab w:val="left" w:pos="2412"/>
          <w:tab w:val="left" w:pos="3883"/>
          <w:tab w:val="left" w:pos="5352"/>
          <w:tab w:val="left" w:pos="6821"/>
          <w:tab w:val="clear" w:pos="567"/>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系</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rPr>
        <w:t>（供应商名称）的法定代表人（单位负责人）。</w:t>
      </w:r>
    </w:p>
    <w:p w14:paraId="2F364C1B">
      <w:pPr>
        <w:pStyle w:val="9"/>
        <w:keepNext w:val="0"/>
        <w:keepLines w:val="0"/>
        <w:pageBreakBefore w:val="0"/>
        <w:widowControl w:val="0"/>
        <w:tabs>
          <w:tab w:val="left" w:pos="2412"/>
          <w:tab w:val="left" w:pos="3883"/>
          <w:tab w:val="left" w:pos="5352"/>
          <w:tab w:val="left" w:pos="6821"/>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0C400075">
      <w:pPr>
        <w:pStyle w:val="9"/>
        <w:keepNext w:val="0"/>
        <w:keepLines w:val="0"/>
        <w:pageBreakBefore w:val="0"/>
        <w:widowControl w:val="0"/>
        <w:tabs>
          <w:tab w:val="left" w:pos="2412"/>
          <w:tab w:val="left" w:pos="3883"/>
          <w:tab w:val="left" w:pos="5352"/>
          <w:tab w:val="left" w:pos="6821"/>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p>
    <w:p w14:paraId="06D61E16">
      <w:pPr>
        <w:pStyle w:val="9"/>
        <w:keepNext w:val="0"/>
        <w:keepLines w:val="0"/>
        <w:pageBreakBefore w:val="0"/>
        <w:widowControl w:val="0"/>
        <w:kinsoku/>
        <w:wordWrap w:val="0"/>
        <w:overflowPunct/>
        <w:topLinePunct/>
        <w:autoSpaceDE/>
        <w:autoSpaceDN/>
        <w:bidi w:val="0"/>
        <w:spacing w:line="360" w:lineRule="auto"/>
        <w:ind w:right="-46"/>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附：法定代表人（单位负责人）身份证等身份证明文件电子件：</w:t>
      </w:r>
    </w:p>
    <w:p w14:paraId="34E2AD11">
      <w:pPr>
        <w:pStyle w:val="9"/>
        <w:keepNext w:val="0"/>
        <w:keepLines w:val="0"/>
        <w:pageBreakBefore w:val="0"/>
        <w:widowControl w:val="0"/>
        <w:kinsoku/>
        <w:wordWrap w:val="0"/>
        <w:overflowPunct/>
        <w:topLinePunct/>
        <w:autoSpaceDE/>
        <w:autoSpaceDN/>
        <w:bidi w:val="0"/>
        <w:spacing w:line="360" w:lineRule="auto"/>
        <w:ind w:right="4305"/>
        <w:outlineLvl w:val="9"/>
        <w:rPr>
          <w:rFonts w:hint="eastAsia" w:asciiTheme="minorEastAsia" w:hAnsiTheme="minorEastAsia" w:eastAsiaTheme="minorEastAsia" w:cstheme="minorEastAsia"/>
          <w:b w:val="0"/>
          <w:bCs w:val="0"/>
          <w:snapToGrid/>
          <w:spacing w:val="0"/>
          <w:kern w:val="21"/>
          <w:sz w:val="24"/>
          <w:szCs w:val="24"/>
          <w:highlight w:val="none"/>
        </w:rPr>
      </w:pPr>
    </w:p>
    <w:p w14:paraId="4B3D33A4">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61A9750B">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75FA9287">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lang w:val="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470E2045">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法定代表人（单位负责人）（签字或签章）：</w:t>
      </w:r>
      <w:r>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eastAsia="zh-CN"/>
        </w:rPr>
        <w:t xml:space="preserve">         </w:t>
      </w:r>
    </w:p>
    <w:p w14:paraId="49BC08F8">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lang w:val="zh-CN"/>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49C3F578">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0B7312D2">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6报价一览表</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7C55E359">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bookmarkStart w:id="740" w:name="_Toc226309802"/>
      <w:bookmarkStart w:id="741" w:name="_Toc264969248"/>
      <w:bookmarkStart w:id="742" w:name="_Toc305158900"/>
      <w:bookmarkStart w:id="743" w:name="_Toc226965831"/>
      <w:bookmarkStart w:id="744" w:name="_Toc164608827"/>
      <w:bookmarkStart w:id="745" w:name="_Toc226965748"/>
      <w:bookmarkStart w:id="746" w:name="_Toc195842923"/>
      <w:bookmarkStart w:id="747" w:name="_Toc265228396"/>
      <w:bookmarkStart w:id="748" w:name="_Toc164608672"/>
      <w:bookmarkStart w:id="749" w:name="_Toc226337254"/>
      <w:bookmarkStart w:id="750" w:name="_Toc305158826"/>
      <w:r>
        <w:rPr>
          <w:rFonts w:hint="eastAsia" w:asciiTheme="minorEastAsia" w:hAnsiTheme="minorEastAsia" w:eastAsiaTheme="minorEastAsia" w:cstheme="minorEastAsia"/>
          <w:b w:val="0"/>
          <w:bCs w:val="0"/>
          <w:snapToGrid/>
          <w:color w:val="000000"/>
          <w:spacing w:val="0"/>
          <w:kern w:val="21"/>
          <w:sz w:val="24"/>
          <w:szCs w:val="24"/>
          <w:highlight w:val="none"/>
        </w:rPr>
        <w:t>报价一览表</w:t>
      </w:r>
      <w:bookmarkEnd w:id="740"/>
      <w:bookmarkEnd w:id="741"/>
      <w:bookmarkEnd w:id="742"/>
      <w:bookmarkEnd w:id="743"/>
      <w:bookmarkEnd w:id="744"/>
      <w:bookmarkEnd w:id="745"/>
      <w:bookmarkEnd w:id="746"/>
      <w:bookmarkEnd w:id="747"/>
      <w:bookmarkEnd w:id="748"/>
      <w:bookmarkEnd w:id="749"/>
      <w:bookmarkEnd w:id="750"/>
    </w:p>
    <w:p w14:paraId="070B37B7">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5998F817">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rPr>
      </w:pPr>
      <w:r>
        <w:rPr>
          <w:rFonts w:hint="eastAsia" w:asciiTheme="minorEastAsia" w:hAnsiTheme="minorEastAsia" w:eastAsiaTheme="minorEastAsia" w:cstheme="minorEastAsia"/>
          <w:b w:val="0"/>
          <w:bCs w:val="0"/>
          <w:snapToGrid/>
          <w:color w:val="000000"/>
          <w:spacing w:val="0"/>
          <w:kern w:val="21"/>
          <w:sz w:val="24"/>
          <w:szCs w:val="24"/>
          <w:highlight w:val="none"/>
        </w:rPr>
        <w:t>项目编号：</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项目名称：</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u w:val="none"/>
          <w:lang w:val="en-US" w:eastAsia="zh-CN"/>
        </w:rPr>
        <w:t xml:space="preserve">  </w:t>
      </w:r>
      <w:r>
        <w:rPr>
          <w:rFonts w:hint="eastAsia" w:asciiTheme="minorEastAsia" w:hAnsiTheme="minorEastAsia" w:eastAsiaTheme="minorEastAsia" w:cstheme="minorEastAsia"/>
          <w:b w:val="0"/>
          <w:bCs w:val="0"/>
          <w:snapToGrid/>
          <w:color w:val="000000"/>
          <w:spacing w:val="0"/>
          <w:w w:val="100"/>
          <w:kern w:val="21"/>
          <w:sz w:val="24"/>
          <w:szCs w:val="24"/>
          <w:highlight w:val="none"/>
        </w:rPr>
        <w:t>报价单位：</w:t>
      </w:r>
      <w:r>
        <w:rPr>
          <w:rFonts w:hint="eastAsia" w:asciiTheme="minorEastAsia" w:hAnsiTheme="minorEastAsia" w:eastAsiaTheme="minorEastAsia" w:cstheme="minorEastAsia"/>
          <w:b w:val="0"/>
          <w:bCs w:val="0"/>
          <w:snapToGrid/>
          <w:color w:val="000000"/>
          <w:spacing w:val="0"/>
          <w:w w:val="100"/>
          <w:kern w:val="21"/>
          <w:sz w:val="24"/>
          <w:szCs w:val="24"/>
          <w:highlight w:val="none"/>
          <w:u w:val="single"/>
        </w:rPr>
        <w:t>人民币元</w:t>
      </w:r>
    </w:p>
    <w:tbl>
      <w:tblPr>
        <w:tblStyle w:val="23"/>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3"/>
        <w:gridCol w:w="2408"/>
        <w:gridCol w:w="1626"/>
        <w:gridCol w:w="1626"/>
        <w:gridCol w:w="1591"/>
        <w:gridCol w:w="1150"/>
        <w:gridCol w:w="690"/>
      </w:tblGrid>
      <w:tr w14:paraId="5314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3" w:type="dxa"/>
            <w:vMerge w:val="restart"/>
            <w:tcBorders>
              <w:top w:val="single" w:color="auto" w:sz="4" w:space="0"/>
              <w:left w:val="single" w:color="auto" w:sz="4" w:space="0"/>
              <w:bottom w:val="single" w:color="auto" w:sz="4" w:space="0"/>
              <w:right w:val="single" w:color="auto" w:sz="4" w:space="0"/>
            </w:tcBorders>
            <w:vAlign w:val="center"/>
          </w:tcPr>
          <w:p w14:paraId="31A902A2">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序号</w:t>
            </w:r>
          </w:p>
        </w:tc>
        <w:tc>
          <w:tcPr>
            <w:tcW w:w="2408" w:type="dxa"/>
            <w:vMerge w:val="restart"/>
            <w:tcBorders>
              <w:top w:val="single" w:color="auto" w:sz="4" w:space="0"/>
              <w:left w:val="single" w:color="auto" w:sz="4" w:space="0"/>
              <w:bottom w:val="single" w:color="auto" w:sz="4" w:space="0"/>
              <w:right w:val="single" w:color="auto" w:sz="4" w:space="0"/>
            </w:tcBorders>
            <w:vAlign w:val="center"/>
          </w:tcPr>
          <w:p w14:paraId="1110F86E">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供应商名称</w:t>
            </w:r>
          </w:p>
        </w:tc>
        <w:tc>
          <w:tcPr>
            <w:tcW w:w="3252" w:type="dxa"/>
            <w:gridSpan w:val="2"/>
            <w:tcBorders>
              <w:top w:val="single" w:color="auto" w:sz="4" w:space="0"/>
              <w:left w:val="single" w:color="auto" w:sz="4" w:space="0"/>
              <w:bottom w:val="single" w:color="auto" w:sz="4" w:space="0"/>
              <w:right w:val="single" w:color="auto" w:sz="4" w:space="0"/>
            </w:tcBorders>
            <w:vAlign w:val="center"/>
          </w:tcPr>
          <w:p w14:paraId="6AE18CE2">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报价</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lang w:val="en-US" w:eastAsia="zh-CN"/>
              </w:rPr>
              <w:t>元</w:t>
            </w:r>
            <w:r>
              <w:rPr>
                <w:rFonts w:hint="eastAsia" w:asciiTheme="minorEastAsia" w:hAnsiTheme="minorEastAsia" w:eastAsiaTheme="minorEastAsia" w:cstheme="minorEastAsia"/>
                <w:b w:val="0"/>
                <w:bCs w:val="0"/>
                <w:snapToGrid/>
                <w:spacing w:val="0"/>
                <w:kern w:val="21"/>
                <w:sz w:val="24"/>
                <w:szCs w:val="24"/>
                <w:highlight w:val="none"/>
                <w:lang w:eastAsia="zh-CN"/>
              </w:rPr>
              <w:t>）</w:t>
            </w:r>
          </w:p>
        </w:tc>
        <w:tc>
          <w:tcPr>
            <w:tcW w:w="1591" w:type="dxa"/>
            <w:vMerge w:val="restart"/>
            <w:tcBorders>
              <w:top w:val="single" w:color="auto" w:sz="4" w:space="0"/>
              <w:left w:val="single" w:color="auto" w:sz="4" w:space="0"/>
              <w:right w:val="single" w:color="auto" w:sz="4" w:space="0"/>
            </w:tcBorders>
            <w:vAlign w:val="center"/>
          </w:tcPr>
          <w:p w14:paraId="1A9537FD">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合同履行期限</w:t>
            </w:r>
          </w:p>
        </w:tc>
        <w:tc>
          <w:tcPr>
            <w:tcW w:w="1150" w:type="dxa"/>
            <w:vMerge w:val="restart"/>
            <w:tcBorders>
              <w:top w:val="single" w:color="auto" w:sz="4" w:space="0"/>
              <w:left w:val="single" w:color="auto" w:sz="4" w:space="0"/>
              <w:right w:val="single" w:color="auto" w:sz="4" w:space="0"/>
            </w:tcBorders>
            <w:vAlign w:val="center"/>
          </w:tcPr>
          <w:p w14:paraId="3CAD0196">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服务地点</w:t>
            </w:r>
          </w:p>
        </w:tc>
        <w:tc>
          <w:tcPr>
            <w:tcW w:w="690" w:type="dxa"/>
            <w:vMerge w:val="restart"/>
            <w:tcBorders>
              <w:top w:val="single" w:color="auto" w:sz="4" w:space="0"/>
              <w:left w:val="single" w:color="auto" w:sz="4" w:space="0"/>
              <w:right w:val="single" w:color="auto" w:sz="4" w:space="0"/>
            </w:tcBorders>
            <w:vAlign w:val="center"/>
          </w:tcPr>
          <w:p w14:paraId="178BEA04">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rPr>
              <w:t>备注</w:t>
            </w:r>
          </w:p>
        </w:tc>
      </w:tr>
      <w:tr w14:paraId="4543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3" w:type="dxa"/>
            <w:vMerge w:val="continue"/>
            <w:tcBorders>
              <w:top w:val="single" w:color="auto" w:sz="4" w:space="0"/>
              <w:left w:val="single" w:color="auto" w:sz="4" w:space="0"/>
              <w:bottom w:val="single" w:color="auto" w:sz="4" w:space="0"/>
              <w:right w:val="single" w:color="auto" w:sz="4" w:space="0"/>
            </w:tcBorders>
            <w:vAlign w:val="center"/>
          </w:tcPr>
          <w:p w14:paraId="6DC9B589">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2408" w:type="dxa"/>
            <w:vMerge w:val="continue"/>
            <w:tcBorders>
              <w:top w:val="single" w:color="auto" w:sz="4" w:space="0"/>
              <w:left w:val="single" w:color="auto" w:sz="4" w:space="0"/>
              <w:bottom w:val="single" w:color="auto" w:sz="4" w:space="0"/>
              <w:right w:val="single" w:color="auto" w:sz="4" w:space="0"/>
            </w:tcBorders>
            <w:vAlign w:val="center"/>
          </w:tcPr>
          <w:p w14:paraId="0E1E97BF">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426DADE0">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大写</w:t>
            </w:r>
          </w:p>
        </w:tc>
        <w:tc>
          <w:tcPr>
            <w:tcW w:w="1626" w:type="dxa"/>
            <w:tcBorders>
              <w:top w:val="single" w:color="auto" w:sz="4" w:space="0"/>
              <w:left w:val="single" w:color="auto" w:sz="4" w:space="0"/>
              <w:bottom w:val="single" w:color="auto" w:sz="4" w:space="0"/>
              <w:right w:val="single" w:color="auto" w:sz="4" w:space="0"/>
            </w:tcBorders>
            <w:vAlign w:val="center"/>
          </w:tcPr>
          <w:p w14:paraId="3EAA92BB">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小写</w:t>
            </w:r>
          </w:p>
        </w:tc>
        <w:tc>
          <w:tcPr>
            <w:tcW w:w="1591" w:type="dxa"/>
            <w:vMerge w:val="continue"/>
            <w:tcBorders>
              <w:left w:val="single" w:color="auto" w:sz="4" w:space="0"/>
              <w:bottom w:val="single" w:color="auto" w:sz="4" w:space="0"/>
              <w:right w:val="single" w:color="auto" w:sz="4" w:space="0"/>
            </w:tcBorders>
            <w:vAlign w:val="center"/>
          </w:tcPr>
          <w:p w14:paraId="5135A89E">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150" w:type="dxa"/>
            <w:vMerge w:val="continue"/>
            <w:tcBorders>
              <w:left w:val="single" w:color="auto" w:sz="4" w:space="0"/>
              <w:bottom w:val="single" w:color="auto" w:sz="4" w:space="0"/>
              <w:right w:val="single" w:color="auto" w:sz="4" w:space="0"/>
            </w:tcBorders>
            <w:vAlign w:val="center"/>
          </w:tcPr>
          <w:p w14:paraId="2BFE7170">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690" w:type="dxa"/>
            <w:vMerge w:val="continue"/>
            <w:tcBorders>
              <w:left w:val="single" w:color="auto" w:sz="4" w:space="0"/>
              <w:bottom w:val="single" w:color="auto" w:sz="4" w:space="0"/>
              <w:right w:val="single" w:color="auto" w:sz="4" w:space="0"/>
            </w:tcBorders>
            <w:vAlign w:val="center"/>
          </w:tcPr>
          <w:p w14:paraId="12D3A38A">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r w14:paraId="28F1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7" w:hRule="atLeast"/>
          <w:jc w:val="center"/>
        </w:trPr>
        <w:tc>
          <w:tcPr>
            <w:tcW w:w="653" w:type="dxa"/>
            <w:tcBorders>
              <w:top w:val="single" w:color="auto" w:sz="4" w:space="0"/>
              <w:left w:val="single" w:color="auto" w:sz="4" w:space="0"/>
              <w:bottom w:val="single" w:color="auto" w:sz="4" w:space="0"/>
              <w:right w:val="single" w:color="auto" w:sz="4" w:space="0"/>
            </w:tcBorders>
            <w:vAlign w:val="center"/>
          </w:tcPr>
          <w:p w14:paraId="12147455">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2408" w:type="dxa"/>
            <w:tcBorders>
              <w:top w:val="single" w:color="auto" w:sz="4" w:space="0"/>
              <w:left w:val="single" w:color="auto" w:sz="4" w:space="0"/>
              <w:bottom w:val="single" w:color="auto" w:sz="4" w:space="0"/>
              <w:right w:val="single" w:color="auto" w:sz="4" w:space="0"/>
            </w:tcBorders>
            <w:vAlign w:val="center"/>
          </w:tcPr>
          <w:p w14:paraId="56399562">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0533DC1C">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2BD94808">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591" w:type="dxa"/>
            <w:tcBorders>
              <w:top w:val="single" w:color="auto" w:sz="4" w:space="0"/>
              <w:left w:val="single" w:color="auto" w:sz="4" w:space="0"/>
              <w:bottom w:val="single" w:color="auto" w:sz="4" w:space="0"/>
              <w:right w:val="single" w:color="auto" w:sz="4" w:space="0"/>
            </w:tcBorders>
            <w:vAlign w:val="center"/>
          </w:tcPr>
          <w:p w14:paraId="701B5C02">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150" w:type="dxa"/>
            <w:tcBorders>
              <w:top w:val="single" w:color="auto" w:sz="4" w:space="0"/>
              <w:left w:val="single" w:color="auto" w:sz="4" w:space="0"/>
              <w:bottom w:val="single" w:color="auto" w:sz="4" w:space="0"/>
              <w:right w:val="single" w:color="auto" w:sz="4" w:space="0"/>
            </w:tcBorders>
            <w:vAlign w:val="center"/>
          </w:tcPr>
          <w:p w14:paraId="51C0FBEE">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690" w:type="dxa"/>
            <w:tcBorders>
              <w:top w:val="single" w:color="auto" w:sz="4" w:space="0"/>
              <w:left w:val="single" w:color="auto" w:sz="4" w:space="0"/>
              <w:bottom w:val="single" w:color="auto" w:sz="4" w:space="0"/>
              <w:right w:val="single" w:color="auto" w:sz="4" w:space="0"/>
            </w:tcBorders>
            <w:vAlign w:val="center"/>
          </w:tcPr>
          <w:p w14:paraId="325B8C57">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bl>
    <w:p w14:paraId="3D2ACA46">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注：此表中，每包的报价应和《分项报价表》中的总价相一致。</w:t>
      </w:r>
    </w:p>
    <w:p w14:paraId="3C029B45">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bookmarkStart w:id="751" w:name="_Toc226965749"/>
      <w:bookmarkStart w:id="752" w:name="_Toc305158901"/>
      <w:bookmarkStart w:id="753" w:name="_Toc265228397"/>
      <w:bookmarkStart w:id="754" w:name="_Toc226309803"/>
      <w:bookmarkStart w:id="755" w:name="_Toc127151558"/>
      <w:bookmarkStart w:id="756" w:name="_Toc150480796"/>
      <w:bookmarkStart w:id="757" w:name="_Toc195842924"/>
      <w:bookmarkStart w:id="758" w:name="_Toc264969249"/>
      <w:bookmarkStart w:id="759" w:name="_Toc226965832"/>
      <w:bookmarkStart w:id="760" w:name="_Toc150774763"/>
      <w:bookmarkStart w:id="761" w:name="_Toc142311060"/>
      <w:bookmarkStart w:id="762" w:name="_Toc305158827"/>
      <w:bookmarkStart w:id="763" w:name="_Toc226337255"/>
    </w:p>
    <w:p w14:paraId="3EEF608A">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3637BA19">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4B3CAB58">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7AB06691">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54D9A0D4">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1CD20456">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7分项报价表</w:t>
      </w:r>
      <w:bookmarkEnd w:id="751"/>
      <w:bookmarkEnd w:id="752"/>
      <w:bookmarkEnd w:id="753"/>
      <w:bookmarkEnd w:id="754"/>
      <w:bookmarkEnd w:id="755"/>
      <w:bookmarkEnd w:id="756"/>
      <w:bookmarkEnd w:id="757"/>
      <w:bookmarkEnd w:id="758"/>
      <w:bookmarkEnd w:id="759"/>
      <w:bookmarkEnd w:id="760"/>
      <w:bookmarkEnd w:id="761"/>
      <w:bookmarkEnd w:id="762"/>
      <w:bookmarkEnd w:id="763"/>
    </w:p>
    <w:p w14:paraId="110D5B4D">
      <w:pPr>
        <w:keepNext w:val="0"/>
        <w:keepLines w:val="0"/>
        <w:pageBreakBefore w:val="0"/>
        <w:widowControl w:val="0"/>
        <w:tabs>
          <w:tab w:val="left" w:pos="1800"/>
          <w:tab w:val="left" w:pos="5580"/>
        </w:tabs>
        <w:kinsoku/>
        <w:wordWrap w:val="0"/>
        <w:overflowPunct/>
        <w:topLinePunct/>
        <w:autoSpaceDE/>
        <w:autoSpaceDN/>
        <w:bidi w:val="0"/>
        <w:spacing w:line="360" w:lineRule="auto"/>
        <w:ind w:firstLine="240" w:firstLineChars="100"/>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bookmarkStart w:id="764" w:name="_Toc226337258"/>
      <w:bookmarkStart w:id="765" w:name="_Toc127151562"/>
      <w:bookmarkStart w:id="766" w:name="_Toc150774765"/>
      <w:bookmarkStart w:id="767" w:name="_Toc265228400"/>
      <w:bookmarkStart w:id="768" w:name="_Toc226965752"/>
      <w:bookmarkStart w:id="769" w:name="_Toc195842927"/>
      <w:bookmarkStart w:id="770" w:name="_Toc150480798"/>
      <w:bookmarkStart w:id="771" w:name="_Toc305158904"/>
      <w:bookmarkStart w:id="772" w:name="_Toc264969252"/>
      <w:bookmarkStart w:id="773" w:name="_Toc305158830"/>
      <w:bookmarkStart w:id="774" w:name="_Toc226965835"/>
      <w:bookmarkStart w:id="775" w:name="_Toc142311062"/>
      <w:bookmarkStart w:id="776" w:name="_Toc226309806"/>
      <w:bookmarkStart w:id="777" w:name="_Toc264969251"/>
      <w:bookmarkStart w:id="778" w:name="_Toc305158903"/>
      <w:bookmarkStart w:id="779" w:name="_Toc226337257"/>
      <w:bookmarkStart w:id="780" w:name="_Toc142311061"/>
      <w:bookmarkStart w:id="781" w:name="_Toc150480797"/>
      <w:bookmarkStart w:id="782" w:name="_Toc265228399"/>
      <w:bookmarkStart w:id="783" w:name="_Toc226965751"/>
      <w:bookmarkStart w:id="784" w:name="_Toc226965834"/>
      <w:bookmarkStart w:id="785" w:name="_Toc226309805"/>
      <w:bookmarkStart w:id="786" w:name="_Toc150774764"/>
      <w:bookmarkStart w:id="787" w:name="_Toc305158829"/>
      <w:bookmarkStart w:id="788" w:name="_Toc127151561"/>
      <w:bookmarkStart w:id="789" w:name="_Toc195842926"/>
      <w:r>
        <w:rPr>
          <w:rFonts w:hint="eastAsia" w:asciiTheme="minorEastAsia" w:hAnsiTheme="minorEastAsia" w:eastAsiaTheme="minorEastAsia" w:cstheme="minorEastAsia"/>
          <w:b w:val="0"/>
          <w:bCs w:val="0"/>
          <w:snapToGrid/>
          <w:color w:val="000000"/>
          <w:spacing w:val="0"/>
          <w:kern w:val="21"/>
          <w:sz w:val="24"/>
          <w:szCs w:val="24"/>
          <w:highlight w:val="none"/>
        </w:rPr>
        <w:t>分项报价表</w:t>
      </w:r>
    </w:p>
    <w:p w14:paraId="67F59B61">
      <w:pPr>
        <w:tabs>
          <w:tab w:val="left" w:pos="1800"/>
          <w:tab w:val="left" w:pos="5580"/>
        </w:tabs>
        <w:rPr>
          <w:rFonts w:eastAsiaTheme="minorEastAsia"/>
          <w:color w:val="auto"/>
          <w:sz w:val="24"/>
          <w:highlight w:val="none"/>
        </w:rPr>
      </w:pPr>
      <w:r>
        <w:rPr>
          <w:rFonts w:hint="eastAsia" w:eastAsiaTheme="minorEastAsia"/>
          <w:color w:val="auto"/>
          <w:sz w:val="24"/>
          <w:highlight w:val="none"/>
        </w:rPr>
        <w:t>项目编号</w:t>
      </w:r>
      <w:r>
        <w:rPr>
          <w:rFonts w:eastAsiaTheme="minorEastAsia"/>
          <w:color w:val="auto"/>
          <w:sz w:val="24"/>
          <w:highlight w:val="none"/>
        </w:rPr>
        <w:t xml:space="preserve">：_________ </w:t>
      </w:r>
      <w:r>
        <w:rPr>
          <w:rFonts w:hint="eastAsia" w:eastAsiaTheme="minorEastAsia"/>
          <w:color w:val="auto"/>
          <w:sz w:val="24"/>
          <w:highlight w:val="none"/>
          <w:lang w:val="en-US" w:eastAsia="zh-CN"/>
        </w:rPr>
        <w:t xml:space="preserve">   </w:t>
      </w:r>
      <w:r>
        <w:rPr>
          <w:rFonts w:eastAsiaTheme="minorEastAsia"/>
          <w:color w:val="auto"/>
          <w:sz w:val="24"/>
          <w:highlight w:val="none"/>
        </w:rPr>
        <w:t>项目名称：_________</w:t>
      </w:r>
      <w:r>
        <w:rPr>
          <w:rFonts w:hint="eastAsia" w:eastAsiaTheme="minorEastAsia"/>
          <w:color w:val="auto"/>
          <w:sz w:val="24"/>
          <w:highlight w:val="none"/>
          <w:lang w:val="en-US" w:eastAsia="zh-CN"/>
        </w:rPr>
        <w:t xml:space="preserve">       </w:t>
      </w:r>
      <w:r>
        <w:rPr>
          <w:rFonts w:eastAsiaTheme="minorEastAsia"/>
          <w:color w:val="auto"/>
          <w:sz w:val="24"/>
          <w:highlight w:val="none"/>
        </w:rPr>
        <w:t>报价单位：人民币元</w:t>
      </w:r>
      <w:r>
        <w:rPr>
          <w:rFonts w:hint="eastAsia" w:eastAsiaTheme="minorEastAsia"/>
          <w:color w:val="auto"/>
          <w:sz w:val="24"/>
          <w:highlight w:val="none"/>
        </w:rPr>
        <w:t xml:space="preserve"> </w:t>
      </w:r>
    </w:p>
    <w:p w14:paraId="3FEC11C9">
      <w:pPr>
        <w:tabs>
          <w:tab w:val="left" w:pos="1800"/>
          <w:tab w:val="left" w:pos="5580"/>
        </w:tabs>
        <w:jc w:val="center"/>
        <w:rPr>
          <w:rFonts w:eastAsiaTheme="minorEastAsia"/>
          <w:color w:val="auto"/>
          <w:sz w:val="24"/>
          <w:highlight w:val="none"/>
        </w:rPr>
      </w:pPr>
    </w:p>
    <w:p w14:paraId="39A22E39">
      <w:pPr>
        <w:tabs>
          <w:tab w:val="left" w:pos="1800"/>
          <w:tab w:val="left" w:pos="5580"/>
        </w:tabs>
        <w:jc w:val="center"/>
        <w:rPr>
          <w:rFonts w:hint="eastAsia" w:eastAsiaTheme="minorEastAsia"/>
          <w:color w:val="auto"/>
          <w:sz w:val="24"/>
          <w:highlight w:val="none"/>
          <w:lang w:eastAsia="zh-CN"/>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格式自拟</w:t>
      </w:r>
      <w:r>
        <w:rPr>
          <w:rFonts w:hint="eastAsia" w:eastAsiaTheme="minorEastAsia"/>
          <w:color w:val="auto"/>
          <w:sz w:val="24"/>
          <w:highlight w:val="none"/>
          <w:lang w:eastAsia="zh-CN"/>
        </w:rPr>
        <w:t>）</w:t>
      </w:r>
    </w:p>
    <w:p w14:paraId="104A23A3">
      <w:pPr>
        <w:pStyle w:val="21"/>
        <w:rPr>
          <w:rFonts w:hint="eastAsia"/>
          <w:color w:val="auto"/>
          <w:highlight w:val="none"/>
          <w:lang w:eastAsia="zh-CN"/>
        </w:rPr>
      </w:pPr>
    </w:p>
    <w:p w14:paraId="40755873">
      <w:pPr>
        <w:tabs>
          <w:tab w:val="left" w:pos="1800"/>
          <w:tab w:val="left" w:pos="5580"/>
        </w:tabs>
        <w:jc w:val="left"/>
        <w:rPr>
          <w:rFonts w:eastAsiaTheme="minorEastAsia"/>
          <w:color w:val="auto"/>
          <w:sz w:val="24"/>
          <w:highlight w:val="none"/>
        </w:rPr>
      </w:pPr>
      <w:r>
        <w:rPr>
          <w:rFonts w:eastAsiaTheme="minorEastAsia"/>
          <w:color w:val="auto"/>
          <w:sz w:val="24"/>
          <w:highlight w:val="none"/>
        </w:rPr>
        <w:t>注：1.本表应按包分别填写。</w:t>
      </w:r>
    </w:p>
    <w:p w14:paraId="3E5B7D3B">
      <w:pPr>
        <w:tabs>
          <w:tab w:val="left" w:pos="1800"/>
          <w:tab w:val="left" w:pos="5580"/>
        </w:tabs>
        <w:ind w:firstLine="480" w:firstLineChars="200"/>
        <w:jc w:val="left"/>
        <w:outlineLvl w:val="1"/>
        <w:rPr>
          <w:rFonts w:eastAsiaTheme="minorEastAsia"/>
          <w:color w:val="auto"/>
          <w:sz w:val="24"/>
          <w:highlight w:val="none"/>
        </w:rPr>
      </w:pPr>
      <w:bookmarkStart w:id="790" w:name="_Toc6755"/>
      <w:bookmarkStart w:id="791" w:name="_Toc19741"/>
      <w:r>
        <w:rPr>
          <w:rFonts w:eastAsiaTheme="minorEastAsia"/>
          <w:color w:val="auto"/>
          <w:sz w:val="24"/>
          <w:highlight w:val="none"/>
        </w:rPr>
        <w:t>2.上述各项的详细规格（如有），可另页描述。</w:t>
      </w:r>
      <w:bookmarkEnd w:id="790"/>
      <w:bookmarkEnd w:id="791"/>
    </w:p>
    <w:p w14:paraId="050F92F8">
      <w:pPr>
        <w:autoSpaceDE w:val="0"/>
        <w:autoSpaceDN w:val="0"/>
        <w:adjustRightInd w:val="0"/>
        <w:snapToGrid w:val="0"/>
        <w:spacing w:before="25" w:after="25" w:line="360" w:lineRule="auto"/>
        <w:rPr>
          <w:rFonts w:eastAsiaTheme="minorEastAsia"/>
          <w:color w:val="auto"/>
          <w:sz w:val="24"/>
          <w:highlight w:val="none"/>
        </w:rPr>
      </w:pPr>
    </w:p>
    <w:p w14:paraId="0309D31D">
      <w:pPr>
        <w:pStyle w:val="21"/>
      </w:pPr>
    </w:p>
    <w:p w14:paraId="622587BA">
      <w:pPr>
        <w:keepNext w:val="0"/>
        <w:keepLines w:val="0"/>
        <w:pageBreakBefore w:val="0"/>
        <w:widowControl w:val="0"/>
        <w:kinsoku/>
        <w:wordWrap/>
        <w:overflowPunct/>
        <w:topLinePunct/>
        <w:autoSpaceDE/>
        <w:autoSpaceDN/>
        <w:bidi w:val="0"/>
        <w:adjustRightInd w:val="0"/>
        <w:snapToGrid w:val="0"/>
        <w:spacing w:before="25" w:after="25" w:line="360" w:lineRule="auto"/>
        <w:ind w:right="360"/>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43D6DA56">
      <w:pPr>
        <w:keepNext w:val="0"/>
        <w:keepLines w:val="0"/>
        <w:pageBreakBefore w:val="0"/>
        <w:widowControl w:val="0"/>
        <w:kinsoku/>
        <w:wordWrap/>
        <w:overflowPunct/>
        <w:topLinePunct/>
        <w:autoSpaceDE/>
        <w:autoSpaceDN/>
        <w:bidi w:val="0"/>
        <w:spacing w:line="360" w:lineRule="auto"/>
        <w:ind w:right="360"/>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1938DD3A">
      <w:pPr>
        <w:keepNext w:val="0"/>
        <w:keepLines w:val="0"/>
        <w:pageBreakBefore w:val="0"/>
        <w:widowControl w:val="0"/>
        <w:kinsoku/>
        <w:wordWrap w:val="0"/>
        <w:overflowPunct/>
        <w:topLinePunct/>
        <w:autoSpaceDE/>
        <w:autoSpaceDN/>
        <w:bidi w:val="0"/>
        <w:adjustRightInd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eastAsiaTheme="minorEastAsia"/>
          <w:color w:val="auto"/>
          <w:sz w:val="24"/>
          <w:szCs w:val="20"/>
          <w:highlight w:val="none"/>
        </w:rPr>
        <w:t xml:space="preserve"> </w:t>
      </w:r>
    </w:p>
    <w:p w14:paraId="19A883AE">
      <w:pPr>
        <w:pStyle w:val="6"/>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kern w:val="21"/>
          <w:sz w:val="24"/>
          <w:szCs w:val="24"/>
        </w:rPr>
        <w:sectPr>
          <w:pgSz w:w="11905" w:h="16838"/>
          <w:pgMar w:top="1440" w:right="1080" w:bottom="1440" w:left="1080" w:header="851" w:footer="850" w:gutter="0"/>
          <w:pgNumType w:fmt="decimal"/>
          <w:cols w:space="0" w:num="1"/>
          <w:titlePg/>
          <w:rtlGutter w:val="0"/>
          <w:docGrid w:linePitch="462" w:charSpace="0"/>
        </w:sectPr>
      </w:pPr>
    </w:p>
    <w:p w14:paraId="277D0D0E">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8</w:t>
      </w:r>
      <w:r>
        <w:rPr>
          <w:rFonts w:hint="eastAsia" w:asciiTheme="minorEastAsia" w:hAnsiTheme="minorEastAsia" w:eastAsiaTheme="minorEastAsia" w:cstheme="minorEastAsia"/>
          <w:b w:val="0"/>
          <w:bCs w:val="0"/>
          <w:snapToGrid/>
          <w:spacing w:val="0"/>
          <w:kern w:val="21"/>
          <w:sz w:val="24"/>
          <w:szCs w:val="24"/>
          <w:highlight w:val="none"/>
        </w:rPr>
        <w:t>合同条款偏离表</w:t>
      </w:r>
      <w:bookmarkEnd w:id="764"/>
      <w:bookmarkEnd w:id="765"/>
      <w:bookmarkEnd w:id="766"/>
      <w:bookmarkEnd w:id="767"/>
      <w:bookmarkEnd w:id="768"/>
      <w:bookmarkEnd w:id="769"/>
      <w:bookmarkEnd w:id="770"/>
      <w:bookmarkEnd w:id="771"/>
      <w:bookmarkEnd w:id="772"/>
      <w:bookmarkEnd w:id="773"/>
      <w:bookmarkEnd w:id="774"/>
      <w:bookmarkEnd w:id="775"/>
      <w:bookmarkEnd w:id="776"/>
      <w:r>
        <w:rPr>
          <w:rFonts w:hint="eastAsia" w:asciiTheme="minorEastAsia" w:hAnsiTheme="minorEastAsia" w:eastAsiaTheme="minorEastAsia" w:cstheme="minorEastAsia"/>
          <w:b w:val="0"/>
          <w:bCs w:val="0"/>
          <w:snapToGrid/>
          <w:spacing w:val="0"/>
          <w:kern w:val="21"/>
          <w:sz w:val="24"/>
          <w:szCs w:val="24"/>
          <w:highlight w:val="none"/>
        </w:rPr>
        <w:t>（实质性格式）</w:t>
      </w:r>
    </w:p>
    <w:p w14:paraId="55E47441">
      <w:pPr>
        <w:keepNext w:val="0"/>
        <w:keepLines w:val="0"/>
        <w:pageBreakBefore w:val="0"/>
        <w:widowControl w:val="0"/>
        <w:tabs>
          <w:tab w:val="left" w:pos="2775"/>
          <w:tab w:val="center" w:pos="4153"/>
        </w:tabs>
        <w:kinsoku/>
        <w:wordWrap w:val="0"/>
        <w:overflowPunct/>
        <w:topLinePunct/>
        <w:autoSpaceDE/>
        <w:autoSpaceDN/>
        <w:bidi w:val="0"/>
        <w:adjustRightIn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合同条款偏离表</w:t>
      </w:r>
    </w:p>
    <w:p w14:paraId="4A5BE662">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4"/>
          <w:szCs w:val="24"/>
        </w:rPr>
      </w:pPr>
    </w:p>
    <w:p w14:paraId="0CA9028A">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项目编号：</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 xml:space="preserve"> 项目名称：</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 xml:space="preserve"> 包号：</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p>
    <w:tbl>
      <w:tblPr>
        <w:tblStyle w:val="23"/>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628"/>
        <w:gridCol w:w="1628"/>
        <w:gridCol w:w="1628"/>
        <w:gridCol w:w="1628"/>
        <w:gridCol w:w="1628"/>
      </w:tblGrid>
      <w:tr w14:paraId="45D5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761734F4">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序号</w:t>
            </w:r>
          </w:p>
        </w:tc>
        <w:tc>
          <w:tcPr>
            <w:tcW w:w="1701" w:type="dxa"/>
            <w:vAlign w:val="center"/>
          </w:tcPr>
          <w:p w14:paraId="2A20A51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竞争性磋商文件条目号</w:t>
            </w:r>
          </w:p>
          <w:p w14:paraId="66F176C6">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（页码）</w:t>
            </w:r>
          </w:p>
        </w:tc>
        <w:tc>
          <w:tcPr>
            <w:tcW w:w="1701" w:type="dxa"/>
            <w:vAlign w:val="center"/>
          </w:tcPr>
          <w:p w14:paraId="1B30A045">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竞争性磋商文件要求</w:t>
            </w:r>
          </w:p>
        </w:tc>
        <w:tc>
          <w:tcPr>
            <w:tcW w:w="1701" w:type="dxa"/>
            <w:vAlign w:val="center"/>
          </w:tcPr>
          <w:p w14:paraId="7EFCAB6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响应文件内容</w:t>
            </w:r>
          </w:p>
        </w:tc>
        <w:tc>
          <w:tcPr>
            <w:tcW w:w="1701" w:type="dxa"/>
            <w:vAlign w:val="center"/>
          </w:tcPr>
          <w:p w14:paraId="4CBB16C7">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偏离情况</w:t>
            </w:r>
          </w:p>
        </w:tc>
        <w:tc>
          <w:tcPr>
            <w:tcW w:w="1701" w:type="dxa"/>
            <w:vAlign w:val="center"/>
          </w:tcPr>
          <w:p w14:paraId="6D139A54">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说明</w:t>
            </w:r>
          </w:p>
        </w:tc>
      </w:tr>
      <w:tr w14:paraId="1805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gridSpan w:val="6"/>
            <w:vAlign w:val="center"/>
          </w:tcPr>
          <w:p w14:paraId="4F15985B">
            <w:pPr>
              <w:keepNext w:val="0"/>
              <w:keepLines w:val="0"/>
              <w:pageBreakBefore w:val="0"/>
              <w:widowControl w:val="0"/>
              <w:kinsoku/>
              <w:wordWrap w:val="0"/>
              <w:overflowPunct/>
              <w:topLinePunct/>
              <w:autoSpaceDE/>
              <w:autoSpaceDN/>
              <w:bidi w:val="0"/>
              <w:adjustRightInd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对本项目合同条款的偏离情况（应进行选择，未选择响应无效）：</w:t>
            </w:r>
          </w:p>
          <w:p w14:paraId="0BA22F9C">
            <w:pPr>
              <w:keepNext w:val="0"/>
              <w:keepLines w:val="0"/>
              <w:pageBreakBefore w:val="0"/>
              <w:widowControl w:val="0"/>
              <w:kinsoku/>
              <w:wordWrap w:val="0"/>
              <w:overflowPunct/>
              <w:topLinePunct/>
              <w:autoSpaceDE/>
              <w:autoSpaceDN/>
              <w:bidi w:val="0"/>
              <w:adjustRightInd w:val="0"/>
              <w:snapToGrid w:val="0"/>
              <w:spacing w:line="360" w:lineRule="auto"/>
              <w:jc w:val="lef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□无偏离（如无偏离，仅选择无偏离即可；无偏离即为对合同条款中的所有要求，均视作供应商已对之理解和响应。）</w:t>
            </w:r>
          </w:p>
          <w:p w14:paraId="338A0CC5">
            <w:pPr>
              <w:keepNext w:val="0"/>
              <w:keepLines w:val="0"/>
              <w:pageBreakBefore w:val="0"/>
              <w:widowControl w:val="0"/>
              <w:kinsoku/>
              <w:wordWrap w:val="0"/>
              <w:overflowPunct/>
              <w:topLinePunct/>
              <w:autoSpaceDE/>
              <w:autoSpaceDN/>
              <w:bidi w:val="0"/>
              <w:adjustRightInd w:val="0"/>
              <w:snapToGrid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□有偏离（如有偏离，则应在本表中对负偏离项逐一列明，否则响应无效；对合同条款中的所有要求，除本表列明的偏离外，均视作供应商已对之理解和响应。）</w:t>
            </w:r>
          </w:p>
        </w:tc>
      </w:tr>
      <w:tr w14:paraId="3BBA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01" w:type="dxa"/>
            <w:vAlign w:val="center"/>
          </w:tcPr>
          <w:p w14:paraId="0E5EB26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756150F">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6E1C002B">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49E906B">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6774F3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DB2C8E2">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4D61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01" w:type="dxa"/>
            <w:vAlign w:val="center"/>
          </w:tcPr>
          <w:p w14:paraId="5A7E41B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3F1CD19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3C25E54C">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3085051">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4D36352">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0CECFD2">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65B4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01" w:type="dxa"/>
            <w:vAlign w:val="center"/>
          </w:tcPr>
          <w:p w14:paraId="625C7A41">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2BFFB00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FFDAB38">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958B246">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C5C2D4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49BF61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bl>
    <w:p w14:paraId="326CF4C7">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注：</w:t>
      </w:r>
    </w:p>
    <w:p w14:paraId="3B451B88">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1.</w:t>
      </w:r>
      <w:r>
        <w:rPr>
          <w:rFonts w:hint="eastAsia" w:asciiTheme="minorEastAsia" w:hAnsiTheme="minorEastAsia" w:eastAsiaTheme="minorEastAsia" w:cstheme="minorEastAsia"/>
          <w:b w:val="0"/>
          <w:bCs w:val="0"/>
          <w:snapToGrid/>
          <w:spacing w:val="0"/>
          <w:kern w:val="21"/>
          <w:sz w:val="22"/>
          <w:szCs w:val="22"/>
          <w:highlight w:val="none"/>
        </w:rPr>
        <w:t>对合同条款中的所有要求，除本表所列明的所有偏离外，均视作供应商已对之理解和响应。</w:t>
      </w:r>
    </w:p>
    <w:p w14:paraId="6B8B2346">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spacing w:val="0"/>
          <w:kern w:val="21"/>
          <w:sz w:val="22"/>
          <w:szCs w:val="22"/>
          <w:highlight w:val="none"/>
        </w:rPr>
        <w:t>2.“偏离情况”列应</w:t>
      </w:r>
      <w:r>
        <w:rPr>
          <w:rFonts w:hint="eastAsia" w:asciiTheme="minorEastAsia" w:hAnsiTheme="minorEastAsia" w:eastAsiaTheme="minorEastAsia" w:cstheme="minorEastAsia"/>
          <w:b w:val="0"/>
          <w:bCs w:val="0"/>
          <w:snapToGrid/>
          <w:color w:val="000000"/>
          <w:spacing w:val="0"/>
          <w:kern w:val="21"/>
          <w:sz w:val="22"/>
          <w:szCs w:val="22"/>
          <w:highlight w:val="none"/>
        </w:rPr>
        <w:t>据实</w:t>
      </w:r>
      <w:r>
        <w:rPr>
          <w:rFonts w:hint="eastAsia" w:asciiTheme="minorEastAsia" w:hAnsiTheme="minorEastAsia" w:eastAsiaTheme="minorEastAsia" w:cstheme="minorEastAsia"/>
          <w:b w:val="0"/>
          <w:bCs w:val="0"/>
          <w:snapToGrid/>
          <w:spacing w:val="0"/>
          <w:kern w:val="21"/>
          <w:sz w:val="22"/>
          <w:szCs w:val="22"/>
          <w:highlight w:val="none"/>
        </w:rPr>
        <w:t>填写“正偏离”或“负偏离”。</w:t>
      </w:r>
    </w:p>
    <w:p w14:paraId="31D67D29">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60A789F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5C822D40">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43CA125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pPr>
      <w:r>
        <w:rPr>
          <w:rFonts w:hint="eastAsia" w:asciiTheme="minorEastAsia" w:hAnsiTheme="minorEastAsia" w:eastAsiaTheme="minorEastAsia" w:cstheme="minorEastAsia"/>
          <w:b w:val="0"/>
          <w:bCs w:val="0"/>
          <w:snapToGrid/>
          <w:color w:val="000000"/>
          <w:spacing w:val="0"/>
          <w:kern w:val="21"/>
          <w:sz w:val="22"/>
          <w:szCs w:val="22"/>
          <w:highlight w:val="none"/>
        </w:rPr>
        <w:t>供应商名称（加盖公章）</w:t>
      </w:r>
      <w:r>
        <w:rPr>
          <w:rFonts w:hint="eastAsia" w:asciiTheme="minorEastAsia" w:hAnsiTheme="minorEastAsia" w:eastAsiaTheme="minorEastAsia" w:cstheme="minorEastAsia"/>
          <w:b w:val="0"/>
          <w:bCs w:val="0"/>
          <w:snapToGrid/>
          <w:color w:val="000000"/>
          <w:spacing w:val="0"/>
          <w:kern w:val="21"/>
          <w:sz w:val="22"/>
          <w:szCs w:val="22"/>
          <w:highlight w:val="none"/>
          <w:lang w:val="zh-CN"/>
        </w:rPr>
        <w:t>：</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p>
    <w:p w14:paraId="2D824B52">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日期：</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年</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月</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日</w:t>
      </w:r>
    </w:p>
    <w:p w14:paraId="421CF3B2">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r>
        <w:rPr>
          <w:rFonts w:hint="eastAsia" w:asciiTheme="minorEastAsia" w:hAnsiTheme="minorEastAsia" w:eastAsiaTheme="minorEastAsia" w:cstheme="minorEastAsia"/>
          <w:b w:val="0"/>
          <w:bCs w:val="0"/>
          <w:snapToGrid/>
          <w:spacing w:val="0"/>
          <w:kern w:val="21"/>
          <w:sz w:val="24"/>
          <w:szCs w:val="24"/>
          <w:highlight w:val="none"/>
        </w:rPr>
        <w:t>9</w:t>
      </w:r>
      <w:bookmarkEnd w:id="777"/>
      <w:bookmarkEnd w:id="778"/>
      <w:bookmarkEnd w:id="779"/>
      <w:bookmarkEnd w:id="780"/>
      <w:bookmarkEnd w:id="781"/>
      <w:bookmarkEnd w:id="782"/>
      <w:bookmarkEnd w:id="783"/>
      <w:bookmarkEnd w:id="784"/>
      <w:bookmarkEnd w:id="785"/>
      <w:bookmarkEnd w:id="786"/>
      <w:bookmarkEnd w:id="787"/>
      <w:bookmarkEnd w:id="788"/>
      <w:bookmarkEnd w:id="789"/>
      <w:r>
        <w:rPr>
          <w:rFonts w:hint="eastAsia" w:asciiTheme="minorEastAsia" w:hAnsiTheme="minorEastAsia" w:eastAsiaTheme="minorEastAsia" w:cstheme="minorEastAsia"/>
          <w:b w:val="0"/>
          <w:bCs w:val="0"/>
          <w:snapToGrid/>
          <w:spacing w:val="0"/>
          <w:kern w:val="21"/>
          <w:sz w:val="24"/>
          <w:szCs w:val="24"/>
          <w:highlight w:val="none"/>
        </w:rPr>
        <w:t>采购需求偏离表（实质性格式）</w:t>
      </w:r>
    </w:p>
    <w:p w14:paraId="47BCCDA8">
      <w:pPr>
        <w:keepNext w:val="0"/>
        <w:keepLines w:val="0"/>
        <w:pageBreakBefore w:val="0"/>
        <w:widowControl w:val="0"/>
        <w:kinsoku/>
        <w:wordWrap w:val="0"/>
        <w:overflowPunct/>
        <w:topLinePunct/>
        <w:autoSpaceDE/>
        <w:autoSpaceDN/>
        <w:bidi w:val="0"/>
        <w:adjustRightIn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采购需求偏离表</w:t>
      </w:r>
    </w:p>
    <w:p w14:paraId="5367974D">
      <w:pPr>
        <w:pStyle w:val="6"/>
        <w:keepNext w:val="0"/>
        <w:keepLines w:val="0"/>
        <w:pageBreakBefore w:val="0"/>
        <w:widowControl w:val="0"/>
        <w:kinsoku/>
        <w:wordWrap w:val="0"/>
        <w:overflowPunct/>
        <w:topLinePunct/>
        <w:autoSpaceDE/>
        <w:autoSpaceDN/>
        <w:bidi w:val="0"/>
        <w:spacing w:line="360" w:lineRule="auto"/>
        <w:ind w:left="0" w:leftChars="0" w:firstLine="0" w:firstLineChars="0"/>
        <w:outlineLvl w:val="9"/>
        <w:rPr>
          <w:rFonts w:hint="eastAsia" w:asciiTheme="minorEastAsia" w:hAnsiTheme="minorEastAsia" w:eastAsiaTheme="minorEastAsia" w:cstheme="minorEastAsia"/>
          <w:b w:val="0"/>
          <w:bCs w:val="0"/>
          <w:kern w:val="21"/>
          <w:sz w:val="22"/>
          <w:szCs w:val="22"/>
        </w:rPr>
      </w:pPr>
    </w:p>
    <w:p w14:paraId="5FAD5FC0">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项目编号：</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项目名称：</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2"/>
          <w:szCs w:val="22"/>
          <w:highlight w:val="none"/>
          <w:u w:val="none"/>
          <w:lang w:val="en-US" w:eastAsia="zh-CN"/>
        </w:rPr>
        <w:t xml:space="preserve"> </w:t>
      </w:r>
    </w:p>
    <w:tbl>
      <w:tblPr>
        <w:tblStyle w:val="23"/>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619"/>
        <w:gridCol w:w="1619"/>
        <w:gridCol w:w="1619"/>
        <w:gridCol w:w="1619"/>
        <w:gridCol w:w="1619"/>
      </w:tblGrid>
      <w:tr w14:paraId="1E69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5EA9F06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序号</w:t>
            </w:r>
          </w:p>
        </w:tc>
        <w:tc>
          <w:tcPr>
            <w:tcW w:w="1701" w:type="dxa"/>
            <w:vAlign w:val="center"/>
          </w:tcPr>
          <w:p w14:paraId="48C16FF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竞争性磋商文件条目号</w:t>
            </w:r>
          </w:p>
          <w:p w14:paraId="52B61758">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(页码)</w:t>
            </w:r>
          </w:p>
        </w:tc>
        <w:tc>
          <w:tcPr>
            <w:tcW w:w="1701" w:type="dxa"/>
            <w:vAlign w:val="center"/>
          </w:tcPr>
          <w:p w14:paraId="75892C58">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竞争性磋商文件要求</w:t>
            </w:r>
          </w:p>
        </w:tc>
        <w:tc>
          <w:tcPr>
            <w:tcW w:w="1701" w:type="dxa"/>
            <w:vAlign w:val="center"/>
          </w:tcPr>
          <w:p w14:paraId="0777C05E">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响应内容</w:t>
            </w:r>
          </w:p>
        </w:tc>
        <w:tc>
          <w:tcPr>
            <w:tcW w:w="1701" w:type="dxa"/>
            <w:vAlign w:val="center"/>
          </w:tcPr>
          <w:p w14:paraId="217EF4F7">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偏离情况</w:t>
            </w:r>
          </w:p>
          <w:p w14:paraId="52A6A17E">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（据实填写）</w:t>
            </w:r>
          </w:p>
        </w:tc>
        <w:tc>
          <w:tcPr>
            <w:tcW w:w="1701" w:type="dxa"/>
            <w:vAlign w:val="center"/>
          </w:tcPr>
          <w:p w14:paraId="5CD576A6">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说明</w:t>
            </w:r>
          </w:p>
        </w:tc>
      </w:tr>
      <w:tr w14:paraId="2D14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1C634302">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20731BC">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8AA7C9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F5234EC">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5588210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423C9C8">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51CC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59E4D2E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E4D202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7347CD4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5A81A23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733F872C">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9CF64A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57A4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554F500C">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557156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00499CE">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63C12CB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6F0925FE">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55F9BD88">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78AC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2D8E2551">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F850A06">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7EFD279">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C876A0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56E01969">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8AD116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370B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42489CBB">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39F484D3">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EEE7BF9">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05E938C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32A70036">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6B69E9F0">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r w14:paraId="4E0E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vAlign w:val="center"/>
          </w:tcPr>
          <w:p w14:paraId="3AB89C6D">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1380198E">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31F0117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4B069E55">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68C8E231">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c>
          <w:tcPr>
            <w:tcW w:w="1701" w:type="dxa"/>
            <w:vAlign w:val="center"/>
          </w:tcPr>
          <w:p w14:paraId="22B1F8FA">
            <w:pPr>
              <w:keepNext w:val="0"/>
              <w:keepLines w:val="0"/>
              <w:pageBreakBefore w:val="0"/>
              <w:widowControl w:val="0"/>
              <w:kinsoku/>
              <w:wordWrap w:val="0"/>
              <w:overflowPunct/>
              <w:topLinePunct/>
              <w:autoSpaceDE/>
              <w:autoSpaceDN/>
              <w:bidi w:val="0"/>
              <w:adjustRightInd w:val="0"/>
              <w:snapToGrid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tc>
      </w:tr>
    </w:tbl>
    <w:p w14:paraId="508DFE8F">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注：</w:t>
      </w:r>
    </w:p>
    <w:p w14:paraId="1F62DE16">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t>1.</w:t>
      </w:r>
      <w:r>
        <w:rPr>
          <w:rFonts w:hint="eastAsia" w:asciiTheme="minorEastAsia" w:hAnsiTheme="minorEastAsia" w:eastAsiaTheme="minorEastAsia" w:cstheme="minorEastAsia"/>
          <w:b w:val="0"/>
          <w:bCs w:val="0"/>
          <w:snapToGrid/>
          <w:color w:val="000000"/>
          <w:spacing w:val="0"/>
          <w:kern w:val="21"/>
          <w:sz w:val="22"/>
          <w:szCs w:val="22"/>
          <w:highlight w:val="none"/>
        </w:rPr>
        <w:t>对</w:t>
      </w:r>
      <w:r>
        <w:rPr>
          <w:rFonts w:hint="eastAsia" w:asciiTheme="minorEastAsia" w:hAnsiTheme="minorEastAsia" w:eastAsiaTheme="minorEastAsia" w:cstheme="minorEastAsia"/>
          <w:b w:val="0"/>
          <w:bCs w:val="0"/>
          <w:snapToGrid/>
          <w:color w:val="000000"/>
          <w:spacing w:val="0"/>
          <w:kern w:val="21"/>
          <w:sz w:val="22"/>
          <w:szCs w:val="22"/>
          <w:highlight w:val="none"/>
          <w:lang w:eastAsia="zh-CN"/>
        </w:rPr>
        <w:t>竞争性磋商</w:t>
      </w:r>
      <w:r>
        <w:rPr>
          <w:rFonts w:hint="eastAsia" w:asciiTheme="minorEastAsia" w:hAnsiTheme="minorEastAsia" w:eastAsiaTheme="minorEastAsia" w:cstheme="minorEastAsia"/>
          <w:b w:val="0"/>
          <w:bCs w:val="0"/>
          <w:snapToGrid/>
          <w:color w:val="000000"/>
          <w:spacing w:val="0"/>
          <w:kern w:val="21"/>
          <w:sz w:val="22"/>
          <w:szCs w:val="22"/>
          <w:highlight w:val="none"/>
        </w:rPr>
        <w:t>中的所有商务、技术要求，如存在偏离情况，请在此表中逐一详细列明，并在“偏离情况”列据实填写“正偏离”或“负偏离”</w:t>
      </w:r>
    </w:p>
    <w:p w14:paraId="6D47C80C">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2.如对</w:t>
      </w:r>
      <w:r>
        <w:rPr>
          <w:rFonts w:hint="eastAsia" w:asciiTheme="minorEastAsia" w:hAnsiTheme="minorEastAsia" w:eastAsiaTheme="minorEastAsia" w:cstheme="minorEastAsia"/>
          <w:b w:val="0"/>
          <w:bCs w:val="0"/>
          <w:snapToGrid/>
          <w:color w:val="000000"/>
          <w:spacing w:val="0"/>
          <w:kern w:val="21"/>
          <w:sz w:val="22"/>
          <w:szCs w:val="22"/>
          <w:highlight w:val="none"/>
          <w:lang w:eastAsia="zh-CN"/>
        </w:rPr>
        <w:t>竞争性磋商</w:t>
      </w:r>
      <w:r>
        <w:rPr>
          <w:rFonts w:hint="eastAsia" w:asciiTheme="minorEastAsia" w:hAnsiTheme="minorEastAsia" w:eastAsiaTheme="minorEastAsia" w:cstheme="minorEastAsia"/>
          <w:b w:val="0"/>
          <w:bCs w:val="0"/>
          <w:snapToGrid/>
          <w:color w:val="000000"/>
          <w:spacing w:val="0"/>
          <w:kern w:val="21"/>
          <w:sz w:val="22"/>
          <w:szCs w:val="22"/>
          <w:highlight w:val="none"/>
        </w:rPr>
        <w:t>中的所有商务、技术要求均不存在偏离情况，可不一一列示，在“偏离情况”列填写“全部响应，无偏离”。</w:t>
      </w:r>
    </w:p>
    <w:p w14:paraId="77B211D8">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5A44E4B0">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33432FCA">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61C8304E">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pPr>
      <w:r>
        <w:rPr>
          <w:rFonts w:hint="eastAsia" w:asciiTheme="minorEastAsia" w:hAnsiTheme="minorEastAsia" w:eastAsiaTheme="minorEastAsia" w:cstheme="minorEastAsia"/>
          <w:b w:val="0"/>
          <w:bCs w:val="0"/>
          <w:snapToGrid/>
          <w:color w:val="000000"/>
          <w:spacing w:val="0"/>
          <w:kern w:val="21"/>
          <w:sz w:val="22"/>
          <w:szCs w:val="22"/>
          <w:highlight w:val="none"/>
        </w:rPr>
        <w:t>供应商名称（加盖公章）</w:t>
      </w:r>
      <w:r>
        <w:rPr>
          <w:rFonts w:hint="eastAsia" w:asciiTheme="minorEastAsia" w:hAnsiTheme="minorEastAsia" w:eastAsiaTheme="minorEastAsia" w:cstheme="minorEastAsia"/>
          <w:b w:val="0"/>
          <w:bCs w:val="0"/>
          <w:snapToGrid/>
          <w:color w:val="000000"/>
          <w:spacing w:val="0"/>
          <w:kern w:val="21"/>
          <w:sz w:val="22"/>
          <w:szCs w:val="22"/>
          <w:highlight w:val="none"/>
          <w:lang w:val="zh-CN"/>
        </w:rPr>
        <w:t>：</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p>
    <w:p w14:paraId="10D420C2">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日期：</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年</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月</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日</w:t>
      </w:r>
    </w:p>
    <w:p w14:paraId="7E19E742">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p w14:paraId="2DB1ED41">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10</w:t>
      </w:r>
      <w:r>
        <w:rPr>
          <w:rFonts w:hint="eastAsia" w:asciiTheme="minorEastAsia" w:hAnsiTheme="minorEastAsia" w:eastAsiaTheme="minorEastAsia" w:cstheme="minorEastAsia"/>
          <w:b w:val="0"/>
          <w:bCs w:val="0"/>
          <w:snapToGrid/>
          <w:spacing w:val="0"/>
          <w:kern w:val="21"/>
          <w:sz w:val="24"/>
          <w:szCs w:val="24"/>
          <w:highlight w:val="none"/>
        </w:rPr>
        <w:t>竞争性磋商文件要求提供或供应商认为应附的其他材料</w:t>
      </w:r>
    </w:p>
    <w:p w14:paraId="0390E7A2">
      <w:pPr>
        <w:keepNext w:val="0"/>
        <w:keepLines w:val="0"/>
        <w:pageBreakBefore w:val="0"/>
        <w:widowControl w:val="0"/>
        <w:tabs>
          <w:tab w:val="left" w:pos="360"/>
        </w:tabs>
        <w:kinsoku/>
        <w:wordWrap w:val="0"/>
        <w:overflowPunct/>
        <w:topLinePunct/>
        <w:autoSpaceDE/>
        <w:autoSpaceDN/>
        <w:bidi w:val="0"/>
        <w:snapToGrid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bookmarkStart w:id="792" w:name="_Toc16280"/>
      <w:r>
        <w:rPr>
          <w:rFonts w:hint="eastAsia" w:asciiTheme="minorEastAsia" w:hAnsiTheme="minorEastAsia" w:eastAsiaTheme="minorEastAsia" w:cstheme="minorEastAsia"/>
          <w:b w:val="0"/>
          <w:bCs w:val="0"/>
          <w:snapToGrid/>
          <w:spacing w:val="0"/>
          <w:kern w:val="21"/>
          <w:sz w:val="24"/>
          <w:szCs w:val="24"/>
          <w:highlight w:val="none"/>
          <w:lang w:val="en-US" w:eastAsia="zh-CN"/>
        </w:rPr>
        <w:t>10-1供应商信息采集表</w:t>
      </w:r>
    </w:p>
    <w:tbl>
      <w:tblPr>
        <w:tblStyle w:val="24"/>
        <w:tblW w:w="9750"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0"/>
        <w:gridCol w:w="3250"/>
        <w:gridCol w:w="3250"/>
      </w:tblGrid>
      <w:tr w14:paraId="3D3A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Align w:val="center"/>
          </w:tcPr>
          <w:p w14:paraId="5F69CF4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供应商名称</w:t>
            </w:r>
          </w:p>
        </w:tc>
        <w:tc>
          <w:tcPr>
            <w:tcW w:w="1701" w:type="dxa"/>
            <w:vAlign w:val="center"/>
          </w:tcPr>
          <w:p w14:paraId="052463AA">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供应商所属性别</w:t>
            </w:r>
          </w:p>
        </w:tc>
        <w:tc>
          <w:tcPr>
            <w:tcW w:w="1701" w:type="dxa"/>
            <w:vAlign w:val="center"/>
          </w:tcPr>
          <w:p w14:paraId="5FF4BDBC">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外商投资类型</w:t>
            </w:r>
          </w:p>
        </w:tc>
      </w:tr>
      <w:tr w14:paraId="10D0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Align w:val="center"/>
          </w:tcPr>
          <w:p w14:paraId="26B47A4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470C0DE4">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30693EF5">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263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Align w:val="center"/>
          </w:tcPr>
          <w:p w14:paraId="3F16B996">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718630D5">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7A6D35E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39C4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Align w:val="center"/>
          </w:tcPr>
          <w:p w14:paraId="20DA3C1B">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29FF195C">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701" w:type="dxa"/>
            <w:vAlign w:val="center"/>
          </w:tcPr>
          <w:p w14:paraId="26972773">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bl>
    <w:p w14:paraId="466D9098">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注：</w:t>
      </w:r>
    </w:p>
    <w:p w14:paraId="5C8FD59B">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1.供应商如为联合体，则应填写联合体各成员信息。</w:t>
      </w:r>
    </w:p>
    <w:p w14:paraId="30F3A635">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2.供应商所属性别请填写“男”或“女”，指拥有供应商51%以上绝对所有权的性别；绝对所有权拥有者可以是一个人，也可以是多人合计计算。</w:t>
      </w:r>
    </w:p>
    <w:p w14:paraId="36A6477C">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3.外商投资类型请填写“外商单独投资”、“外商部分投资”或“内资”。</w:t>
      </w:r>
    </w:p>
    <w:p w14:paraId="1FFFABB0">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1726F02E">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516C4D50">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1FE0EB16">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46611DA5">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1F98B417">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br w:type="page"/>
      </w:r>
    </w:p>
    <w:bookmarkEnd w:id="792"/>
    <w:p w14:paraId="3C7781D3">
      <w:pPr>
        <w:keepNext w:val="0"/>
        <w:keepLines w:val="0"/>
        <w:pageBreakBefore w:val="0"/>
        <w:widowControl w:val="0"/>
        <w:kinsoku/>
        <w:wordWrap w:val="0"/>
        <w:overflowPunct/>
        <w:topLinePunct/>
        <w:autoSpaceDE/>
        <w:autoSpaceDN/>
        <w:bidi w:val="0"/>
        <w:spacing w:line="360" w:lineRule="auto"/>
        <w:jc w:val="both"/>
        <w:outlineLvl w:val="9"/>
        <w:rPr>
          <w:rFonts w:hint="eastAsia" w:asciiTheme="minorEastAsia" w:hAnsiTheme="minorEastAsia" w:eastAsiaTheme="minorEastAsia" w:cstheme="minorEastAsia"/>
          <w:b w:val="0"/>
          <w:bCs w:val="0"/>
          <w:snapToGrid/>
          <w:color w:val="000000"/>
          <w:spacing w:val="0"/>
          <w:kern w:val="21"/>
          <w:sz w:val="24"/>
          <w:szCs w:val="24"/>
          <w:highlight w:val="none"/>
          <w:lang w:eastAsia="zh-CN"/>
        </w:rPr>
      </w:pPr>
      <w:r>
        <w:rPr>
          <w:rFonts w:hint="eastAsia" w:asciiTheme="minorEastAsia" w:hAnsiTheme="minorEastAsia" w:eastAsiaTheme="minorEastAsia" w:cstheme="minorEastAsia"/>
          <w:b w:val="0"/>
          <w:bCs w:val="0"/>
          <w:snapToGrid/>
          <w:color w:val="000000" w:themeColor="text1"/>
          <w:spacing w:val="0"/>
          <w:kern w:val="21"/>
          <w:sz w:val="24"/>
          <w:szCs w:val="24"/>
          <w:highlight w:val="none"/>
          <w:lang w:val="en-US" w:eastAsia="zh-CN"/>
          <w14:textFill>
            <w14:solidFill>
              <w14:schemeClr w14:val="tx1"/>
            </w14:solidFill>
          </w14:textFill>
        </w:rPr>
        <w:t>10</w:t>
      </w:r>
      <w:r>
        <w:rPr>
          <w:rFonts w:hint="eastAsia" w:asciiTheme="minorEastAsia" w:hAnsiTheme="minorEastAsia" w:eastAsiaTheme="minorEastAsia" w:cstheme="minorEastAsia"/>
          <w:b w:val="0"/>
          <w:bCs w:val="0"/>
          <w:snapToGrid/>
          <w:color w:val="000000" w:themeColor="text1"/>
          <w:spacing w:val="0"/>
          <w:kern w:val="21"/>
          <w:sz w:val="24"/>
          <w:szCs w:val="24"/>
          <w:highlight w:val="none"/>
          <w14:textFill>
            <w14:solidFill>
              <w14:schemeClr w14:val="tx1"/>
            </w14:solidFill>
          </w14:textFill>
        </w:rPr>
        <w:t>-</w:t>
      </w:r>
      <w:r>
        <w:rPr>
          <w:rFonts w:hint="eastAsia" w:asciiTheme="minorEastAsia" w:hAnsiTheme="minorEastAsia" w:eastAsiaTheme="minorEastAsia" w:cstheme="minorEastAsia"/>
          <w:b w:val="0"/>
          <w:bCs w:val="0"/>
          <w:snapToGrid/>
          <w:color w:val="000000" w:themeColor="text1"/>
          <w:spacing w:val="0"/>
          <w:kern w:val="21"/>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snapToGrid/>
          <w:spacing w:val="0"/>
          <w:kern w:val="21"/>
          <w:sz w:val="24"/>
          <w:szCs w:val="24"/>
          <w:highlight w:val="none"/>
        </w:rPr>
        <w:t>供应商类似项目业绩</w:t>
      </w:r>
    </w:p>
    <w:p w14:paraId="0B554DB4">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项目编号：</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项目名称：</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u w:val="none"/>
          <w:lang w:val="en-US" w:eastAsia="zh-CN"/>
        </w:rPr>
        <w:t xml:space="preserve"> </w:t>
      </w:r>
    </w:p>
    <w:tbl>
      <w:tblPr>
        <w:tblStyle w:val="23"/>
        <w:tblW w:w="9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420"/>
        <w:gridCol w:w="1626"/>
        <w:gridCol w:w="1626"/>
        <w:gridCol w:w="1626"/>
        <w:gridCol w:w="1626"/>
      </w:tblGrid>
      <w:tr w14:paraId="6DBA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31" w:type="dxa"/>
            <w:vAlign w:val="center"/>
          </w:tcPr>
          <w:p w14:paraId="218B04D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序号</w:t>
            </w:r>
          </w:p>
        </w:tc>
        <w:tc>
          <w:tcPr>
            <w:tcW w:w="2420" w:type="dxa"/>
            <w:vAlign w:val="center"/>
          </w:tcPr>
          <w:p w14:paraId="2299A7BB">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项目业主</w:t>
            </w:r>
          </w:p>
        </w:tc>
        <w:tc>
          <w:tcPr>
            <w:tcW w:w="1626" w:type="dxa"/>
            <w:vAlign w:val="center"/>
          </w:tcPr>
          <w:p w14:paraId="0D9B5D52">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项目名称</w:t>
            </w:r>
          </w:p>
        </w:tc>
        <w:tc>
          <w:tcPr>
            <w:tcW w:w="1626" w:type="dxa"/>
            <w:vAlign w:val="center"/>
          </w:tcPr>
          <w:p w14:paraId="132AC9A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合同金额</w:t>
            </w:r>
          </w:p>
        </w:tc>
        <w:tc>
          <w:tcPr>
            <w:tcW w:w="1626" w:type="dxa"/>
            <w:vAlign w:val="center"/>
          </w:tcPr>
          <w:p w14:paraId="0FC1F36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合同签订时间</w:t>
            </w:r>
          </w:p>
        </w:tc>
        <w:tc>
          <w:tcPr>
            <w:tcW w:w="1626" w:type="dxa"/>
            <w:vAlign w:val="center"/>
          </w:tcPr>
          <w:p w14:paraId="06F9DECA">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备注</w:t>
            </w:r>
          </w:p>
        </w:tc>
      </w:tr>
      <w:tr w14:paraId="1B30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5C8CE59B">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1</w:t>
            </w:r>
          </w:p>
        </w:tc>
        <w:tc>
          <w:tcPr>
            <w:tcW w:w="2420" w:type="dxa"/>
            <w:vAlign w:val="center"/>
          </w:tcPr>
          <w:p w14:paraId="13F0735A">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35EAA98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68807D9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45178FB7">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11C4BC5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518F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7DBE8ECD">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2</w:t>
            </w:r>
          </w:p>
        </w:tc>
        <w:tc>
          <w:tcPr>
            <w:tcW w:w="2420" w:type="dxa"/>
            <w:vAlign w:val="center"/>
          </w:tcPr>
          <w:p w14:paraId="0482B5A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5AAD7856">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6BF81C04">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585C85C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4D00972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297F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51744F8B">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3</w:t>
            </w:r>
          </w:p>
        </w:tc>
        <w:tc>
          <w:tcPr>
            <w:tcW w:w="2420" w:type="dxa"/>
            <w:vAlign w:val="center"/>
          </w:tcPr>
          <w:p w14:paraId="60E3B162">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7BA91D4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68672257">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44FED00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6237A577">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17EF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39BBC01D">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4</w:t>
            </w:r>
          </w:p>
        </w:tc>
        <w:tc>
          <w:tcPr>
            <w:tcW w:w="2420" w:type="dxa"/>
            <w:vAlign w:val="center"/>
          </w:tcPr>
          <w:p w14:paraId="63872E37">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510E03F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00AEAA1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499383E3">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29016719">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19C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7BBC405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5</w:t>
            </w:r>
          </w:p>
        </w:tc>
        <w:tc>
          <w:tcPr>
            <w:tcW w:w="2420" w:type="dxa"/>
            <w:vAlign w:val="center"/>
          </w:tcPr>
          <w:p w14:paraId="1A87756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7E31C0CE">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7FCF1A9F">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1A4E5BC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631FBB9D">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0D38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741B9232">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6</w:t>
            </w:r>
          </w:p>
        </w:tc>
        <w:tc>
          <w:tcPr>
            <w:tcW w:w="2420" w:type="dxa"/>
          </w:tcPr>
          <w:p w14:paraId="282EF36D">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tcPr>
          <w:p w14:paraId="66CAC938">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tcPr>
          <w:p w14:paraId="047A3D53">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tcPr>
          <w:p w14:paraId="47085FF1">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tcPr>
          <w:p w14:paraId="3288DB3C">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r w14:paraId="027C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 w:type="dxa"/>
            <w:vAlign w:val="center"/>
          </w:tcPr>
          <w:p w14:paraId="06CD122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r>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t>...</w:t>
            </w:r>
          </w:p>
        </w:tc>
        <w:tc>
          <w:tcPr>
            <w:tcW w:w="2420" w:type="dxa"/>
            <w:vAlign w:val="center"/>
          </w:tcPr>
          <w:p w14:paraId="39ABBFE0">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3F27F836">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378C8B64">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76D82ACA">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c>
          <w:tcPr>
            <w:tcW w:w="1626" w:type="dxa"/>
            <w:vAlign w:val="center"/>
          </w:tcPr>
          <w:p w14:paraId="0B425AEE">
            <w:pPr>
              <w:keepNext w:val="0"/>
              <w:keepLines w:val="0"/>
              <w:pageBreakBefore w:val="0"/>
              <w:widowControl w:val="0"/>
              <w:suppressLineNumbers w:val="0"/>
              <w:kinsoku/>
              <w:wordWrap w:val="0"/>
              <w:overflowPunct/>
              <w:topLinePunct/>
              <w:autoSpaceDE/>
              <w:autoSpaceDN/>
              <w:bidi w:val="0"/>
              <w:spacing w:line="360" w:lineRule="auto"/>
              <w:jc w:val="center"/>
              <w:textAlignment w:val="center"/>
              <w:outlineLvl w:val="9"/>
              <w:rPr>
                <w:rFonts w:hint="eastAsia" w:asciiTheme="minorEastAsia" w:hAnsiTheme="minorEastAsia" w:eastAsiaTheme="minorEastAsia" w:cstheme="minorEastAsia"/>
                <w:b w:val="0"/>
                <w:bCs w:val="0"/>
                <w:i w:val="0"/>
                <w:iCs w:val="0"/>
                <w:snapToGrid/>
                <w:color w:val="auto"/>
                <w:spacing w:val="0"/>
                <w:kern w:val="21"/>
                <w:sz w:val="24"/>
                <w:szCs w:val="24"/>
                <w:highlight w:val="none"/>
                <w:u w:val="none"/>
                <w:lang w:val="en-US" w:eastAsia="zh-CN" w:bidi="ar"/>
              </w:rPr>
            </w:pPr>
          </w:p>
        </w:tc>
      </w:tr>
    </w:tbl>
    <w:p w14:paraId="18ABD32D">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注：</w:t>
      </w:r>
    </w:p>
    <w:p w14:paraId="50666870">
      <w:pPr>
        <w:keepNext w:val="0"/>
        <w:keepLines w:val="0"/>
        <w:pageBreakBefore w:val="0"/>
        <w:widowControl w:val="0"/>
        <w:tabs>
          <w:tab w:val="left" w:pos="1080"/>
        </w:tabs>
        <w:kinsoku/>
        <w:wordWrap w:val="0"/>
        <w:overflowPunct/>
        <w:topLinePunct/>
        <w:autoSpaceDE/>
        <w:autoSpaceDN/>
        <w:bidi w:val="0"/>
        <w:snapToGrid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1、</w:t>
      </w:r>
      <w:r>
        <w:rPr>
          <w:rFonts w:hint="eastAsia" w:asciiTheme="minorEastAsia" w:hAnsiTheme="minorEastAsia" w:eastAsiaTheme="minorEastAsia" w:cstheme="minorEastAsia"/>
          <w:b w:val="0"/>
          <w:bCs w:val="0"/>
          <w:snapToGrid/>
          <w:spacing w:val="0"/>
          <w:kern w:val="21"/>
          <w:sz w:val="24"/>
          <w:szCs w:val="24"/>
          <w:highlight w:val="none"/>
          <w:lang w:eastAsia="zh-CN"/>
        </w:rPr>
        <w:t>供应商</w:t>
      </w:r>
      <w:r>
        <w:rPr>
          <w:rFonts w:hint="eastAsia" w:asciiTheme="minorEastAsia" w:hAnsiTheme="minorEastAsia" w:eastAsiaTheme="minorEastAsia" w:cstheme="minorEastAsia"/>
          <w:b w:val="0"/>
          <w:bCs w:val="0"/>
          <w:snapToGrid/>
          <w:spacing w:val="0"/>
          <w:kern w:val="21"/>
          <w:sz w:val="24"/>
          <w:szCs w:val="24"/>
          <w:highlight w:val="none"/>
        </w:rPr>
        <w:t>提供近三年（</w:t>
      </w:r>
      <w:r>
        <w:rPr>
          <w:rFonts w:hint="eastAsia" w:asciiTheme="minorEastAsia" w:hAnsiTheme="minorEastAsia" w:eastAsiaTheme="minorEastAsia" w:cstheme="minorEastAsia"/>
          <w:b w:val="0"/>
          <w:bCs w:val="0"/>
          <w:snapToGrid/>
          <w:spacing w:val="0"/>
          <w:kern w:val="21"/>
          <w:sz w:val="24"/>
          <w:szCs w:val="24"/>
          <w:highlight w:val="none"/>
          <w:lang w:eastAsia="zh-CN"/>
        </w:rPr>
        <w:t>2023年10月20日至2026年10月19日</w:t>
      </w:r>
      <w:r>
        <w:rPr>
          <w:rFonts w:hint="eastAsia" w:asciiTheme="minorEastAsia" w:hAnsiTheme="minorEastAsia" w:eastAsiaTheme="minorEastAsia" w:cstheme="minorEastAsia"/>
          <w:b w:val="0"/>
          <w:bCs w:val="0"/>
          <w:snapToGrid/>
          <w:spacing w:val="0"/>
          <w:kern w:val="21"/>
          <w:sz w:val="24"/>
          <w:szCs w:val="24"/>
          <w:highlight w:val="none"/>
        </w:rPr>
        <w:t>，以合同签订时间为准）</w:t>
      </w:r>
      <w:r>
        <w:rPr>
          <w:rFonts w:hint="eastAsia" w:asciiTheme="minorEastAsia" w:hAnsiTheme="minorEastAsia" w:eastAsiaTheme="minorEastAsia" w:cstheme="minorEastAsia"/>
          <w:b w:val="0"/>
          <w:bCs w:val="0"/>
          <w:snapToGrid/>
          <w:spacing w:val="0"/>
          <w:kern w:val="21"/>
          <w:sz w:val="24"/>
          <w:szCs w:val="24"/>
          <w:highlight w:val="none"/>
          <w:lang w:eastAsia="zh-CN"/>
        </w:rPr>
        <w:t>类似项目业绩</w:t>
      </w:r>
      <w:r>
        <w:rPr>
          <w:rFonts w:hint="eastAsia" w:asciiTheme="minorEastAsia" w:hAnsiTheme="minorEastAsia" w:eastAsiaTheme="minorEastAsia" w:cstheme="minorEastAsia"/>
          <w:b w:val="0"/>
          <w:bCs w:val="0"/>
          <w:snapToGrid/>
          <w:spacing w:val="0"/>
          <w:kern w:val="21"/>
          <w:sz w:val="24"/>
          <w:szCs w:val="24"/>
          <w:highlight w:val="none"/>
        </w:rPr>
        <w:t>，</w:t>
      </w:r>
      <w:r>
        <w:rPr>
          <w:rFonts w:hint="eastAsia" w:asciiTheme="minorEastAsia" w:hAnsiTheme="minorEastAsia" w:eastAsiaTheme="minorEastAsia" w:cstheme="minorEastAsia"/>
          <w:b w:val="0"/>
          <w:bCs w:val="0"/>
          <w:snapToGrid/>
          <w:spacing w:val="0"/>
          <w:kern w:val="21"/>
          <w:sz w:val="24"/>
          <w:szCs w:val="24"/>
          <w:highlight w:val="none"/>
          <w:lang w:val="en-US" w:eastAsia="zh-CN"/>
        </w:rPr>
        <w:t>需</w:t>
      </w:r>
      <w:r>
        <w:rPr>
          <w:rFonts w:hint="eastAsia" w:asciiTheme="minorEastAsia" w:hAnsiTheme="minorEastAsia" w:eastAsiaTheme="minorEastAsia" w:cstheme="minorEastAsia"/>
          <w:b w:val="0"/>
          <w:bCs w:val="0"/>
          <w:snapToGrid/>
          <w:spacing w:val="0"/>
          <w:kern w:val="21"/>
          <w:sz w:val="24"/>
          <w:szCs w:val="24"/>
          <w:highlight w:val="none"/>
        </w:rPr>
        <w:t>提供合同首页、服务主要内容页、盖章页等关键页</w:t>
      </w:r>
      <w:r>
        <w:rPr>
          <w:rFonts w:hint="eastAsia" w:asciiTheme="minorEastAsia" w:hAnsiTheme="minorEastAsia" w:eastAsiaTheme="minorEastAsia" w:cstheme="minorEastAsia"/>
          <w:b w:val="0"/>
          <w:bCs w:val="0"/>
          <w:snapToGrid/>
          <w:spacing w:val="0"/>
          <w:kern w:val="21"/>
          <w:sz w:val="24"/>
          <w:szCs w:val="24"/>
          <w:highlight w:val="none"/>
          <w:lang w:val="en-US" w:eastAsia="zh-CN"/>
        </w:rPr>
        <w:t>扫描件</w:t>
      </w:r>
      <w:r>
        <w:rPr>
          <w:rFonts w:hint="eastAsia" w:asciiTheme="minorEastAsia" w:hAnsiTheme="minorEastAsia" w:eastAsiaTheme="minorEastAsia" w:cstheme="minorEastAsia"/>
          <w:b w:val="0"/>
          <w:bCs w:val="0"/>
          <w:snapToGrid/>
          <w:spacing w:val="0"/>
          <w:kern w:val="21"/>
          <w:sz w:val="24"/>
          <w:szCs w:val="24"/>
          <w:highlight w:val="none"/>
        </w:rPr>
        <w:t>并加盖公章。</w:t>
      </w:r>
    </w:p>
    <w:p w14:paraId="30517A79">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280B4F73">
      <w:pPr>
        <w:keepNext w:val="0"/>
        <w:keepLines w:val="0"/>
        <w:pageBreakBefore w:val="0"/>
        <w:widowControl w:val="0"/>
        <w:kinsoku/>
        <w:wordWrap/>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70492C0B">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1712A1E6">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6EC4F5F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367B7430">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423828EE">
      <w:pPr>
        <w:keepNext w:val="0"/>
        <w:keepLines w:val="0"/>
        <w:pageBreakBefore w:val="0"/>
        <w:widowControl w:val="0"/>
        <w:kinsoku/>
        <w:wordWrap w:val="0"/>
        <w:overflowPunct/>
        <w:topLinePunct/>
        <w:autoSpaceDE/>
        <w:autoSpaceDN/>
        <w:bidi w:val="0"/>
        <w:adjustRightInd w:val="0"/>
        <w:snapToGrid w:val="0"/>
        <w:spacing w:line="360" w:lineRule="auto"/>
        <w:ind w:firstLine="180" w:firstLineChars="75"/>
        <w:jc w:val="left"/>
        <w:outlineLvl w:val="9"/>
        <w:rPr>
          <w:rFonts w:hint="eastAsia" w:asciiTheme="minorEastAsia" w:hAnsiTheme="minorEastAsia" w:eastAsiaTheme="minorEastAsia" w:cstheme="minorEastAsia"/>
          <w:b w:val="0"/>
          <w:bCs w:val="0"/>
          <w:snapToGrid/>
          <w:spacing w:val="0"/>
          <w:kern w:val="21"/>
          <w:sz w:val="24"/>
          <w:szCs w:val="24"/>
          <w:highlight w:val="none"/>
        </w:rPr>
      </w:pPr>
    </w:p>
    <w:p w14:paraId="41EA201F">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sectPr>
          <w:pgSz w:w="11907" w:h="16840"/>
          <w:pgMar w:top="1440" w:right="1080" w:bottom="1440" w:left="1080" w:header="851" w:footer="851" w:gutter="0"/>
          <w:pgNumType w:fmt="decimal"/>
          <w:cols w:space="720" w:num="1"/>
          <w:docGrid w:linePitch="462" w:charSpace="0"/>
        </w:sectPr>
      </w:pPr>
    </w:p>
    <w:p w14:paraId="19FBF470">
      <w:pPr>
        <w:pStyle w:val="14"/>
        <w:spacing w:line="360" w:lineRule="auto"/>
        <w:ind w:left="1176" w:hanging="1176" w:hangingChars="490"/>
        <w:jc w:val="both"/>
        <w:outlineLvl w:val="9"/>
        <w:rPr>
          <w:rFonts w:hint="eastAsia" w:ascii="宋体" w:hAnsi="宋体" w:eastAsia="宋体" w:cs="宋体"/>
          <w:bCs/>
          <w:sz w:val="24"/>
          <w:szCs w:val="24"/>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10-3</w:t>
      </w:r>
      <w:r>
        <w:rPr>
          <w:rFonts w:hint="eastAsia" w:ascii="宋体" w:hAnsi="宋体" w:eastAsia="宋体" w:cs="宋体"/>
          <w:bCs/>
          <w:sz w:val="24"/>
          <w:szCs w:val="24"/>
        </w:rPr>
        <w:t xml:space="preserve"> 拟投入的人员配备表</w:t>
      </w:r>
    </w:p>
    <w:p w14:paraId="1C5469A0">
      <w:pPr>
        <w:spacing w:line="360" w:lineRule="auto"/>
        <w:outlineLvl w:val="9"/>
        <w:rPr>
          <w:rFonts w:hint="eastAsia" w:ascii="宋体" w:hAnsi="宋体" w:eastAsia="宋体" w:cs="宋体"/>
          <w:b/>
          <w:sz w:val="24"/>
          <w:szCs w:val="24"/>
          <w:u w:val="single"/>
        </w:rPr>
      </w:pPr>
    </w:p>
    <w:tbl>
      <w:tblPr>
        <w:tblStyle w:val="23"/>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91"/>
        <w:gridCol w:w="891"/>
        <w:gridCol w:w="891"/>
        <w:gridCol w:w="1004"/>
        <w:gridCol w:w="890"/>
        <w:gridCol w:w="1031"/>
        <w:gridCol w:w="2819"/>
      </w:tblGrid>
      <w:tr w14:paraId="04F9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61" w:type="dxa"/>
            <w:vAlign w:val="center"/>
          </w:tcPr>
          <w:p w14:paraId="0F60C9E8">
            <w:pPr>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val="en-US" w:eastAsia="zh-CN"/>
              </w:rPr>
              <w:t>序号</w:t>
            </w:r>
          </w:p>
        </w:tc>
        <w:tc>
          <w:tcPr>
            <w:tcW w:w="891" w:type="dxa"/>
            <w:vAlign w:val="center"/>
          </w:tcPr>
          <w:p w14:paraId="2E4DCC44">
            <w:pPr>
              <w:jc w:val="center"/>
              <w:outlineLvl w:val="9"/>
              <w:rPr>
                <w:rFonts w:hint="eastAsia" w:ascii="宋体" w:hAnsi="宋体" w:eastAsia="宋体" w:cs="宋体"/>
                <w:sz w:val="24"/>
                <w:szCs w:val="24"/>
              </w:rPr>
            </w:pPr>
            <w:r>
              <w:rPr>
                <w:rFonts w:hint="eastAsia" w:ascii="宋体" w:hAnsi="宋体" w:eastAsia="宋体" w:cs="宋体"/>
                <w:sz w:val="24"/>
                <w:szCs w:val="24"/>
              </w:rPr>
              <w:t>姓名</w:t>
            </w:r>
          </w:p>
        </w:tc>
        <w:tc>
          <w:tcPr>
            <w:tcW w:w="891" w:type="dxa"/>
            <w:vAlign w:val="center"/>
          </w:tcPr>
          <w:p w14:paraId="1577CE8F">
            <w:pPr>
              <w:jc w:val="center"/>
              <w:outlineLvl w:val="9"/>
              <w:rPr>
                <w:rFonts w:hint="eastAsia" w:ascii="宋体" w:hAnsi="宋体" w:eastAsia="宋体" w:cs="宋体"/>
                <w:sz w:val="24"/>
                <w:szCs w:val="24"/>
              </w:rPr>
            </w:pPr>
            <w:r>
              <w:rPr>
                <w:rFonts w:hint="eastAsia" w:ascii="宋体" w:hAnsi="宋体" w:eastAsia="宋体" w:cs="宋体"/>
                <w:sz w:val="24"/>
                <w:szCs w:val="24"/>
              </w:rPr>
              <w:t>年龄</w:t>
            </w:r>
          </w:p>
        </w:tc>
        <w:tc>
          <w:tcPr>
            <w:tcW w:w="891" w:type="dxa"/>
            <w:vAlign w:val="center"/>
          </w:tcPr>
          <w:p w14:paraId="1594B07B">
            <w:pPr>
              <w:jc w:val="center"/>
              <w:outlineLvl w:val="9"/>
              <w:rPr>
                <w:rFonts w:hint="eastAsia" w:ascii="宋体" w:hAnsi="宋体" w:eastAsia="宋体" w:cs="宋体"/>
                <w:sz w:val="24"/>
                <w:szCs w:val="24"/>
              </w:rPr>
            </w:pPr>
            <w:r>
              <w:rPr>
                <w:rFonts w:hint="eastAsia" w:ascii="宋体" w:hAnsi="宋体" w:eastAsia="宋体" w:cs="宋体"/>
                <w:sz w:val="24"/>
                <w:szCs w:val="24"/>
              </w:rPr>
              <w:t>学历</w:t>
            </w:r>
          </w:p>
        </w:tc>
        <w:tc>
          <w:tcPr>
            <w:tcW w:w="1004" w:type="dxa"/>
            <w:vAlign w:val="center"/>
          </w:tcPr>
          <w:p w14:paraId="70E58F75">
            <w:pPr>
              <w:jc w:val="center"/>
              <w:outlineLvl w:val="9"/>
              <w:rPr>
                <w:rFonts w:hint="eastAsia" w:ascii="宋体" w:hAnsi="宋体" w:eastAsia="宋体" w:cs="宋体"/>
                <w:sz w:val="24"/>
                <w:szCs w:val="24"/>
                <w:lang w:val="en-US" w:eastAsia="zh-CN"/>
              </w:rPr>
            </w:pPr>
            <w:r>
              <w:rPr>
                <w:rFonts w:hint="eastAsia" w:ascii="宋体" w:hAnsi="宋体" w:cs="宋体"/>
                <w:sz w:val="24"/>
                <w:szCs w:val="24"/>
                <w:lang w:val="en-US" w:eastAsia="zh-CN"/>
              </w:rPr>
              <w:t>职称</w:t>
            </w:r>
          </w:p>
        </w:tc>
        <w:tc>
          <w:tcPr>
            <w:tcW w:w="890" w:type="dxa"/>
            <w:vAlign w:val="center"/>
          </w:tcPr>
          <w:p w14:paraId="6C40EAE4">
            <w:pPr>
              <w:jc w:val="center"/>
              <w:outlineLvl w:val="9"/>
              <w:rPr>
                <w:rFonts w:hint="eastAsia" w:ascii="宋体" w:hAnsi="宋体" w:eastAsia="宋体" w:cs="宋体"/>
                <w:sz w:val="24"/>
                <w:szCs w:val="24"/>
              </w:rPr>
            </w:pPr>
            <w:r>
              <w:rPr>
                <w:rFonts w:hint="eastAsia" w:ascii="宋体" w:hAnsi="宋体" w:eastAsia="宋体" w:cs="宋体"/>
                <w:sz w:val="24"/>
                <w:szCs w:val="24"/>
              </w:rPr>
              <w:t>相关证书</w:t>
            </w:r>
          </w:p>
        </w:tc>
        <w:tc>
          <w:tcPr>
            <w:tcW w:w="1031" w:type="dxa"/>
            <w:vAlign w:val="center"/>
          </w:tcPr>
          <w:p w14:paraId="06AA2013">
            <w:pPr>
              <w:jc w:val="center"/>
              <w:outlineLvl w:val="9"/>
              <w:rPr>
                <w:rFonts w:hint="default" w:ascii="宋体" w:hAnsi="宋体" w:cs="宋体"/>
                <w:sz w:val="24"/>
                <w:szCs w:val="24"/>
                <w:lang w:val="en-US" w:eastAsia="zh-CN"/>
              </w:rPr>
            </w:pPr>
            <w:r>
              <w:rPr>
                <w:rFonts w:hint="eastAsia" w:ascii="宋体" w:hAnsi="宋体" w:cs="宋体"/>
                <w:sz w:val="24"/>
                <w:szCs w:val="24"/>
                <w:lang w:val="en-US" w:eastAsia="zh-CN"/>
              </w:rPr>
              <w:t>工作年限</w:t>
            </w:r>
          </w:p>
        </w:tc>
        <w:tc>
          <w:tcPr>
            <w:tcW w:w="2819" w:type="dxa"/>
            <w:vAlign w:val="center"/>
          </w:tcPr>
          <w:p w14:paraId="5D03D6B2">
            <w:pPr>
              <w:jc w:val="center"/>
              <w:outlineLvl w:val="9"/>
              <w:rPr>
                <w:rFonts w:hint="eastAsia" w:ascii="宋体" w:hAnsi="宋体" w:eastAsia="宋体" w:cs="宋体"/>
                <w:sz w:val="24"/>
                <w:szCs w:val="24"/>
                <w:lang w:eastAsia="zh-CN"/>
              </w:rPr>
            </w:pPr>
            <w:r>
              <w:rPr>
                <w:rFonts w:hint="eastAsia" w:ascii="宋体" w:hAnsi="宋体" w:cs="宋体"/>
                <w:sz w:val="24"/>
                <w:szCs w:val="24"/>
                <w:lang w:val="en-US" w:eastAsia="zh-CN"/>
              </w:rPr>
              <w:t>岗位职责</w:t>
            </w:r>
          </w:p>
        </w:tc>
      </w:tr>
      <w:tr w14:paraId="4EEA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412FFE28">
            <w:pPr>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p>
        </w:tc>
        <w:tc>
          <w:tcPr>
            <w:tcW w:w="891" w:type="dxa"/>
            <w:vAlign w:val="center"/>
          </w:tcPr>
          <w:p w14:paraId="4C3AEAA9">
            <w:pPr>
              <w:jc w:val="center"/>
              <w:outlineLvl w:val="9"/>
              <w:rPr>
                <w:rFonts w:hint="eastAsia" w:ascii="宋体" w:hAnsi="宋体" w:eastAsia="宋体" w:cs="宋体"/>
                <w:sz w:val="24"/>
                <w:szCs w:val="24"/>
              </w:rPr>
            </w:pPr>
          </w:p>
        </w:tc>
        <w:tc>
          <w:tcPr>
            <w:tcW w:w="891" w:type="dxa"/>
          </w:tcPr>
          <w:p w14:paraId="3ECE37C9">
            <w:pPr>
              <w:jc w:val="center"/>
              <w:outlineLvl w:val="9"/>
              <w:rPr>
                <w:rFonts w:hint="eastAsia" w:ascii="宋体" w:hAnsi="宋体" w:eastAsia="宋体" w:cs="宋体"/>
                <w:sz w:val="24"/>
                <w:szCs w:val="24"/>
              </w:rPr>
            </w:pPr>
          </w:p>
        </w:tc>
        <w:tc>
          <w:tcPr>
            <w:tcW w:w="891" w:type="dxa"/>
            <w:vAlign w:val="center"/>
          </w:tcPr>
          <w:p w14:paraId="60DF43F9">
            <w:pPr>
              <w:jc w:val="center"/>
              <w:outlineLvl w:val="9"/>
              <w:rPr>
                <w:rFonts w:hint="eastAsia" w:ascii="宋体" w:hAnsi="宋体" w:eastAsia="宋体" w:cs="宋体"/>
                <w:sz w:val="24"/>
                <w:szCs w:val="24"/>
              </w:rPr>
            </w:pPr>
          </w:p>
        </w:tc>
        <w:tc>
          <w:tcPr>
            <w:tcW w:w="1004" w:type="dxa"/>
            <w:vAlign w:val="center"/>
          </w:tcPr>
          <w:p w14:paraId="65397462">
            <w:pPr>
              <w:jc w:val="center"/>
              <w:outlineLvl w:val="9"/>
              <w:rPr>
                <w:rFonts w:hint="eastAsia" w:ascii="宋体" w:hAnsi="宋体" w:eastAsia="宋体" w:cs="宋体"/>
                <w:sz w:val="24"/>
                <w:szCs w:val="24"/>
              </w:rPr>
            </w:pPr>
          </w:p>
        </w:tc>
        <w:tc>
          <w:tcPr>
            <w:tcW w:w="890" w:type="dxa"/>
            <w:vAlign w:val="center"/>
          </w:tcPr>
          <w:p w14:paraId="5A91BD02">
            <w:pPr>
              <w:jc w:val="center"/>
              <w:outlineLvl w:val="9"/>
              <w:rPr>
                <w:rFonts w:hint="eastAsia" w:ascii="宋体" w:hAnsi="宋体" w:eastAsia="宋体" w:cs="宋体"/>
                <w:sz w:val="24"/>
                <w:szCs w:val="24"/>
              </w:rPr>
            </w:pPr>
          </w:p>
        </w:tc>
        <w:tc>
          <w:tcPr>
            <w:tcW w:w="1031" w:type="dxa"/>
            <w:vAlign w:val="center"/>
          </w:tcPr>
          <w:p w14:paraId="3B51BBD1">
            <w:pPr>
              <w:jc w:val="center"/>
              <w:outlineLvl w:val="9"/>
              <w:rPr>
                <w:rFonts w:hint="eastAsia" w:ascii="宋体" w:hAnsi="宋体" w:eastAsia="宋体" w:cs="宋体"/>
                <w:sz w:val="24"/>
                <w:szCs w:val="24"/>
              </w:rPr>
            </w:pPr>
          </w:p>
        </w:tc>
        <w:tc>
          <w:tcPr>
            <w:tcW w:w="2819" w:type="dxa"/>
            <w:vAlign w:val="center"/>
          </w:tcPr>
          <w:p w14:paraId="22394A08">
            <w:pPr>
              <w:jc w:val="center"/>
              <w:outlineLvl w:val="9"/>
              <w:rPr>
                <w:rFonts w:hint="eastAsia" w:ascii="宋体" w:hAnsi="宋体" w:eastAsia="宋体" w:cs="宋体"/>
                <w:sz w:val="24"/>
                <w:szCs w:val="24"/>
              </w:rPr>
            </w:pPr>
          </w:p>
        </w:tc>
      </w:tr>
      <w:tr w14:paraId="230E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7B021EC6">
            <w:pPr>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p>
        </w:tc>
        <w:tc>
          <w:tcPr>
            <w:tcW w:w="891" w:type="dxa"/>
            <w:vAlign w:val="center"/>
          </w:tcPr>
          <w:p w14:paraId="75227630">
            <w:pPr>
              <w:jc w:val="center"/>
              <w:outlineLvl w:val="9"/>
              <w:rPr>
                <w:rFonts w:hint="eastAsia" w:ascii="宋体" w:hAnsi="宋体" w:eastAsia="宋体" w:cs="宋体"/>
                <w:sz w:val="24"/>
                <w:szCs w:val="24"/>
              </w:rPr>
            </w:pPr>
          </w:p>
        </w:tc>
        <w:tc>
          <w:tcPr>
            <w:tcW w:w="891" w:type="dxa"/>
          </w:tcPr>
          <w:p w14:paraId="24AE5D5F">
            <w:pPr>
              <w:jc w:val="center"/>
              <w:outlineLvl w:val="9"/>
              <w:rPr>
                <w:rFonts w:hint="eastAsia" w:ascii="宋体" w:hAnsi="宋体" w:eastAsia="宋体" w:cs="宋体"/>
                <w:sz w:val="24"/>
                <w:szCs w:val="24"/>
              </w:rPr>
            </w:pPr>
          </w:p>
        </w:tc>
        <w:tc>
          <w:tcPr>
            <w:tcW w:w="891" w:type="dxa"/>
            <w:vAlign w:val="center"/>
          </w:tcPr>
          <w:p w14:paraId="57FF39DD">
            <w:pPr>
              <w:jc w:val="center"/>
              <w:outlineLvl w:val="9"/>
              <w:rPr>
                <w:rFonts w:hint="eastAsia" w:ascii="宋体" w:hAnsi="宋体" w:eastAsia="宋体" w:cs="宋体"/>
                <w:sz w:val="24"/>
                <w:szCs w:val="24"/>
              </w:rPr>
            </w:pPr>
          </w:p>
        </w:tc>
        <w:tc>
          <w:tcPr>
            <w:tcW w:w="1004" w:type="dxa"/>
            <w:vAlign w:val="center"/>
          </w:tcPr>
          <w:p w14:paraId="435E5CCB">
            <w:pPr>
              <w:jc w:val="center"/>
              <w:outlineLvl w:val="9"/>
              <w:rPr>
                <w:rFonts w:hint="eastAsia" w:ascii="宋体" w:hAnsi="宋体" w:eastAsia="宋体" w:cs="宋体"/>
                <w:sz w:val="24"/>
                <w:szCs w:val="24"/>
              </w:rPr>
            </w:pPr>
          </w:p>
        </w:tc>
        <w:tc>
          <w:tcPr>
            <w:tcW w:w="890" w:type="dxa"/>
            <w:vAlign w:val="center"/>
          </w:tcPr>
          <w:p w14:paraId="67ADC4B3">
            <w:pPr>
              <w:jc w:val="center"/>
              <w:outlineLvl w:val="9"/>
              <w:rPr>
                <w:rFonts w:hint="eastAsia" w:ascii="宋体" w:hAnsi="宋体" w:eastAsia="宋体" w:cs="宋体"/>
                <w:sz w:val="24"/>
                <w:szCs w:val="24"/>
              </w:rPr>
            </w:pPr>
          </w:p>
        </w:tc>
        <w:tc>
          <w:tcPr>
            <w:tcW w:w="1031" w:type="dxa"/>
            <w:vAlign w:val="center"/>
          </w:tcPr>
          <w:p w14:paraId="0FFB567B">
            <w:pPr>
              <w:jc w:val="center"/>
              <w:outlineLvl w:val="9"/>
              <w:rPr>
                <w:rFonts w:hint="eastAsia" w:ascii="宋体" w:hAnsi="宋体" w:eastAsia="宋体" w:cs="宋体"/>
                <w:sz w:val="24"/>
                <w:szCs w:val="24"/>
              </w:rPr>
            </w:pPr>
          </w:p>
        </w:tc>
        <w:tc>
          <w:tcPr>
            <w:tcW w:w="2819" w:type="dxa"/>
            <w:vAlign w:val="center"/>
          </w:tcPr>
          <w:p w14:paraId="32B4A390">
            <w:pPr>
              <w:jc w:val="center"/>
              <w:outlineLvl w:val="9"/>
              <w:rPr>
                <w:rFonts w:hint="eastAsia" w:ascii="宋体" w:hAnsi="宋体" w:eastAsia="宋体" w:cs="宋体"/>
                <w:sz w:val="24"/>
                <w:szCs w:val="24"/>
              </w:rPr>
            </w:pPr>
          </w:p>
        </w:tc>
      </w:tr>
      <w:tr w14:paraId="626F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094DB93B">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1E1ED2A7">
            <w:pPr>
              <w:jc w:val="center"/>
              <w:outlineLvl w:val="9"/>
              <w:rPr>
                <w:rFonts w:hint="eastAsia" w:ascii="宋体" w:hAnsi="宋体" w:eastAsia="宋体" w:cs="宋体"/>
                <w:sz w:val="24"/>
                <w:szCs w:val="24"/>
              </w:rPr>
            </w:pPr>
          </w:p>
        </w:tc>
        <w:tc>
          <w:tcPr>
            <w:tcW w:w="891" w:type="dxa"/>
          </w:tcPr>
          <w:p w14:paraId="2E0C25B0">
            <w:pPr>
              <w:jc w:val="center"/>
              <w:outlineLvl w:val="9"/>
              <w:rPr>
                <w:rFonts w:hint="eastAsia" w:ascii="宋体" w:hAnsi="宋体" w:eastAsia="宋体" w:cs="宋体"/>
                <w:sz w:val="24"/>
                <w:szCs w:val="24"/>
              </w:rPr>
            </w:pPr>
          </w:p>
        </w:tc>
        <w:tc>
          <w:tcPr>
            <w:tcW w:w="891" w:type="dxa"/>
            <w:vAlign w:val="center"/>
          </w:tcPr>
          <w:p w14:paraId="1F9FF1E6">
            <w:pPr>
              <w:jc w:val="center"/>
              <w:outlineLvl w:val="9"/>
              <w:rPr>
                <w:rFonts w:hint="eastAsia" w:ascii="宋体" w:hAnsi="宋体" w:eastAsia="宋体" w:cs="宋体"/>
                <w:sz w:val="24"/>
                <w:szCs w:val="24"/>
              </w:rPr>
            </w:pPr>
          </w:p>
        </w:tc>
        <w:tc>
          <w:tcPr>
            <w:tcW w:w="1004" w:type="dxa"/>
            <w:vAlign w:val="center"/>
          </w:tcPr>
          <w:p w14:paraId="5E7C422E">
            <w:pPr>
              <w:jc w:val="center"/>
              <w:outlineLvl w:val="9"/>
              <w:rPr>
                <w:rFonts w:hint="eastAsia" w:ascii="宋体" w:hAnsi="宋体" w:eastAsia="宋体" w:cs="宋体"/>
                <w:sz w:val="24"/>
                <w:szCs w:val="24"/>
              </w:rPr>
            </w:pPr>
          </w:p>
        </w:tc>
        <w:tc>
          <w:tcPr>
            <w:tcW w:w="890" w:type="dxa"/>
            <w:vAlign w:val="center"/>
          </w:tcPr>
          <w:p w14:paraId="7477E2AF">
            <w:pPr>
              <w:jc w:val="center"/>
              <w:outlineLvl w:val="9"/>
              <w:rPr>
                <w:rFonts w:hint="eastAsia" w:ascii="宋体" w:hAnsi="宋体" w:eastAsia="宋体" w:cs="宋体"/>
                <w:sz w:val="24"/>
                <w:szCs w:val="24"/>
              </w:rPr>
            </w:pPr>
          </w:p>
        </w:tc>
        <w:tc>
          <w:tcPr>
            <w:tcW w:w="1031" w:type="dxa"/>
            <w:vAlign w:val="center"/>
          </w:tcPr>
          <w:p w14:paraId="287416C6">
            <w:pPr>
              <w:jc w:val="center"/>
              <w:outlineLvl w:val="9"/>
              <w:rPr>
                <w:rFonts w:hint="eastAsia" w:ascii="宋体" w:hAnsi="宋体" w:eastAsia="宋体" w:cs="宋体"/>
                <w:sz w:val="24"/>
                <w:szCs w:val="24"/>
              </w:rPr>
            </w:pPr>
          </w:p>
        </w:tc>
        <w:tc>
          <w:tcPr>
            <w:tcW w:w="2819" w:type="dxa"/>
            <w:vAlign w:val="center"/>
          </w:tcPr>
          <w:p w14:paraId="339F7CA6">
            <w:pPr>
              <w:jc w:val="center"/>
              <w:outlineLvl w:val="9"/>
              <w:rPr>
                <w:rFonts w:hint="eastAsia" w:ascii="宋体" w:hAnsi="宋体" w:eastAsia="宋体" w:cs="宋体"/>
                <w:sz w:val="24"/>
                <w:szCs w:val="24"/>
              </w:rPr>
            </w:pPr>
          </w:p>
        </w:tc>
      </w:tr>
      <w:tr w14:paraId="1F4D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44F67C4C">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5452D100">
            <w:pPr>
              <w:jc w:val="center"/>
              <w:outlineLvl w:val="9"/>
              <w:rPr>
                <w:rFonts w:hint="eastAsia" w:ascii="宋体" w:hAnsi="宋体" w:eastAsia="宋体" w:cs="宋体"/>
                <w:sz w:val="24"/>
                <w:szCs w:val="24"/>
              </w:rPr>
            </w:pPr>
          </w:p>
        </w:tc>
        <w:tc>
          <w:tcPr>
            <w:tcW w:w="891" w:type="dxa"/>
          </w:tcPr>
          <w:p w14:paraId="1976BDA8">
            <w:pPr>
              <w:jc w:val="center"/>
              <w:outlineLvl w:val="9"/>
              <w:rPr>
                <w:rFonts w:hint="eastAsia" w:ascii="宋体" w:hAnsi="宋体" w:eastAsia="宋体" w:cs="宋体"/>
                <w:sz w:val="24"/>
                <w:szCs w:val="24"/>
              </w:rPr>
            </w:pPr>
          </w:p>
        </w:tc>
        <w:tc>
          <w:tcPr>
            <w:tcW w:w="891" w:type="dxa"/>
            <w:vAlign w:val="center"/>
          </w:tcPr>
          <w:p w14:paraId="736AFFAE">
            <w:pPr>
              <w:jc w:val="center"/>
              <w:outlineLvl w:val="9"/>
              <w:rPr>
                <w:rFonts w:hint="eastAsia" w:ascii="宋体" w:hAnsi="宋体" w:eastAsia="宋体" w:cs="宋体"/>
                <w:sz w:val="24"/>
                <w:szCs w:val="24"/>
              </w:rPr>
            </w:pPr>
          </w:p>
        </w:tc>
        <w:tc>
          <w:tcPr>
            <w:tcW w:w="1004" w:type="dxa"/>
            <w:vAlign w:val="center"/>
          </w:tcPr>
          <w:p w14:paraId="4F570264">
            <w:pPr>
              <w:jc w:val="center"/>
              <w:outlineLvl w:val="9"/>
              <w:rPr>
                <w:rFonts w:hint="eastAsia" w:ascii="宋体" w:hAnsi="宋体" w:eastAsia="宋体" w:cs="宋体"/>
                <w:sz w:val="24"/>
                <w:szCs w:val="24"/>
              </w:rPr>
            </w:pPr>
          </w:p>
        </w:tc>
        <w:tc>
          <w:tcPr>
            <w:tcW w:w="890" w:type="dxa"/>
            <w:vAlign w:val="center"/>
          </w:tcPr>
          <w:p w14:paraId="609EC232">
            <w:pPr>
              <w:jc w:val="center"/>
              <w:outlineLvl w:val="9"/>
              <w:rPr>
                <w:rFonts w:hint="eastAsia" w:ascii="宋体" w:hAnsi="宋体" w:eastAsia="宋体" w:cs="宋体"/>
                <w:sz w:val="24"/>
                <w:szCs w:val="24"/>
              </w:rPr>
            </w:pPr>
          </w:p>
        </w:tc>
        <w:tc>
          <w:tcPr>
            <w:tcW w:w="1031" w:type="dxa"/>
            <w:vAlign w:val="center"/>
          </w:tcPr>
          <w:p w14:paraId="6FD1EF69">
            <w:pPr>
              <w:jc w:val="center"/>
              <w:outlineLvl w:val="9"/>
              <w:rPr>
                <w:rFonts w:hint="eastAsia" w:ascii="宋体" w:hAnsi="宋体" w:eastAsia="宋体" w:cs="宋体"/>
                <w:sz w:val="24"/>
                <w:szCs w:val="24"/>
              </w:rPr>
            </w:pPr>
          </w:p>
        </w:tc>
        <w:tc>
          <w:tcPr>
            <w:tcW w:w="2819" w:type="dxa"/>
            <w:vAlign w:val="center"/>
          </w:tcPr>
          <w:p w14:paraId="584CDC98">
            <w:pPr>
              <w:jc w:val="center"/>
              <w:outlineLvl w:val="9"/>
              <w:rPr>
                <w:rFonts w:hint="eastAsia" w:ascii="宋体" w:hAnsi="宋体" w:eastAsia="宋体" w:cs="宋体"/>
                <w:sz w:val="24"/>
                <w:szCs w:val="24"/>
              </w:rPr>
            </w:pPr>
          </w:p>
        </w:tc>
      </w:tr>
      <w:tr w14:paraId="6792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49E63EAB">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63C92542">
            <w:pPr>
              <w:jc w:val="center"/>
              <w:outlineLvl w:val="9"/>
              <w:rPr>
                <w:rFonts w:hint="eastAsia" w:ascii="宋体" w:hAnsi="宋体" w:eastAsia="宋体" w:cs="宋体"/>
                <w:sz w:val="24"/>
                <w:szCs w:val="24"/>
              </w:rPr>
            </w:pPr>
          </w:p>
        </w:tc>
        <w:tc>
          <w:tcPr>
            <w:tcW w:w="891" w:type="dxa"/>
          </w:tcPr>
          <w:p w14:paraId="1E88CE0E">
            <w:pPr>
              <w:jc w:val="center"/>
              <w:outlineLvl w:val="9"/>
              <w:rPr>
                <w:rFonts w:hint="eastAsia" w:ascii="宋体" w:hAnsi="宋体" w:eastAsia="宋体" w:cs="宋体"/>
                <w:sz w:val="24"/>
                <w:szCs w:val="24"/>
              </w:rPr>
            </w:pPr>
          </w:p>
        </w:tc>
        <w:tc>
          <w:tcPr>
            <w:tcW w:w="891" w:type="dxa"/>
            <w:vAlign w:val="center"/>
          </w:tcPr>
          <w:p w14:paraId="6724EC13">
            <w:pPr>
              <w:jc w:val="center"/>
              <w:outlineLvl w:val="9"/>
              <w:rPr>
                <w:rFonts w:hint="eastAsia" w:ascii="宋体" w:hAnsi="宋体" w:eastAsia="宋体" w:cs="宋体"/>
                <w:sz w:val="24"/>
                <w:szCs w:val="24"/>
              </w:rPr>
            </w:pPr>
          </w:p>
        </w:tc>
        <w:tc>
          <w:tcPr>
            <w:tcW w:w="1004" w:type="dxa"/>
            <w:vAlign w:val="center"/>
          </w:tcPr>
          <w:p w14:paraId="24D04E0E">
            <w:pPr>
              <w:jc w:val="center"/>
              <w:outlineLvl w:val="9"/>
              <w:rPr>
                <w:rFonts w:hint="eastAsia" w:ascii="宋体" w:hAnsi="宋体" w:eastAsia="宋体" w:cs="宋体"/>
                <w:sz w:val="24"/>
                <w:szCs w:val="24"/>
              </w:rPr>
            </w:pPr>
          </w:p>
        </w:tc>
        <w:tc>
          <w:tcPr>
            <w:tcW w:w="890" w:type="dxa"/>
            <w:vAlign w:val="center"/>
          </w:tcPr>
          <w:p w14:paraId="4EDB0A61">
            <w:pPr>
              <w:jc w:val="center"/>
              <w:outlineLvl w:val="9"/>
              <w:rPr>
                <w:rFonts w:hint="eastAsia" w:ascii="宋体" w:hAnsi="宋体" w:eastAsia="宋体" w:cs="宋体"/>
                <w:sz w:val="24"/>
                <w:szCs w:val="24"/>
              </w:rPr>
            </w:pPr>
          </w:p>
        </w:tc>
        <w:tc>
          <w:tcPr>
            <w:tcW w:w="1031" w:type="dxa"/>
            <w:vAlign w:val="center"/>
          </w:tcPr>
          <w:p w14:paraId="2482F11D">
            <w:pPr>
              <w:jc w:val="center"/>
              <w:outlineLvl w:val="9"/>
              <w:rPr>
                <w:rFonts w:hint="eastAsia" w:ascii="宋体" w:hAnsi="宋体" w:eastAsia="宋体" w:cs="宋体"/>
                <w:sz w:val="24"/>
                <w:szCs w:val="24"/>
              </w:rPr>
            </w:pPr>
          </w:p>
        </w:tc>
        <w:tc>
          <w:tcPr>
            <w:tcW w:w="2819" w:type="dxa"/>
            <w:vAlign w:val="center"/>
          </w:tcPr>
          <w:p w14:paraId="44ECCF25">
            <w:pPr>
              <w:jc w:val="center"/>
              <w:outlineLvl w:val="9"/>
              <w:rPr>
                <w:rFonts w:hint="eastAsia" w:ascii="宋体" w:hAnsi="宋体" w:eastAsia="宋体" w:cs="宋体"/>
                <w:sz w:val="24"/>
                <w:szCs w:val="24"/>
              </w:rPr>
            </w:pPr>
          </w:p>
        </w:tc>
      </w:tr>
      <w:tr w14:paraId="6BBA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36CC2811">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185BD963">
            <w:pPr>
              <w:jc w:val="center"/>
              <w:outlineLvl w:val="9"/>
              <w:rPr>
                <w:rFonts w:hint="eastAsia" w:ascii="宋体" w:hAnsi="宋体" w:eastAsia="宋体" w:cs="宋体"/>
                <w:sz w:val="24"/>
                <w:szCs w:val="24"/>
              </w:rPr>
            </w:pPr>
          </w:p>
        </w:tc>
        <w:tc>
          <w:tcPr>
            <w:tcW w:w="891" w:type="dxa"/>
          </w:tcPr>
          <w:p w14:paraId="53204BC5">
            <w:pPr>
              <w:jc w:val="center"/>
              <w:outlineLvl w:val="9"/>
              <w:rPr>
                <w:rFonts w:hint="eastAsia" w:ascii="宋体" w:hAnsi="宋体" w:eastAsia="宋体" w:cs="宋体"/>
                <w:sz w:val="24"/>
                <w:szCs w:val="24"/>
              </w:rPr>
            </w:pPr>
          </w:p>
        </w:tc>
        <w:tc>
          <w:tcPr>
            <w:tcW w:w="891" w:type="dxa"/>
            <w:vAlign w:val="center"/>
          </w:tcPr>
          <w:p w14:paraId="2E42C39B">
            <w:pPr>
              <w:jc w:val="center"/>
              <w:outlineLvl w:val="9"/>
              <w:rPr>
                <w:rFonts w:hint="eastAsia" w:ascii="宋体" w:hAnsi="宋体" w:eastAsia="宋体" w:cs="宋体"/>
                <w:sz w:val="24"/>
                <w:szCs w:val="24"/>
              </w:rPr>
            </w:pPr>
          </w:p>
        </w:tc>
        <w:tc>
          <w:tcPr>
            <w:tcW w:w="1004" w:type="dxa"/>
            <w:vAlign w:val="center"/>
          </w:tcPr>
          <w:p w14:paraId="5A8B75FE">
            <w:pPr>
              <w:jc w:val="center"/>
              <w:outlineLvl w:val="9"/>
              <w:rPr>
                <w:rFonts w:hint="eastAsia" w:ascii="宋体" w:hAnsi="宋体" w:eastAsia="宋体" w:cs="宋体"/>
                <w:sz w:val="24"/>
                <w:szCs w:val="24"/>
              </w:rPr>
            </w:pPr>
          </w:p>
        </w:tc>
        <w:tc>
          <w:tcPr>
            <w:tcW w:w="890" w:type="dxa"/>
            <w:vAlign w:val="center"/>
          </w:tcPr>
          <w:p w14:paraId="7B38E61F">
            <w:pPr>
              <w:jc w:val="center"/>
              <w:outlineLvl w:val="9"/>
              <w:rPr>
                <w:rFonts w:hint="eastAsia" w:ascii="宋体" w:hAnsi="宋体" w:eastAsia="宋体" w:cs="宋体"/>
                <w:sz w:val="24"/>
                <w:szCs w:val="24"/>
              </w:rPr>
            </w:pPr>
          </w:p>
        </w:tc>
        <w:tc>
          <w:tcPr>
            <w:tcW w:w="1031" w:type="dxa"/>
            <w:vAlign w:val="center"/>
          </w:tcPr>
          <w:p w14:paraId="62966929">
            <w:pPr>
              <w:jc w:val="center"/>
              <w:outlineLvl w:val="9"/>
              <w:rPr>
                <w:rFonts w:hint="eastAsia" w:ascii="宋体" w:hAnsi="宋体" w:eastAsia="宋体" w:cs="宋体"/>
                <w:sz w:val="24"/>
                <w:szCs w:val="24"/>
              </w:rPr>
            </w:pPr>
          </w:p>
        </w:tc>
        <w:tc>
          <w:tcPr>
            <w:tcW w:w="2819" w:type="dxa"/>
            <w:vAlign w:val="center"/>
          </w:tcPr>
          <w:p w14:paraId="107F1FCE">
            <w:pPr>
              <w:jc w:val="center"/>
              <w:outlineLvl w:val="9"/>
              <w:rPr>
                <w:rFonts w:hint="eastAsia" w:ascii="宋体" w:hAnsi="宋体" w:eastAsia="宋体" w:cs="宋体"/>
                <w:sz w:val="24"/>
                <w:szCs w:val="24"/>
              </w:rPr>
            </w:pPr>
          </w:p>
        </w:tc>
      </w:tr>
      <w:tr w14:paraId="52CA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02607B09">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2A5C73F5">
            <w:pPr>
              <w:jc w:val="center"/>
              <w:outlineLvl w:val="9"/>
              <w:rPr>
                <w:rFonts w:hint="eastAsia" w:ascii="宋体" w:hAnsi="宋体" w:eastAsia="宋体" w:cs="宋体"/>
                <w:sz w:val="24"/>
                <w:szCs w:val="24"/>
              </w:rPr>
            </w:pPr>
          </w:p>
        </w:tc>
        <w:tc>
          <w:tcPr>
            <w:tcW w:w="891" w:type="dxa"/>
          </w:tcPr>
          <w:p w14:paraId="270BA470">
            <w:pPr>
              <w:jc w:val="center"/>
              <w:outlineLvl w:val="9"/>
              <w:rPr>
                <w:rFonts w:hint="eastAsia" w:ascii="宋体" w:hAnsi="宋体" w:eastAsia="宋体" w:cs="宋体"/>
                <w:sz w:val="24"/>
                <w:szCs w:val="24"/>
              </w:rPr>
            </w:pPr>
          </w:p>
        </w:tc>
        <w:tc>
          <w:tcPr>
            <w:tcW w:w="891" w:type="dxa"/>
            <w:vAlign w:val="center"/>
          </w:tcPr>
          <w:p w14:paraId="42F991A2">
            <w:pPr>
              <w:jc w:val="center"/>
              <w:outlineLvl w:val="9"/>
              <w:rPr>
                <w:rFonts w:hint="eastAsia" w:ascii="宋体" w:hAnsi="宋体" w:eastAsia="宋体" w:cs="宋体"/>
                <w:sz w:val="24"/>
                <w:szCs w:val="24"/>
              </w:rPr>
            </w:pPr>
          </w:p>
        </w:tc>
        <w:tc>
          <w:tcPr>
            <w:tcW w:w="1004" w:type="dxa"/>
            <w:vAlign w:val="center"/>
          </w:tcPr>
          <w:p w14:paraId="60420E40">
            <w:pPr>
              <w:jc w:val="center"/>
              <w:outlineLvl w:val="9"/>
              <w:rPr>
                <w:rFonts w:hint="eastAsia" w:ascii="宋体" w:hAnsi="宋体" w:eastAsia="宋体" w:cs="宋体"/>
                <w:sz w:val="24"/>
                <w:szCs w:val="24"/>
              </w:rPr>
            </w:pPr>
          </w:p>
        </w:tc>
        <w:tc>
          <w:tcPr>
            <w:tcW w:w="890" w:type="dxa"/>
            <w:vAlign w:val="center"/>
          </w:tcPr>
          <w:p w14:paraId="6FA4AABC">
            <w:pPr>
              <w:jc w:val="center"/>
              <w:outlineLvl w:val="9"/>
              <w:rPr>
                <w:rFonts w:hint="eastAsia" w:ascii="宋体" w:hAnsi="宋体" w:eastAsia="宋体" w:cs="宋体"/>
                <w:sz w:val="24"/>
                <w:szCs w:val="24"/>
              </w:rPr>
            </w:pPr>
          </w:p>
        </w:tc>
        <w:tc>
          <w:tcPr>
            <w:tcW w:w="1031" w:type="dxa"/>
            <w:vAlign w:val="center"/>
          </w:tcPr>
          <w:p w14:paraId="1BB4B050">
            <w:pPr>
              <w:jc w:val="center"/>
              <w:outlineLvl w:val="9"/>
              <w:rPr>
                <w:rFonts w:hint="eastAsia" w:ascii="宋体" w:hAnsi="宋体" w:eastAsia="宋体" w:cs="宋体"/>
                <w:sz w:val="24"/>
                <w:szCs w:val="24"/>
              </w:rPr>
            </w:pPr>
          </w:p>
        </w:tc>
        <w:tc>
          <w:tcPr>
            <w:tcW w:w="2819" w:type="dxa"/>
            <w:vAlign w:val="center"/>
          </w:tcPr>
          <w:p w14:paraId="1282ADCC">
            <w:pPr>
              <w:jc w:val="center"/>
              <w:outlineLvl w:val="9"/>
              <w:rPr>
                <w:rFonts w:hint="eastAsia" w:ascii="宋体" w:hAnsi="宋体" w:eastAsia="宋体" w:cs="宋体"/>
                <w:sz w:val="24"/>
                <w:szCs w:val="24"/>
              </w:rPr>
            </w:pPr>
          </w:p>
        </w:tc>
      </w:tr>
      <w:tr w14:paraId="5112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61" w:type="dxa"/>
            <w:vAlign w:val="center"/>
          </w:tcPr>
          <w:p w14:paraId="35EE617C">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7413E3D5">
            <w:pPr>
              <w:jc w:val="center"/>
              <w:outlineLvl w:val="9"/>
              <w:rPr>
                <w:rFonts w:hint="eastAsia" w:ascii="宋体" w:hAnsi="宋体" w:eastAsia="宋体" w:cs="宋体"/>
                <w:sz w:val="24"/>
                <w:szCs w:val="24"/>
              </w:rPr>
            </w:pPr>
          </w:p>
        </w:tc>
        <w:tc>
          <w:tcPr>
            <w:tcW w:w="891" w:type="dxa"/>
          </w:tcPr>
          <w:p w14:paraId="3BDB810C">
            <w:pPr>
              <w:jc w:val="center"/>
              <w:outlineLvl w:val="9"/>
              <w:rPr>
                <w:rFonts w:hint="eastAsia" w:ascii="宋体" w:hAnsi="宋体" w:eastAsia="宋体" w:cs="宋体"/>
                <w:sz w:val="24"/>
                <w:szCs w:val="24"/>
              </w:rPr>
            </w:pPr>
          </w:p>
        </w:tc>
        <w:tc>
          <w:tcPr>
            <w:tcW w:w="891" w:type="dxa"/>
            <w:vAlign w:val="center"/>
          </w:tcPr>
          <w:p w14:paraId="43ADC9C6">
            <w:pPr>
              <w:jc w:val="center"/>
              <w:outlineLvl w:val="9"/>
              <w:rPr>
                <w:rFonts w:hint="eastAsia" w:ascii="宋体" w:hAnsi="宋体" w:eastAsia="宋体" w:cs="宋体"/>
                <w:sz w:val="24"/>
                <w:szCs w:val="24"/>
              </w:rPr>
            </w:pPr>
          </w:p>
        </w:tc>
        <w:tc>
          <w:tcPr>
            <w:tcW w:w="1004" w:type="dxa"/>
            <w:vAlign w:val="center"/>
          </w:tcPr>
          <w:p w14:paraId="70BAE12C">
            <w:pPr>
              <w:jc w:val="center"/>
              <w:outlineLvl w:val="9"/>
              <w:rPr>
                <w:rFonts w:hint="eastAsia" w:ascii="宋体" w:hAnsi="宋体" w:eastAsia="宋体" w:cs="宋体"/>
                <w:sz w:val="24"/>
                <w:szCs w:val="24"/>
              </w:rPr>
            </w:pPr>
          </w:p>
        </w:tc>
        <w:tc>
          <w:tcPr>
            <w:tcW w:w="890" w:type="dxa"/>
            <w:vAlign w:val="center"/>
          </w:tcPr>
          <w:p w14:paraId="29C1506C">
            <w:pPr>
              <w:jc w:val="center"/>
              <w:outlineLvl w:val="9"/>
              <w:rPr>
                <w:rFonts w:hint="eastAsia" w:ascii="宋体" w:hAnsi="宋体" w:eastAsia="宋体" w:cs="宋体"/>
                <w:sz w:val="24"/>
                <w:szCs w:val="24"/>
              </w:rPr>
            </w:pPr>
          </w:p>
        </w:tc>
        <w:tc>
          <w:tcPr>
            <w:tcW w:w="1031" w:type="dxa"/>
            <w:vAlign w:val="center"/>
          </w:tcPr>
          <w:p w14:paraId="1DE4A557">
            <w:pPr>
              <w:jc w:val="center"/>
              <w:outlineLvl w:val="9"/>
              <w:rPr>
                <w:rFonts w:hint="eastAsia" w:ascii="宋体" w:hAnsi="宋体" w:eastAsia="宋体" w:cs="宋体"/>
                <w:sz w:val="24"/>
                <w:szCs w:val="24"/>
              </w:rPr>
            </w:pPr>
          </w:p>
        </w:tc>
        <w:tc>
          <w:tcPr>
            <w:tcW w:w="2819" w:type="dxa"/>
            <w:vAlign w:val="center"/>
          </w:tcPr>
          <w:p w14:paraId="4D578A1D">
            <w:pPr>
              <w:jc w:val="center"/>
              <w:outlineLvl w:val="9"/>
              <w:rPr>
                <w:rFonts w:hint="eastAsia" w:ascii="宋体" w:hAnsi="宋体" w:eastAsia="宋体" w:cs="宋体"/>
                <w:sz w:val="24"/>
                <w:szCs w:val="24"/>
              </w:rPr>
            </w:pPr>
          </w:p>
        </w:tc>
      </w:tr>
      <w:tr w14:paraId="3C17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61" w:type="dxa"/>
            <w:vAlign w:val="center"/>
          </w:tcPr>
          <w:p w14:paraId="69D32AD9">
            <w:pPr>
              <w:jc w:val="center"/>
              <w:outlineLvl w:val="9"/>
              <w:rPr>
                <w:rFonts w:hint="eastAsia" w:ascii="宋体" w:hAnsi="宋体" w:eastAsia="宋体" w:cs="宋体"/>
                <w:sz w:val="24"/>
                <w:szCs w:val="24"/>
              </w:rPr>
            </w:pPr>
            <w:r>
              <w:rPr>
                <w:rFonts w:hint="eastAsia" w:ascii="宋体" w:hAnsi="宋体" w:eastAsia="宋体" w:cs="宋体"/>
                <w:sz w:val="24"/>
                <w:szCs w:val="24"/>
              </w:rPr>
              <w:t>……</w:t>
            </w:r>
          </w:p>
        </w:tc>
        <w:tc>
          <w:tcPr>
            <w:tcW w:w="891" w:type="dxa"/>
            <w:vAlign w:val="center"/>
          </w:tcPr>
          <w:p w14:paraId="1891EFF4">
            <w:pPr>
              <w:jc w:val="center"/>
              <w:outlineLvl w:val="9"/>
              <w:rPr>
                <w:rFonts w:hint="eastAsia" w:ascii="宋体" w:hAnsi="宋体" w:eastAsia="宋体" w:cs="宋体"/>
                <w:sz w:val="24"/>
                <w:szCs w:val="24"/>
              </w:rPr>
            </w:pPr>
          </w:p>
        </w:tc>
        <w:tc>
          <w:tcPr>
            <w:tcW w:w="891" w:type="dxa"/>
          </w:tcPr>
          <w:p w14:paraId="4A01B79B">
            <w:pPr>
              <w:jc w:val="center"/>
              <w:outlineLvl w:val="9"/>
              <w:rPr>
                <w:rFonts w:hint="eastAsia" w:ascii="宋体" w:hAnsi="宋体" w:eastAsia="宋体" w:cs="宋体"/>
                <w:sz w:val="24"/>
                <w:szCs w:val="24"/>
              </w:rPr>
            </w:pPr>
          </w:p>
        </w:tc>
        <w:tc>
          <w:tcPr>
            <w:tcW w:w="891" w:type="dxa"/>
            <w:vAlign w:val="center"/>
          </w:tcPr>
          <w:p w14:paraId="1DC6EEFD">
            <w:pPr>
              <w:jc w:val="center"/>
              <w:outlineLvl w:val="9"/>
              <w:rPr>
                <w:rFonts w:hint="eastAsia" w:ascii="宋体" w:hAnsi="宋体" w:eastAsia="宋体" w:cs="宋体"/>
                <w:sz w:val="24"/>
                <w:szCs w:val="24"/>
              </w:rPr>
            </w:pPr>
          </w:p>
        </w:tc>
        <w:tc>
          <w:tcPr>
            <w:tcW w:w="1004" w:type="dxa"/>
            <w:vAlign w:val="center"/>
          </w:tcPr>
          <w:p w14:paraId="2DCD1E95">
            <w:pPr>
              <w:jc w:val="center"/>
              <w:outlineLvl w:val="9"/>
              <w:rPr>
                <w:rFonts w:hint="eastAsia" w:ascii="宋体" w:hAnsi="宋体" w:eastAsia="宋体" w:cs="宋体"/>
                <w:sz w:val="24"/>
                <w:szCs w:val="24"/>
              </w:rPr>
            </w:pPr>
          </w:p>
        </w:tc>
        <w:tc>
          <w:tcPr>
            <w:tcW w:w="890" w:type="dxa"/>
            <w:vAlign w:val="center"/>
          </w:tcPr>
          <w:p w14:paraId="3780A3A2">
            <w:pPr>
              <w:jc w:val="center"/>
              <w:outlineLvl w:val="9"/>
              <w:rPr>
                <w:rFonts w:hint="eastAsia" w:ascii="宋体" w:hAnsi="宋体" w:eastAsia="宋体" w:cs="宋体"/>
                <w:sz w:val="24"/>
                <w:szCs w:val="24"/>
              </w:rPr>
            </w:pPr>
          </w:p>
        </w:tc>
        <w:tc>
          <w:tcPr>
            <w:tcW w:w="1031" w:type="dxa"/>
            <w:vAlign w:val="center"/>
          </w:tcPr>
          <w:p w14:paraId="70E123B5">
            <w:pPr>
              <w:jc w:val="center"/>
              <w:outlineLvl w:val="9"/>
              <w:rPr>
                <w:rFonts w:hint="eastAsia" w:ascii="宋体" w:hAnsi="宋体" w:eastAsia="宋体" w:cs="宋体"/>
                <w:sz w:val="24"/>
                <w:szCs w:val="24"/>
              </w:rPr>
            </w:pPr>
          </w:p>
        </w:tc>
        <w:tc>
          <w:tcPr>
            <w:tcW w:w="2819" w:type="dxa"/>
            <w:vAlign w:val="center"/>
          </w:tcPr>
          <w:p w14:paraId="3CCBC523">
            <w:pPr>
              <w:jc w:val="center"/>
              <w:outlineLvl w:val="9"/>
              <w:rPr>
                <w:rFonts w:hint="eastAsia" w:ascii="宋体" w:hAnsi="宋体" w:eastAsia="宋体" w:cs="宋体"/>
                <w:sz w:val="24"/>
                <w:szCs w:val="24"/>
              </w:rPr>
            </w:pPr>
          </w:p>
        </w:tc>
      </w:tr>
    </w:tbl>
    <w:p w14:paraId="766B6012">
      <w:pPr>
        <w:ind w:firstLine="480" w:firstLineChars="200"/>
        <w:outlineLvl w:val="9"/>
        <w:rPr>
          <w:rFonts w:hint="eastAsia" w:ascii="宋体" w:hAnsi="宋体" w:eastAsia="宋体" w:cs="宋体"/>
          <w:sz w:val="24"/>
          <w:szCs w:val="24"/>
          <w:highlight w:val="none"/>
        </w:rPr>
      </w:pPr>
    </w:p>
    <w:p w14:paraId="3788666B">
      <w:pPr>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备注：附</w:t>
      </w:r>
      <w:r>
        <w:rPr>
          <w:rFonts w:hint="eastAsia" w:ascii="宋体" w:hAnsi="宋体" w:eastAsia="宋体" w:cs="宋体"/>
          <w:sz w:val="24"/>
          <w:szCs w:val="24"/>
          <w:highlight w:val="none"/>
          <w:lang w:val="en-US" w:eastAsia="zh-CN"/>
        </w:rPr>
        <w:t>身份证、</w:t>
      </w:r>
      <w:r>
        <w:rPr>
          <w:rFonts w:hint="eastAsia" w:ascii="宋体" w:hAnsi="宋体" w:cs="宋体"/>
          <w:sz w:val="24"/>
          <w:szCs w:val="24"/>
          <w:highlight w:val="none"/>
          <w:lang w:val="en-US" w:eastAsia="zh-CN"/>
        </w:rPr>
        <w:t>学历证明（毕业证）、其他</w:t>
      </w:r>
      <w:r>
        <w:rPr>
          <w:rFonts w:hint="eastAsia" w:ascii="宋体" w:hAnsi="宋体" w:eastAsia="宋体" w:cs="宋体"/>
          <w:sz w:val="24"/>
          <w:szCs w:val="24"/>
          <w:highlight w:val="none"/>
        </w:rPr>
        <w:t>相关证书</w:t>
      </w:r>
      <w:r>
        <w:rPr>
          <w:rFonts w:hint="eastAsia" w:ascii="宋体" w:hAnsi="宋体" w:cs="宋体"/>
          <w:sz w:val="24"/>
          <w:szCs w:val="24"/>
          <w:highlight w:val="none"/>
          <w:lang w:val="en-US" w:eastAsia="zh-CN"/>
        </w:rPr>
        <w:t>等相关证明材料的原件扫描件或复印件</w:t>
      </w:r>
      <w:r>
        <w:rPr>
          <w:rFonts w:hint="eastAsia" w:ascii="宋体" w:hAnsi="宋体" w:eastAsia="宋体" w:cs="宋体"/>
          <w:sz w:val="24"/>
          <w:szCs w:val="24"/>
          <w:highlight w:val="none"/>
          <w:lang w:val="en-US" w:eastAsia="zh-CN"/>
        </w:rPr>
        <w:t>扫描件</w:t>
      </w:r>
      <w:r>
        <w:rPr>
          <w:rFonts w:hint="eastAsia" w:ascii="宋体" w:hAnsi="宋体" w:eastAsia="宋体" w:cs="宋体"/>
          <w:sz w:val="24"/>
          <w:szCs w:val="24"/>
          <w:highlight w:val="none"/>
        </w:rPr>
        <w:t>（加盖公章）</w:t>
      </w:r>
    </w:p>
    <w:p w14:paraId="51F9400E">
      <w:pPr>
        <w:ind w:firstLine="480" w:firstLineChars="200"/>
        <w:outlineLvl w:val="9"/>
        <w:rPr>
          <w:rFonts w:hint="eastAsia" w:ascii="宋体" w:hAnsi="宋体" w:eastAsia="宋体" w:cs="宋体"/>
          <w:sz w:val="24"/>
          <w:szCs w:val="24"/>
        </w:rPr>
      </w:pPr>
    </w:p>
    <w:p w14:paraId="7563C13D">
      <w:pPr>
        <w:pStyle w:val="21"/>
        <w:rPr>
          <w:rFonts w:hint="eastAsia" w:ascii="宋体" w:hAnsi="宋体" w:eastAsia="宋体" w:cs="宋体"/>
          <w:sz w:val="24"/>
          <w:szCs w:val="24"/>
        </w:rPr>
      </w:pPr>
    </w:p>
    <w:p w14:paraId="51243E3D">
      <w:pPr>
        <w:pStyle w:val="21"/>
        <w:rPr>
          <w:rFonts w:hint="eastAsia" w:ascii="宋体" w:hAnsi="宋体" w:eastAsia="宋体" w:cs="宋体"/>
          <w:sz w:val="24"/>
          <w:szCs w:val="24"/>
        </w:rPr>
      </w:pPr>
    </w:p>
    <w:p w14:paraId="34347DB1">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73EDBBA7">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4E2092E5">
      <w:pPr>
        <w:outlineLvl w:val="9"/>
        <w:rPr>
          <w:rFonts w:hint="eastAsia" w:ascii="宋体" w:hAnsi="宋体" w:eastAsia="宋体" w:cs="宋体"/>
          <w:sz w:val="24"/>
          <w:szCs w:val="24"/>
        </w:rPr>
      </w:pPr>
    </w:p>
    <w:p w14:paraId="15E6796E">
      <w:pPr>
        <w:keepNext w:val="0"/>
        <w:keepLines w:val="0"/>
        <w:pageBreakBefore w:val="0"/>
        <w:widowControl w:val="0"/>
        <w:kinsoku/>
        <w:wordWrap w:val="0"/>
        <w:overflowPunct/>
        <w:topLinePunct/>
        <w:autoSpaceDE/>
        <w:autoSpaceDN/>
        <w:bidi w:val="0"/>
        <w:adjustRightInd w:val="0"/>
        <w:snapToGrid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p>
    <w:p w14:paraId="51E3DE6C">
      <w:pPr>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br w:type="page"/>
      </w:r>
    </w:p>
    <w:p w14:paraId="53BD0DB5">
      <w:pPr>
        <w:pStyle w:val="54"/>
        <w:keepNext w:val="0"/>
        <w:keepLines w:val="0"/>
        <w:widowControl w:val="0"/>
        <w:shd w:val="clear" w:color="auto" w:fill="auto"/>
        <w:bidi w:val="0"/>
        <w:spacing w:before="0" w:after="740" w:line="240" w:lineRule="auto"/>
        <w:ind w:left="0" w:right="0" w:firstLine="0"/>
        <w:jc w:val="both"/>
        <w:outlineLvl w:val="9"/>
      </w:pPr>
      <w:r>
        <w:rPr>
          <w:rFonts w:hint="eastAsia"/>
          <w:color w:val="000000"/>
          <w:spacing w:val="0"/>
          <w:w w:val="100"/>
          <w:position w:val="0"/>
          <w:sz w:val="24"/>
          <w:szCs w:val="24"/>
          <w:lang w:val="en-US" w:eastAsia="zh-CN"/>
        </w:rPr>
        <w:t>10-4</w:t>
      </w:r>
      <w:r>
        <w:rPr>
          <w:color w:val="000000"/>
          <w:spacing w:val="0"/>
          <w:w w:val="100"/>
          <w:position w:val="0"/>
          <w:sz w:val="24"/>
          <w:szCs w:val="24"/>
        </w:rPr>
        <w:t>拟投入</w:t>
      </w:r>
      <w:r>
        <w:rPr>
          <w:rFonts w:hint="eastAsia"/>
          <w:color w:val="000000"/>
          <w:spacing w:val="0"/>
          <w:w w:val="100"/>
          <w:position w:val="0"/>
          <w:sz w:val="24"/>
          <w:szCs w:val="24"/>
          <w:lang w:val="en-US" w:eastAsia="zh-CN"/>
        </w:rPr>
        <w:t>车辆、设备</w:t>
      </w:r>
      <w:r>
        <w:rPr>
          <w:color w:val="000000"/>
          <w:spacing w:val="0"/>
          <w:w w:val="100"/>
          <w:position w:val="0"/>
          <w:sz w:val="24"/>
          <w:szCs w:val="24"/>
        </w:rPr>
        <w:t>一览表</w:t>
      </w:r>
    </w:p>
    <w:p w14:paraId="7A5F5666">
      <w:pPr>
        <w:pStyle w:val="54"/>
        <w:keepNext w:val="0"/>
        <w:keepLines w:val="0"/>
        <w:widowControl w:val="0"/>
        <w:shd w:val="clear" w:color="auto" w:fill="auto"/>
        <w:tabs>
          <w:tab w:val="left" w:pos="4425"/>
          <w:tab w:val="left" w:pos="7485"/>
        </w:tabs>
        <w:bidi w:val="0"/>
        <w:spacing w:before="0" w:after="300" w:line="240" w:lineRule="auto"/>
        <w:ind w:right="0"/>
        <w:jc w:val="both"/>
        <w:outlineLvl w:val="9"/>
        <w:rPr>
          <w:rFonts w:hint="default" w:eastAsia="宋体"/>
          <w:lang w:val="en-US" w:eastAsia="zh-CN"/>
        </w:rPr>
      </w:pPr>
      <w:r>
        <w:rPr>
          <w:color w:val="000000"/>
          <w:spacing w:val="0"/>
          <w:w w:val="100"/>
          <w:position w:val="0"/>
          <w:sz w:val="24"/>
          <w:szCs w:val="24"/>
        </w:rPr>
        <w:t>项目名称：</w:t>
      </w:r>
      <w:r>
        <w:rPr>
          <w:u w:val="single"/>
        </w:rPr>
        <w:t xml:space="preserve"> </w:t>
      </w:r>
      <w:r>
        <w:rPr>
          <w:rFonts w:hint="eastAsia"/>
          <w:u w:val="single"/>
          <w:lang w:val="en-US" w:eastAsia="zh-CN"/>
        </w:rPr>
        <w:t xml:space="preserve">              </w:t>
      </w:r>
      <w:r>
        <w:rPr>
          <w:rFonts w:hint="eastAsia"/>
          <w:u w:val="none"/>
          <w:lang w:val="en-US" w:eastAsia="zh-CN"/>
        </w:rPr>
        <w:t xml:space="preserve">          </w:t>
      </w:r>
      <w:r>
        <w:rPr>
          <w:rFonts w:hint="eastAsia"/>
          <w:color w:val="000000"/>
          <w:spacing w:val="0"/>
          <w:w w:val="100"/>
          <w:position w:val="0"/>
          <w:sz w:val="24"/>
          <w:szCs w:val="24"/>
          <w:lang w:val="en-US" w:eastAsia="zh-CN"/>
        </w:rPr>
        <w:t>项目</w:t>
      </w:r>
      <w:r>
        <w:rPr>
          <w:color w:val="000000"/>
          <w:spacing w:val="0"/>
          <w:w w:val="100"/>
          <w:position w:val="0"/>
          <w:sz w:val="24"/>
          <w:szCs w:val="24"/>
        </w:rPr>
        <w:t>编号：</w:t>
      </w:r>
      <w:r>
        <w:rPr>
          <w:rFonts w:hint="eastAsia"/>
          <w:u w:val="single"/>
          <w:lang w:val="en-US" w:eastAsia="zh-CN"/>
        </w:rPr>
        <w:t xml:space="preserve">              </w:t>
      </w:r>
    </w:p>
    <w:tbl>
      <w:tblPr>
        <w:tblStyle w:val="23"/>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898"/>
        <w:gridCol w:w="1337"/>
        <w:gridCol w:w="1646"/>
        <w:gridCol w:w="2670"/>
      </w:tblGrid>
      <w:tr w14:paraId="2BBC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blHeader/>
          <w:jc w:val="center"/>
        </w:trPr>
        <w:tc>
          <w:tcPr>
            <w:tcW w:w="1147" w:type="dxa"/>
            <w:tcBorders>
              <w:tl2br w:val="nil"/>
              <w:tr2bl w:val="nil"/>
            </w:tcBorders>
            <w:vAlign w:val="center"/>
          </w:tcPr>
          <w:p w14:paraId="7A3BE768">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序号</w:t>
            </w:r>
          </w:p>
        </w:tc>
        <w:tc>
          <w:tcPr>
            <w:tcW w:w="1898" w:type="dxa"/>
            <w:tcBorders>
              <w:tl2br w:val="nil"/>
              <w:tr2bl w:val="nil"/>
            </w:tcBorders>
            <w:vAlign w:val="center"/>
          </w:tcPr>
          <w:p w14:paraId="40422A91">
            <w:pPr>
              <w:widowControl w:val="0"/>
              <w:spacing w:before="120" w:after="120" w:line="22" w:lineRule="atLeast"/>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cs="仿宋"/>
                <w:bCs/>
                <w:color w:val="000000" w:themeColor="text1"/>
                <w:kern w:val="2"/>
                <w:sz w:val="24"/>
                <w:szCs w:val="21"/>
                <w:lang w:val="en-US" w:eastAsia="zh-CN" w:bidi="ar-SA"/>
                <w14:textFill>
                  <w14:solidFill>
                    <w14:schemeClr w14:val="tx1"/>
                  </w14:solidFill>
                </w14:textFill>
              </w:rPr>
              <w:t>车辆、</w:t>
            </w:r>
            <w:r>
              <w:rPr>
                <w:rFonts w:hint="eastAsia" w:ascii="宋体" w:hAnsi="宋体" w:eastAsia="宋体" w:cs="仿宋"/>
                <w:bCs/>
                <w:color w:val="000000" w:themeColor="text1"/>
                <w:kern w:val="2"/>
                <w:sz w:val="24"/>
                <w:szCs w:val="21"/>
                <w:lang w:val="en-US" w:eastAsia="zh-CN" w:bidi="ar-SA"/>
                <w14:textFill>
                  <w14:solidFill>
                    <w14:schemeClr w14:val="tx1"/>
                  </w14:solidFill>
                </w14:textFill>
              </w:rPr>
              <w:t>设备名称</w:t>
            </w:r>
          </w:p>
        </w:tc>
        <w:tc>
          <w:tcPr>
            <w:tcW w:w="1337" w:type="dxa"/>
            <w:tcBorders>
              <w:tl2br w:val="nil"/>
              <w:tr2bl w:val="nil"/>
            </w:tcBorders>
            <w:vAlign w:val="center"/>
          </w:tcPr>
          <w:p w14:paraId="0384121A">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数量</w:t>
            </w:r>
          </w:p>
        </w:tc>
        <w:tc>
          <w:tcPr>
            <w:tcW w:w="1646" w:type="dxa"/>
            <w:tcBorders>
              <w:tl2br w:val="nil"/>
              <w:tr2bl w:val="nil"/>
            </w:tcBorders>
            <w:vAlign w:val="center"/>
          </w:tcPr>
          <w:p w14:paraId="60FEF5A1">
            <w:pPr>
              <w:widowControl w:val="0"/>
              <w:spacing w:before="120" w:after="120" w:line="22" w:lineRule="atLeast"/>
              <w:ind w:firstLine="240" w:firstLineChars="1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购买年限</w:t>
            </w:r>
          </w:p>
        </w:tc>
        <w:tc>
          <w:tcPr>
            <w:tcW w:w="2670" w:type="dxa"/>
            <w:tcBorders>
              <w:tl2br w:val="nil"/>
              <w:tr2bl w:val="nil"/>
            </w:tcBorders>
            <w:vAlign w:val="center"/>
          </w:tcPr>
          <w:p w14:paraId="6A9885C7">
            <w:pPr>
              <w:widowControl w:val="0"/>
              <w:spacing w:before="120" w:after="120" w:line="22" w:lineRule="atLeast"/>
              <w:ind w:firstLine="720" w:firstLineChars="3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用途</w:t>
            </w:r>
          </w:p>
        </w:tc>
      </w:tr>
      <w:tr w14:paraId="48D1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04E9207D">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1</w:t>
            </w:r>
          </w:p>
        </w:tc>
        <w:tc>
          <w:tcPr>
            <w:tcW w:w="1898" w:type="dxa"/>
            <w:tcBorders>
              <w:tl2br w:val="nil"/>
              <w:tr2bl w:val="nil"/>
            </w:tcBorders>
            <w:shd w:val="clear" w:color="auto" w:fill="auto"/>
            <w:vAlign w:val="center"/>
          </w:tcPr>
          <w:p w14:paraId="325D88DC">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1E4D138B">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53298F76">
            <w:pPr>
              <w:widowControl w:val="0"/>
              <w:spacing w:before="120" w:after="120" w:line="22" w:lineRule="atLeast"/>
              <w:ind w:firstLine="240" w:firstLineChars="1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28165FEB">
            <w:pPr>
              <w:widowControl w:val="0"/>
              <w:spacing w:before="120" w:after="120" w:line="22" w:lineRule="atLeast"/>
              <w:ind w:firstLine="240" w:firstLineChars="1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p>
        </w:tc>
      </w:tr>
      <w:tr w14:paraId="3FC0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56B92419">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2</w:t>
            </w:r>
          </w:p>
        </w:tc>
        <w:tc>
          <w:tcPr>
            <w:tcW w:w="1898" w:type="dxa"/>
            <w:tcBorders>
              <w:tl2br w:val="nil"/>
              <w:tr2bl w:val="nil"/>
            </w:tcBorders>
            <w:shd w:val="clear" w:color="auto" w:fill="auto"/>
            <w:vAlign w:val="center"/>
          </w:tcPr>
          <w:p w14:paraId="0EC53C2B">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5B56318C">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6425E04B">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08052634">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r>
      <w:tr w14:paraId="525D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3598DCC5">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3</w:t>
            </w:r>
          </w:p>
        </w:tc>
        <w:tc>
          <w:tcPr>
            <w:tcW w:w="1898" w:type="dxa"/>
            <w:tcBorders>
              <w:tl2br w:val="nil"/>
              <w:tr2bl w:val="nil"/>
            </w:tcBorders>
            <w:shd w:val="clear" w:color="auto" w:fill="auto"/>
            <w:vAlign w:val="center"/>
          </w:tcPr>
          <w:p w14:paraId="36DCA7DA">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114A2875">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52B52C4D">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6287454C">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r>
      <w:tr w14:paraId="59FE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31808027">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4</w:t>
            </w:r>
          </w:p>
        </w:tc>
        <w:tc>
          <w:tcPr>
            <w:tcW w:w="1898" w:type="dxa"/>
            <w:tcBorders>
              <w:tl2br w:val="nil"/>
              <w:tr2bl w:val="nil"/>
            </w:tcBorders>
            <w:shd w:val="clear" w:color="auto" w:fill="auto"/>
            <w:vAlign w:val="center"/>
          </w:tcPr>
          <w:p w14:paraId="6A05DF17">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65B19D27">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49D9E2CA">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486E3BBF">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r>
      <w:tr w14:paraId="457A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0F871B6B">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5</w:t>
            </w:r>
          </w:p>
        </w:tc>
        <w:tc>
          <w:tcPr>
            <w:tcW w:w="1898" w:type="dxa"/>
            <w:tcBorders>
              <w:tl2br w:val="nil"/>
              <w:tr2bl w:val="nil"/>
            </w:tcBorders>
            <w:shd w:val="clear" w:color="auto" w:fill="auto"/>
            <w:vAlign w:val="center"/>
          </w:tcPr>
          <w:p w14:paraId="40E572BE">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5217346D">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3DF860C6">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52317C4D">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r>
      <w:tr w14:paraId="3582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47" w:type="dxa"/>
            <w:tcBorders>
              <w:tl2br w:val="nil"/>
              <w:tr2bl w:val="nil"/>
            </w:tcBorders>
            <w:vAlign w:val="center"/>
          </w:tcPr>
          <w:p w14:paraId="16EFBE85">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6</w:t>
            </w:r>
          </w:p>
        </w:tc>
        <w:tc>
          <w:tcPr>
            <w:tcW w:w="1898" w:type="dxa"/>
            <w:tcBorders>
              <w:tl2br w:val="nil"/>
              <w:tr2bl w:val="nil"/>
            </w:tcBorders>
            <w:shd w:val="clear" w:color="auto" w:fill="auto"/>
            <w:vAlign w:val="center"/>
          </w:tcPr>
          <w:p w14:paraId="66BEFE2F">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5FD8F65B">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04C8F7D2">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0B192230">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r>
      <w:tr w14:paraId="64CB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147" w:type="dxa"/>
            <w:tcBorders>
              <w:tl2br w:val="nil"/>
              <w:tr2bl w:val="nil"/>
            </w:tcBorders>
            <w:vAlign w:val="center"/>
          </w:tcPr>
          <w:p w14:paraId="00E971D3">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r>
              <w:rPr>
                <w:rFonts w:hint="eastAsia" w:ascii="宋体" w:hAnsi="宋体" w:eastAsia="宋体" w:cs="仿宋"/>
                <w:bCs/>
                <w:color w:val="000000" w:themeColor="text1"/>
                <w:kern w:val="2"/>
                <w:sz w:val="24"/>
                <w:szCs w:val="21"/>
                <w:lang w:val="en-US" w:eastAsia="zh-CN" w:bidi="ar-SA"/>
                <w14:textFill>
                  <w14:solidFill>
                    <w14:schemeClr w14:val="tx1"/>
                  </w14:solidFill>
                </w14:textFill>
              </w:rPr>
              <w:t>……</w:t>
            </w:r>
          </w:p>
        </w:tc>
        <w:tc>
          <w:tcPr>
            <w:tcW w:w="1898" w:type="dxa"/>
            <w:tcBorders>
              <w:tl2br w:val="nil"/>
              <w:tr2bl w:val="nil"/>
            </w:tcBorders>
            <w:shd w:val="clear" w:color="auto" w:fill="auto"/>
            <w:vAlign w:val="center"/>
          </w:tcPr>
          <w:p w14:paraId="49DE4C11">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337" w:type="dxa"/>
            <w:tcBorders>
              <w:tl2br w:val="nil"/>
              <w:tr2bl w:val="nil"/>
            </w:tcBorders>
            <w:shd w:val="clear" w:color="auto" w:fill="auto"/>
            <w:vAlign w:val="center"/>
          </w:tcPr>
          <w:p w14:paraId="5494EE5A">
            <w:pPr>
              <w:widowControl w:val="0"/>
              <w:spacing w:before="120" w:after="120" w:line="22" w:lineRule="atLeast"/>
              <w:ind w:firstLine="240" w:firstLineChars="100"/>
              <w:jc w:val="both"/>
              <w:rPr>
                <w:rFonts w:hint="eastAsia" w:ascii="宋体" w:hAnsi="宋体" w:eastAsia="宋体" w:cs="仿宋"/>
                <w:bCs/>
                <w:color w:val="000000" w:themeColor="text1"/>
                <w:kern w:val="2"/>
                <w:sz w:val="24"/>
                <w:szCs w:val="21"/>
                <w:lang w:val="en-US" w:eastAsia="zh-CN" w:bidi="ar-SA"/>
                <w14:textFill>
                  <w14:solidFill>
                    <w14:schemeClr w14:val="tx1"/>
                  </w14:solidFill>
                </w14:textFill>
              </w:rPr>
            </w:pPr>
          </w:p>
        </w:tc>
        <w:tc>
          <w:tcPr>
            <w:tcW w:w="1646" w:type="dxa"/>
            <w:tcBorders>
              <w:tl2br w:val="nil"/>
              <w:tr2bl w:val="nil"/>
            </w:tcBorders>
            <w:shd w:val="clear" w:color="auto" w:fill="auto"/>
            <w:vAlign w:val="center"/>
          </w:tcPr>
          <w:p w14:paraId="4EA42587">
            <w:pPr>
              <w:widowControl w:val="0"/>
              <w:spacing w:before="120" w:after="120" w:line="22" w:lineRule="atLeast"/>
              <w:ind w:firstLine="240" w:firstLineChars="1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p>
        </w:tc>
        <w:tc>
          <w:tcPr>
            <w:tcW w:w="2670" w:type="dxa"/>
            <w:tcBorders>
              <w:tl2br w:val="nil"/>
              <w:tr2bl w:val="nil"/>
            </w:tcBorders>
            <w:shd w:val="clear" w:color="auto" w:fill="auto"/>
            <w:vAlign w:val="center"/>
          </w:tcPr>
          <w:p w14:paraId="7BAC2380">
            <w:pPr>
              <w:widowControl w:val="0"/>
              <w:spacing w:before="120" w:after="120" w:line="22" w:lineRule="atLeast"/>
              <w:ind w:firstLine="240" w:firstLineChars="100"/>
              <w:jc w:val="both"/>
              <w:rPr>
                <w:rFonts w:hint="default" w:ascii="宋体" w:hAnsi="宋体" w:eastAsia="宋体" w:cs="仿宋"/>
                <w:bCs/>
                <w:color w:val="000000" w:themeColor="text1"/>
                <w:kern w:val="2"/>
                <w:sz w:val="24"/>
                <w:szCs w:val="21"/>
                <w:lang w:val="en-US" w:eastAsia="zh-CN" w:bidi="ar-SA"/>
                <w14:textFill>
                  <w14:solidFill>
                    <w14:schemeClr w14:val="tx1"/>
                  </w14:solidFill>
                </w14:textFill>
              </w:rPr>
            </w:pPr>
          </w:p>
        </w:tc>
      </w:tr>
    </w:tbl>
    <w:p w14:paraId="03E1C83C">
      <w:pPr>
        <w:pStyle w:val="21"/>
        <w:rPr>
          <w:rFonts w:hint="eastAsia"/>
          <w:lang w:val="en-US" w:eastAsia="zh-CN"/>
        </w:rPr>
      </w:pPr>
    </w:p>
    <w:p w14:paraId="5CB70E54">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3D04DBD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4C4C751F">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2F3B3265">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6EB4822F">
      <w:pPr>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br w:type="page"/>
      </w:r>
    </w:p>
    <w:p w14:paraId="21DEEE23">
      <w:pPr>
        <w:keepNext w:val="0"/>
        <w:keepLines w:val="0"/>
        <w:pageBreakBefore w:val="0"/>
        <w:widowControl w:val="0"/>
        <w:kinsoku/>
        <w:wordWrap w:val="0"/>
        <w:overflowPunct/>
        <w:topLinePunct/>
        <w:autoSpaceDE/>
        <w:autoSpaceDN/>
        <w:bidi w:val="0"/>
        <w:adjustRightInd w:val="0"/>
        <w:snapToGrid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10-5招标代理服务费承诺书</w:t>
      </w:r>
    </w:p>
    <w:p w14:paraId="19E38DC4">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u w:val="single"/>
        </w:rPr>
      </w:pPr>
    </w:p>
    <w:p w14:paraId="535E9328">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u w:val="single"/>
        </w:rPr>
        <w:t>北京中盛宇工程管理有限公司</w:t>
      </w:r>
      <w:r>
        <w:rPr>
          <w:rFonts w:hint="eastAsia" w:asciiTheme="minorEastAsia" w:hAnsiTheme="minorEastAsia" w:eastAsiaTheme="minorEastAsia" w:cstheme="minorEastAsia"/>
          <w:b w:val="0"/>
          <w:bCs w:val="0"/>
          <w:snapToGrid/>
          <w:spacing w:val="0"/>
          <w:kern w:val="21"/>
          <w:sz w:val="24"/>
          <w:szCs w:val="24"/>
          <w:highlight w:val="none"/>
        </w:rPr>
        <w:t>：</w:t>
      </w:r>
    </w:p>
    <w:p w14:paraId="0C612B7A">
      <w:pPr>
        <w:keepNext w:val="0"/>
        <w:keepLines w:val="0"/>
        <w:pageBreakBefore w:val="0"/>
        <w:widowControl w:val="0"/>
        <w:kinsoku/>
        <w:wordWrap w:val="0"/>
        <w:overflowPunct/>
        <w:topLinePunct/>
        <w:autoSpaceDE/>
        <w:autoSpaceDN/>
        <w:bidi w:val="0"/>
        <w:spacing w:line="360" w:lineRule="auto"/>
        <w:ind w:firstLine="480" w:firstLineChars="200"/>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我公司在贵公司组织的</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（项目名称，项目编号）</w:t>
      </w:r>
      <w:r>
        <w:rPr>
          <w:rFonts w:hint="eastAsia" w:asciiTheme="minorEastAsia" w:hAnsiTheme="minorEastAsia" w:eastAsiaTheme="minorEastAsia" w:cstheme="minorEastAsia"/>
          <w:b w:val="0"/>
          <w:bCs w:val="0"/>
          <w:snapToGrid/>
          <w:spacing w:val="0"/>
          <w:kern w:val="21"/>
          <w:sz w:val="24"/>
          <w:szCs w:val="24"/>
          <w:highlight w:val="none"/>
        </w:rPr>
        <w:t>的招标中若为</w:t>
      </w:r>
      <w:r>
        <w:rPr>
          <w:rFonts w:hint="eastAsia" w:asciiTheme="minorEastAsia" w:hAnsiTheme="minorEastAsia" w:eastAsiaTheme="minorEastAsia" w:cstheme="minorEastAsia"/>
          <w:b w:val="0"/>
          <w:bCs w:val="0"/>
          <w:snapToGrid/>
          <w:spacing w:val="0"/>
          <w:kern w:val="21"/>
          <w:sz w:val="24"/>
          <w:szCs w:val="24"/>
          <w:highlight w:val="none"/>
          <w:lang w:val="en-US" w:eastAsia="zh-CN"/>
        </w:rPr>
        <w:t>成交供应商</w:t>
      </w:r>
      <w:r>
        <w:rPr>
          <w:rFonts w:hint="eastAsia" w:asciiTheme="minorEastAsia" w:hAnsiTheme="minorEastAsia" w:eastAsiaTheme="minorEastAsia" w:cstheme="minorEastAsia"/>
          <w:b w:val="0"/>
          <w:bCs w:val="0"/>
          <w:snapToGrid/>
          <w:spacing w:val="0"/>
          <w:kern w:val="21"/>
          <w:sz w:val="24"/>
          <w:szCs w:val="24"/>
          <w:highlight w:val="none"/>
        </w:rPr>
        <w:t>，我公司保证在领取</w:t>
      </w:r>
      <w:r>
        <w:rPr>
          <w:rFonts w:hint="eastAsia" w:asciiTheme="minorEastAsia" w:hAnsiTheme="minorEastAsia" w:eastAsiaTheme="minorEastAsia" w:cstheme="minorEastAsia"/>
          <w:b w:val="0"/>
          <w:bCs w:val="0"/>
          <w:snapToGrid/>
          <w:spacing w:val="0"/>
          <w:kern w:val="21"/>
          <w:sz w:val="24"/>
          <w:szCs w:val="24"/>
          <w:highlight w:val="none"/>
          <w:lang w:val="en-US" w:eastAsia="zh-CN"/>
        </w:rPr>
        <w:t>成交</w:t>
      </w:r>
      <w:r>
        <w:rPr>
          <w:rFonts w:hint="eastAsia" w:asciiTheme="minorEastAsia" w:hAnsiTheme="minorEastAsia" w:eastAsiaTheme="minorEastAsia" w:cstheme="minorEastAsia"/>
          <w:b w:val="0"/>
          <w:bCs w:val="0"/>
          <w:snapToGrid/>
          <w:spacing w:val="0"/>
          <w:kern w:val="21"/>
          <w:sz w:val="24"/>
          <w:szCs w:val="24"/>
          <w:highlight w:val="none"/>
        </w:rPr>
        <w:t>通知书时按</w:t>
      </w:r>
      <w:r>
        <w:rPr>
          <w:rFonts w:hint="eastAsia" w:asciiTheme="minorEastAsia" w:hAnsiTheme="minorEastAsia" w:eastAsiaTheme="minorEastAsia" w:cstheme="minorEastAsia"/>
          <w:b w:val="0"/>
          <w:bCs w:val="0"/>
          <w:snapToGrid/>
          <w:spacing w:val="0"/>
          <w:kern w:val="21"/>
          <w:sz w:val="24"/>
          <w:szCs w:val="24"/>
          <w:highlight w:val="none"/>
          <w:lang w:val="en-US" w:eastAsia="zh-CN"/>
        </w:rPr>
        <w:t>竞争性磋商</w:t>
      </w:r>
      <w:r>
        <w:rPr>
          <w:rFonts w:hint="eastAsia" w:asciiTheme="minorEastAsia" w:hAnsiTheme="minorEastAsia" w:eastAsiaTheme="minorEastAsia" w:cstheme="minorEastAsia"/>
          <w:b w:val="0"/>
          <w:bCs w:val="0"/>
          <w:snapToGrid/>
          <w:spacing w:val="0"/>
          <w:kern w:val="21"/>
          <w:sz w:val="24"/>
          <w:szCs w:val="24"/>
          <w:highlight w:val="none"/>
        </w:rPr>
        <w:t>的规定向贵公司支付招标代理服务费。如我公司未按上述承诺支付招标代理服务费，贵公司有权取消我公司的</w:t>
      </w:r>
      <w:r>
        <w:rPr>
          <w:rFonts w:hint="eastAsia" w:asciiTheme="minorEastAsia" w:hAnsiTheme="minorEastAsia" w:eastAsiaTheme="minorEastAsia" w:cstheme="minorEastAsia"/>
          <w:b w:val="0"/>
          <w:bCs w:val="0"/>
          <w:snapToGrid/>
          <w:spacing w:val="0"/>
          <w:kern w:val="21"/>
          <w:sz w:val="24"/>
          <w:szCs w:val="24"/>
          <w:highlight w:val="none"/>
          <w:lang w:val="en-US" w:eastAsia="zh-CN"/>
        </w:rPr>
        <w:t>成交</w:t>
      </w:r>
      <w:r>
        <w:rPr>
          <w:rFonts w:hint="eastAsia" w:asciiTheme="minorEastAsia" w:hAnsiTheme="minorEastAsia" w:eastAsiaTheme="minorEastAsia" w:cstheme="minorEastAsia"/>
          <w:b w:val="0"/>
          <w:bCs w:val="0"/>
          <w:snapToGrid/>
          <w:spacing w:val="0"/>
          <w:kern w:val="21"/>
          <w:sz w:val="24"/>
          <w:szCs w:val="24"/>
          <w:highlight w:val="none"/>
        </w:rPr>
        <w:t>资格，由此产生的一切法律后果和责任由我公司承担。</w:t>
      </w:r>
    </w:p>
    <w:p w14:paraId="567365AB">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5554740F">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19F836B5">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2AAEF3C9">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6045D781">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09C177FC">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br w:type="page"/>
      </w:r>
    </w:p>
    <w:p w14:paraId="15A7B490">
      <w:pPr>
        <w:keepNext w:val="0"/>
        <w:keepLines w:val="0"/>
        <w:pageBreakBefore w:val="0"/>
        <w:widowControl w:val="0"/>
        <w:kinsoku/>
        <w:wordWrap w:val="0"/>
        <w:overflowPunct/>
        <w:topLinePunct/>
        <w:autoSpaceDE/>
        <w:autoSpaceDN/>
        <w:bidi w:val="0"/>
        <w:adjustRightInd w:val="0"/>
        <w:snapToGrid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10-6</w:t>
      </w:r>
      <w:r>
        <w:rPr>
          <w:rFonts w:hint="eastAsia" w:asciiTheme="minorEastAsia" w:hAnsiTheme="minorEastAsia" w:eastAsiaTheme="minorEastAsia" w:cstheme="minorEastAsia"/>
          <w:b w:val="0"/>
          <w:bCs w:val="0"/>
          <w:snapToGrid/>
          <w:spacing w:val="0"/>
          <w:kern w:val="21"/>
          <w:sz w:val="24"/>
          <w:szCs w:val="24"/>
          <w:highlight w:val="none"/>
        </w:rPr>
        <w:t>供应商认为应附的其他材料</w:t>
      </w:r>
    </w:p>
    <w:p w14:paraId="31D146AB">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287BFDBE">
      <w:pPr>
        <w:keepNext w:val="0"/>
        <w:keepLines w:val="0"/>
        <w:pageBreakBefore w:val="0"/>
        <w:widowControl w:val="0"/>
        <w:kinsoku/>
        <w:wordWrap w:val="0"/>
        <w:overflowPunct/>
        <w:topLinePunct/>
        <w:autoSpaceDE/>
        <w:autoSpaceDN/>
        <w:bidi w:val="0"/>
        <w:adjustRightInd w:val="0"/>
        <w:snapToGrid w:val="0"/>
        <w:spacing w:line="360" w:lineRule="auto"/>
        <w:jc w:val="both"/>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11服务方案</w:t>
      </w:r>
    </w:p>
    <w:p w14:paraId="681C8992">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（格式自拟）</w:t>
      </w:r>
    </w:p>
    <w:p w14:paraId="38D7622E">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6FBADF9E">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12最后</w:t>
      </w:r>
      <w:r>
        <w:rPr>
          <w:rFonts w:hint="eastAsia" w:asciiTheme="minorEastAsia" w:hAnsiTheme="minorEastAsia" w:eastAsiaTheme="minorEastAsia" w:cstheme="minorEastAsia"/>
          <w:b w:val="0"/>
          <w:bCs w:val="0"/>
          <w:snapToGrid/>
          <w:spacing w:val="0"/>
          <w:kern w:val="21"/>
          <w:sz w:val="24"/>
          <w:szCs w:val="24"/>
          <w:highlight w:val="none"/>
        </w:rPr>
        <w:t>报价一览表</w:t>
      </w:r>
    </w:p>
    <w:p w14:paraId="7C5914C1">
      <w:pPr>
        <w:keepNext w:val="0"/>
        <w:keepLines w:val="0"/>
        <w:pageBreakBefore w:val="0"/>
        <w:widowControl w:val="0"/>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最后</w:t>
      </w:r>
      <w:r>
        <w:rPr>
          <w:rFonts w:hint="eastAsia" w:asciiTheme="minorEastAsia" w:hAnsiTheme="minorEastAsia" w:eastAsiaTheme="minorEastAsia" w:cstheme="minorEastAsia"/>
          <w:b w:val="0"/>
          <w:bCs w:val="0"/>
          <w:snapToGrid/>
          <w:color w:val="000000"/>
          <w:spacing w:val="0"/>
          <w:kern w:val="21"/>
          <w:sz w:val="24"/>
          <w:szCs w:val="24"/>
          <w:highlight w:val="none"/>
        </w:rPr>
        <w:t>报价一览表</w:t>
      </w:r>
    </w:p>
    <w:p w14:paraId="75851E9C">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301B02EE">
      <w:pPr>
        <w:keepNext w:val="0"/>
        <w:keepLines w:val="0"/>
        <w:pageBreakBefore w:val="0"/>
        <w:widowControl w:val="0"/>
        <w:tabs>
          <w:tab w:val="left" w:pos="1800"/>
          <w:tab w:val="left" w:pos="5580"/>
        </w:tabs>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color w:val="000000"/>
          <w:spacing w:val="0"/>
          <w:kern w:val="21"/>
          <w:sz w:val="24"/>
          <w:szCs w:val="24"/>
          <w:highlight w:val="none"/>
          <w:u w:val="single"/>
          <w:lang w:val="en-US"/>
        </w:rPr>
      </w:pPr>
      <w:r>
        <w:rPr>
          <w:rFonts w:hint="eastAsia" w:asciiTheme="minorEastAsia" w:hAnsiTheme="minorEastAsia" w:eastAsiaTheme="minorEastAsia" w:cstheme="minorEastAsia"/>
          <w:b w:val="0"/>
          <w:bCs w:val="0"/>
          <w:snapToGrid/>
          <w:color w:val="000000"/>
          <w:spacing w:val="0"/>
          <w:kern w:val="21"/>
          <w:sz w:val="24"/>
          <w:szCs w:val="24"/>
          <w:highlight w:val="none"/>
        </w:rPr>
        <w:t>项目编号：</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项目名称：</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u w:val="none"/>
          <w:lang w:val="en-US" w:eastAsia="zh-CN"/>
        </w:rPr>
        <w:t xml:space="preserve"> </w:t>
      </w:r>
      <w:r>
        <w:rPr>
          <w:rFonts w:hint="eastAsia" w:asciiTheme="minorEastAsia" w:hAnsiTheme="minorEastAsia" w:eastAsiaTheme="minorEastAsia" w:cstheme="minorEastAsia"/>
          <w:b w:val="0"/>
          <w:bCs w:val="0"/>
          <w:snapToGrid/>
          <w:color w:val="000000"/>
          <w:spacing w:val="0"/>
          <w:w w:val="100"/>
          <w:kern w:val="21"/>
          <w:sz w:val="24"/>
          <w:szCs w:val="24"/>
          <w:highlight w:val="none"/>
        </w:rPr>
        <w:t>报价单位：</w:t>
      </w:r>
      <w:r>
        <w:rPr>
          <w:rFonts w:hint="eastAsia" w:asciiTheme="minorEastAsia" w:hAnsiTheme="minorEastAsia" w:eastAsiaTheme="minorEastAsia" w:cstheme="minorEastAsia"/>
          <w:b w:val="0"/>
          <w:bCs w:val="0"/>
          <w:snapToGrid/>
          <w:color w:val="000000"/>
          <w:spacing w:val="0"/>
          <w:w w:val="100"/>
          <w:kern w:val="21"/>
          <w:sz w:val="24"/>
          <w:szCs w:val="24"/>
          <w:highlight w:val="none"/>
          <w:u w:val="single"/>
        </w:rPr>
        <w:t>人民币元</w:t>
      </w:r>
    </w:p>
    <w:tbl>
      <w:tblPr>
        <w:tblStyle w:val="23"/>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3"/>
        <w:gridCol w:w="2408"/>
        <w:gridCol w:w="1626"/>
        <w:gridCol w:w="1626"/>
        <w:gridCol w:w="1591"/>
        <w:gridCol w:w="1150"/>
        <w:gridCol w:w="690"/>
      </w:tblGrid>
      <w:tr w14:paraId="50F7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3" w:type="dxa"/>
            <w:vMerge w:val="restart"/>
            <w:tcBorders>
              <w:top w:val="single" w:color="auto" w:sz="4" w:space="0"/>
              <w:left w:val="single" w:color="auto" w:sz="4" w:space="0"/>
              <w:bottom w:val="single" w:color="auto" w:sz="4" w:space="0"/>
              <w:right w:val="single" w:color="auto" w:sz="4" w:space="0"/>
            </w:tcBorders>
            <w:vAlign w:val="center"/>
          </w:tcPr>
          <w:p w14:paraId="4DC1F033">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序号</w:t>
            </w:r>
          </w:p>
        </w:tc>
        <w:tc>
          <w:tcPr>
            <w:tcW w:w="2408" w:type="dxa"/>
            <w:vMerge w:val="restart"/>
            <w:tcBorders>
              <w:top w:val="single" w:color="auto" w:sz="4" w:space="0"/>
              <w:left w:val="single" w:color="auto" w:sz="4" w:space="0"/>
              <w:bottom w:val="single" w:color="auto" w:sz="4" w:space="0"/>
              <w:right w:val="single" w:color="auto" w:sz="4" w:space="0"/>
            </w:tcBorders>
            <w:vAlign w:val="center"/>
          </w:tcPr>
          <w:p w14:paraId="405B5D58">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供应商名称</w:t>
            </w:r>
          </w:p>
        </w:tc>
        <w:tc>
          <w:tcPr>
            <w:tcW w:w="3252" w:type="dxa"/>
            <w:gridSpan w:val="2"/>
            <w:tcBorders>
              <w:top w:val="single" w:color="auto" w:sz="4" w:space="0"/>
              <w:left w:val="single" w:color="auto" w:sz="4" w:space="0"/>
              <w:bottom w:val="single" w:color="auto" w:sz="4" w:space="0"/>
              <w:right w:val="single" w:color="auto" w:sz="4" w:space="0"/>
            </w:tcBorders>
            <w:vAlign w:val="center"/>
          </w:tcPr>
          <w:p w14:paraId="11566FC0">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eastAsia="zh-CN"/>
              </w:rPr>
            </w:pPr>
            <w:r>
              <w:rPr>
                <w:rFonts w:hint="eastAsia" w:asciiTheme="minorEastAsia" w:hAnsiTheme="minorEastAsia" w:eastAsiaTheme="minorEastAsia" w:cstheme="minorEastAsia"/>
                <w:b w:val="0"/>
                <w:bCs w:val="0"/>
                <w:snapToGrid/>
                <w:spacing w:val="0"/>
                <w:kern w:val="21"/>
                <w:sz w:val="24"/>
                <w:szCs w:val="24"/>
                <w:highlight w:val="none"/>
              </w:rPr>
              <w:t>报价</w:t>
            </w:r>
            <w:r>
              <w:rPr>
                <w:rFonts w:hint="eastAsia" w:asciiTheme="minorEastAsia" w:hAnsiTheme="minorEastAsia" w:eastAsiaTheme="minorEastAsia" w:cstheme="minorEastAsia"/>
                <w:b w:val="0"/>
                <w:bCs w:val="0"/>
                <w:snapToGrid/>
                <w:spacing w:val="0"/>
                <w:kern w:val="21"/>
                <w:sz w:val="24"/>
                <w:szCs w:val="24"/>
                <w:highlight w:val="none"/>
                <w:lang w:eastAsia="zh-CN"/>
              </w:rPr>
              <w:t>（</w:t>
            </w:r>
            <w:r>
              <w:rPr>
                <w:rFonts w:hint="eastAsia" w:asciiTheme="minorEastAsia" w:hAnsiTheme="minorEastAsia" w:eastAsiaTheme="minorEastAsia" w:cstheme="minorEastAsia"/>
                <w:b w:val="0"/>
                <w:bCs w:val="0"/>
                <w:snapToGrid/>
                <w:spacing w:val="0"/>
                <w:kern w:val="21"/>
                <w:sz w:val="24"/>
                <w:szCs w:val="24"/>
                <w:highlight w:val="none"/>
                <w:lang w:val="en-US" w:eastAsia="zh-CN"/>
              </w:rPr>
              <w:t>元</w:t>
            </w:r>
            <w:r>
              <w:rPr>
                <w:rFonts w:hint="eastAsia" w:asciiTheme="minorEastAsia" w:hAnsiTheme="minorEastAsia" w:eastAsiaTheme="minorEastAsia" w:cstheme="minorEastAsia"/>
                <w:b w:val="0"/>
                <w:bCs w:val="0"/>
                <w:snapToGrid/>
                <w:spacing w:val="0"/>
                <w:kern w:val="21"/>
                <w:sz w:val="24"/>
                <w:szCs w:val="24"/>
                <w:highlight w:val="none"/>
                <w:lang w:eastAsia="zh-CN"/>
              </w:rPr>
              <w:t>）</w:t>
            </w:r>
          </w:p>
        </w:tc>
        <w:tc>
          <w:tcPr>
            <w:tcW w:w="1591" w:type="dxa"/>
            <w:vMerge w:val="restart"/>
            <w:tcBorders>
              <w:top w:val="single" w:color="auto" w:sz="4" w:space="0"/>
              <w:left w:val="single" w:color="auto" w:sz="4" w:space="0"/>
              <w:right w:val="single" w:color="auto" w:sz="4" w:space="0"/>
            </w:tcBorders>
            <w:vAlign w:val="center"/>
          </w:tcPr>
          <w:p w14:paraId="627B7AFD">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合同履行期限</w:t>
            </w:r>
          </w:p>
        </w:tc>
        <w:tc>
          <w:tcPr>
            <w:tcW w:w="1150" w:type="dxa"/>
            <w:vMerge w:val="restart"/>
            <w:tcBorders>
              <w:top w:val="single" w:color="auto" w:sz="4" w:space="0"/>
              <w:left w:val="single" w:color="auto" w:sz="4" w:space="0"/>
              <w:right w:val="single" w:color="auto" w:sz="4" w:space="0"/>
            </w:tcBorders>
            <w:vAlign w:val="center"/>
          </w:tcPr>
          <w:p w14:paraId="4225B277">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服务地点</w:t>
            </w:r>
          </w:p>
        </w:tc>
        <w:tc>
          <w:tcPr>
            <w:tcW w:w="690" w:type="dxa"/>
            <w:vMerge w:val="restart"/>
            <w:tcBorders>
              <w:top w:val="single" w:color="auto" w:sz="4" w:space="0"/>
              <w:left w:val="single" w:color="auto" w:sz="4" w:space="0"/>
              <w:right w:val="single" w:color="auto" w:sz="4" w:space="0"/>
            </w:tcBorders>
            <w:vAlign w:val="center"/>
          </w:tcPr>
          <w:p w14:paraId="01D74902">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lang w:val="en-US" w:eastAsia="zh-CN"/>
              </w:rPr>
            </w:pPr>
            <w:r>
              <w:rPr>
                <w:rFonts w:hint="eastAsia" w:asciiTheme="minorEastAsia" w:hAnsiTheme="minorEastAsia" w:eastAsiaTheme="minorEastAsia" w:cstheme="minorEastAsia"/>
                <w:b w:val="0"/>
                <w:bCs w:val="0"/>
                <w:snapToGrid/>
                <w:spacing w:val="0"/>
                <w:kern w:val="21"/>
                <w:sz w:val="24"/>
                <w:szCs w:val="24"/>
                <w:highlight w:val="none"/>
              </w:rPr>
              <w:t>备注</w:t>
            </w:r>
          </w:p>
        </w:tc>
      </w:tr>
      <w:tr w14:paraId="0B95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53" w:type="dxa"/>
            <w:vMerge w:val="continue"/>
            <w:tcBorders>
              <w:top w:val="single" w:color="auto" w:sz="4" w:space="0"/>
              <w:left w:val="single" w:color="auto" w:sz="4" w:space="0"/>
              <w:bottom w:val="single" w:color="auto" w:sz="4" w:space="0"/>
              <w:right w:val="single" w:color="auto" w:sz="4" w:space="0"/>
            </w:tcBorders>
            <w:vAlign w:val="center"/>
          </w:tcPr>
          <w:p w14:paraId="50BC7409">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2408" w:type="dxa"/>
            <w:vMerge w:val="continue"/>
            <w:tcBorders>
              <w:top w:val="single" w:color="auto" w:sz="4" w:space="0"/>
              <w:left w:val="single" w:color="auto" w:sz="4" w:space="0"/>
              <w:bottom w:val="single" w:color="auto" w:sz="4" w:space="0"/>
              <w:right w:val="single" w:color="auto" w:sz="4" w:space="0"/>
            </w:tcBorders>
            <w:vAlign w:val="center"/>
          </w:tcPr>
          <w:p w14:paraId="052C24BC">
            <w:pPr>
              <w:keepNext w:val="0"/>
              <w:keepLines w:val="0"/>
              <w:pageBreakBefore w:val="0"/>
              <w:widowControl w:val="0"/>
              <w:kinsoku/>
              <w:wordWrap w:val="0"/>
              <w:overflowPunct/>
              <w:topLinePunct/>
              <w:autoSpaceDE/>
              <w:autoSpaceDN/>
              <w:bidi w:val="0"/>
              <w:spacing w:line="360" w:lineRule="auto"/>
              <w:jc w:val="left"/>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74B3D2E6">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大写</w:t>
            </w:r>
          </w:p>
        </w:tc>
        <w:tc>
          <w:tcPr>
            <w:tcW w:w="1626" w:type="dxa"/>
            <w:tcBorders>
              <w:top w:val="single" w:color="auto" w:sz="4" w:space="0"/>
              <w:left w:val="single" w:color="auto" w:sz="4" w:space="0"/>
              <w:bottom w:val="single" w:color="auto" w:sz="4" w:space="0"/>
              <w:right w:val="single" w:color="auto" w:sz="4" w:space="0"/>
            </w:tcBorders>
            <w:vAlign w:val="center"/>
          </w:tcPr>
          <w:p w14:paraId="5B80CD53">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t>小写</w:t>
            </w:r>
          </w:p>
        </w:tc>
        <w:tc>
          <w:tcPr>
            <w:tcW w:w="1591" w:type="dxa"/>
            <w:vMerge w:val="continue"/>
            <w:tcBorders>
              <w:left w:val="single" w:color="auto" w:sz="4" w:space="0"/>
              <w:bottom w:val="single" w:color="auto" w:sz="4" w:space="0"/>
              <w:right w:val="single" w:color="auto" w:sz="4" w:space="0"/>
            </w:tcBorders>
            <w:vAlign w:val="center"/>
          </w:tcPr>
          <w:p w14:paraId="57F71D07">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150" w:type="dxa"/>
            <w:vMerge w:val="continue"/>
            <w:tcBorders>
              <w:left w:val="single" w:color="auto" w:sz="4" w:space="0"/>
              <w:bottom w:val="single" w:color="auto" w:sz="4" w:space="0"/>
              <w:right w:val="single" w:color="auto" w:sz="4" w:space="0"/>
            </w:tcBorders>
            <w:vAlign w:val="center"/>
          </w:tcPr>
          <w:p w14:paraId="787398C5">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690" w:type="dxa"/>
            <w:vMerge w:val="continue"/>
            <w:tcBorders>
              <w:left w:val="single" w:color="auto" w:sz="4" w:space="0"/>
              <w:bottom w:val="single" w:color="auto" w:sz="4" w:space="0"/>
              <w:right w:val="single" w:color="auto" w:sz="4" w:space="0"/>
            </w:tcBorders>
            <w:vAlign w:val="center"/>
          </w:tcPr>
          <w:p w14:paraId="26AF2ADD">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r w14:paraId="4447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4" w:hRule="atLeast"/>
          <w:jc w:val="center"/>
        </w:trPr>
        <w:tc>
          <w:tcPr>
            <w:tcW w:w="653" w:type="dxa"/>
            <w:tcBorders>
              <w:top w:val="single" w:color="auto" w:sz="4" w:space="0"/>
              <w:left w:val="single" w:color="auto" w:sz="4" w:space="0"/>
              <w:bottom w:val="single" w:color="auto" w:sz="4" w:space="0"/>
              <w:right w:val="single" w:color="auto" w:sz="4" w:space="0"/>
            </w:tcBorders>
            <w:vAlign w:val="center"/>
          </w:tcPr>
          <w:p w14:paraId="06A3722C">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2408" w:type="dxa"/>
            <w:tcBorders>
              <w:top w:val="single" w:color="auto" w:sz="4" w:space="0"/>
              <w:left w:val="single" w:color="auto" w:sz="4" w:space="0"/>
              <w:bottom w:val="single" w:color="auto" w:sz="4" w:space="0"/>
              <w:right w:val="single" w:color="auto" w:sz="4" w:space="0"/>
            </w:tcBorders>
            <w:vAlign w:val="center"/>
          </w:tcPr>
          <w:p w14:paraId="0B19B95F">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47755E10">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183F42FE">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591" w:type="dxa"/>
            <w:tcBorders>
              <w:top w:val="single" w:color="auto" w:sz="4" w:space="0"/>
              <w:left w:val="single" w:color="auto" w:sz="4" w:space="0"/>
              <w:bottom w:val="single" w:color="auto" w:sz="4" w:space="0"/>
              <w:right w:val="single" w:color="auto" w:sz="4" w:space="0"/>
            </w:tcBorders>
            <w:vAlign w:val="center"/>
          </w:tcPr>
          <w:p w14:paraId="676E9B03">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1150" w:type="dxa"/>
            <w:tcBorders>
              <w:top w:val="single" w:color="auto" w:sz="4" w:space="0"/>
              <w:left w:val="single" w:color="auto" w:sz="4" w:space="0"/>
              <w:bottom w:val="single" w:color="auto" w:sz="4" w:space="0"/>
              <w:right w:val="single" w:color="auto" w:sz="4" w:space="0"/>
            </w:tcBorders>
            <w:vAlign w:val="center"/>
          </w:tcPr>
          <w:p w14:paraId="370ABA66">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c>
          <w:tcPr>
            <w:tcW w:w="690" w:type="dxa"/>
            <w:tcBorders>
              <w:top w:val="single" w:color="auto" w:sz="4" w:space="0"/>
              <w:left w:val="single" w:color="auto" w:sz="4" w:space="0"/>
              <w:bottom w:val="single" w:color="auto" w:sz="4" w:space="0"/>
              <w:right w:val="single" w:color="auto" w:sz="4" w:space="0"/>
            </w:tcBorders>
            <w:vAlign w:val="center"/>
          </w:tcPr>
          <w:p w14:paraId="570E0CFF">
            <w:pPr>
              <w:keepNext w:val="0"/>
              <w:keepLines w:val="0"/>
              <w:pageBreakBefore w:val="0"/>
              <w:widowControl w:val="0"/>
              <w:tabs>
                <w:tab w:val="left" w:pos="5580"/>
              </w:tabs>
              <w:kinsoku/>
              <w:wordWrap w:val="0"/>
              <w:overflowPunct/>
              <w:topLinePunct/>
              <w:autoSpaceDE/>
              <w:autoSpaceDN/>
              <w:bidi w:val="0"/>
              <w:spacing w:line="360" w:lineRule="auto"/>
              <w:jc w:val="center"/>
              <w:outlineLvl w:val="9"/>
              <w:rPr>
                <w:rFonts w:hint="eastAsia" w:asciiTheme="minorEastAsia" w:hAnsiTheme="minorEastAsia" w:eastAsiaTheme="minorEastAsia" w:cstheme="minorEastAsia"/>
                <w:b w:val="0"/>
                <w:bCs w:val="0"/>
                <w:snapToGrid/>
                <w:spacing w:val="0"/>
                <w:kern w:val="21"/>
                <w:sz w:val="24"/>
                <w:szCs w:val="24"/>
                <w:highlight w:val="none"/>
              </w:rPr>
            </w:pPr>
          </w:p>
        </w:tc>
      </w:tr>
    </w:tbl>
    <w:p w14:paraId="0F141BA4">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注：</w:t>
      </w:r>
    </w:p>
    <w:p w14:paraId="6A6DB40E">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1.此表中，每包的报价应和《</w:t>
      </w:r>
      <w:r>
        <w:rPr>
          <w:rFonts w:hint="eastAsia" w:asciiTheme="minorEastAsia" w:hAnsiTheme="minorEastAsia" w:eastAsiaTheme="minorEastAsia" w:cstheme="minorEastAsia"/>
          <w:b w:val="0"/>
          <w:bCs w:val="0"/>
          <w:snapToGrid/>
          <w:spacing w:val="0"/>
          <w:kern w:val="21"/>
          <w:sz w:val="24"/>
          <w:szCs w:val="24"/>
          <w:highlight w:val="none"/>
          <w:lang w:val="en-US" w:eastAsia="zh-CN"/>
        </w:rPr>
        <w:t>最后</w:t>
      </w:r>
      <w:r>
        <w:rPr>
          <w:rFonts w:hint="eastAsia" w:asciiTheme="minorEastAsia" w:hAnsiTheme="minorEastAsia" w:eastAsiaTheme="minorEastAsia" w:cstheme="minorEastAsia"/>
          <w:b w:val="0"/>
          <w:bCs w:val="0"/>
          <w:snapToGrid/>
          <w:color w:val="000000"/>
          <w:spacing w:val="0"/>
          <w:kern w:val="21"/>
          <w:sz w:val="24"/>
          <w:szCs w:val="24"/>
          <w:highlight w:val="none"/>
        </w:rPr>
        <w:t>分项报价表</w:t>
      </w: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》中的总价相一致。</w:t>
      </w:r>
    </w:p>
    <w:p w14:paraId="7342071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4"/>
          <w:szCs w:val="24"/>
          <w:highlight w:val="none"/>
          <w:shd w:val="clear" w:color="auto" w:fill="FFFFFF"/>
          <w:lang w:val="en-US" w:eastAsia="zh-CN" w:bidi="ar-SA"/>
        </w:rPr>
        <w:t>2.成交供应商在领取成交通知书的当日，按此格式提交2份纸质版最后报价一览表。</w:t>
      </w:r>
    </w:p>
    <w:p w14:paraId="703B6358">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07E0766F">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20F8D9D0">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rPr>
      </w:pPr>
    </w:p>
    <w:p w14:paraId="085AF28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pPr>
      <w:r>
        <w:rPr>
          <w:rFonts w:hint="eastAsia" w:asciiTheme="minorEastAsia" w:hAnsiTheme="minorEastAsia" w:eastAsiaTheme="minorEastAsia" w:cstheme="minorEastAsia"/>
          <w:b w:val="0"/>
          <w:bCs w:val="0"/>
          <w:snapToGrid/>
          <w:color w:val="000000"/>
          <w:spacing w:val="0"/>
          <w:kern w:val="21"/>
          <w:sz w:val="24"/>
          <w:szCs w:val="24"/>
          <w:highlight w:val="none"/>
        </w:rPr>
        <w:t>供应商名称（加盖公章）</w:t>
      </w:r>
      <w:r>
        <w:rPr>
          <w:rFonts w:hint="eastAsia" w:asciiTheme="minorEastAsia" w:hAnsiTheme="minorEastAsia" w:eastAsiaTheme="minorEastAsia" w:cstheme="minorEastAsia"/>
          <w:b w:val="0"/>
          <w:bCs w:val="0"/>
          <w:snapToGrid/>
          <w:color w:val="000000"/>
          <w:spacing w:val="0"/>
          <w:kern w:val="21"/>
          <w:sz w:val="24"/>
          <w:szCs w:val="24"/>
          <w:highlight w:val="none"/>
          <w:lang w:val="zh-CN"/>
        </w:rPr>
        <w:t>：</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p>
    <w:p w14:paraId="16EA58A5">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日期：</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年</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月</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日</w:t>
      </w:r>
    </w:p>
    <w:p w14:paraId="53CF1107">
      <w:pPr>
        <w:keepNext w:val="0"/>
        <w:keepLines w:val="0"/>
        <w:pageBreakBefore w:val="0"/>
        <w:widowControl w:val="0"/>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rPr>
        <w:br w:type="page"/>
      </w:r>
    </w:p>
    <w:p w14:paraId="5D90C7C3">
      <w:pPr>
        <w:keepNext w:val="0"/>
        <w:keepLines w:val="0"/>
        <w:pageBreakBefore w:val="0"/>
        <w:widowControl w:val="0"/>
        <w:tabs>
          <w:tab w:val="left" w:pos="360"/>
        </w:tabs>
        <w:kinsoku/>
        <w:wordWrap w:val="0"/>
        <w:overflowPunct/>
        <w:topLinePunct/>
        <w:autoSpaceDE/>
        <w:autoSpaceDN/>
        <w:bidi w:val="0"/>
        <w:snapToGrid w:val="0"/>
        <w:spacing w:line="360" w:lineRule="auto"/>
        <w:outlineLvl w:val="9"/>
        <w:rPr>
          <w:rFonts w:hint="eastAsia" w:asciiTheme="minorEastAsia" w:hAnsiTheme="minorEastAsia" w:eastAsiaTheme="minorEastAsia" w:cstheme="minorEastAsia"/>
          <w:b w:val="0"/>
          <w:bCs w:val="0"/>
          <w:snapToGrid/>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13最后</w:t>
      </w:r>
      <w:r>
        <w:rPr>
          <w:rFonts w:hint="eastAsia" w:asciiTheme="minorEastAsia" w:hAnsiTheme="minorEastAsia" w:eastAsiaTheme="minorEastAsia" w:cstheme="minorEastAsia"/>
          <w:b w:val="0"/>
          <w:bCs w:val="0"/>
          <w:snapToGrid/>
          <w:spacing w:val="0"/>
          <w:kern w:val="21"/>
          <w:sz w:val="24"/>
          <w:szCs w:val="24"/>
          <w:highlight w:val="none"/>
        </w:rPr>
        <w:t>分项报价表</w:t>
      </w:r>
    </w:p>
    <w:p w14:paraId="19F83C1D">
      <w:pPr>
        <w:keepNext w:val="0"/>
        <w:keepLines w:val="0"/>
        <w:pageBreakBefore w:val="0"/>
        <w:widowControl w:val="0"/>
        <w:tabs>
          <w:tab w:val="left" w:pos="1800"/>
          <w:tab w:val="left" w:pos="5580"/>
        </w:tabs>
        <w:kinsoku/>
        <w:wordWrap w:val="0"/>
        <w:overflowPunct/>
        <w:topLinePunct/>
        <w:autoSpaceDE/>
        <w:autoSpaceDN/>
        <w:bidi w:val="0"/>
        <w:spacing w:line="360" w:lineRule="auto"/>
        <w:ind w:firstLine="240" w:firstLineChars="100"/>
        <w:jc w:val="center"/>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spacing w:val="0"/>
          <w:kern w:val="21"/>
          <w:sz w:val="24"/>
          <w:szCs w:val="24"/>
          <w:highlight w:val="none"/>
          <w:lang w:val="en-US" w:eastAsia="zh-CN"/>
        </w:rPr>
        <w:t>最后</w:t>
      </w:r>
      <w:r>
        <w:rPr>
          <w:rFonts w:hint="eastAsia" w:asciiTheme="minorEastAsia" w:hAnsiTheme="minorEastAsia" w:eastAsiaTheme="minorEastAsia" w:cstheme="minorEastAsia"/>
          <w:b w:val="0"/>
          <w:bCs w:val="0"/>
          <w:snapToGrid/>
          <w:color w:val="000000"/>
          <w:spacing w:val="0"/>
          <w:kern w:val="21"/>
          <w:sz w:val="24"/>
          <w:szCs w:val="24"/>
          <w:highlight w:val="none"/>
        </w:rPr>
        <w:t>分项报价表</w:t>
      </w:r>
    </w:p>
    <w:p w14:paraId="54A4F36F">
      <w:pPr>
        <w:keepNext w:val="0"/>
        <w:keepLines w:val="0"/>
        <w:pageBreakBefore w:val="0"/>
        <w:widowControl w:val="0"/>
        <w:tabs>
          <w:tab w:val="left" w:pos="1800"/>
          <w:tab w:val="left" w:pos="5580"/>
        </w:tabs>
        <w:kinsoku/>
        <w:wordWrap w:val="0"/>
        <w:overflowPunct/>
        <w:topLinePunct/>
        <w:autoSpaceDE/>
        <w:autoSpaceDN/>
        <w:bidi w:val="0"/>
        <w:spacing w:line="360" w:lineRule="auto"/>
        <w:outlineLvl w:val="9"/>
        <w:rPr>
          <w:rFonts w:hint="eastAsia" w:asciiTheme="minorEastAsia" w:hAnsiTheme="minorEastAsia" w:eastAsiaTheme="minorEastAsia" w:cstheme="minorEastAsia"/>
          <w:b w:val="0"/>
          <w:bCs w:val="0"/>
          <w:snapToGrid/>
          <w:color w:val="000000"/>
          <w:spacing w:val="0"/>
          <w:kern w:val="21"/>
          <w:sz w:val="24"/>
          <w:szCs w:val="24"/>
          <w:highlight w:val="none"/>
        </w:rPr>
      </w:pPr>
      <w:r>
        <w:rPr>
          <w:rFonts w:hint="eastAsia" w:asciiTheme="minorEastAsia" w:hAnsiTheme="minorEastAsia" w:eastAsiaTheme="minorEastAsia" w:cstheme="minorEastAsia"/>
          <w:b w:val="0"/>
          <w:bCs w:val="0"/>
          <w:snapToGrid/>
          <w:color w:val="000000"/>
          <w:spacing w:val="0"/>
          <w:kern w:val="21"/>
          <w:sz w:val="24"/>
          <w:szCs w:val="24"/>
          <w:highlight w:val="none"/>
        </w:rPr>
        <w:t>项目编号：</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lang w:val="en-US" w:eastAsia="zh-CN"/>
        </w:rPr>
        <w:t xml:space="preserve">     </w:t>
      </w:r>
      <w:r>
        <w:rPr>
          <w:rFonts w:hint="eastAsia" w:asciiTheme="minorEastAsia" w:hAnsiTheme="minorEastAsia" w:eastAsiaTheme="minorEastAsia" w:cstheme="minorEastAsia"/>
          <w:b w:val="0"/>
          <w:bCs w:val="0"/>
          <w:snapToGrid/>
          <w:color w:val="000000"/>
          <w:spacing w:val="0"/>
          <w:kern w:val="21"/>
          <w:sz w:val="24"/>
          <w:szCs w:val="24"/>
          <w:highlight w:val="none"/>
        </w:rPr>
        <w:t>项目名称：</w:t>
      </w:r>
      <w:r>
        <w:rPr>
          <w:rFonts w:hint="eastAsia" w:asciiTheme="minorEastAsia" w:hAnsiTheme="minorEastAsia" w:eastAsiaTheme="minorEastAsia" w:cstheme="minorEastAsia"/>
          <w:b w:val="0"/>
          <w:bCs w:val="0"/>
          <w:snapToGrid/>
          <w:spacing w:val="0"/>
          <w:kern w:val="21"/>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spacing w:val="0"/>
          <w:kern w:val="21"/>
          <w:sz w:val="24"/>
          <w:szCs w:val="24"/>
          <w:highlight w:val="none"/>
          <w:u w:val="none"/>
          <w:lang w:val="en-US" w:eastAsia="zh-CN"/>
        </w:rPr>
        <w:t xml:space="preserve"> </w:t>
      </w:r>
      <w:r>
        <w:rPr>
          <w:rFonts w:hint="eastAsia" w:asciiTheme="minorEastAsia" w:hAnsiTheme="minorEastAsia" w:eastAsiaTheme="minorEastAsia" w:cstheme="minorEastAsia"/>
          <w:b w:val="0"/>
          <w:bCs w:val="0"/>
          <w:snapToGrid/>
          <w:color w:val="000000"/>
          <w:spacing w:val="0"/>
          <w:w w:val="100"/>
          <w:kern w:val="21"/>
          <w:sz w:val="24"/>
          <w:szCs w:val="24"/>
          <w:highlight w:val="none"/>
        </w:rPr>
        <w:t>报价单位：</w:t>
      </w:r>
      <w:r>
        <w:rPr>
          <w:rFonts w:hint="eastAsia" w:asciiTheme="minorEastAsia" w:hAnsiTheme="minorEastAsia" w:eastAsiaTheme="minorEastAsia" w:cstheme="minorEastAsia"/>
          <w:b w:val="0"/>
          <w:bCs w:val="0"/>
          <w:snapToGrid/>
          <w:color w:val="000000"/>
          <w:spacing w:val="0"/>
          <w:w w:val="100"/>
          <w:kern w:val="21"/>
          <w:sz w:val="24"/>
          <w:szCs w:val="24"/>
          <w:highlight w:val="none"/>
          <w:u w:val="single"/>
        </w:rPr>
        <w:t>人民币元</w:t>
      </w:r>
    </w:p>
    <w:p w14:paraId="5A13838F">
      <w:pPr>
        <w:tabs>
          <w:tab w:val="left" w:pos="1800"/>
          <w:tab w:val="left" w:pos="5580"/>
        </w:tabs>
        <w:jc w:val="center"/>
        <w:rPr>
          <w:rFonts w:hint="eastAsia" w:eastAsiaTheme="minorEastAsia"/>
          <w:color w:val="auto"/>
          <w:sz w:val="24"/>
          <w:highlight w:val="none"/>
          <w:lang w:eastAsia="zh-CN"/>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格式自拟</w:t>
      </w:r>
      <w:r>
        <w:rPr>
          <w:rFonts w:hint="eastAsia" w:eastAsiaTheme="minorEastAsia"/>
          <w:color w:val="auto"/>
          <w:sz w:val="24"/>
          <w:highlight w:val="none"/>
          <w:lang w:eastAsia="zh-CN"/>
        </w:rPr>
        <w:t>）</w:t>
      </w:r>
    </w:p>
    <w:p w14:paraId="6F04EDCF">
      <w:pPr>
        <w:pStyle w:val="21"/>
        <w:rPr>
          <w:rFonts w:hint="eastAsia"/>
          <w:color w:val="auto"/>
          <w:highlight w:val="none"/>
          <w:lang w:eastAsia="zh-CN"/>
        </w:rPr>
      </w:pPr>
    </w:p>
    <w:p w14:paraId="2D2720F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green"/>
          <w:shd w:val="clear" w:color="auto" w:fill="FFFFFF"/>
          <w:lang w:val="en-US" w:eastAsia="zh-CN" w:bidi="ar-SA"/>
        </w:rPr>
      </w:pPr>
    </w:p>
    <w:p w14:paraId="2DD829C0">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green"/>
          <w:shd w:val="clear" w:color="auto" w:fill="FFFFFF"/>
          <w:lang w:val="en-US" w:eastAsia="zh-CN" w:bidi="ar-SA"/>
        </w:rPr>
      </w:pPr>
    </w:p>
    <w:p w14:paraId="10D68CDB">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green"/>
          <w:shd w:val="clear" w:color="auto" w:fill="FFFFFF"/>
          <w:lang w:val="en-US" w:eastAsia="zh-CN" w:bidi="ar-SA"/>
        </w:rPr>
      </w:pPr>
    </w:p>
    <w:p w14:paraId="6FC277EC">
      <w:pPr>
        <w:pStyle w:val="19"/>
        <w:keepNext w:val="0"/>
        <w:keepLines w:val="0"/>
        <w:pageBreakBefore w:val="0"/>
        <w:widowControl w:val="0"/>
        <w:kinsoku/>
        <w:wordWrap w:val="0"/>
        <w:overflowPunct/>
        <w:topLinePunct/>
        <w:autoSpaceDE/>
        <w:autoSpaceDN/>
        <w:bidi w:val="0"/>
        <w:spacing w:before="0" w:beforeAutospacing="0" w:after="0" w:afterAutospacing="0" w:line="360" w:lineRule="auto"/>
        <w:ind w:right="0"/>
        <w:textAlignment w:val="auto"/>
        <w:outlineLvl w:val="9"/>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pPr>
      <w:r>
        <w:rPr>
          <w:rFonts w:hint="eastAsia" w:asciiTheme="minorEastAsia" w:hAnsiTheme="minorEastAsia" w:eastAsiaTheme="minorEastAsia" w:cstheme="minorEastAsia"/>
          <w:b w:val="0"/>
          <w:bCs w:val="0"/>
          <w:snapToGrid/>
          <w:spacing w:val="0"/>
          <w:w w:val="100"/>
          <w:kern w:val="21"/>
          <w:sz w:val="22"/>
          <w:szCs w:val="22"/>
          <w:highlight w:val="none"/>
          <w:shd w:val="clear" w:color="auto" w:fill="FFFFFF"/>
          <w:lang w:val="en-US" w:eastAsia="zh-CN" w:bidi="ar-SA"/>
        </w:rPr>
        <w:t>注：</w:t>
      </w:r>
    </w:p>
    <w:p w14:paraId="2C6BD7C7">
      <w:pPr>
        <w:keepNext w:val="0"/>
        <w:keepLines w:val="0"/>
        <w:pageBreakBefore w:val="0"/>
        <w:widowControl w:val="0"/>
        <w:numPr>
          <w:ilvl w:val="0"/>
          <w:numId w:val="0"/>
        </w:numPr>
        <w:tabs>
          <w:tab w:val="left" w:pos="1800"/>
          <w:tab w:val="left" w:pos="5580"/>
        </w:tabs>
        <w:kinsoku/>
        <w:wordWrap w:val="0"/>
        <w:overflowPunct/>
        <w:topLinePunct/>
        <w:autoSpaceDE/>
        <w:autoSpaceDN/>
        <w:bidi w:val="0"/>
        <w:spacing w:line="360" w:lineRule="auto"/>
        <w:jc w:val="left"/>
        <w:textAlignment w:val="auto"/>
        <w:outlineLvl w:val="9"/>
        <w:rPr>
          <w:rFonts w:hint="eastAsia" w:asciiTheme="minorEastAsia" w:hAnsiTheme="minorEastAsia" w:eastAsiaTheme="minorEastAsia" w:cstheme="minorEastAsia"/>
          <w:b w:val="0"/>
          <w:bCs w:val="0"/>
          <w:snapToGrid/>
          <w:color w:val="000000"/>
          <w:spacing w:val="0"/>
          <w:w w:val="100"/>
          <w:kern w:val="21"/>
          <w:sz w:val="22"/>
          <w:szCs w:val="22"/>
          <w:highlight w:val="none"/>
        </w:rPr>
      </w:pPr>
      <w:r>
        <w:rPr>
          <w:rFonts w:hint="eastAsia" w:asciiTheme="minorEastAsia" w:hAnsiTheme="minorEastAsia" w:eastAsiaTheme="minorEastAsia" w:cstheme="minorEastAsia"/>
          <w:b w:val="0"/>
          <w:bCs w:val="0"/>
          <w:snapToGrid/>
          <w:color w:val="auto"/>
          <w:spacing w:val="0"/>
          <w:w w:val="100"/>
          <w:kern w:val="21"/>
          <w:sz w:val="22"/>
          <w:szCs w:val="22"/>
          <w:highlight w:val="none"/>
        </w:rPr>
        <w:t>1.</w:t>
      </w: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供应商</w:t>
      </w:r>
      <w:r>
        <w:rPr>
          <w:rFonts w:hint="eastAsia" w:asciiTheme="minorEastAsia" w:hAnsiTheme="minorEastAsia" w:eastAsiaTheme="minorEastAsia" w:cstheme="minorEastAsia"/>
          <w:b w:val="0"/>
          <w:bCs w:val="0"/>
          <w:snapToGrid/>
          <w:color w:val="000000"/>
          <w:spacing w:val="0"/>
          <w:w w:val="100"/>
          <w:kern w:val="21"/>
          <w:sz w:val="22"/>
          <w:szCs w:val="22"/>
          <w:highlight w:val="none"/>
        </w:rPr>
        <w:t>的</w:t>
      </w: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投标</w:t>
      </w:r>
      <w:r>
        <w:rPr>
          <w:rFonts w:hint="eastAsia" w:asciiTheme="minorEastAsia" w:hAnsiTheme="minorEastAsia" w:eastAsiaTheme="minorEastAsia" w:cstheme="minorEastAsia"/>
          <w:b w:val="0"/>
          <w:bCs w:val="0"/>
          <w:snapToGrid/>
          <w:color w:val="000000"/>
          <w:spacing w:val="0"/>
          <w:w w:val="100"/>
          <w:kern w:val="21"/>
          <w:sz w:val="22"/>
          <w:szCs w:val="22"/>
          <w:highlight w:val="none"/>
        </w:rPr>
        <w:t>报价应是</w:t>
      </w:r>
      <w:r>
        <w:rPr>
          <w:rFonts w:hint="eastAsia" w:asciiTheme="minorEastAsia" w:hAnsiTheme="minorEastAsia" w:eastAsiaTheme="minorEastAsia" w:cstheme="minorEastAsia"/>
          <w:b w:val="0"/>
          <w:bCs w:val="0"/>
          <w:snapToGrid/>
          <w:color w:val="000000"/>
          <w:spacing w:val="0"/>
          <w:w w:val="100"/>
          <w:kern w:val="21"/>
          <w:sz w:val="22"/>
          <w:szCs w:val="22"/>
          <w:highlight w:val="none"/>
          <w:lang w:eastAsia="zh-CN"/>
        </w:rPr>
        <w:t>竞争性磋商文件</w:t>
      </w:r>
      <w:r>
        <w:rPr>
          <w:rFonts w:hint="eastAsia" w:asciiTheme="minorEastAsia" w:hAnsiTheme="minorEastAsia" w:eastAsiaTheme="minorEastAsia" w:cstheme="minorEastAsia"/>
          <w:b w:val="0"/>
          <w:bCs w:val="0"/>
          <w:snapToGrid/>
          <w:color w:val="000000"/>
          <w:spacing w:val="0"/>
          <w:w w:val="100"/>
          <w:kern w:val="21"/>
          <w:sz w:val="22"/>
          <w:szCs w:val="22"/>
          <w:highlight w:val="none"/>
        </w:rPr>
        <w:t>所确定的采购范围内全部工作内容的价格表现，包含为完成本</w:t>
      </w:r>
      <w:r>
        <w:rPr>
          <w:rFonts w:hint="eastAsia" w:asciiTheme="minorEastAsia" w:hAnsiTheme="minorEastAsia" w:eastAsiaTheme="minorEastAsia" w:cstheme="minorEastAsia"/>
          <w:b w:val="0"/>
          <w:bCs w:val="0"/>
          <w:snapToGrid/>
          <w:color w:val="000000"/>
          <w:spacing w:val="0"/>
          <w:w w:val="100"/>
          <w:kern w:val="21"/>
          <w:sz w:val="22"/>
          <w:szCs w:val="22"/>
          <w:highlight w:val="none"/>
          <w:lang w:eastAsia="zh-CN"/>
        </w:rPr>
        <w:t>竞争性磋商文件</w:t>
      </w:r>
      <w:r>
        <w:rPr>
          <w:rFonts w:hint="eastAsia" w:asciiTheme="minorEastAsia" w:hAnsiTheme="minorEastAsia" w:eastAsiaTheme="minorEastAsia" w:cstheme="minorEastAsia"/>
          <w:b w:val="0"/>
          <w:bCs w:val="0"/>
          <w:snapToGrid/>
          <w:color w:val="000000"/>
          <w:spacing w:val="0"/>
          <w:w w:val="100"/>
          <w:kern w:val="21"/>
          <w:sz w:val="22"/>
          <w:szCs w:val="22"/>
          <w:highlight w:val="none"/>
        </w:rPr>
        <w:t>规定的采购内容所需要的全部费用。</w:t>
      </w:r>
    </w:p>
    <w:p w14:paraId="3537E6FA">
      <w:pPr>
        <w:keepNext w:val="0"/>
        <w:keepLines w:val="0"/>
        <w:pageBreakBefore w:val="0"/>
        <w:widowControl w:val="0"/>
        <w:tabs>
          <w:tab w:val="left" w:pos="1800"/>
          <w:tab w:val="left" w:pos="5580"/>
        </w:tabs>
        <w:kinsoku/>
        <w:wordWrap w:val="0"/>
        <w:overflowPunct/>
        <w:topLinePunct/>
        <w:autoSpaceDE/>
        <w:autoSpaceDN/>
        <w:bidi w:val="0"/>
        <w:spacing w:line="360" w:lineRule="auto"/>
        <w:jc w:val="left"/>
        <w:textAlignment w:val="auto"/>
        <w:outlineLvl w:val="9"/>
        <w:rPr>
          <w:rFonts w:hint="eastAsia" w:asciiTheme="minorEastAsia" w:hAnsiTheme="minorEastAsia" w:eastAsiaTheme="minorEastAsia" w:cstheme="minorEastAsia"/>
          <w:b w:val="0"/>
          <w:bCs w:val="0"/>
          <w:snapToGrid/>
          <w:color w:val="000000"/>
          <w:spacing w:val="0"/>
          <w:w w:val="100"/>
          <w:kern w:val="21"/>
          <w:sz w:val="22"/>
          <w:szCs w:val="22"/>
          <w:highlight w:val="none"/>
        </w:rPr>
      </w:pP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2</w:t>
      </w:r>
      <w:r>
        <w:rPr>
          <w:rFonts w:hint="eastAsia" w:asciiTheme="minorEastAsia" w:hAnsiTheme="minorEastAsia" w:eastAsiaTheme="minorEastAsia" w:cstheme="minorEastAsia"/>
          <w:b w:val="0"/>
          <w:bCs w:val="0"/>
          <w:snapToGrid/>
          <w:color w:val="000000"/>
          <w:spacing w:val="0"/>
          <w:w w:val="100"/>
          <w:kern w:val="21"/>
          <w:sz w:val="22"/>
          <w:szCs w:val="22"/>
          <w:highlight w:val="none"/>
        </w:rPr>
        <w:t>.此表无需放入响应文件中，应在</w:t>
      </w: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最后</w:t>
      </w:r>
      <w:r>
        <w:rPr>
          <w:rFonts w:hint="eastAsia" w:asciiTheme="minorEastAsia" w:hAnsiTheme="minorEastAsia" w:eastAsiaTheme="minorEastAsia" w:cstheme="minorEastAsia"/>
          <w:b w:val="0"/>
          <w:bCs w:val="0"/>
          <w:snapToGrid/>
          <w:color w:val="000000"/>
          <w:spacing w:val="0"/>
          <w:w w:val="100"/>
          <w:kern w:val="21"/>
          <w:sz w:val="22"/>
          <w:szCs w:val="22"/>
          <w:highlight w:val="none"/>
        </w:rPr>
        <w:t>报价环节按规定时间填报至系统，最后报价时间为磋商小组指定的时间，具体时间根据磋商进度另行通知，接到通知后供应商应将最后报价填报至系统，未按照磋商小组规定的时间、逾期提交最后报价的响应文件无效。</w:t>
      </w:r>
    </w:p>
    <w:p w14:paraId="739B71CA">
      <w:pPr>
        <w:keepNext w:val="0"/>
        <w:keepLines w:val="0"/>
        <w:pageBreakBefore w:val="0"/>
        <w:widowControl w:val="0"/>
        <w:tabs>
          <w:tab w:val="left" w:pos="1800"/>
          <w:tab w:val="left" w:pos="5580"/>
        </w:tabs>
        <w:kinsoku/>
        <w:wordWrap w:val="0"/>
        <w:overflowPunct/>
        <w:topLinePunct/>
        <w:autoSpaceDE/>
        <w:autoSpaceDN/>
        <w:bidi w:val="0"/>
        <w:spacing w:line="360" w:lineRule="auto"/>
        <w:jc w:val="left"/>
        <w:textAlignment w:val="auto"/>
        <w:outlineLvl w:val="9"/>
        <w:rPr>
          <w:rFonts w:hint="eastAsia" w:asciiTheme="minorEastAsia" w:hAnsiTheme="minorEastAsia" w:eastAsiaTheme="minorEastAsia" w:cstheme="minorEastAsia"/>
          <w:b w:val="0"/>
          <w:bCs w:val="0"/>
          <w:snapToGrid/>
          <w:color w:val="000000"/>
          <w:spacing w:val="0"/>
          <w:w w:val="100"/>
          <w:kern w:val="21"/>
          <w:sz w:val="22"/>
          <w:szCs w:val="22"/>
          <w:highlight w:val="none"/>
        </w:rPr>
      </w:pP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3</w:t>
      </w:r>
      <w:r>
        <w:rPr>
          <w:rFonts w:hint="eastAsia" w:asciiTheme="minorEastAsia" w:hAnsiTheme="minorEastAsia" w:eastAsiaTheme="minorEastAsia" w:cstheme="minorEastAsia"/>
          <w:b w:val="0"/>
          <w:bCs w:val="0"/>
          <w:snapToGrid/>
          <w:color w:val="000000"/>
          <w:spacing w:val="0"/>
          <w:w w:val="100"/>
          <w:kern w:val="21"/>
          <w:sz w:val="22"/>
          <w:szCs w:val="22"/>
          <w:highlight w:val="none"/>
        </w:rPr>
        <w:t>.成交</w:t>
      </w:r>
      <w:r>
        <w:rPr>
          <w:rFonts w:hint="eastAsia" w:asciiTheme="minorEastAsia" w:hAnsiTheme="minorEastAsia" w:eastAsiaTheme="minorEastAsia" w:cstheme="minorEastAsia"/>
          <w:b w:val="0"/>
          <w:bCs w:val="0"/>
          <w:snapToGrid/>
          <w:color w:val="000000"/>
          <w:spacing w:val="0"/>
          <w:w w:val="100"/>
          <w:kern w:val="21"/>
          <w:sz w:val="22"/>
          <w:szCs w:val="22"/>
          <w:highlight w:val="none"/>
          <w:lang w:val="en-US" w:eastAsia="zh-CN"/>
        </w:rPr>
        <w:t>供应商</w:t>
      </w:r>
      <w:r>
        <w:rPr>
          <w:rFonts w:hint="eastAsia" w:asciiTheme="minorEastAsia" w:hAnsiTheme="minorEastAsia" w:eastAsiaTheme="minorEastAsia" w:cstheme="minorEastAsia"/>
          <w:b w:val="0"/>
          <w:bCs w:val="0"/>
          <w:snapToGrid/>
          <w:color w:val="000000"/>
          <w:spacing w:val="0"/>
          <w:w w:val="100"/>
          <w:kern w:val="21"/>
          <w:sz w:val="22"/>
          <w:szCs w:val="22"/>
          <w:highlight w:val="none"/>
        </w:rPr>
        <w:t>在领取成交通知书的当日，按此格式提交2份纸质版最后分项报价表。</w:t>
      </w:r>
    </w:p>
    <w:p w14:paraId="70780E4A">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rPr>
      </w:pPr>
    </w:p>
    <w:p w14:paraId="2F24EA03">
      <w:pPr>
        <w:keepNext w:val="0"/>
        <w:keepLines w:val="0"/>
        <w:pageBreakBefore w:val="0"/>
        <w:widowControl w:val="0"/>
        <w:kinsoku/>
        <w:wordWrap w:val="0"/>
        <w:overflowPunct/>
        <w:topLinePunct/>
        <w:autoSpaceDE/>
        <w:autoSpaceDN/>
        <w:bidi w:val="0"/>
        <w:adjustRightInd w:val="0"/>
        <w:snapToGrid w:val="0"/>
        <w:spacing w:before="25" w:after="25" w:line="360" w:lineRule="auto"/>
        <w:ind w:right="360"/>
        <w:jc w:val="right"/>
        <w:outlineLvl w:val="9"/>
        <w:rPr>
          <w:rFonts w:hint="eastAsia" w:asciiTheme="minorEastAsia" w:hAnsiTheme="minorEastAsia" w:eastAsiaTheme="minorEastAsia" w:cstheme="minorEastAsia"/>
          <w:b w:val="0"/>
          <w:bCs w:val="0"/>
          <w:snapToGrid/>
          <w:color w:val="000000"/>
          <w:spacing w:val="0"/>
          <w:kern w:val="21"/>
          <w:sz w:val="22"/>
          <w:szCs w:val="22"/>
          <w:highlight w:val="none"/>
          <w:lang w:val="en-US" w:eastAsia="zh-CN"/>
        </w:rPr>
      </w:pPr>
      <w:r>
        <w:rPr>
          <w:rFonts w:hint="eastAsia" w:asciiTheme="minorEastAsia" w:hAnsiTheme="minorEastAsia" w:eastAsiaTheme="minorEastAsia" w:cstheme="minorEastAsia"/>
          <w:b w:val="0"/>
          <w:bCs w:val="0"/>
          <w:snapToGrid/>
          <w:color w:val="000000"/>
          <w:spacing w:val="0"/>
          <w:kern w:val="21"/>
          <w:sz w:val="22"/>
          <w:szCs w:val="22"/>
          <w:highlight w:val="none"/>
        </w:rPr>
        <w:t>供应商名称（加盖公章）</w:t>
      </w:r>
      <w:r>
        <w:rPr>
          <w:rFonts w:hint="eastAsia" w:asciiTheme="minorEastAsia" w:hAnsiTheme="minorEastAsia" w:eastAsiaTheme="minorEastAsia" w:cstheme="minorEastAsia"/>
          <w:b w:val="0"/>
          <w:bCs w:val="0"/>
          <w:snapToGrid/>
          <w:color w:val="000000"/>
          <w:spacing w:val="0"/>
          <w:kern w:val="21"/>
          <w:sz w:val="22"/>
          <w:szCs w:val="22"/>
          <w:highlight w:val="none"/>
          <w:lang w:val="zh-CN"/>
        </w:rPr>
        <w:t>：</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p>
    <w:p w14:paraId="1CD34F4D">
      <w:pPr>
        <w:keepNext w:val="0"/>
        <w:keepLines w:val="0"/>
        <w:pageBreakBefore w:val="0"/>
        <w:widowControl w:val="0"/>
        <w:kinsoku/>
        <w:wordWrap w:val="0"/>
        <w:overflowPunct/>
        <w:topLinePunct/>
        <w:autoSpaceDE/>
        <w:autoSpaceDN/>
        <w:bidi w:val="0"/>
        <w:spacing w:line="360" w:lineRule="auto"/>
        <w:ind w:right="360"/>
        <w:jc w:val="right"/>
        <w:outlineLvl w:val="9"/>
        <w:rPr>
          <w:rFonts w:hint="eastAsia" w:asciiTheme="minorEastAsia" w:hAnsiTheme="minorEastAsia" w:eastAsiaTheme="minorEastAsia" w:cstheme="minorEastAsia"/>
          <w:b w:val="0"/>
          <w:bCs w:val="0"/>
          <w:snapToGrid/>
          <w:spacing w:val="0"/>
          <w:kern w:val="21"/>
          <w:sz w:val="22"/>
          <w:szCs w:val="22"/>
          <w:highlight w:val="none"/>
        </w:rPr>
      </w:pPr>
      <w:r>
        <w:rPr>
          <w:rFonts w:hint="eastAsia" w:asciiTheme="minorEastAsia" w:hAnsiTheme="minorEastAsia" w:eastAsiaTheme="minorEastAsia" w:cstheme="minorEastAsia"/>
          <w:b w:val="0"/>
          <w:bCs w:val="0"/>
          <w:snapToGrid/>
          <w:color w:val="000000"/>
          <w:spacing w:val="0"/>
          <w:kern w:val="21"/>
          <w:sz w:val="22"/>
          <w:szCs w:val="22"/>
          <w:highlight w:val="none"/>
        </w:rPr>
        <w:t>日期：</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年</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月</w:t>
      </w:r>
      <w:r>
        <w:rPr>
          <w:rFonts w:hint="eastAsia" w:asciiTheme="minorEastAsia" w:hAnsiTheme="minorEastAsia" w:eastAsiaTheme="minorEastAsia" w:cstheme="minorEastAsia"/>
          <w:b w:val="0"/>
          <w:bCs w:val="0"/>
          <w:snapToGrid/>
          <w:spacing w:val="0"/>
          <w:kern w:val="21"/>
          <w:sz w:val="22"/>
          <w:szCs w:val="22"/>
          <w:highlight w:val="none"/>
          <w:u w:val="single"/>
          <w:lang w:val="en-US" w:eastAsia="zh-CN"/>
        </w:rPr>
        <w:t xml:space="preserve">    </w:t>
      </w:r>
      <w:r>
        <w:rPr>
          <w:rFonts w:hint="eastAsia" w:asciiTheme="minorEastAsia" w:hAnsiTheme="minorEastAsia" w:eastAsiaTheme="minorEastAsia" w:cstheme="minorEastAsia"/>
          <w:b w:val="0"/>
          <w:bCs w:val="0"/>
          <w:snapToGrid/>
          <w:color w:val="000000"/>
          <w:spacing w:val="0"/>
          <w:kern w:val="21"/>
          <w:sz w:val="22"/>
          <w:szCs w:val="22"/>
          <w:highlight w:val="none"/>
        </w:rPr>
        <w:t>日</w:t>
      </w:r>
    </w:p>
    <w:sectPr>
      <w:headerReference r:id="rId19" w:type="first"/>
      <w:footerReference r:id="rId20" w:type="first"/>
      <w:pgSz w:w="11905" w:h="16838"/>
      <w:pgMar w:top="1440" w:right="1080" w:bottom="1440" w:left="1080" w:header="851" w:footer="850" w:gutter="0"/>
      <w:pgNumType w:fmt="decimal"/>
      <w:cols w:space="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00A20E-1B2F-4674-9F65-04304EACB92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3B6BF9E-2665-462F-8F97-A681EA5C211B}"/>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embedRegular r:id="rId3" w:fontKey="{C8AB03D5-7512-4EAF-9C5B-C1BDC7D0B748}"/>
  </w:font>
  <w:font w:name="仿宋">
    <w:panose1 w:val="02010609060101010101"/>
    <w:charset w:val="86"/>
    <w:family w:val="auto"/>
    <w:pitch w:val="default"/>
    <w:sig w:usb0="800002BF" w:usb1="38CF7CFA" w:usb2="00000016" w:usb3="00000000" w:csb0="00040001" w:csb1="00000000"/>
    <w:embedRegular r:id="rId4" w:fontKey="{40A5F1B7-8D26-42B7-8EA2-3E19A657B909}"/>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1A3F5">
    <w:pPr>
      <w:pStyle w:val="15"/>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000AD">
    <w:pPr>
      <w:pStyle w:val="1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96FA">
    <w:pPr>
      <w:pStyle w:val="15"/>
      <w:jc w:val="center"/>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A8E0A">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2AA8E0A">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AB01">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B01639">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BB01639">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60C3">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8A38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A38A38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012D">
    <w:pPr>
      <w:spacing w:before="1" w:line="229" w:lineRule="auto"/>
      <w:ind w:right="18"/>
      <w:jc w:val="right"/>
      <w:rPr>
        <w:rFonts w:ascii="仿宋" w:hAnsi="仿宋" w:eastAsia="仿宋" w:cs="仿宋"/>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0F0BD">
                          <w:pPr>
                            <w:pStyle w:val="1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420F0BD">
                    <w:pPr>
                      <w:pStyle w:val="15"/>
                    </w:pPr>
                    <w:r>
                      <w:fldChar w:fldCharType="begin"/>
                    </w:r>
                    <w:r>
                      <w:instrText xml:space="preserve"> PAGE  \* MERGEFORMAT </w:instrText>
                    </w:r>
                    <w:r>
                      <w:fldChar w:fldCharType="separate"/>
                    </w:r>
                    <w:r>
                      <w:t>37</w:t>
                    </w:r>
                    <w:r>
                      <w:fldChar w:fldCharType="end"/>
                    </w:r>
                  </w:p>
                </w:txbxContent>
              </v:textbox>
            </v:shape>
          </w:pict>
        </mc:Fallback>
      </mc:AlternateContent>
    </w:r>
    <w:r>
      <w:rPr>
        <w:rFonts w:ascii="仿宋" w:hAnsi="仿宋" w:eastAsia="仿宋" w:cs="仿宋"/>
        <w:spacing w:val="-8"/>
        <w:sz w:val="28"/>
        <w:szCs w:val="28"/>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BAAB6">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B655B">
                          <w:pPr>
                            <w:pStyle w:val="1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C1B655B">
                    <w:pPr>
                      <w:pStyle w:val="1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ED0AF">
    <w:pPr>
      <w:pStyle w:val="15"/>
      <w:ind w:right="36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ECB94C">
                          <w:pPr>
                            <w:pStyle w:val="1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64ECB94C">
                    <w:pPr>
                      <w:pStyle w:val="15"/>
                    </w:pPr>
                    <w:r>
                      <w:fldChar w:fldCharType="begin"/>
                    </w:r>
                    <w:r>
                      <w:instrText xml:space="preserve"> PAGE  \* MERGEFORMAT </w:instrText>
                    </w:r>
                    <w:r>
                      <w:fldChar w:fldCharType="separate"/>
                    </w:r>
                    <w:r>
                      <w:t>40</w:t>
                    </w:r>
                    <w:r>
                      <w:fldChar w:fldCharType="end"/>
                    </w:r>
                  </w:p>
                </w:txbxContent>
              </v:textbox>
            </v:shape>
          </w:pict>
        </mc:Fallback>
      </mc:AlternateContent>
    </w:r>
  </w:p>
  <w:p w14:paraId="0602AE45"/>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11177">
    <w:pPr>
      <w:pStyle w:val="1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90B55">
                          <w:pPr>
                            <w:pStyle w:val="1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A190B55">
                    <w:pPr>
                      <w:pStyle w:val="1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32954">
    <w:pPr>
      <w:widowControl w:val="0"/>
      <w:autoSpaceDE w:val="0"/>
      <w:autoSpaceDN w:val="0"/>
      <w:adjustRightInd w:val="0"/>
      <w:snapToGrid w:val="0"/>
      <w:jc w:val="left"/>
      <w:rPr>
        <w:rFonts w:ascii="宋体" w:hAnsi="Times New Roman" w:eastAsia="宋体" w:cs="Times New Roman"/>
        <w:kern w:val="0"/>
        <w:sz w:val="18"/>
        <w:szCs w:val="20"/>
        <w:lang w:val="en-US" w:eastAsia="zh-CN" w:bidi="ar-SA"/>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803B3">
                          <w:pPr>
                            <w:pStyle w:val="1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5C8803B3">
                    <w:pPr>
                      <w:pStyle w:val="1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B0CC0">
    <w:pPr>
      <w:pStyle w:val="16"/>
      <w:pBdr>
        <w:bottom w:val="single" w:color="auto" w:sz="4" w:space="1"/>
      </w:pBdr>
      <w:jc w:val="right"/>
    </w:pPr>
    <w:r>
      <w:rPr>
        <w:rFonts w:hint="eastAsia"/>
      </w:rPr>
      <w:t>北京市政府采购项目竞争性磋商文件示范文本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642BF">
    <w:pPr>
      <w:pStyle w:val="16"/>
      <w:jc w:val="right"/>
    </w:pPr>
    <w:r>
      <w:rPr>
        <w:rFonts w:hint="eastAsia"/>
      </w:rPr>
      <w:t>北京市政府采购项目竞争性磋商文件示范文本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FFCB0">
    <w:pPr>
      <w:pStyle w:val="16"/>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00CE6">
    <w:pPr>
      <w:pStyle w:val="16"/>
      <w:pBdr>
        <w:bottom w:val="single" w:color="auto" w:sz="4" w:space="1"/>
      </w:pBdr>
      <w:jc w:val="right"/>
    </w:pPr>
    <w:r>
      <w:rPr>
        <w:rFonts w:hint="eastAsia"/>
      </w:rPr>
      <w:t>北京市政府采购项目竞争性磋商文件示范文本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2B523">
    <w:pPr>
      <w:pStyle w:val="16"/>
      <w:jc w:val="right"/>
    </w:pPr>
    <w:r>
      <w:rPr>
        <w:rFonts w:hint="eastAsia"/>
      </w:rPr>
      <w:t>北京市政府采购项目竞争性磋商文件示范文本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98D0">
    <w:pPr>
      <w:pStyle w:val="16"/>
      <w:jc w:val="right"/>
    </w:pPr>
    <w:r>
      <w:rPr>
        <w:rFonts w:hint="eastAsia"/>
      </w:rPr>
      <w:t>北京市政府采购项目竞争性磋商文件示范文本</w:t>
    </w:r>
  </w:p>
  <w:p w14:paraId="07D129B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488CB">
    <w:pPr>
      <w:pStyle w:val="1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ACFC">
    <w:pPr>
      <w:widowControl w:val="0"/>
      <w:pBdr>
        <w:bottom w:val="single" w:color="auto" w:sz="6" w:space="1"/>
      </w:pBdr>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4C78C"/>
    <w:multiLevelType w:val="singleLevel"/>
    <w:tmpl w:val="8D34C78C"/>
    <w:lvl w:ilvl="0" w:tentative="0">
      <w:start w:val="1"/>
      <w:numFmt w:val="decimal"/>
      <w:suff w:val="nothing"/>
      <w:lvlText w:val="%1、"/>
      <w:lvlJc w:val="left"/>
    </w:lvl>
  </w:abstractNum>
  <w:abstractNum w:abstractNumId="1">
    <w:nsid w:val="18EB95E7"/>
    <w:multiLevelType w:val="singleLevel"/>
    <w:tmpl w:val="18EB95E7"/>
    <w:lvl w:ilvl="0" w:tentative="0">
      <w:start w:val="3"/>
      <w:numFmt w:val="decimal"/>
      <w:lvlText w:val="%1."/>
      <w:lvlJc w:val="left"/>
      <w:pPr>
        <w:tabs>
          <w:tab w:val="left" w:pos="312"/>
        </w:tabs>
      </w:pPr>
    </w:lvl>
  </w:abstractNum>
  <w:abstractNum w:abstractNumId="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evenAndOddHeaders w:val="1"/>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Y2FhM2NmNGRkMjBiZWIxNWVlZWIzM2FmNDViZGEifQ=="/>
  </w:docVars>
  <w:rsids>
    <w:rsidRoot w:val="005F744A"/>
    <w:rsid w:val="001F108A"/>
    <w:rsid w:val="00224F59"/>
    <w:rsid w:val="002377AA"/>
    <w:rsid w:val="00247185"/>
    <w:rsid w:val="002E29C5"/>
    <w:rsid w:val="0033310D"/>
    <w:rsid w:val="003D7999"/>
    <w:rsid w:val="00502218"/>
    <w:rsid w:val="0057111B"/>
    <w:rsid w:val="005848B6"/>
    <w:rsid w:val="005A2D64"/>
    <w:rsid w:val="005D465C"/>
    <w:rsid w:val="005F744A"/>
    <w:rsid w:val="00695337"/>
    <w:rsid w:val="006B71BC"/>
    <w:rsid w:val="008C31DE"/>
    <w:rsid w:val="008D66EE"/>
    <w:rsid w:val="0092000C"/>
    <w:rsid w:val="00975D66"/>
    <w:rsid w:val="009A59F5"/>
    <w:rsid w:val="009D3880"/>
    <w:rsid w:val="009E5347"/>
    <w:rsid w:val="00AF6AE7"/>
    <w:rsid w:val="00B35724"/>
    <w:rsid w:val="00BB208E"/>
    <w:rsid w:val="00C977C5"/>
    <w:rsid w:val="00D13D64"/>
    <w:rsid w:val="00DB2F53"/>
    <w:rsid w:val="00E0770D"/>
    <w:rsid w:val="00E85DA4"/>
    <w:rsid w:val="01011432"/>
    <w:rsid w:val="01466E5E"/>
    <w:rsid w:val="014852B3"/>
    <w:rsid w:val="01616D66"/>
    <w:rsid w:val="016C28AD"/>
    <w:rsid w:val="016E2F6B"/>
    <w:rsid w:val="01A20482"/>
    <w:rsid w:val="01E46C6A"/>
    <w:rsid w:val="02022281"/>
    <w:rsid w:val="02133599"/>
    <w:rsid w:val="021831F4"/>
    <w:rsid w:val="021B4775"/>
    <w:rsid w:val="022950E4"/>
    <w:rsid w:val="023C0222"/>
    <w:rsid w:val="023D46EC"/>
    <w:rsid w:val="026974D9"/>
    <w:rsid w:val="029415CA"/>
    <w:rsid w:val="029F0F02"/>
    <w:rsid w:val="02A36C44"/>
    <w:rsid w:val="02BD75DA"/>
    <w:rsid w:val="02C163AB"/>
    <w:rsid w:val="02CB19F9"/>
    <w:rsid w:val="02DD1A2B"/>
    <w:rsid w:val="03103B27"/>
    <w:rsid w:val="03137F71"/>
    <w:rsid w:val="03355D98"/>
    <w:rsid w:val="03367AB9"/>
    <w:rsid w:val="03446EFC"/>
    <w:rsid w:val="03541CED"/>
    <w:rsid w:val="035A5E4A"/>
    <w:rsid w:val="037A0098"/>
    <w:rsid w:val="038B1A04"/>
    <w:rsid w:val="03912F41"/>
    <w:rsid w:val="03A774FC"/>
    <w:rsid w:val="03B27E00"/>
    <w:rsid w:val="03D04E3C"/>
    <w:rsid w:val="03D43ABB"/>
    <w:rsid w:val="03E17C80"/>
    <w:rsid w:val="03E81A27"/>
    <w:rsid w:val="03EF1A15"/>
    <w:rsid w:val="04194CE4"/>
    <w:rsid w:val="044D7030"/>
    <w:rsid w:val="046309CA"/>
    <w:rsid w:val="04682F74"/>
    <w:rsid w:val="04BF763A"/>
    <w:rsid w:val="04C1362C"/>
    <w:rsid w:val="04C604FB"/>
    <w:rsid w:val="04C904B8"/>
    <w:rsid w:val="04D550AF"/>
    <w:rsid w:val="04F10A26"/>
    <w:rsid w:val="05092FAB"/>
    <w:rsid w:val="051C683A"/>
    <w:rsid w:val="05212A41"/>
    <w:rsid w:val="052136C5"/>
    <w:rsid w:val="052459A1"/>
    <w:rsid w:val="053F7F38"/>
    <w:rsid w:val="05500BDA"/>
    <w:rsid w:val="05AD38B8"/>
    <w:rsid w:val="05C841EA"/>
    <w:rsid w:val="05D25063"/>
    <w:rsid w:val="05D6094B"/>
    <w:rsid w:val="05DD246D"/>
    <w:rsid w:val="05EA2DDC"/>
    <w:rsid w:val="05EC43D5"/>
    <w:rsid w:val="06051935"/>
    <w:rsid w:val="06147E59"/>
    <w:rsid w:val="063D2F0C"/>
    <w:rsid w:val="06420522"/>
    <w:rsid w:val="06604E4C"/>
    <w:rsid w:val="066E374C"/>
    <w:rsid w:val="067D5AF4"/>
    <w:rsid w:val="068055AE"/>
    <w:rsid w:val="068E3E81"/>
    <w:rsid w:val="06B84C89"/>
    <w:rsid w:val="06BD5DFB"/>
    <w:rsid w:val="06C453DB"/>
    <w:rsid w:val="06C929F2"/>
    <w:rsid w:val="06F7755F"/>
    <w:rsid w:val="06FE1AEE"/>
    <w:rsid w:val="071F2612"/>
    <w:rsid w:val="07602C49"/>
    <w:rsid w:val="0761139F"/>
    <w:rsid w:val="076D599C"/>
    <w:rsid w:val="076D7821"/>
    <w:rsid w:val="07844720"/>
    <w:rsid w:val="07860D01"/>
    <w:rsid w:val="078F7797"/>
    <w:rsid w:val="07AF7E3A"/>
    <w:rsid w:val="07B95303"/>
    <w:rsid w:val="07D103E4"/>
    <w:rsid w:val="07DB29DD"/>
    <w:rsid w:val="082F235E"/>
    <w:rsid w:val="083C1CA7"/>
    <w:rsid w:val="083C4BE1"/>
    <w:rsid w:val="08464A1F"/>
    <w:rsid w:val="084D698E"/>
    <w:rsid w:val="084E678A"/>
    <w:rsid w:val="085920D9"/>
    <w:rsid w:val="08607688"/>
    <w:rsid w:val="08662D55"/>
    <w:rsid w:val="087150EF"/>
    <w:rsid w:val="087178D4"/>
    <w:rsid w:val="087B5F6E"/>
    <w:rsid w:val="088842BD"/>
    <w:rsid w:val="08B927DF"/>
    <w:rsid w:val="08D51B1C"/>
    <w:rsid w:val="09137F54"/>
    <w:rsid w:val="091A12E3"/>
    <w:rsid w:val="091A5787"/>
    <w:rsid w:val="092B7994"/>
    <w:rsid w:val="092C7268"/>
    <w:rsid w:val="093E42E8"/>
    <w:rsid w:val="0942045D"/>
    <w:rsid w:val="094B3B92"/>
    <w:rsid w:val="09672ADE"/>
    <w:rsid w:val="09776154"/>
    <w:rsid w:val="09970B85"/>
    <w:rsid w:val="09997B7A"/>
    <w:rsid w:val="099E3122"/>
    <w:rsid w:val="09AD2157"/>
    <w:rsid w:val="09C120A6"/>
    <w:rsid w:val="09D270EF"/>
    <w:rsid w:val="09D815E1"/>
    <w:rsid w:val="0A0967DF"/>
    <w:rsid w:val="0A1007B8"/>
    <w:rsid w:val="0A1421D6"/>
    <w:rsid w:val="0A314FFA"/>
    <w:rsid w:val="0A454A85"/>
    <w:rsid w:val="0A4715B7"/>
    <w:rsid w:val="0A4F76B2"/>
    <w:rsid w:val="0A5606E2"/>
    <w:rsid w:val="0A6B2D01"/>
    <w:rsid w:val="0AC30636"/>
    <w:rsid w:val="0AC7549A"/>
    <w:rsid w:val="0AE222D4"/>
    <w:rsid w:val="0AE230E9"/>
    <w:rsid w:val="0AF344E1"/>
    <w:rsid w:val="0AF9308A"/>
    <w:rsid w:val="0B0C55A3"/>
    <w:rsid w:val="0B0C62A2"/>
    <w:rsid w:val="0B0D44BB"/>
    <w:rsid w:val="0B121081"/>
    <w:rsid w:val="0B1A1A6E"/>
    <w:rsid w:val="0B2F7D9E"/>
    <w:rsid w:val="0B330D82"/>
    <w:rsid w:val="0B3448FF"/>
    <w:rsid w:val="0B350656"/>
    <w:rsid w:val="0B380339"/>
    <w:rsid w:val="0B494101"/>
    <w:rsid w:val="0B4C599F"/>
    <w:rsid w:val="0B4F77DD"/>
    <w:rsid w:val="0B6D4B72"/>
    <w:rsid w:val="0B6E5916"/>
    <w:rsid w:val="0B7C44D7"/>
    <w:rsid w:val="0B921A44"/>
    <w:rsid w:val="0B932773"/>
    <w:rsid w:val="0BB21CA6"/>
    <w:rsid w:val="0BC05029"/>
    <w:rsid w:val="0BCA6075"/>
    <w:rsid w:val="0BD62973"/>
    <w:rsid w:val="0C1349B9"/>
    <w:rsid w:val="0C8D626F"/>
    <w:rsid w:val="0C9E4410"/>
    <w:rsid w:val="0CA000E8"/>
    <w:rsid w:val="0CB06B79"/>
    <w:rsid w:val="0CB679B8"/>
    <w:rsid w:val="0CBA3508"/>
    <w:rsid w:val="0CD12914"/>
    <w:rsid w:val="0CE02843"/>
    <w:rsid w:val="0D186481"/>
    <w:rsid w:val="0D3D1A44"/>
    <w:rsid w:val="0D4A48FD"/>
    <w:rsid w:val="0D5D7003"/>
    <w:rsid w:val="0D710C7F"/>
    <w:rsid w:val="0D825E3C"/>
    <w:rsid w:val="0D870F11"/>
    <w:rsid w:val="0DA27AF9"/>
    <w:rsid w:val="0DA675E9"/>
    <w:rsid w:val="0DCD62DE"/>
    <w:rsid w:val="0DD2734A"/>
    <w:rsid w:val="0DFA16E3"/>
    <w:rsid w:val="0E1836C3"/>
    <w:rsid w:val="0E216DBE"/>
    <w:rsid w:val="0E380853"/>
    <w:rsid w:val="0E3D5E73"/>
    <w:rsid w:val="0E484B44"/>
    <w:rsid w:val="0E4C0486"/>
    <w:rsid w:val="0E4D5CB6"/>
    <w:rsid w:val="0E855450"/>
    <w:rsid w:val="0E8A6F0A"/>
    <w:rsid w:val="0EAA75B1"/>
    <w:rsid w:val="0EDF5E91"/>
    <w:rsid w:val="0EE71826"/>
    <w:rsid w:val="0EF5276A"/>
    <w:rsid w:val="0EFF44A4"/>
    <w:rsid w:val="0F2942DE"/>
    <w:rsid w:val="0F2D5392"/>
    <w:rsid w:val="0F2F360E"/>
    <w:rsid w:val="0F524C61"/>
    <w:rsid w:val="0F64794A"/>
    <w:rsid w:val="0F65034F"/>
    <w:rsid w:val="0F8E6586"/>
    <w:rsid w:val="0FAF605E"/>
    <w:rsid w:val="0FBA1C5C"/>
    <w:rsid w:val="0FCB77DB"/>
    <w:rsid w:val="0FE34B24"/>
    <w:rsid w:val="0FE64614"/>
    <w:rsid w:val="0FF04275"/>
    <w:rsid w:val="0FFD0285"/>
    <w:rsid w:val="0FFF7484"/>
    <w:rsid w:val="101741BD"/>
    <w:rsid w:val="101758FF"/>
    <w:rsid w:val="10303AE2"/>
    <w:rsid w:val="1046588C"/>
    <w:rsid w:val="1059697B"/>
    <w:rsid w:val="105A4E68"/>
    <w:rsid w:val="10650A19"/>
    <w:rsid w:val="10881497"/>
    <w:rsid w:val="109A66C9"/>
    <w:rsid w:val="10C01FFC"/>
    <w:rsid w:val="10C031A2"/>
    <w:rsid w:val="10C20BDE"/>
    <w:rsid w:val="10D0076E"/>
    <w:rsid w:val="10EA3F4B"/>
    <w:rsid w:val="10FD7E68"/>
    <w:rsid w:val="111F3CDF"/>
    <w:rsid w:val="1123358C"/>
    <w:rsid w:val="112A22DF"/>
    <w:rsid w:val="112B6A3D"/>
    <w:rsid w:val="114101DB"/>
    <w:rsid w:val="115543AC"/>
    <w:rsid w:val="115B693C"/>
    <w:rsid w:val="115C1843"/>
    <w:rsid w:val="115D4462"/>
    <w:rsid w:val="11622BDE"/>
    <w:rsid w:val="116625B7"/>
    <w:rsid w:val="118248BC"/>
    <w:rsid w:val="118B7221"/>
    <w:rsid w:val="11BC1998"/>
    <w:rsid w:val="11BD13A5"/>
    <w:rsid w:val="11CE35B2"/>
    <w:rsid w:val="11DD2B24"/>
    <w:rsid w:val="11ED5EAE"/>
    <w:rsid w:val="1236016D"/>
    <w:rsid w:val="125F37B4"/>
    <w:rsid w:val="127001C5"/>
    <w:rsid w:val="127C6BC4"/>
    <w:rsid w:val="127E3ED7"/>
    <w:rsid w:val="128E2E6D"/>
    <w:rsid w:val="12906AB9"/>
    <w:rsid w:val="129E4D32"/>
    <w:rsid w:val="12C40FBC"/>
    <w:rsid w:val="12E210DF"/>
    <w:rsid w:val="12E50BB3"/>
    <w:rsid w:val="12E86DF0"/>
    <w:rsid w:val="13183FE3"/>
    <w:rsid w:val="131C20FB"/>
    <w:rsid w:val="13252F26"/>
    <w:rsid w:val="132876B5"/>
    <w:rsid w:val="133828A6"/>
    <w:rsid w:val="13502B67"/>
    <w:rsid w:val="13523637"/>
    <w:rsid w:val="13545D39"/>
    <w:rsid w:val="13860D94"/>
    <w:rsid w:val="139D323C"/>
    <w:rsid w:val="13C204A6"/>
    <w:rsid w:val="13D12EE6"/>
    <w:rsid w:val="13D94C27"/>
    <w:rsid w:val="13E00186"/>
    <w:rsid w:val="13E75DFD"/>
    <w:rsid w:val="13F04B95"/>
    <w:rsid w:val="13F17DA0"/>
    <w:rsid w:val="13FD017F"/>
    <w:rsid w:val="14134EBE"/>
    <w:rsid w:val="14245AE7"/>
    <w:rsid w:val="144C06BE"/>
    <w:rsid w:val="14883EEC"/>
    <w:rsid w:val="148937C0"/>
    <w:rsid w:val="14A679A9"/>
    <w:rsid w:val="14AF0EEB"/>
    <w:rsid w:val="14B46A8F"/>
    <w:rsid w:val="14B922F8"/>
    <w:rsid w:val="14BA7E1E"/>
    <w:rsid w:val="14BF4BD7"/>
    <w:rsid w:val="14D0319D"/>
    <w:rsid w:val="14D94748"/>
    <w:rsid w:val="14DC6605"/>
    <w:rsid w:val="14E82BDD"/>
    <w:rsid w:val="14EA3EDE"/>
    <w:rsid w:val="14F05786"/>
    <w:rsid w:val="14FA29CF"/>
    <w:rsid w:val="15251F0F"/>
    <w:rsid w:val="154D2A40"/>
    <w:rsid w:val="155E69FB"/>
    <w:rsid w:val="15787ABD"/>
    <w:rsid w:val="159348F7"/>
    <w:rsid w:val="15AB0ABB"/>
    <w:rsid w:val="15AB431C"/>
    <w:rsid w:val="15C942B8"/>
    <w:rsid w:val="15DD5B72"/>
    <w:rsid w:val="15FD2AA2"/>
    <w:rsid w:val="1602382A"/>
    <w:rsid w:val="16062980"/>
    <w:rsid w:val="16117F11"/>
    <w:rsid w:val="1675224E"/>
    <w:rsid w:val="168037D2"/>
    <w:rsid w:val="168B3820"/>
    <w:rsid w:val="16916A25"/>
    <w:rsid w:val="16AC32C0"/>
    <w:rsid w:val="16B965DF"/>
    <w:rsid w:val="16BC7E7D"/>
    <w:rsid w:val="16CB5FEC"/>
    <w:rsid w:val="16D5395C"/>
    <w:rsid w:val="16E15B36"/>
    <w:rsid w:val="16E17029"/>
    <w:rsid w:val="170830C2"/>
    <w:rsid w:val="170E5283"/>
    <w:rsid w:val="172C7BF3"/>
    <w:rsid w:val="172D2B29"/>
    <w:rsid w:val="174B2FAF"/>
    <w:rsid w:val="175F27DA"/>
    <w:rsid w:val="1776002C"/>
    <w:rsid w:val="178070FD"/>
    <w:rsid w:val="17BD3EAD"/>
    <w:rsid w:val="17BD4979"/>
    <w:rsid w:val="17BE19D3"/>
    <w:rsid w:val="18194E5B"/>
    <w:rsid w:val="18236EFD"/>
    <w:rsid w:val="18311FC4"/>
    <w:rsid w:val="183C0DD2"/>
    <w:rsid w:val="18482D61"/>
    <w:rsid w:val="185B6F3B"/>
    <w:rsid w:val="18950986"/>
    <w:rsid w:val="189806EE"/>
    <w:rsid w:val="18A97FA7"/>
    <w:rsid w:val="18AB63FB"/>
    <w:rsid w:val="18BC301F"/>
    <w:rsid w:val="18BC6B24"/>
    <w:rsid w:val="18DE232D"/>
    <w:rsid w:val="19067FF8"/>
    <w:rsid w:val="191222D0"/>
    <w:rsid w:val="191D467D"/>
    <w:rsid w:val="192B4E46"/>
    <w:rsid w:val="19341F4D"/>
    <w:rsid w:val="196539AE"/>
    <w:rsid w:val="19733269"/>
    <w:rsid w:val="19882298"/>
    <w:rsid w:val="19C06BAC"/>
    <w:rsid w:val="19D17512"/>
    <w:rsid w:val="19DD25E4"/>
    <w:rsid w:val="19F45B80"/>
    <w:rsid w:val="1A01351E"/>
    <w:rsid w:val="1A155C39"/>
    <w:rsid w:val="1A18470A"/>
    <w:rsid w:val="1A215E87"/>
    <w:rsid w:val="1A236C7F"/>
    <w:rsid w:val="1A3B7C0B"/>
    <w:rsid w:val="1A472154"/>
    <w:rsid w:val="1A78055F"/>
    <w:rsid w:val="1A9609E5"/>
    <w:rsid w:val="1A98650B"/>
    <w:rsid w:val="1A9F5AEC"/>
    <w:rsid w:val="1A9F7253"/>
    <w:rsid w:val="1AAC0209"/>
    <w:rsid w:val="1AC362FF"/>
    <w:rsid w:val="1AC37EF8"/>
    <w:rsid w:val="1ACC4114"/>
    <w:rsid w:val="1AE34AB0"/>
    <w:rsid w:val="1AE41750"/>
    <w:rsid w:val="1AEC0C70"/>
    <w:rsid w:val="1B042241"/>
    <w:rsid w:val="1B0E4A1F"/>
    <w:rsid w:val="1B142621"/>
    <w:rsid w:val="1B196251"/>
    <w:rsid w:val="1B430B6D"/>
    <w:rsid w:val="1B6D2B14"/>
    <w:rsid w:val="1B6F3710"/>
    <w:rsid w:val="1B80142C"/>
    <w:rsid w:val="1BB05AD7"/>
    <w:rsid w:val="1BC25F36"/>
    <w:rsid w:val="1BCC0B62"/>
    <w:rsid w:val="1BD5225E"/>
    <w:rsid w:val="1BD81020"/>
    <w:rsid w:val="1C077DEC"/>
    <w:rsid w:val="1C20736E"/>
    <w:rsid w:val="1C2E5379"/>
    <w:rsid w:val="1C3C57A1"/>
    <w:rsid w:val="1C43402B"/>
    <w:rsid w:val="1C7336F1"/>
    <w:rsid w:val="1C8054A9"/>
    <w:rsid w:val="1C9C5B70"/>
    <w:rsid w:val="1CAC2742"/>
    <w:rsid w:val="1CBF5FD1"/>
    <w:rsid w:val="1CC47A8B"/>
    <w:rsid w:val="1CC57360"/>
    <w:rsid w:val="1CCD4C0A"/>
    <w:rsid w:val="1CDF0421"/>
    <w:rsid w:val="1CFA3F0C"/>
    <w:rsid w:val="1CFB013B"/>
    <w:rsid w:val="1D0609AB"/>
    <w:rsid w:val="1D154459"/>
    <w:rsid w:val="1D210A3A"/>
    <w:rsid w:val="1D246E34"/>
    <w:rsid w:val="1D2D0F85"/>
    <w:rsid w:val="1D350989"/>
    <w:rsid w:val="1D606D68"/>
    <w:rsid w:val="1D6706CA"/>
    <w:rsid w:val="1D73678A"/>
    <w:rsid w:val="1D827B77"/>
    <w:rsid w:val="1D8A5052"/>
    <w:rsid w:val="1D9B4C90"/>
    <w:rsid w:val="1D9F274A"/>
    <w:rsid w:val="1DA84CB7"/>
    <w:rsid w:val="1DED217A"/>
    <w:rsid w:val="1DF24184"/>
    <w:rsid w:val="1DF356DA"/>
    <w:rsid w:val="1E002D45"/>
    <w:rsid w:val="1E054350"/>
    <w:rsid w:val="1E1578D9"/>
    <w:rsid w:val="1E1758B5"/>
    <w:rsid w:val="1E2E3EB5"/>
    <w:rsid w:val="1E2F7187"/>
    <w:rsid w:val="1E341DB9"/>
    <w:rsid w:val="1E37631F"/>
    <w:rsid w:val="1E406573"/>
    <w:rsid w:val="1E5E7A6C"/>
    <w:rsid w:val="1E6257AE"/>
    <w:rsid w:val="1E6F3A27"/>
    <w:rsid w:val="1E8439DB"/>
    <w:rsid w:val="1E8F2912"/>
    <w:rsid w:val="1EDE64B3"/>
    <w:rsid w:val="1F2760B0"/>
    <w:rsid w:val="1F390CCB"/>
    <w:rsid w:val="1F394761"/>
    <w:rsid w:val="1F4D3D68"/>
    <w:rsid w:val="1F5F4C80"/>
    <w:rsid w:val="1F6B2440"/>
    <w:rsid w:val="1F770DE5"/>
    <w:rsid w:val="1F7767BD"/>
    <w:rsid w:val="1F99372A"/>
    <w:rsid w:val="1FDB5818"/>
    <w:rsid w:val="1FDE7ED9"/>
    <w:rsid w:val="1FE65978"/>
    <w:rsid w:val="200F17A8"/>
    <w:rsid w:val="201E1A51"/>
    <w:rsid w:val="20232D1B"/>
    <w:rsid w:val="203D60A9"/>
    <w:rsid w:val="20824D3B"/>
    <w:rsid w:val="208539D6"/>
    <w:rsid w:val="20863CB7"/>
    <w:rsid w:val="20BA5C53"/>
    <w:rsid w:val="20CC33B3"/>
    <w:rsid w:val="20F3403C"/>
    <w:rsid w:val="212B632B"/>
    <w:rsid w:val="21521B0A"/>
    <w:rsid w:val="21756E5A"/>
    <w:rsid w:val="217C5E2F"/>
    <w:rsid w:val="218F1133"/>
    <w:rsid w:val="219519F6"/>
    <w:rsid w:val="219552A7"/>
    <w:rsid w:val="21B44421"/>
    <w:rsid w:val="21D625E8"/>
    <w:rsid w:val="21EC7102"/>
    <w:rsid w:val="22284619"/>
    <w:rsid w:val="223D0368"/>
    <w:rsid w:val="224A458F"/>
    <w:rsid w:val="224D22D1"/>
    <w:rsid w:val="22582A31"/>
    <w:rsid w:val="229C4D78"/>
    <w:rsid w:val="22BB36DF"/>
    <w:rsid w:val="22BF5826"/>
    <w:rsid w:val="22C715A7"/>
    <w:rsid w:val="22CF6E8C"/>
    <w:rsid w:val="22D327D6"/>
    <w:rsid w:val="22D60519"/>
    <w:rsid w:val="22F142A9"/>
    <w:rsid w:val="22F576C9"/>
    <w:rsid w:val="230C641C"/>
    <w:rsid w:val="23160F2D"/>
    <w:rsid w:val="2318643B"/>
    <w:rsid w:val="231B2B24"/>
    <w:rsid w:val="23226D6D"/>
    <w:rsid w:val="232C638A"/>
    <w:rsid w:val="232F19D7"/>
    <w:rsid w:val="233139A1"/>
    <w:rsid w:val="233325BF"/>
    <w:rsid w:val="23336C55"/>
    <w:rsid w:val="233B65CE"/>
    <w:rsid w:val="235F050E"/>
    <w:rsid w:val="23675615"/>
    <w:rsid w:val="237430CE"/>
    <w:rsid w:val="238E6041"/>
    <w:rsid w:val="23B16CF7"/>
    <w:rsid w:val="23B26890"/>
    <w:rsid w:val="23C90010"/>
    <w:rsid w:val="23D55D98"/>
    <w:rsid w:val="23E1692A"/>
    <w:rsid w:val="23EE5289"/>
    <w:rsid w:val="23F25521"/>
    <w:rsid w:val="242411CC"/>
    <w:rsid w:val="24280900"/>
    <w:rsid w:val="24311208"/>
    <w:rsid w:val="24575886"/>
    <w:rsid w:val="247052C5"/>
    <w:rsid w:val="24961D0D"/>
    <w:rsid w:val="249A3CEA"/>
    <w:rsid w:val="24A31B84"/>
    <w:rsid w:val="24B91EA0"/>
    <w:rsid w:val="25072C0B"/>
    <w:rsid w:val="250C6474"/>
    <w:rsid w:val="25101E39"/>
    <w:rsid w:val="253F72D0"/>
    <w:rsid w:val="254A4AA1"/>
    <w:rsid w:val="25624188"/>
    <w:rsid w:val="25634C72"/>
    <w:rsid w:val="25702EC7"/>
    <w:rsid w:val="257E4AA6"/>
    <w:rsid w:val="257F4A89"/>
    <w:rsid w:val="258C6F92"/>
    <w:rsid w:val="25A65BBB"/>
    <w:rsid w:val="25BF4BA1"/>
    <w:rsid w:val="25CD20A0"/>
    <w:rsid w:val="25E62821"/>
    <w:rsid w:val="260F1BFD"/>
    <w:rsid w:val="26153B84"/>
    <w:rsid w:val="262A4E03"/>
    <w:rsid w:val="26485289"/>
    <w:rsid w:val="26630315"/>
    <w:rsid w:val="2670658E"/>
    <w:rsid w:val="269009DE"/>
    <w:rsid w:val="26C50688"/>
    <w:rsid w:val="26D25C1B"/>
    <w:rsid w:val="26D601DE"/>
    <w:rsid w:val="26E03714"/>
    <w:rsid w:val="26E56F7C"/>
    <w:rsid w:val="270C5851"/>
    <w:rsid w:val="2753038A"/>
    <w:rsid w:val="275507B4"/>
    <w:rsid w:val="27561C28"/>
    <w:rsid w:val="278D7653"/>
    <w:rsid w:val="278F67EF"/>
    <w:rsid w:val="27A636B6"/>
    <w:rsid w:val="27B84DF0"/>
    <w:rsid w:val="27BF055A"/>
    <w:rsid w:val="27F9431E"/>
    <w:rsid w:val="27FF406E"/>
    <w:rsid w:val="280653FC"/>
    <w:rsid w:val="28156F15"/>
    <w:rsid w:val="283D6944"/>
    <w:rsid w:val="28571C3F"/>
    <w:rsid w:val="28616AD6"/>
    <w:rsid w:val="286478B1"/>
    <w:rsid w:val="28845EC3"/>
    <w:rsid w:val="288602EB"/>
    <w:rsid w:val="288E152A"/>
    <w:rsid w:val="28A236DD"/>
    <w:rsid w:val="28BA5189"/>
    <w:rsid w:val="28CE5456"/>
    <w:rsid w:val="28F33BD2"/>
    <w:rsid w:val="28F74D45"/>
    <w:rsid w:val="28F95357"/>
    <w:rsid w:val="290D27BA"/>
    <w:rsid w:val="29143B49"/>
    <w:rsid w:val="29210AC9"/>
    <w:rsid w:val="29211DC2"/>
    <w:rsid w:val="296E14AB"/>
    <w:rsid w:val="298A6E90"/>
    <w:rsid w:val="299C349F"/>
    <w:rsid w:val="29D137E8"/>
    <w:rsid w:val="29F14F71"/>
    <w:rsid w:val="29F73976"/>
    <w:rsid w:val="2A090204"/>
    <w:rsid w:val="2A3701FB"/>
    <w:rsid w:val="2A383867"/>
    <w:rsid w:val="2A3E0E07"/>
    <w:rsid w:val="2A497822"/>
    <w:rsid w:val="2A4C6FFA"/>
    <w:rsid w:val="2A563FB4"/>
    <w:rsid w:val="2A6D3510"/>
    <w:rsid w:val="2A7209CE"/>
    <w:rsid w:val="2A720FDA"/>
    <w:rsid w:val="2A834AE2"/>
    <w:rsid w:val="2A866380"/>
    <w:rsid w:val="2A9A2A47"/>
    <w:rsid w:val="2A9E2ED5"/>
    <w:rsid w:val="2ABA41F8"/>
    <w:rsid w:val="2AC00F1B"/>
    <w:rsid w:val="2AC5334C"/>
    <w:rsid w:val="2ACF4E96"/>
    <w:rsid w:val="2AD0584D"/>
    <w:rsid w:val="2AD07FCD"/>
    <w:rsid w:val="2AE9242F"/>
    <w:rsid w:val="2AED63FF"/>
    <w:rsid w:val="2AFC4894"/>
    <w:rsid w:val="2B2636BF"/>
    <w:rsid w:val="2B391645"/>
    <w:rsid w:val="2B3B53BD"/>
    <w:rsid w:val="2B7F799F"/>
    <w:rsid w:val="2B8723B0"/>
    <w:rsid w:val="2B97636B"/>
    <w:rsid w:val="2BB1742D"/>
    <w:rsid w:val="2BB407D9"/>
    <w:rsid w:val="2BCA60F5"/>
    <w:rsid w:val="2BD4136D"/>
    <w:rsid w:val="2C362C40"/>
    <w:rsid w:val="2C4209CD"/>
    <w:rsid w:val="2C491D5B"/>
    <w:rsid w:val="2C5C7914"/>
    <w:rsid w:val="2C7217DF"/>
    <w:rsid w:val="2C932FD6"/>
    <w:rsid w:val="2CA8085E"/>
    <w:rsid w:val="2CA96AB9"/>
    <w:rsid w:val="2CC92A56"/>
    <w:rsid w:val="2CD63BB6"/>
    <w:rsid w:val="2CD82400"/>
    <w:rsid w:val="2CF50CB4"/>
    <w:rsid w:val="2D087E61"/>
    <w:rsid w:val="2D4A096F"/>
    <w:rsid w:val="2D4B565F"/>
    <w:rsid w:val="2D636E4D"/>
    <w:rsid w:val="2D6C3F29"/>
    <w:rsid w:val="2D7828F8"/>
    <w:rsid w:val="2D7E1684"/>
    <w:rsid w:val="2D807C69"/>
    <w:rsid w:val="2D8D7A26"/>
    <w:rsid w:val="2DA95501"/>
    <w:rsid w:val="2DB476A8"/>
    <w:rsid w:val="2DC828C4"/>
    <w:rsid w:val="2DCA6ECC"/>
    <w:rsid w:val="2DD56C24"/>
    <w:rsid w:val="2DDC694B"/>
    <w:rsid w:val="2E0777D8"/>
    <w:rsid w:val="2E0F261D"/>
    <w:rsid w:val="2E1119D9"/>
    <w:rsid w:val="2E135448"/>
    <w:rsid w:val="2E23041C"/>
    <w:rsid w:val="2E2760CC"/>
    <w:rsid w:val="2E6B128B"/>
    <w:rsid w:val="2E7E21F9"/>
    <w:rsid w:val="2E8452CD"/>
    <w:rsid w:val="2E8C4181"/>
    <w:rsid w:val="2E9F48D0"/>
    <w:rsid w:val="2EA119DB"/>
    <w:rsid w:val="2EB63EAF"/>
    <w:rsid w:val="2EDA313F"/>
    <w:rsid w:val="2F002809"/>
    <w:rsid w:val="2F0F4550"/>
    <w:rsid w:val="2F1523C9"/>
    <w:rsid w:val="2F1E6B4B"/>
    <w:rsid w:val="2F5E167A"/>
    <w:rsid w:val="2F671CE5"/>
    <w:rsid w:val="2F8135BA"/>
    <w:rsid w:val="2F837332"/>
    <w:rsid w:val="2F853BBB"/>
    <w:rsid w:val="2F9335AE"/>
    <w:rsid w:val="2FB614B6"/>
    <w:rsid w:val="2FB67B96"/>
    <w:rsid w:val="2FC10C66"/>
    <w:rsid w:val="2FCC6F2B"/>
    <w:rsid w:val="2FD45DE0"/>
    <w:rsid w:val="2FED5E43"/>
    <w:rsid w:val="2FEE3848"/>
    <w:rsid w:val="2FFF080A"/>
    <w:rsid w:val="300734A0"/>
    <w:rsid w:val="301D0D4E"/>
    <w:rsid w:val="30201025"/>
    <w:rsid w:val="302518ED"/>
    <w:rsid w:val="30403475"/>
    <w:rsid w:val="307750E9"/>
    <w:rsid w:val="30797214"/>
    <w:rsid w:val="3098505F"/>
    <w:rsid w:val="30987AC8"/>
    <w:rsid w:val="30B8300C"/>
    <w:rsid w:val="30C103CA"/>
    <w:rsid w:val="30C67313"/>
    <w:rsid w:val="30E47258"/>
    <w:rsid w:val="30F61D87"/>
    <w:rsid w:val="31015DF0"/>
    <w:rsid w:val="311F12DD"/>
    <w:rsid w:val="312A7FDB"/>
    <w:rsid w:val="31450962"/>
    <w:rsid w:val="31464ABB"/>
    <w:rsid w:val="31572824"/>
    <w:rsid w:val="316B2618"/>
    <w:rsid w:val="31710B98"/>
    <w:rsid w:val="317A5CA5"/>
    <w:rsid w:val="317C5161"/>
    <w:rsid w:val="318320C0"/>
    <w:rsid w:val="31991B31"/>
    <w:rsid w:val="31B23EFF"/>
    <w:rsid w:val="31C0661C"/>
    <w:rsid w:val="31D44132"/>
    <w:rsid w:val="31FE18C7"/>
    <w:rsid w:val="32036508"/>
    <w:rsid w:val="32070766"/>
    <w:rsid w:val="32315D79"/>
    <w:rsid w:val="323963CE"/>
    <w:rsid w:val="32621481"/>
    <w:rsid w:val="327D1CE5"/>
    <w:rsid w:val="32847F41"/>
    <w:rsid w:val="32B67A1F"/>
    <w:rsid w:val="32B70502"/>
    <w:rsid w:val="32BA366A"/>
    <w:rsid w:val="32C043F9"/>
    <w:rsid w:val="32C2602E"/>
    <w:rsid w:val="32C26B56"/>
    <w:rsid w:val="32CD2C76"/>
    <w:rsid w:val="32F81DE5"/>
    <w:rsid w:val="330B75D7"/>
    <w:rsid w:val="3324544E"/>
    <w:rsid w:val="33273ED5"/>
    <w:rsid w:val="334E3D45"/>
    <w:rsid w:val="33534D98"/>
    <w:rsid w:val="335C5F80"/>
    <w:rsid w:val="335C7080"/>
    <w:rsid w:val="337038A2"/>
    <w:rsid w:val="33762312"/>
    <w:rsid w:val="337A6C9E"/>
    <w:rsid w:val="337D365C"/>
    <w:rsid w:val="339C4E66"/>
    <w:rsid w:val="33B03CA4"/>
    <w:rsid w:val="33B45312"/>
    <w:rsid w:val="33BC3F00"/>
    <w:rsid w:val="33C95381"/>
    <w:rsid w:val="33CF49CF"/>
    <w:rsid w:val="33E32A95"/>
    <w:rsid w:val="33F16F60"/>
    <w:rsid w:val="33F425AD"/>
    <w:rsid w:val="33F563F8"/>
    <w:rsid w:val="33FB1528"/>
    <w:rsid w:val="34361540"/>
    <w:rsid w:val="343A03A1"/>
    <w:rsid w:val="344D1CF9"/>
    <w:rsid w:val="34565015"/>
    <w:rsid w:val="346848AB"/>
    <w:rsid w:val="34842C2E"/>
    <w:rsid w:val="348B6F28"/>
    <w:rsid w:val="34950750"/>
    <w:rsid w:val="34A00986"/>
    <w:rsid w:val="34AE6BFF"/>
    <w:rsid w:val="34B538A3"/>
    <w:rsid w:val="34C11757"/>
    <w:rsid w:val="34F14D3E"/>
    <w:rsid w:val="34F565DC"/>
    <w:rsid w:val="34F75002"/>
    <w:rsid w:val="350D5B42"/>
    <w:rsid w:val="351D5B33"/>
    <w:rsid w:val="353C14F7"/>
    <w:rsid w:val="354421C5"/>
    <w:rsid w:val="354C1E67"/>
    <w:rsid w:val="355359F9"/>
    <w:rsid w:val="35614CF6"/>
    <w:rsid w:val="35834689"/>
    <w:rsid w:val="358F1B65"/>
    <w:rsid w:val="359251FC"/>
    <w:rsid w:val="35B677A8"/>
    <w:rsid w:val="35BC17F0"/>
    <w:rsid w:val="35BF4E3C"/>
    <w:rsid w:val="35C0434D"/>
    <w:rsid w:val="360C42D4"/>
    <w:rsid w:val="361458E5"/>
    <w:rsid w:val="36160F00"/>
    <w:rsid w:val="36327824"/>
    <w:rsid w:val="36495163"/>
    <w:rsid w:val="364C4BF3"/>
    <w:rsid w:val="364F7B9C"/>
    <w:rsid w:val="36502BB9"/>
    <w:rsid w:val="3659412E"/>
    <w:rsid w:val="366F55D2"/>
    <w:rsid w:val="36852CE8"/>
    <w:rsid w:val="36C26992"/>
    <w:rsid w:val="36CE17DB"/>
    <w:rsid w:val="36D36A59"/>
    <w:rsid w:val="371511B8"/>
    <w:rsid w:val="371957D9"/>
    <w:rsid w:val="37290ED0"/>
    <w:rsid w:val="372D1AA0"/>
    <w:rsid w:val="3730079B"/>
    <w:rsid w:val="37314419"/>
    <w:rsid w:val="374564C6"/>
    <w:rsid w:val="375C6703"/>
    <w:rsid w:val="376E6549"/>
    <w:rsid w:val="377E4FAF"/>
    <w:rsid w:val="37AE68E3"/>
    <w:rsid w:val="37C066EB"/>
    <w:rsid w:val="37CD36D7"/>
    <w:rsid w:val="37FB65FF"/>
    <w:rsid w:val="38003C16"/>
    <w:rsid w:val="38071B27"/>
    <w:rsid w:val="38071E84"/>
    <w:rsid w:val="380A4A95"/>
    <w:rsid w:val="380E0584"/>
    <w:rsid w:val="3841703F"/>
    <w:rsid w:val="38425435"/>
    <w:rsid w:val="384D1477"/>
    <w:rsid w:val="387517F7"/>
    <w:rsid w:val="38776CB0"/>
    <w:rsid w:val="3881462B"/>
    <w:rsid w:val="38B11173"/>
    <w:rsid w:val="38CC58A6"/>
    <w:rsid w:val="38D34E4A"/>
    <w:rsid w:val="38E075A3"/>
    <w:rsid w:val="38EC5F48"/>
    <w:rsid w:val="38F04F43"/>
    <w:rsid w:val="38F1355F"/>
    <w:rsid w:val="39070FD4"/>
    <w:rsid w:val="39094D4C"/>
    <w:rsid w:val="390B084A"/>
    <w:rsid w:val="39184DDF"/>
    <w:rsid w:val="39284724"/>
    <w:rsid w:val="392B4293"/>
    <w:rsid w:val="393F076E"/>
    <w:rsid w:val="39763A64"/>
    <w:rsid w:val="397A7884"/>
    <w:rsid w:val="39887DF1"/>
    <w:rsid w:val="398B779E"/>
    <w:rsid w:val="39B5458C"/>
    <w:rsid w:val="39CE1AF2"/>
    <w:rsid w:val="39CF34A4"/>
    <w:rsid w:val="39D233C3"/>
    <w:rsid w:val="39DB7400"/>
    <w:rsid w:val="39E11A28"/>
    <w:rsid w:val="3A007301"/>
    <w:rsid w:val="3A0379ED"/>
    <w:rsid w:val="3A055E2D"/>
    <w:rsid w:val="3A0F6392"/>
    <w:rsid w:val="3A157721"/>
    <w:rsid w:val="3A1763DB"/>
    <w:rsid w:val="3A21348C"/>
    <w:rsid w:val="3A230F6F"/>
    <w:rsid w:val="3A241712"/>
    <w:rsid w:val="3A2E433E"/>
    <w:rsid w:val="3A3000B7"/>
    <w:rsid w:val="3A4B67C2"/>
    <w:rsid w:val="3A9E028E"/>
    <w:rsid w:val="3AAA60BB"/>
    <w:rsid w:val="3AC54CA3"/>
    <w:rsid w:val="3B051543"/>
    <w:rsid w:val="3B2F6341"/>
    <w:rsid w:val="3B2F65C0"/>
    <w:rsid w:val="3B4503AF"/>
    <w:rsid w:val="3B576FDB"/>
    <w:rsid w:val="3B653D90"/>
    <w:rsid w:val="3B732951"/>
    <w:rsid w:val="3B7B6E2E"/>
    <w:rsid w:val="3B8334A3"/>
    <w:rsid w:val="3BBE1312"/>
    <w:rsid w:val="3BCE402B"/>
    <w:rsid w:val="3BF22272"/>
    <w:rsid w:val="3C181946"/>
    <w:rsid w:val="3C6329C5"/>
    <w:rsid w:val="3C957A74"/>
    <w:rsid w:val="3C9C7C85"/>
    <w:rsid w:val="3CA134EE"/>
    <w:rsid w:val="3CA803D8"/>
    <w:rsid w:val="3CAA429A"/>
    <w:rsid w:val="3CC32FB0"/>
    <w:rsid w:val="3CE36445"/>
    <w:rsid w:val="3CE75508"/>
    <w:rsid w:val="3CF308BC"/>
    <w:rsid w:val="3CFE7407"/>
    <w:rsid w:val="3D0C6BB9"/>
    <w:rsid w:val="3D1035F6"/>
    <w:rsid w:val="3D1B6DFC"/>
    <w:rsid w:val="3D254AE0"/>
    <w:rsid w:val="3D42082D"/>
    <w:rsid w:val="3D42172F"/>
    <w:rsid w:val="3D453E79"/>
    <w:rsid w:val="3D5D7C63"/>
    <w:rsid w:val="3D7208F0"/>
    <w:rsid w:val="3DB443FE"/>
    <w:rsid w:val="3DDC47DD"/>
    <w:rsid w:val="3DEE32CE"/>
    <w:rsid w:val="3DF55109"/>
    <w:rsid w:val="3E077380"/>
    <w:rsid w:val="3E2E6570"/>
    <w:rsid w:val="3E594080"/>
    <w:rsid w:val="3E5C591E"/>
    <w:rsid w:val="3E6B5C60"/>
    <w:rsid w:val="3E7A3FF6"/>
    <w:rsid w:val="3E834C59"/>
    <w:rsid w:val="3E88487C"/>
    <w:rsid w:val="3E8E0E2A"/>
    <w:rsid w:val="3EC51715"/>
    <w:rsid w:val="3EC62D97"/>
    <w:rsid w:val="3EFB5137"/>
    <w:rsid w:val="3F051B12"/>
    <w:rsid w:val="3F204B9E"/>
    <w:rsid w:val="3F2E5B01"/>
    <w:rsid w:val="3F3665C9"/>
    <w:rsid w:val="3F446ADE"/>
    <w:rsid w:val="3F4B53C1"/>
    <w:rsid w:val="3F55470B"/>
    <w:rsid w:val="3F6F1937"/>
    <w:rsid w:val="3F76234B"/>
    <w:rsid w:val="3F7D3D9E"/>
    <w:rsid w:val="3F921A51"/>
    <w:rsid w:val="3F934EDE"/>
    <w:rsid w:val="3F970061"/>
    <w:rsid w:val="3FD05580"/>
    <w:rsid w:val="3FE04C0C"/>
    <w:rsid w:val="3FFB6C6D"/>
    <w:rsid w:val="3FFC231A"/>
    <w:rsid w:val="4014414F"/>
    <w:rsid w:val="404B5C4A"/>
    <w:rsid w:val="4050500F"/>
    <w:rsid w:val="40547E0E"/>
    <w:rsid w:val="40723B83"/>
    <w:rsid w:val="40736F4F"/>
    <w:rsid w:val="408140FA"/>
    <w:rsid w:val="40841185"/>
    <w:rsid w:val="40905D53"/>
    <w:rsid w:val="40970E8F"/>
    <w:rsid w:val="40A11D0E"/>
    <w:rsid w:val="40A9471F"/>
    <w:rsid w:val="40FF5BB5"/>
    <w:rsid w:val="4106669F"/>
    <w:rsid w:val="41171FD0"/>
    <w:rsid w:val="4128087F"/>
    <w:rsid w:val="414F176A"/>
    <w:rsid w:val="415B3C6B"/>
    <w:rsid w:val="416F5F43"/>
    <w:rsid w:val="4178476C"/>
    <w:rsid w:val="418238EE"/>
    <w:rsid w:val="418314DB"/>
    <w:rsid w:val="4185309F"/>
    <w:rsid w:val="418F1B67"/>
    <w:rsid w:val="41986C6D"/>
    <w:rsid w:val="41987A44"/>
    <w:rsid w:val="41A10A98"/>
    <w:rsid w:val="41C002C6"/>
    <w:rsid w:val="41CB6ADE"/>
    <w:rsid w:val="421A1D78"/>
    <w:rsid w:val="424B0183"/>
    <w:rsid w:val="42691183"/>
    <w:rsid w:val="42714FF1"/>
    <w:rsid w:val="429D02B3"/>
    <w:rsid w:val="42C17161"/>
    <w:rsid w:val="42C523D3"/>
    <w:rsid w:val="42EB54C2"/>
    <w:rsid w:val="42F0144F"/>
    <w:rsid w:val="430B6AB6"/>
    <w:rsid w:val="433230F1"/>
    <w:rsid w:val="433400A4"/>
    <w:rsid w:val="43503578"/>
    <w:rsid w:val="435E7A42"/>
    <w:rsid w:val="437D25BE"/>
    <w:rsid w:val="438C0AE6"/>
    <w:rsid w:val="43947908"/>
    <w:rsid w:val="43A2087C"/>
    <w:rsid w:val="43B9111D"/>
    <w:rsid w:val="43CC3E24"/>
    <w:rsid w:val="43E46D58"/>
    <w:rsid w:val="43F33DE5"/>
    <w:rsid w:val="43FA02BC"/>
    <w:rsid w:val="43FB7987"/>
    <w:rsid w:val="43FD39EA"/>
    <w:rsid w:val="441B1F26"/>
    <w:rsid w:val="441C6381"/>
    <w:rsid w:val="441D5B50"/>
    <w:rsid w:val="446866CB"/>
    <w:rsid w:val="446B68BB"/>
    <w:rsid w:val="44760DBC"/>
    <w:rsid w:val="448B0BF7"/>
    <w:rsid w:val="449A7EB1"/>
    <w:rsid w:val="44B94AE1"/>
    <w:rsid w:val="44BA3370"/>
    <w:rsid w:val="44C67F95"/>
    <w:rsid w:val="44D06D87"/>
    <w:rsid w:val="44D501D8"/>
    <w:rsid w:val="44DD18DC"/>
    <w:rsid w:val="44E375AC"/>
    <w:rsid w:val="450B280F"/>
    <w:rsid w:val="451B0C14"/>
    <w:rsid w:val="45434C21"/>
    <w:rsid w:val="454D7D6F"/>
    <w:rsid w:val="45573B66"/>
    <w:rsid w:val="455B1A2C"/>
    <w:rsid w:val="455F7AA2"/>
    <w:rsid w:val="45727F0B"/>
    <w:rsid w:val="458A4B1F"/>
    <w:rsid w:val="458D6E53"/>
    <w:rsid w:val="45923CD5"/>
    <w:rsid w:val="45992BA6"/>
    <w:rsid w:val="45B872F1"/>
    <w:rsid w:val="45C134FB"/>
    <w:rsid w:val="45CF4C28"/>
    <w:rsid w:val="45DD0209"/>
    <w:rsid w:val="45DE130F"/>
    <w:rsid w:val="45EC57D9"/>
    <w:rsid w:val="45F428E0"/>
    <w:rsid w:val="45F66658"/>
    <w:rsid w:val="45FD26D9"/>
    <w:rsid w:val="46016469"/>
    <w:rsid w:val="46040D75"/>
    <w:rsid w:val="46084EAD"/>
    <w:rsid w:val="460C19D8"/>
    <w:rsid w:val="46386C71"/>
    <w:rsid w:val="46394FC5"/>
    <w:rsid w:val="46405B25"/>
    <w:rsid w:val="46481EA6"/>
    <w:rsid w:val="464A3BD5"/>
    <w:rsid w:val="46A9442C"/>
    <w:rsid w:val="46AB11F1"/>
    <w:rsid w:val="46B22304"/>
    <w:rsid w:val="46BA1434"/>
    <w:rsid w:val="46C87590"/>
    <w:rsid w:val="46CC2351"/>
    <w:rsid w:val="46CE7B4A"/>
    <w:rsid w:val="46DF349F"/>
    <w:rsid w:val="46F30DEA"/>
    <w:rsid w:val="47296992"/>
    <w:rsid w:val="474358CD"/>
    <w:rsid w:val="47471B1D"/>
    <w:rsid w:val="477B1121"/>
    <w:rsid w:val="477E5CB2"/>
    <w:rsid w:val="47857C94"/>
    <w:rsid w:val="479003E6"/>
    <w:rsid w:val="47AA14A8"/>
    <w:rsid w:val="47BA7D3C"/>
    <w:rsid w:val="47BC567F"/>
    <w:rsid w:val="47BE31A6"/>
    <w:rsid w:val="47C43AD8"/>
    <w:rsid w:val="47D56367"/>
    <w:rsid w:val="47E90696"/>
    <w:rsid w:val="47EF7803"/>
    <w:rsid w:val="47F9224C"/>
    <w:rsid w:val="481E3C44"/>
    <w:rsid w:val="482079BC"/>
    <w:rsid w:val="48276F9D"/>
    <w:rsid w:val="48286871"/>
    <w:rsid w:val="482D3E87"/>
    <w:rsid w:val="483A4518"/>
    <w:rsid w:val="48405748"/>
    <w:rsid w:val="486F4308"/>
    <w:rsid w:val="48876BAA"/>
    <w:rsid w:val="489A151D"/>
    <w:rsid w:val="48B25D55"/>
    <w:rsid w:val="48C52312"/>
    <w:rsid w:val="48DA2FD2"/>
    <w:rsid w:val="48E05DC2"/>
    <w:rsid w:val="48E46C3C"/>
    <w:rsid w:val="4900334A"/>
    <w:rsid w:val="49147BBC"/>
    <w:rsid w:val="491868E5"/>
    <w:rsid w:val="49261E5D"/>
    <w:rsid w:val="492E7EB7"/>
    <w:rsid w:val="49492F43"/>
    <w:rsid w:val="494B6CBB"/>
    <w:rsid w:val="494D2A33"/>
    <w:rsid w:val="49561252"/>
    <w:rsid w:val="49597D95"/>
    <w:rsid w:val="495C366D"/>
    <w:rsid w:val="496E6505"/>
    <w:rsid w:val="497C6E74"/>
    <w:rsid w:val="497E61A7"/>
    <w:rsid w:val="499E0EE2"/>
    <w:rsid w:val="49A800A8"/>
    <w:rsid w:val="49A87C69"/>
    <w:rsid w:val="49AF5757"/>
    <w:rsid w:val="49D63663"/>
    <w:rsid w:val="4A027906"/>
    <w:rsid w:val="4A11580F"/>
    <w:rsid w:val="4A1452FF"/>
    <w:rsid w:val="4A1C313C"/>
    <w:rsid w:val="4A225C6E"/>
    <w:rsid w:val="4A330397"/>
    <w:rsid w:val="4A873D23"/>
    <w:rsid w:val="4A8F0E29"/>
    <w:rsid w:val="4AA8337A"/>
    <w:rsid w:val="4AB443EC"/>
    <w:rsid w:val="4AC07235"/>
    <w:rsid w:val="4AE41175"/>
    <w:rsid w:val="4AF15640"/>
    <w:rsid w:val="4AFB026D"/>
    <w:rsid w:val="4B072CBC"/>
    <w:rsid w:val="4B2D07D6"/>
    <w:rsid w:val="4B431506"/>
    <w:rsid w:val="4B4E2A92"/>
    <w:rsid w:val="4B524331"/>
    <w:rsid w:val="4B577B99"/>
    <w:rsid w:val="4B7C0C17"/>
    <w:rsid w:val="4B9506C1"/>
    <w:rsid w:val="4BC721AD"/>
    <w:rsid w:val="4BF74ED8"/>
    <w:rsid w:val="4C067866"/>
    <w:rsid w:val="4C1C493F"/>
    <w:rsid w:val="4C207F2B"/>
    <w:rsid w:val="4C344EF1"/>
    <w:rsid w:val="4C3F6403"/>
    <w:rsid w:val="4C42669C"/>
    <w:rsid w:val="4C61141F"/>
    <w:rsid w:val="4C6D79C2"/>
    <w:rsid w:val="4C7E421D"/>
    <w:rsid w:val="4C90449D"/>
    <w:rsid w:val="4C947DF8"/>
    <w:rsid w:val="4CAD5597"/>
    <w:rsid w:val="4CB6269D"/>
    <w:rsid w:val="4CCF7493"/>
    <w:rsid w:val="4CFC7BF8"/>
    <w:rsid w:val="4D3F2693"/>
    <w:rsid w:val="4D3F6B37"/>
    <w:rsid w:val="4D616AAD"/>
    <w:rsid w:val="4D747620"/>
    <w:rsid w:val="4D781A88"/>
    <w:rsid w:val="4DAE7EA0"/>
    <w:rsid w:val="4DD252B5"/>
    <w:rsid w:val="4E1F24C4"/>
    <w:rsid w:val="4E355844"/>
    <w:rsid w:val="4E436DAA"/>
    <w:rsid w:val="4E82001E"/>
    <w:rsid w:val="4E9A439A"/>
    <w:rsid w:val="4EB15812"/>
    <w:rsid w:val="4EC96A44"/>
    <w:rsid w:val="4ED07D21"/>
    <w:rsid w:val="4EE70254"/>
    <w:rsid w:val="4EE74D90"/>
    <w:rsid w:val="4EEA2AD2"/>
    <w:rsid w:val="4EF61477"/>
    <w:rsid w:val="4EF67834"/>
    <w:rsid w:val="4EF725DE"/>
    <w:rsid w:val="4EF75FF4"/>
    <w:rsid w:val="4F1B2C8C"/>
    <w:rsid w:val="4F451A18"/>
    <w:rsid w:val="4F701229"/>
    <w:rsid w:val="4F8B5CA7"/>
    <w:rsid w:val="4F8F1E96"/>
    <w:rsid w:val="4F935CFC"/>
    <w:rsid w:val="4FA113E3"/>
    <w:rsid w:val="4FAC3A8C"/>
    <w:rsid w:val="4FC2252A"/>
    <w:rsid w:val="4FF541A5"/>
    <w:rsid w:val="500439ED"/>
    <w:rsid w:val="50052690"/>
    <w:rsid w:val="50096F88"/>
    <w:rsid w:val="500B71A4"/>
    <w:rsid w:val="500E4FC2"/>
    <w:rsid w:val="50171FFE"/>
    <w:rsid w:val="50246BE6"/>
    <w:rsid w:val="50450E70"/>
    <w:rsid w:val="50510246"/>
    <w:rsid w:val="505A594B"/>
    <w:rsid w:val="505D788E"/>
    <w:rsid w:val="506272F9"/>
    <w:rsid w:val="50630C42"/>
    <w:rsid w:val="50811214"/>
    <w:rsid w:val="50854D82"/>
    <w:rsid w:val="50873E8D"/>
    <w:rsid w:val="5092008F"/>
    <w:rsid w:val="50AD3DB7"/>
    <w:rsid w:val="50CC731F"/>
    <w:rsid w:val="50CF3D2E"/>
    <w:rsid w:val="50D47596"/>
    <w:rsid w:val="50EC2B32"/>
    <w:rsid w:val="50F77080"/>
    <w:rsid w:val="5106201A"/>
    <w:rsid w:val="510D2AA8"/>
    <w:rsid w:val="510F73B8"/>
    <w:rsid w:val="51173258"/>
    <w:rsid w:val="511906D8"/>
    <w:rsid w:val="513918A9"/>
    <w:rsid w:val="513E2C61"/>
    <w:rsid w:val="515626A1"/>
    <w:rsid w:val="517F7502"/>
    <w:rsid w:val="51874608"/>
    <w:rsid w:val="51A46F68"/>
    <w:rsid w:val="51AE6039"/>
    <w:rsid w:val="51DB6702"/>
    <w:rsid w:val="51E732F9"/>
    <w:rsid w:val="51EB4B97"/>
    <w:rsid w:val="520D1996"/>
    <w:rsid w:val="520F635F"/>
    <w:rsid w:val="521B6489"/>
    <w:rsid w:val="523C0389"/>
    <w:rsid w:val="523F1387"/>
    <w:rsid w:val="524F6C1C"/>
    <w:rsid w:val="52990A97"/>
    <w:rsid w:val="52A0797E"/>
    <w:rsid w:val="52A91A52"/>
    <w:rsid w:val="52B37355"/>
    <w:rsid w:val="52C206D3"/>
    <w:rsid w:val="5301340D"/>
    <w:rsid w:val="53255C65"/>
    <w:rsid w:val="53422616"/>
    <w:rsid w:val="534723DC"/>
    <w:rsid w:val="534C5B09"/>
    <w:rsid w:val="534C78B7"/>
    <w:rsid w:val="53657FAA"/>
    <w:rsid w:val="536966BB"/>
    <w:rsid w:val="536F5F7E"/>
    <w:rsid w:val="539574B0"/>
    <w:rsid w:val="539F3E8B"/>
    <w:rsid w:val="53AD5614"/>
    <w:rsid w:val="53BB3768"/>
    <w:rsid w:val="53BF62DB"/>
    <w:rsid w:val="53E915AA"/>
    <w:rsid w:val="53FC6842"/>
    <w:rsid w:val="5409746A"/>
    <w:rsid w:val="5428175B"/>
    <w:rsid w:val="547F1F0F"/>
    <w:rsid w:val="548A5AC1"/>
    <w:rsid w:val="54A26EE8"/>
    <w:rsid w:val="54AD1A2B"/>
    <w:rsid w:val="54CD4055"/>
    <w:rsid w:val="54E30FE8"/>
    <w:rsid w:val="55116550"/>
    <w:rsid w:val="55384597"/>
    <w:rsid w:val="555467FF"/>
    <w:rsid w:val="555B0462"/>
    <w:rsid w:val="55982432"/>
    <w:rsid w:val="559F4616"/>
    <w:rsid w:val="55A94908"/>
    <w:rsid w:val="55AE2FE0"/>
    <w:rsid w:val="55B07143"/>
    <w:rsid w:val="55B31E70"/>
    <w:rsid w:val="55CB7312"/>
    <w:rsid w:val="55CC6FE2"/>
    <w:rsid w:val="55D305EA"/>
    <w:rsid w:val="55D911AB"/>
    <w:rsid w:val="55E634FA"/>
    <w:rsid w:val="55F06C20"/>
    <w:rsid w:val="55F8121C"/>
    <w:rsid w:val="55FF3307"/>
    <w:rsid w:val="56081083"/>
    <w:rsid w:val="56206DD9"/>
    <w:rsid w:val="56350AD7"/>
    <w:rsid w:val="564B654C"/>
    <w:rsid w:val="564F4128"/>
    <w:rsid w:val="56666F15"/>
    <w:rsid w:val="56757125"/>
    <w:rsid w:val="56921A85"/>
    <w:rsid w:val="569B0C33"/>
    <w:rsid w:val="569F23F4"/>
    <w:rsid w:val="56B03579"/>
    <w:rsid w:val="56B714EC"/>
    <w:rsid w:val="56BE21DD"/>
    <w:rsid w:val="56CF4088"/>
    <w:rsid w:val="56D0377C"/>
    <w:rsid w:val="56E156E0"/>
    <w:rsid w:val="56EF4470"/>
    <w:rsid w:val="570E3A04"/>
    <w:rsid w:val="5748164A"/>
    <w:rsid w:val="576207EF"/>
    <w:rsid w:val="578E7A47"/>
    <w:rsid w:val="57905DB9"/>
    <w:rsid w:val="579B0E0D"/>
    <w:rsid w:val="57A2701C"/>
    <w:rsid w:val="57A44166"/>
    <w:rsid w:val="57AE0D20"/>
    <w:rsid w:val="57DD31D4"/>
    <w:rsid w:val="57E9601D"/>
    <w:rsid w:val="57EF0351"/>
    <w:rsid w:val="57F71D28"/>
    <w:rsid w:val="57FB18AC"/>
    <w:rsid w:val="57FB5D50"/>
    <w:rsid w:val="58067BED"/>
    <w:rsid w:val="581408D2"/>
    <w:rsid w:val="582146E8"/>
    <w:rsid w:val="58242D3F"/>
    <w:rsid w:val="583354EA"/>
    <w:rsid w:val="585F1E3B"/>
    <w:rsid w:val="58614E0C"/>
    <w:rsid w:val="5862234C"/>
    <w:rsid w:val="58647451"/>
    <w:rsid w:val="588C69A8"/>
    <w:rsid w:val="588D4FD4"/>
    <w:rsid w:val="58966F98"/>
    <w:rsid w:val="58AE691E"/>
    <w:rsid w:val="58B02697"/>
    <w:rsid w:val="58B91D2A"/>
    <w:rsid w:val="58D06F50"/>
    <w:rsid w:val="58D4514B"/>
    <w:rsid w:val="58DC348C"/>
    <w:rsid w:val="58DF2F7C"/>
    <w:rsid w:val="590E1043"/>
    <w:rsid w:val="594F1802"/>
    <w:rsid w:val="595D1073"/>
    <w:rsid w:val="595E72BC"/>
    <w:rsid w:val="59685848"/>
    <w:rsid w:val="59854011"/>
    <w:rsid w:val="599651FE"/>
    <w:rsid w:val="599B6EA3"/>
    <w:rsid w:val="599E4BE5"/>
    <w:rsid w:val="59AA20A3"/>
    <w:rsid w:val="59AC5554"/>
    <w:rsid w:val="59BA488B"/>
    <w:rsid w:val="59BE4D82"/>
    <w:rsid w:val="59C351C2"/>
    <w:rsid w:val="59CA3C2C"/>
    <w:rsid w:val="59DF3163"/>
    <w:rsid w:val="59EF3692"/>
    <w:rsid w:val="5A1259A1"/>
    <w:rsid w:val="5A17647C"/>
    <w:rsid w:val="5A284778"/>
    <w:rsid w:val="5A293649"/>
    <w:rsid w:val="5A494B51"/>
    <w:rsid w:val="5A5B6371"/>
    <w:rsid w:val="5A6B0F6B"/>
    <w:rsid w:val="5A6E626C"/>
    <w:rsid w:val="5A726E70"/>
    <w:rsid w:val="5A743572"/>
    <w:rsid w:val="5A76346C"/>
    <w:rsid w:val="5A80007A"/>
    <w:rsid w:val="5A971D60"/>
    <w:rsid w:val="5A9C32F9"/>
    <w:rsid w:val="5AAC50E0"/>
    <w:rsid w:val="5AB50438"/>
    <w:rsid w:val="5ABC78D6"/>
    <w:rsid w:val="5AC661A1"/>
    <w:rsid w:val="5AC9234B"/>
    <w:rsid w:val="5AF002EE"/>
    <w:rsid w:val="5B08614E"/>
    <w:rsid w:val="5B0B1F4A"/>
    <w:rsid w:val="5B186DAF"/>
    <w:rsid w:val="5B361EF0"/>
    <w:rsid w:val="5B3B0645"/>
    <w:rsid w:val="5B40464C"/>
    <w:rsid w:val="5B5C6B06"/>
    <w:rsid w:val="5B6E7EBA"/>
    <w:rsid w:val="5B8147BE"/>
    <w:rsid w:val="5BB22BCA"/>
    <w:rsid w:val="5BC00E43"/>
    <w:rsid w:val="5BDD7C46"/>
    <w:rsid w:val="5BFC461E"/>
    <w:rsid w:val="5C0269F8"/>
    <w:rsid w:val="5C1949F7"/>
    <w:rsid w:val="5C2E5C34"/>
    <w:rsid w:val="5C3C7C1F"/>
    <w:rsid w:val="5C50666A"/>
    <w:rsid w:val="5C515F3F"/>
    <w:rsid w:val="5C61573A"/>
    <w:rsid w:val="5C653798"/>
    <w:rsid w:val="5C9B11DA"/>
    <w:rsid w:val="5CAA564F"/>
    <w:rsid w:val="5CB4181A"/>
    <w:rsid w:val="5CC13A99"/>
    <w:rsid w:val="5CDA4186"/>
    <w:rsid w:val="5CE3777B"/>
    <w:rsid w:val="5CF039A9"/>
    <w:rsid w:val="5D135B2F"/>
    <w:rsid w:val="5D167726"/>
    <w:rsid w:val="5D221689"/>
    <w:rsid w:val="5D345D56"/>
    <w:rsid w:val="5D3B66C4"/>
    <w:rsid w:val="5D4736F8"/>
    <w:rsid w:val="5D543F38"/>
    <w:rsid w:val="5D572184"/>
    <w:rsid w:val="5D617684"/>
    <w:rsid w:val="5D752101"/>
    <w:rsid w:val="5D794200"/>
    <w:rsid w:val="5D8024D0"/>
    <w:rsid w:val="5DA0717E"/>
    <w:rsid w:val="5DAE78AC"/>
    <w:rsid w:val="5DBB3D64"/>
    <w:rsid w:val="5DC32E6C"/>
    <w:rsid w:val="5DD24E5D"/>
    <w:rsid w:val="5DEA0D17"/>
    <w:rsid w:val="5E0A0A9B"/>
    <w:rsid w:val="5E182003"/>
    <w:rsid w:val="5E1A314B"/>
    <w:rsid w:val="5E1A3A26"/>
    <w:rsid w:val="5E1F7F77"/>
    <w:rsid w:val="5E2C6B0B"/>
    <w:rsid w:val="5E350885"/>
    <w:rsid w:val="5E385608"/>
    <w:rsid w:val="5E451AD3"/>
    <w:rsid w:val="5E551C1F"/>
    <w:rsid w:val="5E7B2F72"/>
    <w:rsid w:val="5E8A3B61"/>
    <w:rsid w:val="5E9D546B"/>
    <w:rsid w:val="5EC0115A"/>
    <w:rsid w:val="5ED93647"/>
    <w:rsid w:val="5EDA1E95"/>
    <w:rsid w:val="5EEC243F"/>
    <w:rsid w:val="5F021772"/>
    <w:rsid w:val="5F2D4A41"/>
    <w:rsid w:val="5F351B48"/>
    <w:rsid w:val="5F53198B"/>
    <w:rsid w:val="5FAE49A5"/>
    <w:rsid w:val="5FBC1D61"/>
    <w:rsid w:val="5FC1162D"/>
    <w:rsid w:val="5FDA624B"/>
    <w:rsid w:val="5FF1258D"/>
    <w:rsid w:val="5FF92B75"/>
    <w:rsid w:val="602F6597"/>
    <w:rsid w:val="60341DFF"/>
    <w:rsid w:val="603D7BC0"/>
    <w:rsid w:val="604A1623"/>
    <w:rsid w:val="604F2F3E"/>
    <w:rsid w:val="60677571"/>
    <w:rsid w:val="60986577"/>
    <w:rsid w:val="60A96349"/>
    <w:rsid w:val="60B91793"/>
    <w:rsid w:val="60BB7E2A"/>
    <w:rsid w:val="60C2206A"/>
    <w:rsid w:val="60C73D08"/>
    <w:rsid w:val="60EE1FAE"/>
    <w:rsid w:val="60FD1436"/>
    <w:rsid w:val="611840B4"/>
    <w:rsid w:val="61261CDB"/>
    <w:rsid w:val="61491141"/>
    <w:rsid w:val="615F4C5A"/>
    <w:rsid w:val="61673576"/>
    <w:rsid w:val="617E31CD"/>
    <w:rsid w:val="61856F4B"/>
    <w:rsid w:val="618F19E3"/>
    <w:rsid w:val="61A354CB"/>
    <w:rsid w:val="61C3168D"/>
    <w:rsid w:val="61D1258B"/>
    <w:rsid w:val="61D3616D"/>
    <w:rsid w:val="61DD7D09"/>
    <w:rsid w:val="61E77BAD"/>
    <w:rsid w:val="62206ADF"/>
    <w:rsid w:val="62233ED9"/>
    <w:rsid w:val="622C2814"/>
    <w:rsid w:val="623C1C3A"/>
    <w:rsid w:val="6242791B"/>
    <w:rsid w:val="62445CF4"/>
    <w:rsid w:val="62491F34"/>
    <w:rsid w:val="625B23FB"/>
    <w:rsid w:val="62783014"/>
    <w:rsid w:val="627B3D15"/>
    <w:rsid w:val="627E3805"/>
    <w:rsid w:val="6284794D"/>
    <w:rsid w:val="628801E0"/>
    <w:rsid w:val="628E1C9B"/>
    <w:rsid w:val="629D1EDE"/>
    <w:rsid w:val="62A72D5C"/>
    <w:rsid w:val="62B92A90"/>
    <w:rsid w:val="62C51434"/>
    <w:rsid w:val="62C83A1C"/>
    <w:rsid w:val="62DF24F6"/>
    <w:rsid w:val="62F13FD7"/>
    <w:rsid w:val="62F51D1A"/>
    <w:rsid w:val="630D44D3"/>
    <w:rsid w:val="630E2DDB"/>
    <w:rsid w:val="6332277A"/>
    <w:rsid w:val="633678D4"/>
    <w:rsid w:val="63377F9B"/>
    <w:rsid w:val="633F5BB1"/>
    <w:rsid w:val="63495BC1"/>
    <w:rsid w:val="63521E02"/>
    <w:rsid w:val="635A3F48"/>
    <w:rsid w:val="63874421"/>
    <w:rsid w:val="638B442C"/>
    <w:rsid w:val="63974B7F"/>
    <w:rsid w:val="63A159FD"/>
    <w:rsid w:val="63B6644E"/>
    <w:rsid w:val="63C82F8A"/>
    <w:rsid w:val="63CC3EBF"/>
    <w:rsid w:val="63D005C6"/>
    <w:rsid w:val="63EF49BB"/>
    <w:rsid w:val="63F36F9C"/>
    <w:rsid w:val="6416125B"/>
    <w:rsid w:val="64201941"/>
    <w:rsid w:val="642301C1"/>
    <w:rsid w:val="64231224"/>
    <w:rsid w:val="64317C8A"/>
    <w:rsid w:val="643979E4"/>
    <w:rsid w:val="64430863"/>
    <w:rsid w:val="645E38EF"/>
    <w:rsid w:val="648515AE"/>
    <w:rsid w:val="64943EBC"/>
    <w:rsid w:val="649C61C5"/>
    <w:rsid w:val="64CC0858"/>
    <w:rsid w:val="64DF5616"/>
    <w:rsid w:val="64E9765C"/>
    <w:rsid w:val="6503723B"/>
    <w:rsid w:val="651A0F40"/>
    <w:rsid w:val="652F2B95"/>
    <w:rsid w:val="65493C57"/>
    <w:rsid w:val="655A40B6"/>
    <w:rsid w:val="655C00B6"/>
    <w:rsid w:val="65671A00"/>
    <w:rsid w:val="656D3290"/>
    <w:rsid w:val="657C6E6C"/>
    <w:rsid w:val="6587477F"/>
    <w:rsid w:val="658E3D60"/>
    <w:rsid w:val="65B25723"/>
    <w:rsid w:val="65DA6FA5"/>
    <w:rsid w:val="65ED4F2A"/>
    <w:rsid w:val="66000A43"/>
    <w:rsid w:val="661A1A97"/>
    <w:rsid w:val="66252916"/>
    <w:rsid w:val="663366B5"/>
    <w:rsid w:val="6646288C"/>
    <w:rsid w:val="666353C4"/>
    <w:rsid w:val="6679056C"/>
    <w:rsid w:val="667A7A2E"/>
    <w:rsid w:val="66A17AC3"/>
    <w:rsid w:val="66AA6977"/>
    <w:rsid w:val="66CC4DA2"/>
    <w:rsid w:val="66D27B60"/>
    <w:rsid w:val="66D60CC4"/>
    <w:rsid w:val="66DA4EFD"/>
    <w:rsid w:val="66E53E53"/>
    <w:rsid w:val="66E634DC"/>
    <w:rsid w:val="66EA1965"/>
    <w:rsid w:val="67092D98"/>
    <w:rsid w:val="671309C0"/>
    <w:rsid w:val="67193D15"/>
    <w:rsid w:val="671D183F"/>
    <w:rsid w:val="672D16D2"/>
    <w:rsid w:val="67346B89"/>
    <w:rsid w:val="674943E2"/>
    <w:rsid w:val="675114E9"/>
    <w:rsid w:val="67527824"/>
    <w:rsid w:val="67603D36"/>
    <w:rsid w:val="67623F04"/>
    <w:rsid w:val="676A25AA"/>
    <w:rsid w:val="67931B01"/>
    <w:rsid w:val="67955879"/>
    <w:rsid w:val="67A77295"/>
    <w:rsid w:val="67AB5867"/>
    <w:rsid w:val="67AE693B"/>
    <w:rsid w:val="67B11C5B"/>
    <w:rsid w:val="67E24432"/>
    <w:rsid w:val="67E94DF6"/>
    <w:rsid w:val="67F105D6"/>
    <w:rsid w:val="67FC3CC5"/>
    <w:rsid w:val="6832131A"/>
    <w:rsid w:val="683A3D2B"/>
    <w:rsid w:val="6841330B"/>
    <w:rsid w:val="68456552"/>
    <w:rsid w:val="685272C6"/>
    <w:rsid w:val="68550B65"/>
    <w:rsid w:val="685968A7"/>
    <w:rsid w:val="685D7846"/>
    <w:rsid w:val="68727968"/>
    <w:rsid w:val="68852F89"/>
    <w:rsid w:val="68980B22"/>
    <w:rsid w:val="68E76220"/>
    <w:rsid w:val="68F465CF"/>
    <w:rsid w:val="69224EEB"/>
    <w:rsid w:val="692A6F91"/>
    <w:rsid w:val="6935759B"/>
    <w:rsid w:val="69540E1C"/>
    <w:rsid w:val="69817558"/>
    <w:rsid w:val="69D05B74"/>
    <w:rsid w:val="69D67532"/>
    <w:rsid w:val="69D93E40"/>
    <w:rsid w:val="69EB183A"/>
    <w:rsid w:val="6A2E3D63"/>
    <w:rsid w:val="6A3959D9"/>
    <w:rsid w:val="6A613E90"/>
    <w:rsid w:val="6A6553A9"/>
    <w:rsid w:val="6A670F20"/>
    <w:rsid w:val="6A76231D"/>
    <w:rsid w:val="6AAF6C52"/>
    <w:rsid w:val="6ABF6769"/>
    <w:rsid w:val="6AC83870"/>
    <w:rsid w:val="6ACB0C44"/>
    <w:rsid w:val="6AED1528"/>
    <w:rsid w:val="6AEF6ECA"/>
    <w:rsid w:val="6AFD0277"/>
    <w:rsid w:val="6B016C08"/>
    <w:rsid w:val="6B1940CB"/>
    <w:rsid w:val="6B3D1532"/>
    <w:rsid w:val="6B514E55"/>
    <w:rsid w:val="6B573CA8"/>
    <w:rsid w:val="6B84284F"/>
    <w:rsid w:val="6B8D6AB0"/>
    <w:rsid w:val="6B8F271D"/>
    <w:rsid w:val="6B94171A"/>
    <w:rsid w:val="6B95409A"/>
    <w:rsid w:val="6BAC3191"/>
    <w:rsid w:val="6BC03649"/>
    <w:rsid w:val="6BCA7305"/>
    <w:rsid w:val="6BCF7DC1"/>
    <w:rsid w:val="6BDD159D"/>
    <w:rsid w:val="6BE05D30"/>
    <w:rsid w:val="6BEC358E"/>
    <w:rsid w:val="6C02112D"/>
    <w:rsid w:val="6C094140"/>
    <w:rsid w:val="6C286D49"/>
    <w:rsid w:val="6C2B67AC"/>
    <w:rsid w:val="6C334C7B"/>
    <w:rsid w:val="6C33740F"/>
    <w:rsid w:val="6C36371A"/>
    <w:rsid w:val="6C4D7ABB"/>
    <w:rsid w:val="6C735A5D"/>
    <w:rsid w:val="6C7A7EBF"/>
    <w:rsid w:val="6C7C394A"/>
    <w:rsid w:val="6CB30C91"/>
    <w:rsid w:val="6CC938CF"/>
    <w:rsid w:val="6CCD1562"/>
    <w:rsid w:val="6CD90324"/>
    <w:rsid w:val="6CE24AEE"/>
    <w:rsid w:val="6CF62EDC"/>
    <w:rsid w:val="6CF65CB6"/>
    <w:rsid w:val="6CFE17CB"/>
    <w:rsid w:val="6D015509"/>
    <w:rsid w:val="6D0739F4"/>
    <w:rsid w:val="6D1B05CF"/>
    <w:rsid w:val="6D600E4E"/>
    <w:rsid w:val="6D686A3C"/>
    <w:rsid w:val="6D75484E"/>
    <w:rsid w:val="6D921309"/>
    <w:rsid w:val="6DAA1953"/>
    <w:rsid w:val="6DF15854"/>
    <w:rsid w:val="6E103B09"/>
    <w:rsid w:val="6E192634"/>
    <w:rsid w:val="6E26547D"/>
    <w:rsid w:val="6E35746E"/>
    <w:rsid w:val="6E3E7A5F"/>
    <w:rsid w:val="6E837C6A"/>
    <w:rsid w:val="6E895767"/>
    <w:rsid w:val="6E906D9A"/>
    <w:rsid w:val="6EE1169E"/>
    <w:rsid w:val="6EF838D8"/>
    <w:rsid w:val="6F1569D0"/>
    <w:rsid w:val="6F3B6D06"/>
    <w:rsid w:val="6F434296"/>
    <w:rsid w:val="6F4D6A39"/>
    <w:rsid w:val="6F5770EE"/>
    <w:rsid w:val="6F5953DE"/>
    <w:rsid w:val="6F60051B"/>
    <w:rsid w:val="6F751AEC"/>
    <w:rsid w:val="6F771D08"/>
    <w:rsid w:val="6F8166E3"/>
    <w:rsid w:val="6F8B7FB3"/>
    <w:rsid w:val="6F94407E"/>
    <w:rsid w:val="6F975F07"/>
    <w:rsid w:val="6F997ED1"/>
    <w:rsid w:val="6FD97EA3"/>
    <w:rsid w:val="6FEC1DAE"/>
    <w:rsid w:val="70271906"/>
    <w:rsid w:val="7060279C"/>
    <w:rsid w:val="70925F01"/>
    <w:rsid w:val="70A639E7"/>
    <w:rsid w:val="70B41E8F"/>
    <w:rsid w:val="70C60851"/>
    <w:rsid w:val="70C81F52"/>
    <w:rsid w:val="70DF27A9"/>
    <w:rsid w:val="70EA114F"/>
    <w:rsid w:val="70FB773A"/>
    <w:rsid w:val="711517D9"/>
    <w:rsid w:val="7121200D"/>
    <w:rsid w:val="7174037B"/>
    <w:rsid w:val="718D6064"/>
    <w:rsid w:val="71912F36"/>
    <w:rsid w:val="71CC19A8"/>
    <w:rsid w:val="71EF5B86"/>
    <w:rsid w:val="71FB53D1"/>
    <w:rsid w:val="72023B0B"/>
    <w:rsid w:val="720A1751"/>
    <w:rsid w:val="720D1DEE"/>
    <w:rsid w:val="7213482D"/>
    <w:rsid w:val="722C4F16"/>
    <w:rsid w:val="72473C14"/>
    <w:rsid w:val="725319FA"/>
    <w:rsid w:val="72606A84"/>
    <w:rsid w:val="726B0346"/>
    <w:rsid w:val="726C71D7"/>
    <w:rsid w:val="7285321E"/>
    <w:rsid w:val="7285473C"/>
    <w:rsid w:val="72980EDF"/>
    <w:rsid w:val="72BB015E"/>
    <w:rsid w:val="72C16247"/>
    <w:rsid w:val="72C708B1"/>
    <w:rsid w:val="72CE1FD6"/>
    <w:rsid w:val="72D35EFD"/>
    <w:rsid w:val="72E70F53"/>
    <w:rsid w:val="7313416E"/>
    <w:rsid w:val="731955B0"/>
    <w:rsid w:val="731A04F4"/>
    <w:rsid w:val="7343262D"/>
    <w:rsid w:val="735F4F8D"/>
    <w:rsid w:val="73637E23"/>
    <w:rsid w:val="736600CA"/>
    <w:rsid w:val="736A2E33"/>
    <w:rsid w:val="73751A30"/>
    <w:rsid w:val="73860D96"/>
    <w:rsid w:val="73873A1A"/>
    <w:rsid w:val="73A265D4"/>
    <w:rsid w:val="73BF3A31"/>
    <w:rsid w:val="73C65CFA"/>
    <w:rsid w:val="73E96AFF"/>
    <w:rsid w:val="74060D79"/>
    <w:rsid w:val="7412556E"/>
    <w:rsid w:val="74315462"/>
    <w:rsid w:val="74324450"/>
    <w:rsid w:val="74327ACF"/>
    <w:rsid w:val="744F5002"/>
    <w:rsid w:val="7452521E"/>
    <w:rsid w:val="7460720F"/>
    <w:rsid w:val="74646C25"/>
    <w:rsid w:val="74703282"/>
    <w:rsid w:val="74740571"/>
    <w:rsid w:val="747405C4"/>
    <w:rsid w:val="748B5FFF"/>
    <w:rsid w:val="749307B4"/>
    <w:rsid w:val="74965E9C"/>
    <w:rsid w:val="74A138CF"/>
    <w:rsid w:val="74B82EAB"/>
    <w:rsid w:val="74DD46F3"/>
    <w:rsid w:val="74E70CEB"/>
    <w:rsid w:val="750B0F29"/>
    <w:rsid w:val="751030FD"/>
    <w:rsid w:val="75164D97"/>
    <w:rsid w:val="751653F3"/>
    <w:rsid w:val="75275C40"/>
    <w:rsid w:val="75306BE1"/>
    <w:rsid w:val="754F0366"/>
    <w:rsid w:val="755C3532"/>
    <w:rsid w:val="75610B49"/>
    <w:rsid w:val="75630D65"/>
    <w:rsid w:val="756A3232"/>
    <w:rsid w:val="75876DE8"/>
    <w:rsid w:val="759058D2"/>
    <w:rsid w:val="75A43097"/>
    <w:rsid w:val="75BE3917"/>
    <w:rsid w:val="75E55DBE"/>
    <w:rsid w:val="760E3D8A"/>
    <w:rsid w:val="76283289"/>
    <w:rsid w:val="762A1882"/>
    <w:rsid w:val="762D3121"/>
    <w:rsid w:val="763D51A3"/>
    <w:rsid w:val="764010A6"/>
    <w:rsid w:val="7641772F"/>
    <w:rsid w:val="764F3097"/>
    <w:rsid w:val="76C21ABB"/>
    <w:rsid w:val="76C45833"/>
    <w:rsid w:val="76D17FED"/>
    <w:rsid w:val="76D37824"/>
    <w:rsid w:val="76E9529A"/>
    <w:rsid w:val="76FD5B5D"/>
    <w:rsid w:val="771C1FEB"/>
    <w:rsid w:val="77345D20"/>
    <w:rsid w:val="774050A4"/>
    <w:rsid w:val="774D7DC8"/>
    <w:rsid w:val="7753702C"/>
    <w:rsid w:val="776F2285"/>
    <w:rsid w:val="779D7E32"/>
    <w:rsid w:val="779F78C2"/>
    <w:rsid w:val="77BA09E4"/>
    <w:rsid w:val="77D45F4A"/>
    <w:rsid w:val="77DA6E30"/>
    <w:rsid w:val="77E36B17"/>
    <w:rsid w:val="77EF4B32"/>
    <w:rsid w:val="7808174F"/>
    <w:rsid w:val="78162870"/>
    <w:rsid w:val="78372035"/>
    <w:rsid w:val="78755945"/>
    <w:rsid w:val="788A70F3"/>
    <w:rsid w:val="78917997"/>
    <w:rsid w:val="78A8212F"/>
    <w:rsid w:val="78AB0354"/>
    <w:rsid w:val="78B47B29"/>
    <w:rsid w:val="78C83AA5"/>
    <w:rsid w:val="78CF04BF"/>
    <w:rsid w:val="78F8227F"/>
    <w:rsid w:val="78FE29CE"/>
    <w:rsid w:val="79082858"/>
    <w:rsid w:val="791365FE"/>
    <w:rsid w:val="79205E80"/>
    <w:rsid w:val="793C38E0"/>
    <w:rsid w:val="794009DA"/>
    <w:rsid w:val="794F0DB0"/>
    <w:rsid w:val="795135CA"/>
    <w:rsid w:val="795E2EE2"/>
    <w:rsid w:val="797D616D"/>
    <w:rsid w:val="79997102"/>
    <w:rsid w:val="79E86200"/>
    <w:rsid w:val="7A083C89"/>
    <w:rsid w:val="7A1B0D74"/>
    <w:rsid w:val="7A1C44D7"/>
    <w:rsid w:val="7A1C5986"/>
    <w:rsid w:val="7A1C7734"/>
    <w:rsid w:val="7A214D4A"/>
    <w:rsid w:val="7A2A3C2E"/>
    <w:rsid w:val="7A460BE1"/>
    <w:rsid w:val="7A4822D7"/>
    <w:rsid w:val="7A5F5873"/>
    <w:rsid w:val="7A6441F7"/>
    <w:rsid w:val="7A7632E8"/>
    <w:rsid w:val="7A88366E"/>
    <w:rsid w:val="7A93745F"/>
    <w:rsid w:val="7A9B3AA1"/>
    <w:rsid w:val="7AAA2F92"/>
    <w:rsid w:val="7AB72BBD"/>
    <w:rsid w:val="7ABB1E4D"/>
    <w:rsid w:val="7AD523F0"/>
    <w:rsid w:val="7AE85F45"/>
    <w:rsid w:val="7B046B46"/>
    <w:rsid w:val="7B057924"/>
    <w:rsid w:val="7B0F7299"/>
    <w:rsid w:val="7B146D0D"/>
    <w:rsid w:val="7B4A02D1"/>
    <w:rsid w:val="7B4B59E7"/>
    <w:rsid w:val="7B520869"/>
    <w:rsid w:val="7B5971BC"/>
    <w:rsid w:val="7B5F1FCE"/>
    <w:rsid w:val="7B615D46"/>
    <w:rsid w:val="7B796BB0"/>
    <w:rsid w:val="7B797B8C"/>
    <w:rsid w:val="7B963516"/>
    <w:rsid w:val="7BAF71A0"/>
    <w:rsid w:val="7BB77A58"/>
    <w:rsid w:val="7BBF4A30"/>
    <w:rsid w:val="7BC167E5"/>
    <w:rsid w:val="7BC50043"/>
    <w:rsid w:val="7BC65BA9"/>
    <w:rsid w:val="7BF62F10"/>
    <w:rsid w:val="7C030610"/>
    <w:rsid w:val="7C0A7E63"/>
    <w:rsid w:val="7C183F2B"/>
    <w:rsid w:val="7C254F6F"/>
    <w:rsid w:val="7C25698E"/>
    <w:rsid w:val="7C305674"/>
    <w:rsid w:val="7C450542"/>
    <w:rsid w:val="7C831CEC"/>
    <w:rsid w:val="7C9758E4"/>
    <w:rsid w:val="7CA34F84"/>
    <w:rsid w:val="7CA8362A"/>
    <w:rsid w:val="7CC540B3"/>
    <w:rsid w:val="7CD67ABD"/>
    <w:rsid w:val="7CD9190C"/>
    <w:rsid w:val="7CDA5990"/>
    <w:rsid w:val="7CDE5175"/>
    <w:rsid w:val="7CDF0E32"/>
    <w:rsid w:val="7CE85F9E"/>
    <w:rsid w:val="7D217FDA"/>
    <w:rsid w:val="7D23174B"/>
    <w:rsid w:val="7D2C5EE0"/>
    <w:rsid w:val="7D4F7E21"/>
    <w:rsid w:val="7D512D9B"/>
    <w:rsid w:val="7D56787C"/>
    <w:rsid w:val="7D6A6067"/>
    <w:rsid w:val="7D6C2781"/>
    <w:rsid w:val="7D9A5540"/>
    <w:rsid w:val="7DA017BC"/>
    <w:rsid w:val="7DAE15D5"/>
    <w:rsid w:val="7DB55ED6"/>
    <w:rsid w:val="7DB62A4C"/>
    <w:rsid w:val="7DC205F3"/>
    <w:rsid w:val="7DCC321F"/>
    <w:rsid w:val="7DD520D4"/>
    <w:rsid w:val="7DDA3B8E"/>
    <w:rsid w:val="7DE94C40"/>
    <w:rsid w:val="7DF82C87"/>
    <w:rsid w:val="7E1C41A7"/>
    <w:rsid w:val="7E374D98"/>
    <w:rsid w:val="7E66207E"/>
    <w:rsid w:val="7E815A52"/>
    <w:rsid w:val="7E8410B6"/>
    <w:rsid w:val="7E8A331C"/>
    <w:rsid w:val="7EAB552B"/>
    <w:rsid w:val="7EB5766F"/>
    <w:rsid w:val="7EBB576E"/>
    <w:rsid w:val="7ECB1729"/>
    <w:rsid w:val="7ED24865"/>
    <w:rsid w:val="7F1907CE"/>
    <w:rsid w:val="7F1E3CBE"/>
    <w:rsid w:val="7F2B02A2"/>
    <w:rsid w:val="7F621CE0"/>
    <w:rsid w:val="7F954211"/>
    <w:rsid w:val="7FA02BB5"/>
    <w:rsid w:val="7FBF303C"/>
    <w:rsid w:val="7FC22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sz w:val="24"/>
    </w:rPr>
  </w:style>
  <w:style w:type="paragraph" w:styleId="7">
    <w:name w:val="annotation text"/>
    <w:basedOn w:val="1"/>
    <w:qFormat/>
    <w:uiPriority w:val="0"/>
    <w:pPr>
      <w:jc w:val="left"/>
    </w:pPr>
  </w:style>
  <w:style w:type="paragraph" w:styleId="8">
    <w:name w:val="Salutation"/>
    <w:next w:val="1"/>
    <w:qFormat/>
    <w:uiPriority w:val="0"/>
    <w:pPr>
      <w:widowControl w:val="0"/>
      <w:spacing w:before="100" w:beforeAutospacing="1" w:after="100" w:afterAutospacing="1" w:line="360" w:lineRule="auto"/>
      <w:jc w:val="both"/>
    </w:pPr>
    <w:rPr>
      <w:rFonts w:ascii="Times New Roman" w:hAnsi="Times New Roman" w:eastAsia="宋体" w:cs="Times New Roman"/>
      <w:kern w:val="2"/>
      <w:sz w:val="21"/>
      <w:szCs w:val="24"/>
      <w:lang w:val="en-US" w:eastAsia="zh-CN" w:bidi="ar-SA"/>
    </w:rPr>
  </w:style>
  <w:style w:type="paragraph" w:styleId="9">
    <w:name w:val="Body Text"/>
    <w:basedOn w:val="1"/>
    <w:next w:val="1"/>
    <w:qFormat/>
    <w:uiPriority w:val="0"/>
    <w:pPr>
      <w:tabs>
        <w:tab w:val="left" w:pos="567"/>
      </w:tabs>
      <w:spacing w:before="120" w:line="22" w:lineRule="atLeast"/>
    </w:pPr>
    <w:rPr>
      <w:rFonts w:ascii="宋体" w:hAnsi="宋体"/>
      <w:sz w:val="24"/>
    </w:rPr>
  </w:style>
  <w:style w:type="paragraph" w:styleId="10">
    <w:name w:val="Body Text Indent"/>
    <w:basedOn w:val="1"/>
    <w:next w:val="11"/>
    <w:qFormat/>
    <w:uiPriority w:val="0"/>
    <w:pPr>
      <w:spacing w:line="360" w:lineRule="auto"/>
      <w:ind w:firstLine="570"/>
    </w:pPr>
    <w:rPr>
      <w:sz w:val="24"/>
    </w:rPr>
  </w:style>
  <w:style w:type="paragraph" w:styleId="11">
    <w:name w:val="envelope return"/>
    <w:basedOn w:val="1"/>
    <w:qFormat/>
    <w:uiPriority w:val="99"/>
    <w:rPr>
      <w:rFonts w:ascii="Arial" w:hAnsi="Arial" w:cs="Arial"/>
      <w:kern w:val="1"/>
    </w:rPr>
  </w:style>
  <w:style w:type="paragraph" w:styleId="12">
    <w:name w:val="index 4"/>
    <w:basedOn w:val="1"/>
    <w:next w:val="1"/>
    <w:qFormat/>
    <w:uiPriority w:val="0"/>
    <w:pPr>
      <w:ind w:left="600" w:leftChars="600"/>
    </w:pPr>
  </w:style>
  <w:style w:type="paragraph" w:styleId="13">
    <w:name w:val="toc 3"/>
    <w:basedOn w:val="1"/>
    <w:next w:val="1"/>
    <w:unhideWhenUsed/>
    <w:qFormat/>
    <w:uiPriority w:val="39"/>
    <w:pPr>
      <w:ind w:left="840" w:leftChars="400"/>
    </w:pPr>
  </w:style>
  <w:style w:type="paragraph" w:styleId="14">
    <w:name w:val="Plain Text"/>
    <w:basedOn w:val="1"/>
    <w:qFormat/>
    <w:uiPriority w:val="0"/>
    <w:rPr>
      <w:rFonts w:hint="eastAsia" w:ascii="宋体" w:hAnsi="Courier New"/>
      <w:szCs w:val="20"/>
    </w:rPr>
  </w:style>
  <w:style w:type="paragraph" w:styleId="15">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8">
    <w:name w:val="footnote text"/>
    <w:basedOn w:val="1"/>
    <w:next w:val="16"/>
    <w:unhideWhenUsed/>
    <w:qFormat/>
    <w:uiPriority w:val="0"/>
    <w:pPr>
      <w:snapToGrid w:val="0"/>
      <w:jc w:val="left"/>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Title"/>
    <w:basedOn w:val="1"/>
    <w:qFormat/>
    <w:uiPriority w:val="0"/>
    <w:pPr>
      <w:jc w:val="center"/>
      <w:outlineLvl w:val="0"/>
    </w:pPr>
    <w:rPr>
      <w:b/>
      <w:sz w:val="32"/>
      <w:szCs w:val="20"/>
    </w:rPr>
  </w:style>
  <w:style w:type="paragraph" w:styleId="21">
    <w:name w:val="Body Text First Indent"/>
    <w:basedOn w:val="9"/>
    <w:qFormat/>
    <w:uiPriority w:val="0"/>
    <w:pPr>
      <w:spacing w:line="240" w:lineRule="auto"/>
      <w:ind w:firstLine="420" w:firstLineChars="100"/>
    </w:pPr>
  </w:style>
  <w:style w:type="paragraph" w:styleId="22">
    <w:name w:val="Body Text First Indent 2"/>
    <w:basedOn w:val="10"/>
    <w:qFormat/>
    <w:uiPriority w:val="0"/>
    <w:pPr>
      <w:spacing w:after="120" w:line="480" w:lineRule="exact"/>
      <w:ind w:left="420" w:leftChars="200" w:firstLine="420" w:firstLineChars="200"/>
    </w:pPr>
    <w:rPr>
      <w:szCs w:val="20"/>
    </w:rPr>
  </w:style>
  <w:style w:type="table" w:styleId="24">
    <w:name w:val="Table Grid"/>
    <w:basedOn w:val="2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99"/>
    <w:rPr>
      <w:rFonts w:cs="Times New Roman"/>
      <w:b/>
    </w:rPr>
  </w:style>
  <w:style w:type="character" w:styleId="27">
    <w:name w:val="page number"/>
    <w:basedOn w:val="25"/>
    <w:qFormat/>
    <w:uiPriority w:val="0"/>
  </w:style>
  <w:style w:type="character" w:styleId="28">
    <w:name w:val="Emphasis"/>
    <w:qFormat/>
    <w:uiPriority w:val="0"/>
    <w:rPr>
      <w:color w:val="CC0033"/>
    </w:rPr>
  </w:style>
  <w:style w:type="character" w:styleId="29">
    <w:name w:val="Hyperlink"/>
    <w:qFormat/>
    <w:uiPriority w:val="99"/>
    <w:rPr>
      <w:color w:val="0000FF"/>
      <w:u w:val="single"/>
    </w:rPr>
  </w:style>
  <w:style w:type="paragraph" w:customStyle="1" w:styleId="3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31">
    <w:name w:val="图例"/>
    <w:basedOn w:val="1"/>
    <w:qFormat/>
    <w:uiPriority w:val="0"/>
    <w:pPr>
      <w:spacing w:before="120" w:after="120" w:line="360" w:lineRule="auto"/>
      <w:jc w:val="center"/>
    </w:pPr>
    <w:rPr>
      <w:rFonts w:eastAsia="仿宋_GB2312"/>
      <w:b/>
      <w:sz w:val="24"/>
      <w:szCs w:val="20"/>
    </w:rPr>
  </w:style>
  <w:style w:type="paragraph" w:styleId="32">
    <w:name w:val="List Paragraph"/>
    <w:basedOn w:val="1"/>
    <w:qFormat/>
    <w:uiPriority w:val="34"/>
    <w:pPr>
      <w:ind w:firstLine="420" w:firstLineChars="200"/>
    </w:pPr>
    <w:rPr>
      <w:rFonts w:ascii="Calibri" w:hAnsi="Calibri"/>
      <w:szCs w:val="22"/>
    </w:rPr>
  </w:style>
  <w:style w:type="paragraph" w:customStyle="1" w:styleId="33">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34">
    <w:name w:val="Table Normal"/>
    <w:semiHidden/>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35">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paragraph" w:customStyle="1" w:styleId="36">
    <w:name w:val="Table Text"/>
    <w:basedOn w:val="1"/>
    <w:semiHidden/>
    <w:qFormat/>
    <w:uiPriority w:val="0"/>
    <w:rPr>
      <w:rFonts w:ascii="Arial" w:hAnsi="Arial" w:eastAsia="Arial" w:cs="Arial"/>
      <w:szCs w:val="21"/>
      <w:lang w:eastAsia="en-US"/>
    </w:rPr>
  </w:style>
  <w:style w:type="character" w:customStyle="1" w:styleId="37">
    <w:name w:val="font11"/>
    <w:basedOn w:val="25"/>
    <w:qFormat/>
    <w:uiPriority w:val="0"/>
    <w:rPr>
      <w:rFonts w:hint="eastAsia" w:ascii="宋体" w:hAnsi="宋体" w:eastAsia="宋体" w:cs="宋体"/>
      <w:color w:val="000000"/>
      <w:sz w:val="21"/>
      <w:szCs w:val="21"/>
      <w:u w:val="none"/>
    </w:rPr>
  </w:style>
  <w:style w:type="character" w:customStyle="1" w:styleId="38">
    <w:name w:val="font01"/>
    <w:basedOn w:val="25"/>
    <w:qFormat/>
    <w:uiPriority w:val="0"/>
    <w:rPr>
      <w:rFonts w:hint="eastAsia" w:ascii="宋体" w:hAnsi="宋体" w:eastAsia="宋体" w:cs="宋体"/>
      <w:color w:val="000000"/>
      <w:sz w:val="22"/>
      <w:szCs w:val="22"/>
      <w:u w:val="none"/>
    </w:rPr>
  </w:style>
  <w:style w:type="paragraph" w:styleId="39">
    <w:name w:val="No Spacing"/>
    <w:qFormat/>
    <w:uiPriority w:val="1"/>
    <w:pPr>
      <w:widowControl w:val="0"/>
      <w:jc w:val="both"/>
    </w:pPr>
    <w:rPr>
      <w:rFonts w:ascii="Calibri Light" w:hAnsi="Calibri Light" w:eastAsia="Arial Unicode MS" w:cs="Arial Unicode MS"/>
      <w:color w:val="000000"/>
      <w:sz w:val="22"/>
      <w:szCs w:val="22"/>
      <w:lang w:val="en-US" w:eastAsia="zh-CN" w:bidi="ar-SA"/>
    </w:rPr>
  </w:style>
  <w:style w:type="paragraph" w:customStyle="1" w:styleId="40">
    <w:name w:val="列出段落1"/>
    <w:basedOn w:val="1"/>
    <w:qFormat/>
    <w:uiPriority w:val="34"/>
    <w:pPr>
      <w:widowControl w:val="0"/>
      <w:spacing w:after="0" w:line="240" w:lineRule="auto"/>
      <w:ind w:firstLine="420" w:firstLineChars="200"/>
      <w:jc w:val="both"/>
    </w:pPr>
    <w:rPr>
      <w:rFonts w:ascii="Calibri" w:hAnsi="Calibri" w:eastAsia="宋体" w:cs="Calibri"/>
      <w:kern w:val="2"/>
      <w:sz w:val="21"/>
      <w:lang w:eastAsia="zh-CN"/>
    </w:rPr>
  </w:style>
  <w:style w:type="character" w:customStyle="1" w:styleId="41">
    <w:name w:val="None"/>
    <w:qFormat/>
    <w:uiPriority w:val="0"/>
  </w:style>
  <w:style w:type="character" w:customStyle="1" w:styleId="42">
    <w:name w:val="Hyperlink.1"/>
    <w:qFormat/>
    <w:uiPriority w:val="0"/>
    <w:rPr>
      <w:color w:val="000000"/>
      <w:lang w:val="en-US"/>
    </w:rPr>
  </w:style>
  <w:style w:type="character" w:customStyle="1" w:styleId="43">
    <w:name w:val="font61"/>
    <w:basedOn w:val="25"/>
    <w:qFormat/>
    <w:uiPriority w:val="0"/>
    <w:rPr>
      <w:rFonts w:ascii="仿宋_GB2312" w:eastAsia="仿宋_GB2312" w:cs="仿宋_GB2312"/>
      <w:color w:val="000000"/>
      <w:sz w:val="22"/>
      <w:szCs w:val="22"/>
      <w:u w:val="none"/>
    </w:rPr>
  </w:style>
  <w:style w:type="character" w:customStyle="1" w:styleId="44">
    <w:name w:val="font71"/>
    <w:basedOn w:val="25"/>
    <w:qFormat/>
    <w:uiPriority w:val="0"/>
    <w:rPr>
      <w:rFonts w:hint="eastAsia" w:ascii="仿宋_GB2312" w:eastAsia="仿宋_GB2312" w:cs="仿宋_GB2312"/>
      <w:color w:val="000000"/>
      <w:sz w:val="22"/>
      <w:szCs w:val="22"/>
      <w:u w:val="none"/>
    </w:rPr>
  </w:style>
  <w:style w:type="character" w:customStyle="1" w:styleId="45">
    <w:name w:val="font41"/>
    <w:basedOn w:val="25"/>
    <w:qFormat/>
    <w:uiPriority w:val="0"/>
    <w:rPr>
      <w:rFonts w:hint="default" w:ascii="Times New Roman" w:hAnsi="Times New Roman" w:cs="Times New Roman"/>
      <w:color w:val="000000"/>
      <w:sz w:val="22"/>
      <w:szCs w:val="22"/>
      <w:u w:val="none"/>
    </w:rPr>
  </w:style>
  <w:style w:type="paragraph" w:customStyle="1" w:styleId="46">
    <w:name w:val="正文 缩进2字符"/>
    <w:basedOn w:val="1"/>
    <w:qFormat/>
    <w:uiPriority w:val="0"/>
    <w:pPr>
      <w:spacing w:line="288" w:lineRule="auto"/>
    </w:pPr>
    <w:rPr>
      <w:rFonts w:ascii="宋体" w:hAnsi="宋体"/>
      <w:sz w:val="28"/>
      <w:szCs w:val="28"/>
    </w:rPr>
  </w:style>
  <w:style w:type="paragraph" w:customStyle="1" w:styleId="47">
    <w:name w:val="大标题"/>
    <w:qFormat/>
    <w:uiPriority w:val="0"/>
    <w:pPr>
      <w:widowControl w:val="0"/>
      <w:autoSpaceDE w:val="0"/>
      <w:autoSpaceDN w:val="0"/>
      <w:spacing w:before="100" w:beforeAutospacing="1" w:after="100" w:afterAutospacing="1" w:line="360" w:lineRule="auto"/>
      <w:jc w:val="left"/>
    </w:pPr>
    <w:rPr>
      <w:rFonts w:ascii="宋体" w:hAnsi="Times New Roman" w:eastAsia="宋体" w:cs="Arial"/>
      <w:b/>
      <w:kern w:val="2"/>
      <w:sz w:val="32"/>
      <w:szCs w:val="32"/>
      <w:lang w:val="en-US" w:eastAsia="zh-CN" w:bidi="ar-SA"/>
    </w:rPr>
  </w:style>
  <w:style w:type="table" w:customStyle="1" w:styleId="48">
    <w:name w:val="Table Normal_0"/>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49">
    <w:name w:val="标题 1 字符"/>
    <w:link w:val="2"/>
    <w:qFormat/>
    <w:uiPriority w:val="0"/>
    <w:rPr>
      <w:b/>
      <w:kern w:val="44"/>
      <w:sz w:val="44"/>
    </w:rPr>
  </w:style>
  <w:style w:type="paragraph" w:customStyle="1" w:styleId="50">
    <w:name w:val="样式 10 磅311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paragraph" w:customStyle="1" w:styleId="52">
    <w:name w:val="2"/>
    <w:qFormat/>
    <w:uiPriority w:val="0"/>
    <w:pPr>
      <w:spacing w:before="120" w:after="120" w:line="288" w:lineRule="auto"/>
    </w:pPr>
    <w:rPr>
      <w:rFonts w:ascii="Arial" w:hAnsi="Arial" w:eastAsia="等线" w:cs="Arial"/>
      <w:sz w:val="22"/>
      <w:szCs w:val="22"/>
      <w:lang w:val="en-US" w:eastAsia="zh-CN" w:bidi="ar-SA"/>
    </w:rPr>
  </w:style>
  <w:style w:type="paragraph" w:customStyle="1" w:styleId="53">
    <w:name w:val="WW-普通文字"/>
    <w:basedOn w:val="1"/>
    <w:qFormat/>
    <w:uiPriority w:val="0"/>
    <w:pPr>
      <w:suppressAutoHyphens/>
    </w:pPr>
    <w:rPr>
      <w:rFonts w:ascii="宋体" w:hAnsi="宋体"/>
      <w:kern w:val="1"/>
      <w:szCs w:val="20"/>
      <w:lang w:eastAsia="ar-SA"/>
    </w:rPr>
  </w:style>
  <w:style w:type="paragraph" w:customStyle="1" w:styleId="54">
    <w:name w:val="Body text|1"/>
    <w:basedOn w:val="1"/>
    <w:qFormat/>
    <w:uiPriority w:val="0"/>
    <w:pPr>
      <w:spacing w:line="432" w:lineRule="auto"/>
      <w:ind w:firstLine="400"/>
    </w:pPr>
    <w:rPr>
      <w:rFonts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85</Pages>
  <Words>18173</Words>
  <Characters>19506</Characters>
  <Lines>244</Lines>
  <Paragraphs>68</Paragraphs>
  <TotalTime>21</TotalTime>
  <ScaleCrop>false</ScaleCrop>
  <LinksUpToDate>false</LinksUpToDate>
  <CharactersWithSpaces>19765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2023-09-04T04:14:00Z</dcterms:created>
  <dc:creator>LENOVO</dc:creator>
  <cp:lastModifiedBy>王欣艳</cp:lastModifiedBy>
  <cp:lastPrinted>2026-07-03T03:12:00Z</cp:lastPrinted>
  <dcterms:modified xsi:type="dcterms:W3CDTF">2026-10-19T08:01:15Z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F40D47BA34FB4957A61D424607908D8B_13</vt:lpwstr>
  </property>
  <property fmtid="{D5CDD505-2E9C-101B-9397-08002B2CF9AE}" pid="4" name="KSOTemplateDocerSaveRecord">
    <vt:lpwstr>eyJoZGlkIjoiY2Y4Y2FhM2NmNGRkMjBiZWIxNWVlZWIzM2FmNDViZGEiLCJ1c2VySWQiOiI0MDA2Njc2MzMifQ==</vt:lpwstr>
  </property>
</Properties>
</file>